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Toc66"/>
      <w:bookmarkStart w:id="1" w:name="_Toc15396614"/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第</w:t>
      </w:r>
      <w:r>
        <w:rPr>
          <w:rStyle w:val="8"/>
          <w:rFonts w:hint="eastAsia" w:ascii="黑体" w:hAnsi="黑体" w:eastAsia="黑体"/>
          <w:b w:val="0"/>
          <w:color w:val="auto"/>
          <w:highlight w:val="none"/>
        </w:rPr>
        <w:t>四部分 附件</w:t>
      </w:r>
      <w:bookmarkEnd w:id="0"/>
      <w:bookmarkEnd w:id="1"/>
    </w:p>
    <w:p>
      <w:pPr>
        <w:spacing w:line="600" w:lineRule="exact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spacing w:line="600" w:lineRule="exact"/>
        <w:jc w:val="center"/>
        <w:outlineLvl w:val="1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3" w:name="_GoBack"/>
      <w:bookmarkStart w:id="2" w:name="_Toc11359"/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部门预算项目支出绩效自评表（2022年度）</w:t>
      </w:r>
      <w:bookmarkEnd w:id="2"/>
    </w:p>
    <w:bookmarkEnd w:id="3"/>
    <w:tbl>
      <w:tblPr>
        <w:tblStyle w:val="6"/>
        <w:tblpPr w:leftFromText="180" w:rightFromText="180" w:vertAnchor="text" w:horzAnchor="page" w:tblpX="557" w:tblpY="1314"/>
        <w:tblOverlap w:val="never"/>
        <w:tblW w:w="160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770"/>
        <w:gridCol w:w="1275"/>
        <w:gridCol w:w="1709"/>
        <w:gridCol w:w="1230"/>
        <w:gridCol w:w="930"/>
        <w:gridCol w:w="1275"/>
        <w:gridCol w:w="1410"/>
        <w:gridCol w:w="1110"/>
        <w:gridCol w:w="1095"/>
        <w:gridCol w:w="2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03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51000021T000000014458-住房城乡建设相关专业人员考试经费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四川省住房和城乡建设厅部门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实施单位 </w:t>
            </w:r>
          </w:p>
        </w:tc>
        <w:tc>
          <w:tcPr>
            <w:tcW w:w="5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四川省建设岗位培训与执业资格注册中心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650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1.组织4期全省建筑施工企业“安管人员”“特种作业人员”及燃气经营企业从业人员理论考试，预计参考人数达16万人次。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2.确定住建领域相关专业人员理论考试的考试服务机构。</w:t>
            </w:r>
          </w:p>
        </w:tc>
        <w:tc>
          <w:tcPr>
            <w:tcW w:w="6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1.全年组织全省建筑施工企业“安管人员”“特种作业人员”及燃气经营企业从业人员理论考试4期，参考人数15万人，并安排单位职工完成考试巡考工作；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2.根据政府采购相关要求确定了机考委托业务服务机构。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29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根据相关法规、条例，组织全省建筑施工企业“安管人员”“特种作业人员”及燃气经营企业从业人员理论考试。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预算执行情况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394.75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1,079.00</w:t>
            </w: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993.91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92.11%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年中追加预算说明：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主要因住房城乡建设领域相关专业人员持证需求增大，报考人数远超年初预计数。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394.75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394.75</w:t>
            </w: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390.25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98.86%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684.25</w:t>
            </w: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603.66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88.22%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绩效指标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（90分）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完成值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参考人数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万人次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15.03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37.58 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根据新冠肺炎疫情防控要求，部分报名考生无法参考。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对建筑行业从业人员影响率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94.89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机考委托业务费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元/人·次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9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96.79 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46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住房城乡建设相关专业人员考试经费项目年度总体目标基本完成，绩效自评得分为96.79。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46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由于2022年新冠肺炎疫情肆虐，根据疫情防控要求，部分报名考生无法参考。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46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进一步完善缺考黑名单制度。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3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项目负责人：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万中</w:t>
            </w:r>
          </w:p>
        </w:tc>
        <w:tc>
          <w:tcPr>
            <w:tcW w:w="87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财务负责人：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陈丽</w:t>
            </w:r>
          </w:p>
        </w:tc>
      </w:tr>
    </w:tbl>
    <w:tbl>
      <w:tblPr>
        <w:tblStyle w:val="6"/>
        <w:tblW w:w="16049" w:type="dxa"/>
        <w:tblInd w:w="-8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175"/>
        <w:gridCol w:w="1650"/>
        <w:gridCol w:w="1875"/>
        <w:gridCol w:w="975"/>
        <w:gridCol w:w="1080"/>
        <w:gridCol w:w="750"/>
        <w:gridCol w:w="1200"/>
        <w:gridCol w:w="840"/>
        <w:gridCol w:w="968"/>
        <w:gridCol w:w="3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04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部门预算项目支出绩效自评表（2022年度）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51000022T000004852963-联合办学项目支出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四川省住房和城乡建设厅部门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实施单位 </w:t>
            </w:r>
          </w:p>
        </w:tc>
        <w:tc>
          <w:tcPr>
            <w:tcW w:w="5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四川省建设岗位培训与执业资格注册中心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6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年度目标完成情况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1.实现学员报名收费系统升级。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2.预计招生人数2125人。使更多的人能够接受高等教育，为社会发展提供更多技能型人才。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1.实现了学员报名收费系统升级，工作效率提高，为学生服务工作提供了更加坚实的基础。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2.全年招生人数1155人。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12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按照学历教育相关要求，做好招生工作，按时完成教学任务，把好教学质量关，提升建筑行业从业人员整体水平。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700.00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700.00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544.28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77.75%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7.78 </w:t>
            </w:r>
          </w:p>
        </w:tc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预算执行率未达到90%的说明：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年5月，全国高校网络教育考试委员会办公室发布电函，网教线上平台于2022年6月7日起正式停止运行。故本单位仅国家开放大学继续开展招生业务，预计招生2125人，完成1155人，以致无法达到预计返费规模，故该项目支出执行率未达到90%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700.00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700.00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544.28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77.75%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完成值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权重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16.31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招生人数未达到预计数的说明：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2022年5月，全国高校网络教育考试委员会办公室发布电函，网教线上平台于2022年6月7日起正式停止运行，故本单位仅国家开放大学继续开展招生业务。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联合办学质量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成本控制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为经济社会发展提供技术型人才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对工作的促进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影响年限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9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84.08 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147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联合办学项目年度总体目标基本完成，绩效自评得分为84.08。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47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由于网教暂停，招生人数未达预计规模。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147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做好市场分析，立足品牌优势，发动单位全体职工加强宣传，同时进一步做好学生服务工作。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项目负责人：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万中</w:t>
            </w:r>
          </w:p>
        </w:tc>
        <w:tc>
          <w:tcPr>
            <w:tcW w:w="12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财务负责人：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陈丽</w:t>
            </w:r>
          </w:p>
        </w:tc>
      </w:tr>
    </w:tbl>
    <w:p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16C93C50"/>
    <w:rsid w:val="16C9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8">
    <w:name w:val="标题 1 Char"/>
    <w:basedOn w:val="7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2023-09-05T09:38:00Z</dcterms:created>
  <dc:creator>⌒寻⌒</dc:creator>
  <cp:lastModifiedBy>⌒寻⌒</cp:lastModifiedBy>
  <dcterms:modified xsi:type="dcterms:W3CDTF">2023-09-05T09:38:34Z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E2E677E0CC5E4295AED19F53662F5719_11</vt:lpwstr>
  </property>
</Properties>
</file>