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outlineLvl w:val="0"/>
        <w:rPr>
          <w:rFonts w:eastAsia="方正小标宋简体"/>
          <w:color w:val="000000"/>
          <w:sz w:val="32"/>
          <w:szCs w:val="32"/>
        </w:rPr>
      </w:pPr>
      <w:bookmarkStart w:id="0" w:name="_Toc15306267"/>
    </w:p>
    <w:p>
      <w:pPr>
        <w:spacing w:line="600" w:lineRule="exact"/>
        <w:jc w:val="center"/>
        <w:outlineLvl w:val="0"/>
        <w:rPr>
          <w:rFonts w:eastAsia="方正小标宋简体"/>
          <w:color w:val="000000"/>
          <w:sz w:val="32"/>
          <w:szCs w:val="32"/>
        </w:rPr>
      </w:pPr>
    </w:p>
    <w:p>
      <w:pPr>
        <w:spacing w:line="600" w:lineRule="exact"/>
        <w:jc w:val="center"/>
        <w:outlineLvl w:val="0"/>
        <w:rPr>
          <w:rFonts w:eastAsia="方正小标宋简体"/>
          <w:color w:val="000000"/>
          <w:sz w:val="32"/>
          <w:szCs w:val="32"/>
        </w:rPr>
      </w:pPr>
    </w:p>
    <w:p>
      <w:pPr>
        <w:jc w:val="center"/>
        <w:outlineLvl w:val="0"/>
        <w:rPr>
          <w:rFonts w:eastAsia="方正小标宋简体"/>
          <w:color w:val="000000"/>
          <w:sz w:val="72"/>
          <w:szCs w:val="72"/>
        </w:rPr>
      </w:pPr>
    </w:p>
    <w:p>
      <w:pPr>
        <w:adjustRightInd w:val="0"/>
        <w:snapToGrid w:val="0"/>
        <w:jc w:val="center"/>
        <w:outlineLvl w:val="0"/>
        <w:rPr>
          <w:rFonts w:eastAsia="方正小标宋简体"/>
          <w:sz w:val="72"/>
          <w:szCs w:val="72"/>
        </w:rPr>
      </w:pPr>
      <w:bookmarkStart w:id="1" w:name="_Toc15377425"/>
      <w:bookmarkStart w:id="2" w:name="_Toc15377193"/>
      <w:bookmarkStart w:id="3" w:name="_Toc15396475"/>
      <w:bookmarkStart w:id="4" w:name="_Toc15378441"/>
      <w:bookmarkStart w:id="5" w:name="_Toc15396597"/>
      <w:r>
        <w:rPr>
          <w:rFonts w:eastAsia="方正小标宋简体"/>
          <w:sz w:val="72"/>
          <w:szCs w:val="72"/>
        </w:rPr>
        <w:t>2020年度</w:t>
      </w:r>
      <w:bookmarkEnd w:id="1"/>
      <w:bookmarkEnd w:id="2"/>
      <w:bookmarkEnd w:id="3"/>
      <w:bookmarkEnd w:id="4"/>
      <w:bookmarkEnd w:id="5"/>
      <w:bookmarkStart w:id="6" w:name="_Toc15396598"/>
      <w:bookmarkStart w:id="7" w:name="_Toc15377426"/>
      <w:bookmarkStart w:id="8" w:name="_Toc15377194"/>
      <w:bookmarkStart w:id="9" w:name="_Toc15396476"/>
      <w:bookmarkStart w:id="10" w:name="_Toc15378442"/>
    </w:p>
    <w:p>
      <w:pPr>
        <w:adjustRightInd w:val="0"/>
        <w:snapToGrid w:val="0"/>
        <w:jc w:val="center"/>
        <w:outlineLvl w:val="0"/>
        <w:rPr>
          <w:rFonts w:eastAsia="方正小标宋简体"/>
          <w:sz w:val="72"/>
          <w:szCs w:val="72"/>
        </w:rPr>
      </w:pPr>
      <w:r>
        <w:rPr>
          <w:rFonts w:eastAsia="方正小标宋简体"/>
          <w:sz w:val="72"/>
          <w:szCs w:val="72"/>
        </w:rPr>
        <w:t>四川省</w:t>
      </w:r>
      <w:bookmarkEnd w:id="0"/>
      <w:bookmarkStart w:id="11" w:name="_Toc15306268"/>
      <w:r>
        <w:rPr>
          <w:rFonts w:eastAsia="方正小标宋简体"/>
          <w:sz w:val="72"/>
          <w:szCs w:val="72"/>
        </w:rPr>
        <w:t>建筑标准设计办公室部门决算</w:t>
      </w:r>
      <w:bookmarkEnd w:id="6"/>
      <w:bookmarkEnd w:id="7"/>
      <w:bookmarkEnd w:id="8"/>
      <w:bookmarkEnd w:id="9"/>
      <w:bookmarkEnd w:id="10"/>
      <w:bookmarkEnd w:id="11"/>
    </w:p>
    <w:p>
      <w:pPr>
        <w:widowControl/>
        <w:spacing w:line="600" w:lineRule="exact"/>
        <w:jc w:val="center"/>
        <w:rPr>
          <w:rFonts w:eastAsia="黑体"/>
          <w:sz w:val="32"/>
          <w:szCs w:val="32"/>
        </w:rPr>
      </w:pPr>
      <w:r>
        <w:rPr>
          <w:rFonts w:eastAsia="方正小标宋简体"/>
          <w:sz w:val="32"/>
          <w:szCs w:val="32"/>
        </w:rPr>
        <w:br w:type="page"/>
      </w:r>
      <w:r>
        <w:rPr>
          <w:rFonts w:eastAsia="黑体"/>
          <w:sz w:val="32"/>
          <w:szCs w:val="32"/>
        </w:rPr>
        <w:t>目录</w:t>
      </w:r>
    </w:p>
    <w:p>
      <w:pPr>
        <w:widowControl/>
        <w:spacing w:line="600" w:lineRule="exact"/>
        <w:jc w:val="center"/>
        <w:rPr>
          <w:rFonts w:eastAsia="黑体"/>
          <w:sz w:val="32"/>
          <w:szCs w:val="32"/>
        </w:rPr>
      </w:pPr>
    </w:p>
    <w:p>
      <w:pPr>
        <w:pStyle w:val="10"/>
        <w:spacing w:before="0" w:line="600" w:lineRule="exact"/>
        <w:rPr>
          <w:rFonts w:ascii="Times New Roman" w:hAnsi="Times New Roman"/>
          <w:sz w:val="32"/>
          <w:szCs w:val="32"/>
        </w:rPr>
      </w:pPr>
      <w:r>
        <w:rPr>
          <w:rFonts w:ascii="Times New Roman" w:hAnsi="Times New Roman"/>
          <w:sz w:val="32"/>
          <w:szCs w:val="32"/>
        </w:rPr>
        <w:t>公开时间：2021年9月10日</w:t>
      </w:r>
    </w:p>
    <w:p>
      <w:pPr>
        <w:spacing w:line="600" w:lineRule="exact"/>
        <w:rPr>
          <w:sz w:val="32"/>
          <w:szCs w:val="32"/>
        </w:rPr>
      </w:pPr>
    </w:p>
    <w:p>
      <w:pPr>
        <w:pStyle w:val="10"/>
        <w:adjustRightInd w:val="0"/>
        <w:snapToGrid w:val="0"/>
        <w:spacing w:before="0" w:line="600" w:lineRule="exact"/>
        <w:jc w:val="left"/>
        <w:rPr>
          <w:rFonts w:ascii="Times New Roman" w:hAnsi="Times New Roman"/>
          <w:sz w:val="32"/>
          <w:szCs w:val="32"/>
        </w:rPr>
      </w:pPr>
      <w:r>
        <w:rPr>
          <w:rFonts w:ascii="Times New Roman" w:hAnsi="Times New Roman"/>
          <w:sz w:val="32"/>
          <w:szCs w:val="32"/>
        </w:rPr>
        <w:t>第一部分 单位概况</w:t>
      </w:r>
    </w:p>
    <w:p>
      <w:pPr>
        <w:pStyle w:val="11"/>
        <w:adjustRightInd w:val="0"/>
        <w:snapToGrid w:val="0"/>
        <w:spacing w:line="600" w:lineRule="exact"/>
        <w:jc w:val="left"/>
        <w:rPr>
          <w:rFonts w:eastAsia="仿宋"/>
          <w:sz w:val="32"/>
          <w:szCs w:val="32"/>
        </w:rPr>
      </w:pPr>
      <w:r>
        <w:rPr>
          <w:rFonts w:eastAsia="仿宋"/>
          <w:sz w:val="32"/>
          <w:szCs w:val="32"/>
        </w:rPr>
        <w:t>一、职能简介</w:t>
      </w:r>
    </w:p>
    <w:p>
      <w:pPr>
        <w:pStyle w:val="11"/>
        <w:adjustRightInd w:val="0"/>
        <w:snapToGrid w:val="0"/>
        <w:spacing w:line="600" w:lineRule="exact"/>
        <w:jc w:val="left"/>
        <w:rPr>
          <w:rFonts w:eastAsia="仿宋"/>
          <w:sz w:val="32"/>
          <w:szCs w:val="32"/>
        </w:rPr>
      </w:pPr>
      <w:r>
        <w:rPr>
          <w:rFonts w:eastAsia="仿宋"/>
          <w:sz w:val="32"/>
          <w:szCs w:val="32"/>
        </w:rPr>
        <w:t>二、2020年重点工作完成情况</w:t>
      </w:r>
    </w:p>
    <w:p>
      <w:pPr>
        <w:pStyle w:val="10"/>
        <w:adjustRightInd w:val="0"/>
        <w:snapToGrid w:val="0"/>
        <w:spacing w:before="0" w:line="600" w:lineRule="exact"/>
        <w:jc w:val="left"/>
        <w:rPr>
          <w:rFonts w:ascii="Times New Roman" w:hAnsi="Times New Roman"/>
          <w:sz w:val="32"/>
          <w:szCs w:val="32"/>
        </w:rPr>
      </w:pPr>
      <w:r>
        <w:rPr>
          <w:rFonts w:ascii="Times New Roman" w:hAnsi="Times New Roman"/>
          <w:sz w:val="32"/>
          <w:szCs w:val="32"/>
        </w:rPr>
        <w:t>第二部分 2020年度部门决算情况说明</w:t>
      </w:r>
    </w:p>
    <w:p>
      <w:pPr>
        <w:pStyle w:val="11"/>
        <w:adjustRightInd w:val="0"/>
        <w:snapToGrid w:val="0"/>
        <w:spacing w:line="600" w:lineRule="exact"/>
        <w:jc w:val="left"/>
        <w:rPr>
          <w:rFonts w:eastAsia="仿宋"/>
          <w:sz w:val="32"/>
          <w:szCs w:val="32"/>
        </w:rPr>
      </w:pPr>
      <w:r>
        <w:rPr>
          <w:rFonts w:eastAsia="仿宋"/>
          <w:sz w:val="32"/>
          <w:szCs w:val="32"/>
        </w:rPr>
        <w:t>一、收入支出决算总体情况说明</w:t>
      </w:r>
    </w:p>
    <w:p>
      <w:pPr>
        <w:pStyle w:val="11"/>
        <w:adjustRightInd w:val="0"/>
        <w:snapToGrid w:val="0"/>
        <w:spacing w:line="600" w:lineRule="exact"/>
        <w:jc w:val="left"/>
        <w:rPr>
          <w:rFonts w:eastAsia="仿宋"/>
          <w:sz w:val="32"/>
          <w:szCs w:val="32"/>
        </w:rPr>
      </w:pPr>
      <w:r>
        <w:rPr>
          <w:rFonts w:eastAsia="仿宋"/>
          <w:sz w:val="32"/>
          <w:szCs w:val="32"/>
        </w:rPr>
        <w:t>二、收入决算情况说明</w:t>
      </w:r>
    </w:p>
    <w:p>
      <w:pPr>
        <w:pStyle w:val="11"/>
        <w:adjustRightInd w:val="0"/>
        <w:snapToGrid w:val="0"/>
        <w:spacing w:line="600" w:lineRule="exact"/>
        <w:jc w:val="left"/>
        <w:rPr>
          <w:rFonts w:eastAsia="仿宋"/>
          <w:sz w:val="32"/>
          <w:szCs w:val="32"/>
        </w:rPr>
      </w:pPr>
      <w:r>
        <w:rPr>
          <w:rFonts w:eastAsia="仿宋"/>
          <w:sz w:val="32"/>
          <w:szCs w:val="32"/>
        </w:rPr>
        <w:t>三、支出决算情况说明</w:t>
      </w:r>
    </w:p>
    <w:p>
      <w:pPr>
        <w:pStyle w:val="11"/>
        <w:adjustRightInd w:val="0"/>
        <w:snapToGrid w:val="0"/>
        <w:spacing w:line="600" w:lineRule="exact"/>
        <w:jc w:val="left"/>
        <w:rPr>
          <w:rFonts w:eastAsia="仿宋"/>
          <w:sz w:val="32"/>
          <w:szCs w:val="32"/>
        </w:rPr>
      </w:pPr>
      <w:r>
        <w:rPr>
          <w:rFonts w:eastAsia="仿宋"/>
          <w:sz w:val="32"/>
          <w:szCs w:val="32"/>
        </w:rPr>
        <w:t>四、财政拨款收入支出决算总体情况说明</w:t>
      </w:r>
    </w:p>
    <w:p>
      <w:pPr>
        <w:pStyle w:val="11"/>
        <w:adjustRightInd w:val="0"/>
        <w:snapToGrid w:val="0"/>
        <w:spacing w:line="600" w:lineRule="exact"/>
        <w:jc w:val="left"/>
        <w:rPr>
          <w:rFonts w:eastAsia="仿宋"/>
          <w:sz w:val="32"/>
          <w:szCs w:val="32"/>
        </w:rPr>
      </w:pPr>
      <w:r>
        <w:rPr>
          <w:rFonts w:eastAsia="仿宋"/>
          <w:sz w:val="32"/>
          <w:szCs w:val="32"/>
        </w:rPr>
        <w:t>五、一般公共预算财政拨款支出决算情况说明</w:t>
      </w:r>
    </w:p>
    <w:p>
      <w:pPr>
        <w:pStyle w:val="11"/>
        <w:adjustRightInd w:val="0"/>
        <w:snapToGrid w:val="0"/>
        <w:spacing w:line="600" w:lineRule="exact"/>
        <w:jc w:val="left"/>
        <w:rPr>
          <w:rFonts w:eastAsia="仿宋"/>
          <w:sz w:val="32"/>
          <w:szCs w:val="32"/>
        </w:rPr>
      </w:pPr>
      <w:r>
        <w:rPr>
          <w:rFonts w:eastAsia="仿宋"/>
          <w:sz w:val="32"/>
          <w:szCs w:val="32"/>
        </w:rPr>
        <w:t>六、一般公共预算财政拨款基本支出决算情况说明</w:t>
      </w:r>
    </w:p>
    <w:p>
      <w:pPr>
        <w:pStyle w:val="11"/>
        <w:adjustRightInd w:val="0"/>
        <w:snapToGrid w:val="0"/>
        <w:spacing w:line="600" w:lineRule="exact"/>
        <w:jc w:val="left"/>
        <w:rPr>
          <w:rFonts w:eastAsia="仿宋"/>
          <w:sz w:val="32"/>
          <w:szCs w:val="32"/>
        </w:rPr>
      </w:pPr>
      <w:r>
        <w:rPr>
          <w:rFonts w:eastAsia="仿宋"/>
          <w:sz w:val="32"/>
          <w:szCs w:val="32"/>
        </w:rPr>
        <w:t>七、“三公”经费财政拨款支出决算情况说明</w:t>
      </w:r>
    </w:p>
    <w:p>
      <w:pPr>
        <w:pStyle w:val="11"/>
        <w:adjustRightInd w:val="0"/>
        <w:snapToGrid w:val="0"/>
        <w:spacing w:line="600" w:lineRule="exact"/>
        <w:jc w:val="left"/>
        <w:rPr>
          <w:rFonts w:eastAsia="仿宋"/>
          <w:sz w:val="32"/>
          <w:szCs w:val="32"/>
        </w:rPr>
      </w:pPr>
      <w:r>
        <w:rPr>
          <w:rFonts w:eastAsia="仿宋"/>
          <w:sz w:val="32"/>
          <w:szCs w:val="32"/>
        </w:rPr>
        <w:t>八、政府性基金预算支出决算情况说明</w:t>
      </w:r>
    </w:p>
    <w:p>
      <w:pPr>
        <w:pStyle w:val="11"/>
        <w:adjustRightInd w:val="0"/>
        <w:snapToGrid w:val="0"/>
        <w:spacing w:line="600" w:lineRule="exact"/>
        <w:jc w:val="left"/>
        <w:rPr>
          <w:rFonts w:eastAsia="仿宋"/>
          <w:sz w:val="32"/>
          <w:szCs w:val="32"/>
        </w:rPr>
      </w:pPr>
      <w:r>
        <w:rPr>
          <w:rFonts w:eastAsia="仿宋"/>
          <w:sz w:val="32"/>
          <w:szCs w:val="32"/>
        </w:rPr>
        <w:t>九、国有资本经营预算支出决算情况说明</w:t>
      </w:r>
    </w:p>
    <w:p>
      <w:pPr>
        <w:pStyle w:val="11"/>
        <w:adjustRightInd w:val="0"/>
        <w:snapToGrid w:val="0"/>
        <w:spacing w:line="600" w:lineRule="exact"/>
        <w:jc w:val="left"/>
        <w:rPr>
          <w:rFonts w:eastAsia="仿宋"/>
          <w:sz w:val="32"/>
          <w:szCs w:val="32"/>
        </w:rPr>
      </w:pPr>
      <w:r>
        <w:rPr>
          <w:rFonts w:eastAsia="仿宋"/>
          <w:sz w:val="32"/>
          <w:szCs w:val="32"/>
        </w:rPr>
        <w:t>十、其他重要事项的情况说明</w:t>
      </w:r>
    </w:p>
    <w:p>
      <w:pPr>
        <w:pStyle w:val="10"/>
        <w:adjustRightInd w:val="0"/>
        <w:snapToGrid w:val="0"/>
        <w:spacing w:before="0" w:line="600" w:lineRule="exact"/>
        <w:jc w:val="left"/>
        <w:rPr>
          <w:rFonts w:ascii="Times New Roman" w:hAnsi="Times New Roman"/>
          <w:sz w:val="32"/>
          <w:szCs w:val="32"/>
        </w:rPr>
      </w:pPr>
      <w:r>
        <w:rPr>
          <w:rFonts w:ascii="Times New Roman" w:hAnsi="Times New Roman"/>
          <w:sz w:val="32"/>
          <w:szCs w:val="32"/>
        </w:rPr>
        <w:t>第三部分 名词解释</w:t>
      </w:r>
    </w:p>
    <w:p>
      <w:pPr>
        <w:pStyle w:val="10"/>
        <w:adjustRightInd w:val="0"/>
        <w:snapToGrid w:val="0"/>
        <w:spacing w:before="0" w:line="600" w:lineRule="exact"/>
        <w:jc w:val="left"/>
        <w:rPr>
          <w:rFonts w:ascii="Times New Roman" w:hAnsi="Times New Roman"/>
          <w:sz w:val="32"/>
          <w:szCs w:val="32"/>
        </w:rPr>
      </w:pPr>
      <w:r>
        <w:rPr>
          <w:rFonts w:ascii="Times New Roman" w:hAnsi="Times New Roman"/>
          <w:sz w:val="32"/>
          <w:szCs w:val="32"/>
        </w:rPr>
        <w:t>第四部分 附件</w:t>
      </w:r>
    </w:p>
    <w:p>
      <w:pPr>
        <w:pStyle w:val="10"/>
        <w:adjustRightInd w:val="0"/>
        <w:snapToGrid w:val="0"/>
        <w:spacing w:before="0" w:line="600" w:lineRule="exact"/>
        <w:jc w:val="left"/>
        <w:rPr>
          <w:rFonts w:ascii="Times New Roman" w:hAnsi="Times New Roman"/>
          <w:sz w:val="32"/>
          <w:szCs w:val="32"/>
        </w:rPr>
      </w:pPr>
      <w:r>
        <w:rPr>
          <w:rFonts w:ascii="Times New Roman" w:hAnsi="Times New Roman"/>
          <w:sz w:val="32"/>
          <w:szCs w:val="32"/>
        </w:rPr>
        <w:t>第五部分 附表</w:t>
      </w:r>
    </w:p>
    <w:p>
      <w:pPr>
        <w:pStyle w:val="11"/>
        <w:adjustRightInd w:val="0"/>
        <w:snapToGrid w:val="0"/>
        <w:spacing w:line="600" w:lineRule="exact"/>
        <w:jc w:val="left"/>
        <w:rPr>
          <w:rFonts w:eastAsia="仿宋"/>
          <w:sz w:val="32"/>
          <w:szCs w:val="32"/>
        </w:rPr>
      </w:pPr>
      <w:r>
        <w:rPr>
          <w:rFonts w:eastAsia="仿宋"/>
          <w:sz w:val="32"/>
          <w:szCs w:val="32"/>
        </w:rPr>
        <w:t>一、收入支出决算总表</w:t>
      </w:r>
    </w:p>
    <w:p>
      <w:pPr>
        <w:pStyle w:val="11"/>
        <w:adjustRightInd w:val="0"/>
        <w:snapToGrid w:val="0"/>
        <w:spacing w:line="600" w:lineRule="exact"/>
        <w:jc w:val="left"/>
        <w:rPr>
          <w:rFonts w:eastAsia="仿宋"/>
          <w:sz w:val="32"/>
          <w:szCs w:val="32"/>
        </w:rPr>
      </w:pPr>
      <w:r>
        <w:rPr>
          <w:rFonts w:eastAsia="仿宋"/>
          <w:sz w:val="32"/>
          <w:szCs w:val="32"/>
        </w:rPr>
        <w:t>二、收入决算表</w:t>
      </w:r>
    </w:p>
    <w:p>
      <w:pPr>
        <w:pStyle w:val="11"/>
        <w:adjustRightInd w:val="0"/>
        <w:snapToGrid w:val="0"/>
        <w:spacing w:line="600" w:lineRule="exact"/>
        <w:jc w:val="left"/>
        <w:rPr>
          <w:rFonts w:eastAsia="仿宋"/>
          <w:sz w:val="32"/>
          <w:szCs w:val="32"/>
        </w:rPr>
      </w:pPr>
      <w:r>
        <w:rPr>
          <w:rFonts w:eastAsia="仿宋"/>
          <w:sz w:val="32"/>
          <w:szCs w:val="32"/>
        </w:rPr>
        <w:t>三、支出决算表</w:t>
      </w:r>
    </w:p>
    <w:p>
      <w:pPr>
        <w:pStyle w:val="11"/>
        <w:adjustRightInd w:val="0"/>
        <w:snapToGrid w:val="0"/>
        <w:spacing w:line="600" w:lineRule="exact"/>
        <w:jc w:val="left"/>
        <w:rPr>
          <w:rFonts w:eastAsia="仿宋"/>
          <w:sz w:val="32"/>
          <w:szCs w:val="32"/>
        </w:rPr>
      </w:pPr>
      <w:r>
        <w:rPr>
          <w:rFonts w:eastAsia="仿宋"/>
          <w:sz w:val="32"/>
          <w:szCs w:val="32"/>
        </w:rPr>
        <w:t>四、财政拨款收入支出决算总表</w:t>
      </w:r>
    </w:p>
    <w:p>
      <w:pPr>
        <w:pStyle w:val="11"/>
        <w:adjustRightInd w:val="0"/>
        <w:snapToGrid w:val="0"/>
        <w:spacing w:line="600" w:lineRule="exact"/>
        <w:jc w:val="left"/>
        <w:rPr>
          <w:rFonts w:eastAsia="仿宋"/>
          <w:sz w:val="32"/>
          <w:szCs w:val="32"/>
        </w:rPr>
      </w:pPr>
      <w:r>
        <w:rPr>
          <w:rFonts w:eastAsia="仿宋"/>
          <w:sz w:val="32"/>
          <w:szCs w:val="32"/>
        </w:rPr>
        <w:t>五、财政拨款支出决算明细表</w:t>
      </w:r>
    </w:p>
    <w:p>
      <w:pPr>
        <w:pStyle w:val="11"/>
        <w:adjustRightInd w:val="0"/>
        <w:snapToGrid w:val="0"/>
        <w:spacing w:line="600" w:lineRule="exact"/>
        <w:jc w:val="left"/>
        <w:rPr>
          <w:rFonts w:eastAsia="仿宋"/>
          <w:sz w:val="32"/>
          <w:szCs w:val="32"/>
        </w:rPr>
      </w:pPr>
      <w:r>
        <w:rPr>
          <w:rFonts w:eastAsia="仿宋"/>
          <w:sz w:val="32"/>
          <w:szCs w:val="32"/>
        </w:rPr>
        <w:t>六、一般公共预算财政拨款支出决算表</w:t>
      </w:r>
    </w:p>
    <w:p>
      <w:pPr>
        <w:pStyle w:val="11"/>
        <w:adjustRightInd w:val="0"/>
        <w:snapToGrid w:val="0"/>
        <w:spacing w:line="600" w:lineRule="exact"/>
        <w:jc w:val="left"/>
        <w:rPr>
          <w:rFonts w:eastAsia="仿宋"/>
          <w:sz w:val="32"/>
          <w:szCs w:val="32"/>
        </w:rPr>
      </w:pPr>
      <w:r>
        <w:rPr>
          <w:rFonts w:eastAsia="仿宋"/>
          <w:sz w:val="32"/>
          <w:szCs w:val="32"/>
        </w:rPr>
        <w:t>七、一般公共预算财政拨款支出决算明细表</w:t>
      </w:r>
    </w:p>
    <w:p>
      <w:pPr>
        <w:pStyle w:val="11"/>
        <w:adjustRightInd w:val="0"/>
        <w:snapToGrid w:val="0"/>
        <w:spacing w:line="600" w:lineRule="exact"/>
        <w:jc w:val="left"/>
        <w:rPr>
          <w:rFonts w:eastAsia="仿宋"/>
          <w:sz w:val="32"/>
          <w:szCs w:val="32"/>
        </w:rPr>
      </w:pPr>
      <w:r>
        <w:rPr>
          <w:rFonts w:eastAsia="仿宋"/>
          <w:sz w:val="32"/>
          <w:szCs w:val="32"/>
        </w:rPr>
        <w:t>八、一般公共预算财政拨款基本支出决算表</w:t>
      </w:r>
    </w:p>
    <w:p>
      <w:pPr>
        <w:pStyle w:val="11"/>
        <w:adjustRightInd w:val="0"/>
        <w:snapToGrid w:val="0"/>
        <w:spacing w:line="600" w:lineRule="exact"/>
        <w:jc w:val="left"/>
        <w:rPr>
          <w:rFonts w:eastAsia="仿宋"/>
          <w:sz w:val="32"/>
          <w:szCs w:val="32"/>
        </w:rPr>
      </w:pPr>
      <w:r>
        <w:rPr>
          <w:rFonts w:eastAsia="仿宋"/>
          <w:sz w:val="32"/>
          <w:szCs w:val="32"/>
        </w:rPr>
        <w:t>九、一般公共预算财政拨款项目支出决算表</w:t>
      </w:r>
    </w:p>
    <w:p>
      <w:pPr>
        <w:pStyle w:val="11"/>
        <w:adjustRightInd w:val="0"/>
        <w:snapToGrid w:val="0"/>
        <w:spacing w:line="600" w:lineRule="exact"/>
        <w:jc w:val="left"/>
        <w:rPr>
          <w:rFonts w:eastAsia="仿宋"/>
          <w:sz w:val="32"/>
          <w:szCs w:val="32"/>
        </w:rPr>
      </w:pPr>
      <w:r>
        <w:rPr>
          <w:rFonts w:eastAsia="仿宋"/>
          <w:sz w:val="32"/>
          <w:szCs w:val="32"/>
        </w:rPr>
        <w:t>十、一般公共预算财政拨款“三公”经费支出决算表</w:t>
      </w:r>
    </w:p>
    <w:p>
      <w:pPr>
        <w:widowControl/>
        <w:adjustRightInd w:val="0"/>
        <w:snapToGrid w:val="0"/>
        <w:spacing w:line="600" w:lineRule="exact"/>
        <w:ind w:firstLine="1760" w:firstLineChars="550"/>
        <w:jc w:val="left"/>
        <w:rPr>
          <w:rFonts w:eastAsia="仿宋"/>
          <w:sz w:val="32"/>
          <w:szCs w:val="32"/>
          <w:highlight w:val="yellow"/>
        </w:rPr>
      </w:pPr>
    </w:p>
    <w:p>
      <w:pPr>
        <w:widowControl/>
        <w:spacing w:line="600" w:lineRule="exact"/>
        <w:jc w:val="left"/>
        <w:rPr>
          <w:rFonts w:eastAsia="仿宋"/>
          <w:bCs/>
          <w:kern w:val="44"/>
          <w:sz w:val="32"/>
          <w:szCs w:val="32"/>
        </w:rPr>
      </w:pPr>
      <w:bookmarkStart w:id="12" w:name="_Toc15377196"/>
      <w:bookmarkStart w:id="13" w:name="_Toc15396599"/>
      <w:r>
        <w:rPr>
          <w:rFonts w:eastAsia="仿宋"/>
          <w:b/>
          <w:sz w:val="32"/>
          <w:szCs w:val="32"/>
        </w:rPr>
        <w:br w:type="page"/>
      </w:r>
    </w:p>
    <w:p>
      <w:pPr>
        <w:pStyle w:val="3"/>
        <w:spacing w:before="0" w:after="0" w:line="600" w:lineRule="exact"/>
        <w:jc w:val="center"/>
        <w:rPr>
          <w:rStyle w:val="24"/>
          <w:rFonts w:ascii="方正小标宋简体" w:eastAsia="方正小标宋简体"/>
          <w:b/>
          <w:bCs w:val="0"/>
        </w:rPr>
      </w:pPr>
      <w:r>
        <w:rPr>
          <w:rFonts w:hint="eastAsia" w:ascii="方正小标宋简体" w:eastAsia="方正小标宋简体"/>
          <w:b w:val="0"/>
        </w:rPr>
        <w:t>第一部分 单位</w:t>
      </w:r>
      <w:r>
        <w:rPr>
          <w:rStyle w:val="24"/>
          <w:rFonts w:hint="eastAsia" w:ascii="方正小标宋简体" w:eastAsia="方正小标宋简体"/>
          <w:b w:val="0"/>
          <w:bCs w:val="0"/>
        </w:rPr>
        <w:t>概况</w:t>
      </w:r>
      <w:bookmarkEnd w:id="12"/>
      <w:bookmarkEnd w:id="13"/>
    </w:p>
    <w:p>
      <w:pPr>
        <w:widowControl/>
        <w:spacing w:line="600" w:lineRule="exact"/>
        <w:jc w:val="left"/>
        <w:rPr>
          <w:rFonts w:eastAsia="黑体"/>
          <w:sz w:val="32"/>
          <w:szCs w:val="32"/>
        </w:rPr>
      </w:pPr>
    </w:p>
    <w:p>
      <w:pPr>
        <w:pStyle w:val="23"/>
        <w:numPr>
          <w:numId w:val="0"/>
        </w:numPr>
        <w:spacing w:line="600" w:lineRule="exact"/>
        <w:ind w:left="640" w:leftChars="0"/>
        <w:outlineLvl w:val="1"/>
        <w:rPr>
          <w:rFonts w:eastAsia="黑体"/>
          <w:sz w:val="32"/>
          <w:szCs w:val="32"/>
        </w:rPr>
      </w:pPr>
      <w:bookmarkStart w:id="14" w:name="_Toc25238"/>
      <w:bookmarkStart w:id="15" w:name="_Toc15396600"/>
      <w:bookmarkStart w:id="16" w:name="_Toc15377197"/>
      <w:r>
        <w:rPr>
          <w:rFonts w:hint="eastAsia" w:eastAsia="黑体"/>
          <w:sz w:val="32"/>
          <w:szCs w:val="32"/>
        </w:rPr>
        <w:t>一、职能简介</w:t>
      </w:r>
      <w:bookmarkEnd w:id="14"/>
    </w:p>
    <w:p>
      <w:pPr>
        <w:pStyle w:val="2"/>
        <w:adjustRightInd w:val="0"/>
        <w:spacing w:beforeLines="0" w:line="600" w:lineRule="exact"/>
        <w:ind w:firstLine="640" w:firstLineChars="200"/>
        <w:rPr>
          <w:rFonts w:ascii="Times New Roman" w:eastAsia="仿宋"/>
          <w:sz w:val="32"/>
          <w:szCs w:val="32"/>
        </w:rPr>
      </w:pPr>
      <w:r>
        <w:rPr>
          <w:rFonts w:ascii="Times New Roman" w:eastAsia="仿宋"/>
          <w:sz w:val="32"/>
          <w:szCs w:val="32"/>
        </w:rPr>
        <w:t>1.承担国家和四川省建筑标准设计的编制、出版。</w:t>
      </w:r>
    </w:p>
    <w:p>
      <w:pPr>
        <w:pStyle w:val="2"/>
        <w:adjustRightInd w:val="0"/>
        <w:spacing w:beforeLines="0" w:line="600" w:lineRule="exact"/>
        <w:ind w:firstLine="640" w:firstLineChars="200"/>
        <w:rPr>
          <w:rFonts w:ascii="Times New Roman" w:eastAsia="仿宋"/>
          <w:sz w:val="32"/>
          <w:szCs w:val="32"/>
        </w:rPr>
      </w:pPr>
      <w:r>
        <w:rPr>
          <w:rFonts w:ascii="Times New Roman" w:eastAsia="仿宋"/>
          <w:sz w:val="32"/>
          <w:szCs w:val="32"/>
        </w:rPr>
        <w:t>2.制定下达四川省建筑标准设计规划，计划、组织评选优秀标准设计项目和个人。</w:t>
      </w:r>
    </w:p>
    <w:p>
      <w:pPr>
        <w:pStyle w:val="2"/>
        <w:adjustRightInd w:val="0"/>
        <w:spacing w:beforeLines="0" w:line="600" w:lineRule="exact"/>
        <w:ind w:firstLine="640" w:firstLineChars="200"/>
        <w:rPr>
          <w:rFonts w:ascii="Times New Roman" w:eastAsia="仿宋"/>
          <w:sz w:val="32"/>
          <w:szCs w:val="32"/>
        </w:rPr>
      </w:pPr>
      <w:r>
        <w:rPr>
          <w:rFonts w:ascii="Times New Roman" w:eastAsia="仿宋"/>
          <w:sz w:val="32"/>
          <w:szCs w:val="32"/>
        </w:rPr>
        <w:t>3.推广新技术、新材料、新工艺、新设备。</w:t>
      </w:r>
    </w:p>
    <w:bookmarkEnd w:id="15"/>
    <w:bookmarkEnd w:id="16"/>
    <w:p>
      <w:pPr>
        <w:pStyle w:val="23"/>
        <w:numPr>
          <w:ilvl w:val="0"/>
          <w:numId w:val="0"/>
        </w:numPr>
        <w:spacing w:line="600" w:lineRule="exact"/>
        <w:ind w:left="640" w:leftChars="0"/>
        <w:outlineLvl w:val="1"/>
        <w:rPr>
          <w:rFonts w:hint="eastAsia" w:eastAsia="黑体"/>
          <w:sz w:val="32"/>
          <w:szCs w:val="32"/>
        </w:rPr>
      </w:pPr>
      <w:bookmarkStart w:id="17" w:name="_Toc13708"/>
      <w:r>
        <w:rPr>
          <w:rFonts w:hint="eastAsia" w:eastAsia="黑体"/>
          <w:sz w:val="32"/>
          <w:szCs w:val="32"/>
        </w:rPr>
        <w:t>二、202</w:t>
      </w:r>
      <w:r>
        <w:rPr>
          <w:rFonts w:hint="eastAsia" w:eastAsia="黑体"/>
          <w:sz w:val="32"/>
          <w:szCs w:val="32"/>
          <w:lang w:val="en-US" w:eastAsia="zh-CN"/>
        </w:rPr>
        <w:t>0</w:t>
      </w:r>
      <w:r>
        <w:rPr>
          <w:rFonts w:hint="eastAsia" w:eastAsia="黑体"/>
          <w:sz w:val="32"/>
          <w:szCs w:val="32"/>
        </w:rPr>
        <w:t>年重点工作完成情况</w:t>
      </w:r>
      <w:bookmarkEnd w:id="17"/>
    </w:p>
    <w:p>
      <w:pPr>
        <w:spacing w:line="600" w:lineRule="exact"/>
        <w:ind w:firstLine="640" w:firstLineChars="200"/>
        <w:rPr>
          <w:rFonts w:eastAsia="仿宋"/>
          <w:sz w:val="32"/>
          <w:szCs w:val="32"/>
        </w:rPr>
      </w:pPr>
      <w:r>
        <w:rPr>
          <w:rFonts w:eastAsia="仿宋"/>
          <w:sz w:val="32"/>
          <w:szCs w:val="32"/>
        </w:rPr>
        <w:t>2020年围绕省住建厅中心工作要求和事业单位机构改革工作，将脱贫攻坚、装配式建筑等作为标准设计的重点方向。2020年共组织、协调编制财政专项图集6个，企业推荐图集7个，2019年年末延续企业推荐图集6个。具体情况如下：</w:t>
      </w:r>
    </w:p>
    <w:p>
      <w:pPr>
        <w:spacing w:line="600" w:lineRule="exact"/>
        <w:ind w:firstLine="640" w:firstLineChars="200"/>
        <w:rPr>
          <w:rFonts w:eastAsia="仿宋"/>
          <w:sz w:val="32"/>
          <w:szCs w:val="32"/>
        </w:rPr>
      </w:pPr>
      <w:r>
        <w:rPr>
          <w:rFonts w:eastAsia="仿宋"/>
          <w:sz w:val="32"/>
          <w:szCs w:val="32"/>
        </w:rPr>
        <w:t>财政专项图集6本《四川省农村现代夯土墙居住建筑构造图集》、《四川省建筑工程扬尘污染防治技术图册》、《四川省扶贫攻坚石木结构建造技术图册》、《四川省既有住宅电梯增设构造设计示例》、《四川省农村生土房屋维修加固图册》、《四川省装配整体式叠合剪力墙结构连接构造图集》。财政资金已按工作完成节点安排进行了拨付，达到了财政资金使用考核的目标。编制企业推荐图集13个，包括装配式住宅预制混凝土标准构造系列图集5个，其余企业图集2个</w:t>
      </w:r>
      <w:r>
        <w:rPr>
          <w:rFonts w:hint="eastAsia" w:eastAsia="仿宋"/>
          <w:sz w:val="32"/>
          <w:szCs w:val="32"/>
        </w:rPr>
        <w:t>，</w:t>
      </w:r>
      <w:r>
        <w:rPr>
          <w:rFonts w:eastAsia="仿宋"/>
          <w:sz w:val="32"/>
          <w:szCs w:val="32"/>
        </w:rPr>
        <w:t>2019年延续图集6个。</w:t>
      </w:r>
    </w:p>
    <w:p>
      <w:pPr>
        <w:spacing w:line="600" w:lineRule="exact"/>
        <w:ind w:firstLine="640" w:firstLineChars="200"/>
        <w:rPr>
          <w:rFonts w:eastAsia="仿宋"/>
          <w:sz w:val="32"/>
          <w:szCs w:val="32"/>
        </w:rPr>
      </w:pPr>
      <w:r>
        <w:rPr>
          <w:rFonts w:eastAsia="仿宋"/>
          <w:sz w:val="32"/>
          <w:szCs w:val="32"/>
        </w:rPr>
        <w:t>理清标办成立以来的各项工作情况，切实落实机构改革工作。为配合事业单位机构改革，在单位整合前做好清资核产准备工作。在有效使用期的图集中，《四川省农村居住建筑抗震构造图集（川14G172-TY）》获得2016年度四川省优秀工程勘察设计一等奖</w:t>
      </w:r>
      <w:r>
        <w:rPr>
          <w:rFonts w:hint="eastAsia" w:eastAsia="仿宋"/>
          <w:sz w:val="32"/>
          <w:szCs w:val="32"/>
        </w:rPr>
        <w:t>；</w:t>
      </w:r>
      <w:r>
        <w:rPr>
          <w:rFonts w:eastAsia="仿宋"/>
          <w:sz w:val="32"/>
          <w:szCs w:val="32"/>
        </w:rPr>
        <w:t>《四川省既有住宅电梯增设构造图集（川16J120-TY）》获得2019年度四川省优秀工程勘察设计二等奖；《四川省建筑工程机电设备安装抗震构造图集（底部连接方式）（川16G121-TY）》获得2019年度四川省优秀工程勘察设计三等奖</w:t>
      </w:r>
      <w:r>
        <w:rPr>
          <w:rFonts w:hint="eastAsia" w:eastAsia="仿宋"/>
          <w:sz w:val="32"/>
          <w:szCs w:val="32"/>
        </w:rPr>
        <w:t>；</w:t>
      </w:r>
      <w:r>
        <w:rPr>
          <w:rFonts w:eastAsia="仿宋"/>
          <w:sz w:val="32"/>
          <w:szCs w:val="32"/>
        </w:rPr>
        <w:t>《桁架钢筋混凝土叠合板（川16J118-TY）》</w:t>
      </w:r>
      <w:r>
        <w:rPr>
          <w:rFonts w:hint="eastAsia" w:eastAsia="仿宋"/>
          <w:sz w:val="32"/>
          <w:szCs w:val="32"/>
        </w:rPr>
        <w:t>、</w:t>
      </w:r>
      <w:r>
        <w:rPr>
          <w:rFonts w:eastAsia="仿宋"/>
          <w:sz w:val="32"/>
          <w:szCs w:val="32"/>
        </w:rPr>
        <w:t>《四川省装配式混凝土结构公共建筑设计示例（川2017J127-TY）》获得2020年度四川省优秀工程勘察设计一等奖</w:t>
      </w:r>
      <w:r>
        <w:rPr>
          <w:rFonts w:hint="eastAsia" w:eastAsia="仿宋"/>
          <w:sz w:val="32"/>
          <w:szCs w:val="32"/>
        </w:rPr>
        <w:t>；</w:t>
      </w:r>
      <w:r>
        <w:rPr>
          <w:rFonts w:eastAsia="仿宋"/>
          <w:sz w:val="32"/>
          <w:szCs w:val="32"/>
        </w:rPr>
        <w:t>《环保预制装配式板房标准设计图集（川2018J137-TJ）》、《四川省钢结构预制内隔墙板连接构造图集（川2019G141-TY）》获得2020年度四川省优秀工程勘察设计二等奖。</w:t>
      </w:r>
    </w:p>
    <w:p>
      <w:pPr>
        <w:adjustRightInd w:val="0"/>
        <w:snapToGrid w:val="0"/>
        <w:spacing w:line="600" w:lineRule="exact"/>
        <w:ind w:firstLine="640" w:firstLineChars="200"/>
        <w:jc w:val="left"/>
        <w:rPr>
          <w:rFonts w:hint="eastAsia" w:eastAsia="仿宋"/>
          <w:sz w:val="32"/>
          <w:szCs w:val="32"/>
          <w:lang w:val="en-US" w:eastAsia="zh-CN"/>
        </w:rPr>
      </w:pPr>
      <w:r>
        <w:rPr>
          <w:rFonts w:eastAsia="仿宋"/>
          <w:sz w:val="32"/>
          <w:szCs w:val="32"/>
        </w:rPr>
        <w:t>协助标定处，承担管理四川省工程建设地方标准的出版发行工作。截止到2020年12月，共出版发行四川省工程建设地方标准175项，2020年出版发行23项，尚在出版书刊号申报中8项。</w:t>
      </w:r>
      <w:r>
        <w:rPr>
          <w:rFonts w:hint="eastAsia" w:eastAsia="仿宋"/>
          <w:sz w:val="32"/>
          <w:szCs w:val="32"/>
          <w:lang w:val="en-US" w:eastAsia="zh-CN"/>
        </w:rPr>
        <w:t xml:space="preserve"> </w:t>
      </w:r>
    </w:p>
    <w:p>
      <w:pPr>
        <w:pStyle w:val="23"/>
        <w:numPr>
          <w:ilvl w:val="0"/>
          <w:numId w:val="0"/>
        </w:numPr>
        <w:spacing w:line="600" w:lineRule="exact"/>
        <w:ind w:left="640" w:leftChars="0"/>
        <w:outlineLvl w:val="1"/>
        <w:rPr>
          <w:rFonts w:ascii="楷体" w:hAnsi="楷体" w:eastAsia="楷体"/>
          <w:b/>
          <w:sz w:val="32"/>
          <w:szCs w:val="32"/>
        </w:rPr>
      </w:pPr>
      <w:r>
        <w:rPr>
          <w:rFonts w:hint="eastAsia" w:eastAsia="黑体"/>
          <w:sz w:val="32"/>
          <w:szCs w:val="32"/>
          <w:lang w:val="en-US" w:eastAsia="zh-CN"/>
        </w:rPr>
        <w:t>三、</w:t>
      </w:r>
      <w:r>
        <w:rPr>
          <w:rFonts w:hint="eastAsia" w:eastAsia="黑体"/>
          <w:sz w:val="32"/>
          <w:szCs w:val="32"/>
          <w:lang w:eastAsia="zh-CN"/>
        </w:rPr>
        <w:t>机构设置情况</w:t>
      </w:r>
    </w:p>
    <w:p>
      <w:pPr>
        <w:pStyle w:val="2"/>
        <w:spacing w:before="173" w:line="600" w:lineRule="exact"/>
        <w:ind w:firstLine="640" w:firstLineChars="200"/>
        <w:rPr>
          <w:rFonts w:ascii="Times New Roman" w:hAnsi="Times New Roman" w:eastAsia="仿宋" w:cs="Times New Roman"/>
          <w:kern w:val="2"/>
          <w:sz w:val="32"/>
          <w:szCs w:val="32"/>
          <w:lang w:val="en-US" w:eastAsia="zh-CN" w:bidi="ar-SA"/>
        </w:rPr>
      </w:pPr>
      <w:r>
        <w:rPr>
          <w:rFonts w:hint="eastAsia" w:ascii="Times New Roman" w:hAnsi="Times New Roman" w:eastAsia="仿宋" w:cs="Times New Roman"/>
          <w:kern w:val="2"/>
          <w:sz w:val="32"/>
          <w:szCs w:val="32"/>
          <w:lang w:val="en-US" w:eastAsia="zh-CN" w:bidi="ar-SA"/>
        </w:rPr>
        <w:t>四川省建筑标准设计办公室由3个内设科室组成，分别是：办公室、管理科、综合科。</w:t>
      </w:r>
    </w:p>
    <w:p>
      <w:pPr>
        <w:widowControl/>
        <w:spacing w:line="600" w:lineRule="exact"/>
        <w:jc w:val="left"/>
        <w:rPr>
          <w:rFonts w:ascii="Times New Roman" w:hAnsi="Times New Roman" w:eastAsia="仿宋" w:cs="Times New Roman"/>
          <w:kern w:val="2"/>
          <w:sz w:val="32"/>
          <w:szCs w:val="32"/>
          <w:lang w:val="en-US" w:eastAsia="zh-CN" w:bidi="ar-SA"/>
        </w:rPr>
      </w:pPr>
      <w:r>
        <w:rPr>
          <w:rFonts w:ascii="Times New Roman" w:hAnsi="Times New Roman" w:eastAsia="仿宋" w:cs="Times New Roman"/>
          <w:kern w:val="2"/>
          <w:sz w:val="32"/>
          <w:szCs w:val="32"/>
          <w:lang w:val="en-US" w:eastAsia="zh-CN" w:bidi="ar-SA"/>
        </w:rPr>
        <w:br w:type="page"/>
      </w:r>
    </w:p>
    <w:p>
      <w:pPr>
        <w:pStyle w:val="3"/>
        <w:spacing w:before="0" w:after="0" w:line="600" w:lineRule="exact"/>
        <w:jc w:val="center"/>
        <w:rPr>
          <w:rFonts w:ascii="方正小标宋简体" w:eastAsia="方正小标宋简体"/>
          <w:b w:val="0"/>
          <w:bCs/>
        </w:rPr>
      </w:pPr>
      <w:bookmarkStart w:id="18" w:name="_Toc15377204"/>
      <w:bookmarkStart w:id="19" w:name="_Toc15396602"/>
      <w:r>
        <w:rPr>
          <w:rFonts w:ascii="方正小标宋简体" w:eastAsia="方正小标宋简体"/>
          <w:b w:val="0"/>
          <w:bCs/>
        </w:rPr>
        <w:t>第二部分 2020年度</w:t>
      </w:r>
      <w:r>
        <w:rPr>
          <w:rFonts w:hint="eastAsia" w:ascii="方正小标宋简体" w:eastAsia="方正小标宋简体"/>
          <w:b w:val="0"/>
          <w:bCs/>
        </w:rPr>
        <w:t>部门决算情况说明</w:t>
      </w:r>
      <w:bookmarkEnd w:id="18"/>
      <w:bookmarkEnd w:id="19"/>
    </w:p>
    <w:p>
      <w:pPr>
        <w:spacing w:line="600" w:lineRule="exact"/>
        <w:rPr>
          <w:sz w:val="32"/>
          <w:szCs w:val="32"/>
        </w:rPr>
      </w:pPr>
    </w:p>
    <w:p>
      <w:pPr>
        <w:pStyle w:val="23"/>
        <w:numPr>
          <w:ilvl w:val="0"/>
          <w:numId w:val="1"/>
        </w:numPr>
        <w:spacing w:line="600" w:lineRule="exact"/>
        <w:ind w:firstLineChars="0"/>
        <w:outlineLvl w:val="1"/>
        <w:rPr>
          <w:rStyle w:val="25"/>
          <w:rFonts w:ascii="Times New Roman" w:hAnsi="Times New Roman" w:eastAsia="黑体" w:cs="Times New Roman"/>
          <w:b w:val="0"/>
        </w:rPr>
      </w:pPr>
      <w:bookmarkStart w:id="20" w:name="_Toc15396603"/>
      <w:bookmarkStart w:id="21" w:name="_Toc15377205"/>
      <w:r>
        <w:rPr>
          <w:rFonts w:eastAsia="黑体"/>
          <w:sz w:val="32"/>
          <w:szCs w:val="32"/>
        </w:rPr>
        <w:t>收</w:t>
      </w:r>
      <w:r>
        <w:rPr>
          <w:rStyle w:val="25"/>
          <w:rFonts w:ascii="Times New Roman" w:hAnsi="Times New Roman" w:eastAsia="黑体" w:cs="Times New Roman"/>
          <w:b w:val="0"/>
        </w:rPr>
        <w:t>入支出决算总体情况说明</w:t>
      </w:r>
      <w:bookmarkEnd w:id="20"/>
      <w:bookmarkEnd w:id="21"/>
    </w:p>
    <w:p>
      <w:pPr>
        <w:spacing w:line="600" w:lineRule="exact"/>
        <w:ind w:firstLine="640" w:firstLineChars="200"/>
        <w:rPr>
          <w:rFonts w:eastAsia="仿宋"/>
          <w:sz w:val="32"/>
          <w:szCs w:val="32"/>
        </w:rPr>
      </w:pPr>
      <w:r>
        <w:rPr>
          <w:rFonts w:eastAsia="仿宋"/>
          <w:sz w:val="32"/>
          <w:szCs w:val="32"/>
        </w:rPr>
        <w:t>2020年度收、支总计252.09万元。与2019年相比，收、支总计各增加25.86万元，增长11.43%。主要变动原因是2020年</w:t>
      </w:r>
      <w:r>
        <w:rPr>
          <w:rFonts w:hint="eastAsia" w:eastAsia="仿宋"/>
          <w:sz w:val="32"/>
          <w:szCs w:val="32"/>
        </w:rPr>
        <w:t>标办将</w:t>
      </w:r>
      <w:r>
        <w:rPr>
          <w:rFonts w:eastAsia="仿宋"/>
          <w:sz w:val="32"/>
          <w:szCs w:val="32"/>
        </w:rPr>
        <w:t>脱贫攻坚、装配式建筑等作为重点</w:t>
      </w:r>
      <w:r>
        <w:rPr>
          <w:rFonts w:hint="eastAsia" w:eastAsia="仿宋"/>
          <w:sz w:val="32"/>
          <w:szCs w:val="32"/>
        </w:rPr>
        <w:t>工作，</w:t>
      </w:r>
      <w:r>
        <w:rPr>
          <w:rFonts w:eastAsia="仿宋"/>
          <w:sz w:val="32"/>
          <w:szCs w:val="32"/>
        </w:rPr>
        <w:t>组织、协调编制</w:t>
      </w:r>
      <w:r>
        <w:rPr>
          <w:rFonts w:hint="eastAsia" w:eastAsia="仿宋"/>
          <w:sz w:val="32"/>
          <w:szCs w:val="32"/>
        </w:rPr>
        <w:t>省标</w:t>
      </w:r>
      <w:r>
        <w:rPr>
          <w:rFonts w:eastAsia="仿宋"/>
          <w:sz w:val="32"/>
          <w:szCs w:val="32"/>
        </w:rPr>
        <w:t>图集</w:t>
      </w:r>
      <w:r>
        <w:rPr>
          <w:rFonts w:hint="eastAsia" w:eastAsia="仿宋"/>
          <w:sz w:val="32"/>
          <w:szCs w:val="32"/>
        </w:rPr>
        <w:t>的数量增加，所需的工作经费增加</w:t>
      </w:r>
      <w:r>
        <w:rPr>
          <w:rFonts w:eastAsia="仿宋"/>
          <w:sz w:val="32"/>
          <w:szCs w:val="32"/>
        </w:rPr>
        <w:t>。</w:t>
      </w:r>
    </w:p>
    <w:p>
      <w:pPr>
        <w:ind w:firstLine="640" w:firstLineChars="200"/>
        <w:rPr>
          <w:rFonts w:eastAsia="仿宋"/>
          <w:sz w:val="32"/>
          <w:szCs w:val="32"/>
        </w:rPr>
      </w:pPr>
      <w:r>
        <w:rPr>
          <w:rFonts w:eastAsia="仿宋"/>
          <w:sz w:val="32"/>
          <w:szCs w:val="32"/>
        </w:rPr>
        <w:t>（图1：收、支决算总计变动情况图）（柱状图）</w:t>
      </w:r>
    </w:p>
    <w:p>
      <w:pPr>
        <w:pStyle w:val="2"/>
        <w:spacing w:beforeLines="0"/>
        <w:jc w:val="center"/>
        <w:rPr>
          <w:rFonts w:ascii="Times New Roman"/>
          <w:sz w:val="32"/>
          <w:szCs w:val="32"/>
        </w:rPr>
      </w:pPr>
      <w:r>
        <w:rPr>
          <w:rFonts w:ascii="Times New Roman"/>
          <w:sz w:val="32"/>
          <w:szCs w:val="32"/>
        </w:rPr>
        <w:drawing>
          <wp:inline distT="0" distB="0" distL="0" distR="0">
            <wp:extent cx="5217160" cy="2486025"/>
            <wp:effectExtent l="19050" t="0" r="2159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ind w:left="640"/>
        <w:outlineLvl w:val="1"/>
        <w:rPr>
          <w:rStyle w:val="25"/>
          <w:rFonts w:ascii="Times New Roman" w:hAnsi="Times New Roman" w:eastAsia="黑体" w:cs="Times New Roman"/>
          <w:b w:val="0"/>
        </w:rPr>
      </w:pPr>
      <w:bookmarkStart w:id="22" w:name="_Toc15396604"/>
      <w:bookmarkStart w:id="23" w:name="_Toc15377206"/>
      <w:r>
        <w:rPr>
          <w:rFonts w:hint="eastAsia" w:eastAsia="黑体"/>
          <w:sz w:val="32"/>
          <w:szCs w:val="32"/>
        </w:rPr>
        <w:t>二、</w:t>
      </w:r>
      <w:r>
        <w:rPr>
          <w:rFonts w:eastAsia="黑体"/>
          <w:sz w:val="32"/>
          <w:szCs w:val="32"/>
        </w:rPr>
        <w:t>收</w:t>
      </w:r>
      <w:r>
        <w:rPr>
          <w:rStyle w:val="25"/>
          <w:rFonts w:ascii="Times New Roman" w:hAnsi="Times New Roman" w:eastAsia="黑体" w:cs="Times New Roman"/>
          <w:b w:val="0"/>
        </w:rPr>
        <w:t>入决算情况说明</w:t>
      </w:r>
      <w:bookmarkEnd w:id="22"/>
      <w:bookmarkEnd w:id="23"/>
    </w:p>
    <w:p>
      <w:pPr>
        <w:ind w:firstLine="640" w:firstLineChars="200"/>
        <w:outlineLvl w:val="1"/>
        <w:rPr>
          <w:rFonts w:eastAsia="仿宋"/>
          <w:sz w:val="32"/>
          <w:szCs w:val="32"/>
        </w:rPr>
      </w:pPr>
      <w:r>
        <w:rPr>
          <w:rFonts w:eastAsia="仿宋"/>
          <w:sz w:val="32"/>
          <w:szCs w:val="32"/>
        </w:rPr>
        <w:t>2020年本年收入合计248.46万元，</w:t>
      </w:r>
      <w:r>
        <w:rPr>
          <w:rFonts w:hint="eastAsia" w:eastAsia="仿宋"/>
          <w:sz w:val="32"/>
          <w:szCs w:val="32"/>
        </w:rPr>
        <w:t>使用非财政拨款结余3.63万元，总计252.09万元，</w:t>
      </w:r>
      <w:r>
        <w:rPr>
          <w:rFonts w:eastAsia="仿宋"/>
          <w:sz w:val="32"/>
          <w:szCs w:val="32"/>
        </w:rPr>
        <w:t>其中：一般公共预算财政拨款收入235.34万元，占</w:t>
      </w:r>
      <w:r>
        <w:rPr>
          <w:rFonts w:hint="eastAsia" w:eastAsia="仿宋"/>
          <w:sz w:val="32"/>
          <w:szCs w:val="32"/>
        </w:rPr>
        <w:t>94.72</w:t>
      </w:r>
      <w:r>
        <w:rPr>
          <w:rFonts w:eastAsia="仿宋"/>
          <w:sz w:val="32"/>
          <w:szCs w:val="32"/>
        </w:rPr>
        <w:t>%；其他收入13.12万元，占5.28%。</w:t>
      </w:r>
    </w:p>
    <w:p>
      <w:pPr>
        <w:ind w:firstLine="640" w:firstLineChars="200"/>
        <w:outlineLvl w:val="1"/>
        <w:rPr>
          <w:rFonts w:eastAsia="仿宋"/>
          <w:sz w:val="32"/>
          <w:szCs w:val="32"/>
        </w:rPr>
      </w:pPr>
    </w:p>
    <w:p>
      <w:pPr>
        <w:ind w:firstLine="640" w:firstLineChars="200"/>
        <w:rPr>
          <w:rFonts w:eastAsia="仿宋"/>
          <w:sz w:val="32"/>
          <w:szCs w:val="32"/>
        </w:rPr>
      </w:pPr>
      <w:r>
        <w:rPr>
          <w:rFonts w:eastAsia="仿宋"/>
          <w:sz w:val="32"/>
          <w:szCs w:val="32"/>
        </w:rPr>
        <w:t>（图2：收入决算结构图）（饼状图）</w:t>
      </w:r>
    </w:p>
    <w:p>
      <w:pPr>
        <w:pStyle w:val="2"/>
        <w:spacing w:beforeLines="0"/>
        <w:rPr>
          <w:rFonts w:ascii="Times New Roman"/>
          <w:sz w:val="32"/>
          <w:szCs w:val="32"/>
        </w:rPr>
      </w:pPr>
    </w:p>
    <w:p>
      <w:pPr>
        <w:pStyle w:val="2"/>
        <w:spacing w:beforeLines="0"/>
        <w:jc w:val="center"/>
        <w:rPr>
          <w:rFonts w:ascii="Times New Roman"/>
          <w:sz w:val="32"/>
          <w:szCs w:val="32"/>
        </w:rPr>
      </w:pPr>
      <w:r>
        <w:rPr>
          <w:rFonts w:ascii="Times New Roman"/>
          <w:sz w:val="32"/>
          <w:szCs w:val="32"/>
        </w:rPr>
        <w:drawing>
          <wp:inline distT="0" distB="0" distL="0" distR="0">
            <wp:extent cx="5274310" cy="2628900"/>
            <wp:effectExtent l="19050" t="0" r="21590" b="0"/>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ind w:firstLine="640" w:firstLineChars="200"/>
        <w:rPr>
          <w:rFonts w:eastAsia="仿宋_GB2312"/>
          <w:sz w:val="32"/>
          <w:szCs w:val="32"/>
        </w:rPr>
      </w:pPr>
    </w:p>
    <w:p>
      <w:pPr>
        <w:ind w:left="640"/>
        <w:outlineLvl w:val="1"/>
        <w:rPr>
          <w:rStyle w:val="25"/>
          <w:rFonts w:ascii="Times New Roman" w:hAnsi="Times New Roman" w:eastAsia="黑体" w:cs="Times New Roman"/>
          <w:b w:val="0"/>
        </w:rPr>
      </w:pPr>
      <w:bookmarkStart w:id="24" w:name="_Toc15396605"/>
      <w:bookmarkStart w:id="25" w:name="_Toc15377207"/>
      <w:r>
        <w:rPr>
          <w:rFonts w:hint="eastAsia" w:eastAsia="黑体"/>
          <w:sz w:val="32"/>
          <w:szCs w:val="32"/>
        </w:rPr>
        <w:t>三、</w:t>
      </w:r>
      <w:r>
        <w:rPr>
          <w:rFonts w:eastAsia="黑体"/>
          <w:sz w:val="32"/>
          <w:szCs w:val="32"/>
        </w:rPr>
        <w:t>支</w:t>
      </w:r>
      <w:r>
        <w:rPr>
          <w:rStyle w:val="25"/>
          <w:rFonts w:ascii="Times New Roman" w:hAnsi="Times New Roman" w:eastAsia="黑体" w:cs="Times New Roman"/>
          <w:b w:val="0"/>
        </w:rPr>
        <w:t>出决算情况说明</w:t>
      </w:r>
      <w:bookmarkEnd w:id="24"/>
      <w:bookmarkEnd w:id="25"/>
    </w:p>
    <w:p>
      <w:pPr>
        <w:ind w:firstLine="640" w:firstLineChars="200"/>
        <w:outlineLvl w:val="1"/>
        <w:rPr>
          <w:rFonts w:eastAsia="仿宋"/>
          <w:sz w:val="32"/>
          <w:szCs w:val="32"/>
        </w:rPr>
      </w:pPr>
      <w:r>
        <w:rPr>
          <w:rFonts w:eastAsia="仿宋"/>
          <w:sz w:val="32"/>
          <w:szCs w:val="32"/>
        </w:rPr>
        <w:t xml:space="preserve">2020年本年支出合计252.09万元，其中：基本支出148.71万元，占58.99%；项目支出103.38万元，占41.01%。 </w:t>
      </w:r>
    </w:p>
    <w:p>
      <w:pPr>
        <w:ind w:firstLine="640" w:firstLineChars="200"/>
        <w:rPr>
          <w:rFonts w:eastAsia="仿宋"/>
          <w:sz w:val="32"/>
          <w:szCs w:val="32"/>
        </w:rPr>
      </w:pPr>
      <w:r>
        <w:rPr>
          <w:rFonts w:eastAsia="仿宋"/>
          <w:sz w:val="32"/>
          <w:szCs w:val="32"/>
        </w:rPr>
        <w:t>（图3：支出决算结构图）（饼状图）</w:t>
      </w:r>
    </w:p>
    <w:p>
      <w:pPr>
        <w:pStyle w:val="2"/>
        <w:spacing w:beforeLines="0"/>
        <w:jc w:val="center"/>
        <w:rPr>
          <w:rFonts w:ascii="Times New Roman"/>
          <w:sz w:val="32"/>
          <w:szCs w:val="32"/>
        </w:rPr>
      </w:pPr>
      <w:r>
        <w:rPr>
          <w:rFonts w:ascii="Times New Roman"/>
          <w:sz w:val="32"/>
          <w:szCs w:val="32"/>
        </w:rPr>
        <w:drawing>
          <wp:inline distT="0" distB="0" distL="0" distR="0">
            <wp:extent cx="5274310" cy="2600325"/>
            <wp:effectExtent l="19050" t="0" r="21590"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2"/>
        <w:spacing w:beforeLines="0"/>
        <w:rPr>
          <w:rFonts w:ascii="Times New Roman"/>
          <w:sz w:val="32"/>
          <w:szCs w:val="32"/>
        </w:rPr>
      </w:pPr>
    </w:p>
    <w:p>
      <w:pPr>
        <w:ind w:firstLine="640" w:firstLineChars="200"/>
        <w:outlineLvl w:val="1"/>
        <w:rPr>
          <w:rStyle w:val="25"/>
          <w:rFonts w:ascii="Times New Roman" w:hAnsi="Times New Roman" w:eastAsia="黑体" w:cs="Times New Roman"/>
          <w:b w:val="0"/>
        </w:rPr>
      </w:pPr>
      <w:bookmarkStart w:id="26" w:name="_Toc15396606"/>
      <w:bookmarkStart w:id="27" w:name="_Toc15377208"/>
      <w:r>
        <w:rPr>
          <w:rFonts w:eastAsia="黑体"/>
          <w:sz w:val="32"/>
          <w:szCs w:val="32"/>
        </w:rPr>
        <w:t>四、财</w:t>
      </w:r>
      <w:r>
        <w:rPr>
          <w:rStyle w:val="25"/>
          <w:rFonts w:ascii="Times New Roman" w:hAnsi="Times New Roman" w:eastAsia="黑体" w:cs="Times New Roman"/>
          <w:b w:val="0"/>
        </w:rPr>
        <w:t>政拨款收入支出决算总体情况说明</w:t>
      </w:r>
      <w:bookmarkEnd w:id="26"/>
      <w:bookmarkEnd w:id="27"/>
    </w:p>
    <w:p>
      <w:pPr>
        <w:ind w:firstLine="640"/>
        <w:rPr>
          <w:rFonts w:eastAsia="仿宋"/>
          <w:sz w:val="32"/>
          <w:szCs w:val="32"/>
        </w:rPr>
      </w:pPr>
      <w:r>
        <w:rPr>
          <w:rFonts w:eastAsia="仿宋"/>
          <w:sz w:val="32"/>
          <w:szCs w:val="32"/>
        </w:rPr>
        <w:t>2020年财政拨款收、支总计235.34万元。与2019年相比，财政拨款收、支总计各增加27.43万元，增长13.19%。主要变动原因是2020年</w:t>
      </w:r>
      <w:r>
        <w:rPr>
          <w:rFonts w:hint="eastAsia" w:eastAsia="仿宋"/>
          <w:sz w:val="32"/>
          <w:szCs w:val="32"/>
        </w:rPr>
        <w:t>标办将</w:t>
      </w:r>
      <w:r>
        <w:rPr>
          <w:rFonts w:eastAsia="仿宋"/>
          <w:sz w:val="32"/>
          <w:szCs w:val="32"/>
        </w:rPr>
        <w:t>脱贫攻坚、装配式建筑等作为重点</w:t>
      </w:r>
      <w:r>
        <w:rPr>
          <w:rFonts w:hint="eastAsia" w:eastAsia="仿宋"/>
          <w:sz w:val="32"/>
          <w:szCs w:val="32"/>
        </w:rPr>
        <w:t>工作，</w:t>
      </w:r>
      <w:r>
        <w:rPr>
          <w:rFonts w:eastAsia="仿宋"/>
          <w:sz w:val="32"/>
          <w:szCs w:val="32"/>
        </w:rPr>
        <w:t>组织、协调编制</w:t>
      </w:r>
      <w:r>
        <w:rPr>
          <w:rFonts w:hint="eastAsia" w:eastAsia="仿宋"/>
          <w:sz w:val="32"/>
          <w:szCs w:val="32"/>
        </w:rPr>
        <w:t>省标</w:t>
      </w:r>
      <w:r>
        <w:rPr>
          <w:rFonts w:eastAsia="仿宋"/>
          <w:sz w:val="32"/>
          <w:szCs w:val="32"/>
        </w:rPr>
        <w:t>图集</w:t>
      </w:r>
      <w:r>
        <w:rPr>
          <w:rFonts w:hint="eastAsia" w:eastAsia="仿宋"/>
          <w:sz w:val="32"/>
          <w:szCs w:val="32"/>
        </w:rPr>
        <w:t>的数量增加，所需的工作经费增加</w:t>
      </w:r>
      <w:r>
        <w:rPr>
          <w:rFonts w:eastAsia="仿宋"/>
          <w:sz w:val="32"/>
          <w:szCs w:val="32"/>
        </w:rPr>
        <w:t>。</w:t>
      </w:r>
    </w:p>
    <w:p>
      <w:pPr>
        <w:ind w:firstLine="640" w:firstLineChars="200"/>
        <w:rPr>
          <w:rFonts w:eastAsia="仿宋"/>
          <w:sz w:val="32"/>
          <w:szCs w:val="32"/>
        </w:rPr>
      </w:pPr>
      <w:r>
        <w:rPr>
          <w:rFonts w:eastAsia="仿宋"/>
          <w:sz w:val="32"/>
          <w:szCs w:val="32"/>
        </w:rPr>
        <w:t>（图4：财政拨款收、支决算总计变动情况）（柱状图）</w:t>
      </w:r>
    </w:p>
    <w:p>
      <w:pPr>
        <w:pStyle w:val="2"/>
        <w:spacing w:beforeLines="0"/>
        <w:jc w:val="center"/>
        <w:rPr>
          <w:rFonts w:ascii="Times New Roman"/>
          <w:sz w:val="32"/>
          <w:szCs w:val="32"/>
        </w:rPr>
      </w:pPr>
      <w:r>
        <w:rPr>
          <w:rFonts w:ascii="Times New Roman"/>
          <w:sz w:val="32"/>
          <w:szCs w:val="32"/>
        </w:rPr>
        <w:drawing>
          <wp:inline distT="0" distB="0" distL="0" distR="0">
            <wp:extent cx="5264785" cy="2162175"/>
            <wp:effectExtent l="19050" t="0" r="12065" b="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ind w:firstLine="640"/>
        <w:rPr>
          <w:rFonts w:eastAsia="仿宋"/>
          <w:b/>
          <w:sz w:val="32"/>
          <w:szCs w:val="32"/>
        </w:rPr>
      </w:pPr>
    </w:p>
    <w:p>
      <w:pPr>
        <w:ind w:firstLine="640" w:firstLineChars="200"/>
        <w:outlineLvl w:val="1"/>
        <w:rPr>
          <w:rStyle w:val="25"/>
          <w:rFonts w:ascii="Times New Roman" w:hAnsi="Times New Roman" w:eastAsia="黑体" w:cs="Times New Roman"/>
          <w:b w:val="0"/>
        </w:rPr>
      </w:pPr>
      <w:bookmarkStart w:id="28" w:name="_Toc15396607"/>
      <w:bookmarkStart w:id="29" w:name="_Toc15377209"/>
      <w:r>
        <w:rPr>
          <w:rFonts w:eastAsia="黑体"/>
          <w:sz w:val="32"/>
          <w:szCs w:val="32"/>
        </w:rPr>
        <w:t>五、</w:t>
      </w:r>
      <w:r>
        <w:rPr>
          <w:rFonts w:eastAsia="黑体"/>
          <w:b/>
          <w:sz w:val="32"/>
          <w:szCs w:val="32"/>
        </w:rPr>
        <w:t>一</w:t>
      </w:r>
      <w:r>
        <w:rPr>
          <w:rStyle w:val="25"/>
          <w:rFonts w:ascii="Times New Roman" w:hAnsi="Times New Roman" w:eastAsia="黑体" w:cs="Times New Roman"/>
          <w:b w:val="0"/>
        </w:rPr>
        <w:t>般公共预算财政拨款支出决算情况说明</w:t>
      </w:r>
      <w:bookmarkEnd w:id="28"/>
      <w:bookmarkEnd w:id="29"/>
    </w:p>
    <w:p>
      <w:pPr>
        <w:ind w:firstLine="643" w:firstLineChars="200"/>
        <w:outlineLvl w:val="2"/>
        <w:rPr>
          <w:rFonts w:ascii="楷体" w:hAnsi="楷体" w:eastAsia="楷体"/>
          <w:b/>
          <w:sz w:val="32"/>
          <w:szCs w:val="32"/>
        </w:rPr>
      </w:pPr>
      <w:bookmarkStart w:id="30" w:name="_Toc15377210"/>
      <w:r>
        <w:rPr>
          <w:rFonts w:ascii="楷体" w:hAnsi="楷体" w:eastAsia="楷体"/>
          <w:b/>
          <w:sz w:val="32"/>
          <w:szCs w:val="32"/>
        </w:rPr>
        <w:t>（一）一般公共预算财政拨款支出决算总体情况</w:t>
      </w:r>
      <w:bookmarkEnd w:id="30"/>
    </w:p>
    <w:p>
      <w:pPr>
        <w:ind w:firstLine="640" w:firstLineChars="200"/>
        <w:rPr>
          <w:rFonts w:eastAsia="仿宋"/>
          <w:sz w:val="32"/>
          <w:szCs w:val="32"/>
        </w:rPr>
      </w:pPr>
      <w:r>
        <w:rPr>
          <w:rFonts w:eastAsia="仿宋"/>
          <w:sz w:val="32"/>
          <w:szCs w:val="32"/>
        </w:rPr>
        <w:t>2020年一般公共预算财政拨款支出235.34万元，占本年支出合计的93.36%。与2019年相比，一般公共预算财政拨款增加27.43万元，增长13.19%。主要变动原因是2020年</w:t>
      </w:r>
      <w:r>
        <w:rPr>
          <w:rFonts w:hint="eastAsia" w:eastAsia="仿宋"/>
          <w:sz w:val="32"/>
          <w:szCs w:val="32"/>
        </w:rPr>
        <w:t>标办将</w:t>
      </w:r>
      <w:r>
        <w:rPr>
          <w:rFonts w:eastAsia="仿宋"/>
          <w:sz w:val="32"/>
          <w:szCs w:val="32"/>
        </w:rPr>
        <w:t>脱贫攻坚、装配式建筑等作为重点</w:t>
      </w:r>
      <w:r>
        <w:rPr>
          <w:rFonts w:hint="eastAsia" w:eastAsia="仿宋"/>
          <w:sz w:val="32"/>
          <w:szCs w:val="32"/>
        </w:rPr>
        <w:t>工作，</w:t>
      </w:r>
      <w:r>
        <w:rPr>
          <w:rFonts w:eastAsia="仿宋"/>
          <w:sz w:val="32"/>
          <w:szCs w:val="32"/>
        </w:rPr>
        <w:t>组织、协调编制</w:t>
      </w:r>
      <w:r>
        <w:rPr>
          <w:rFonts w:hint="eastAsia" w:eastAsia="仿宋"/>
          <w:sz w:val="32"/>
          <w:szCs w:val="32"/>
        </w:rPr>
        <w:t>省标</w:t>
      </w:r>
      <w:r>
        <w:rPr>
          <w:rFonts w:eastAsia="仿宋"/>
          <w:sz w:val="32"/>
          <w:szCs w:val="32"/>
        </w:rPr>
        <w:t>图集</w:t>
      </w:r>
      <w:r>
        <w:rPr>
          <w:rFonts w:hint="eastAsia" w:eastAsia="仿宋"/>
          <w:sz w:val="32"/>
          <w:szCs w:val="32"/>
        </w:rPr>
        <w:t>的数量增加，所需的工作经费增加。</w:t>
      </w:r>
    </w:p>
    <w:p>
      <w:pPr>
        <w:pStyle w:val="2"/>
        <w:spacing w:beforeLines="0"/>
        <w:rPr>
          <w:rFonts w:ascii="Times New Roman"/>
          <w:sz w:val="32"/>
          <w:szCs w:val="32"/>
        </w:rPr>
      </w:pPr>
    </w:p>
    <w:p>
      <w:pPr>
        <w:rPr>
          <w:rFonts w:eastAsia="仿宋"/>
          <w:sz w:val="32"/>
          <w:szCs w:val="32"/>
        </w:rPr>
      </w:pPr>
      <w:r>
        <w:rPr>
          <w:rFonts w:eastAsia="仿宋"/>
          <w:sz w:val="32"/>
          <w:szCs w:val="32"/>
        </w:rPr>
        <w:t>（图5：一般公共预算财政拨款支出决算变动情况）（柱状图）</w:t>
      </w:r>
    </w:p>
    <w:p>
      <w:pPr>
        <w:pStyle w:val="2"/>
        <w:spacing w:beforeLines="0"/>
        <w:jc w:val="center"/>
        <w:rPr>
          <w:rFonts w:ascii="Times New Roman"/>
          <w:sz w:val="32"/>
          <w:szCs w:val="32"/>
        </w:rPr>
      </w:pPr>
      <w:r>
        <w:rPr>
          <w:rFonts w:ascii="Times New Roman"/>
          <w:sz w:val="32"/>
          <w:szCs w:val="32"/>
        </w:rPr>
        <w:drawing>
          <wp:inline distT="0" distB="0" distL="0" distR="0">
            <wp:extent cx="5037455" cy="2159000"/>
            <wp:effectExtent l="0" t="0" r="0"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ind w:firstLine="643" w:firstLineChars="200"/>
        <w:outlineLvl w:val="2"/>
        <w:rPr>
          <w:rFonts w:ascii="楷体" w:hAnsi="楷体" w:eastAsia="楷体"/>
          <w:b/>
          <w:sz w:val="32"/>
          <w:szCs w:val="32"/>
        </w:rPr>
      </w:pPr>
      <w:bookmarkStart w:id="31" w:name="_Toc15377211"/>
      <w:r>
        <w:rPr>
          <w:rFonts w:ascii="楷体" w:hAnsi="楷体" w:eastAsia="楷体"/>
          <w:b/>
          <w:sz w:val="32"/>
          <w:szCs w:val="32"/>
        </w:rPr>
        <w:t>（二）一般公共预算财政拨款支出决算结构情况</w:t>
      </w:r>
      <w:bookmarkEnd w:id="31"/>
    </w:p>
    <w:p>
      <w:pPr>
        <w:ind w:firstLine="640"/>
        <w:rPr>
          <w:rFonts w:eastAsia="仿宋"/>
          <w:b/>
          <w:sz w:val="32"/>
          <w:szCs w:val="32"/>
        </w:rPr>
      </w:pPr>
      <w:r>
        <w:rPr>
          <w:rFonts w:eastAsia="仿宋"/>
          <w:sz w:val="32"/>
          <w:szCs w:val="32"/>
        </w:rPr>
        <w:t>2020年一般公共预算财政拨款支出235.34万元，主要用于以下方面:</w:t>
      </w:r>
      <w:r>
        <w:rPr>
          <w:rFonts w:eastAsia="仿宋"/>
          <w:b/>
          <w:sz w:val="32"/>
          <w:szCs w:val="32"/>
        </w:rPr>
        <w:t>教育支出（类）</w:t>
      </w:r>
      <w:r>
        <w:rPr>
          <w:rFonts w:eastAsia="仿宋"/>
          <w:sz w:val="32"/>
          <w:szCs w:val="32"/>
        </w:rPr>
        <w:t>0.13万元，占0.06%；</w:t>
      </w:r>
      <w:r>
        <w:rPr>
          <w:rFonts w:eastAsia="仿宋"/>
          <w:b/>
          <w:sz w:val="32"/>
          <w:szCs w:val="32"/>
        </w:rPr>
        <w:t>社会保障和就业（类）</w:t>
      </w:r>
      <w:r>
        <w:rPr>
          <w:rFonts w:eastAsia="仿宋"/>
          <w:sz w:val="32"/>
          <w:szCs w:val="32"/>
        </w:rPr>
        <w:t>支出23.28万元，占9.89%；</w:t>
      </w:r>
      <w:r>
        <w:rPr>
          <w:rFonts w:eastAsia="仿宋"/>
          <w:b/>
          <w:bCs/>
          <w:sz w:val="32"/>
          <w:szCs w:val="32"/>
        </w:rPr>
        <w:t>卫生健康支出</w:t>
      </w:r>
      <w:r>
        <w:rPr>
          <w:rFonts w:eastAsia="仿宋"/>
          <w:sz w:val="32"/>
          <w:szCs w:val="32"/>
        </w:rPr>
        <w:t>5.5万元，占2.34%；</w:t>
      </w:r>
      <w:r>
        <w:rPr>
          <w:rFonts w:eastAsia="仿宋"/>
          <w:b/>
          <w:bCs/>
          <w:sz w:val="32"/>
          <w:szCs w:val="32"/>
        </w:rPr>
        <w:t>城乡社区支出</w:t>
      </w:r>
      <w:r>
        <w:rPr>
          <w:rFonts w:eastAsia="仿宋"/>
          <w:sz w:val="32"/>
          <w:szCs w:val="32"/>
        </w:rPr>
        <w:t>196.66</w:t>
      </w:r>
      <w:r>
        <w:rPr>
          <w:rFonts w:hint="eastAsia" w:eastAsia="仿宋"/>
          <w:sz w:val="32"/>
          <w:szCs w:val="32"/>
        </w:rPr>
        <w:t>万元</w:t>
      </w:r>
      <w:r>
        <w:rPr>
          <w:rFonts w:eastAsia="仿宋"/>
          <w:sz w:val="32"/>
          <w:szCs w:val="32"/>
        </w:rPr>
        <w:t>，占83.56%；</w:t>
      </w:r>
      <w:r>
        <w:rPr>
          <w:rFonts w:eastAsia="仿宋"/>
          <w:b/>
          <w:bCs/>
          <w:sz w:val="32"/>
          <w:szCs w:val="32"/>
        </w:rPr>
        <w:t>住房保障支出</w:t>
      </w:r>
      <w:r>
        <w:rPr>
          <w:rFonts w:eastAsia="仿宋"/>
          <w:sz w:val="32"/>
          <w:szCs w:val="32"/>
        </w:rPr>
        <w:t>9.77万元，占4.15%。</w:t>
      </w:r>
    </w:p>
    <w:p>
      <w:pPr>
        <w:ind w:firstLine="640" w:firstLineChars="200"/>
        <w:rPr>
          <w:rFonts w:eastAsia="仿宋"/>
          <w:sz w:val="32"/>
          <w:szCs w:val="32"/>
        </w:rPr>
      </w:pPr>
      <w:r>
        <w:rPr>
          <w:rFonts w:eastAsia="仿宋"/>
          <w:sz w:val="32"/>
          <w:szCs w:val="32"/>
        </w:rPr>
        <w:t>（图6：一般公共预算财政拨款支出决算结构）（饼状图）</w:t>
      </w:r>
    </w:p>
    <w:p>
      <w:pPr>
        <w:pStyle w:val="2"/>
        <w:spacing w:beforeLines="0"/>
        <w:jc w:val="center"/>
        <w:rPr>
          <w:rFonts w:ascii="Times New Roman"/>
          <w:sz w:val="32"/>
          <w:szCs w:val="32"/>
        </w:rPr>
      </w:pPr>
      <w:r>
        <w:rPr>
          <w:rFonts w:ascii="Times New Roman"/>
          <w:sz w:val="32"/>
          <w:szCs w:val="32"/>
        </w:rPr>
        <w:drawing>
          <wp:inline distT="0" distB="0" distL="0" distR="0">
            <wp:extent cx="5105400" cy="2937510"/>
            <wp:effectExtent l="0" t="0" r="0"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ind w:firstLine="640" w:firstLineChars="200"/>
        <w:rPr>
          <w:rFonts w:eastAsia="仿宋"/>
          <w:sz w:val="32"/>
          <w:szCs w:val="32"/>
        </w:rPr>
      </w:pPr>
    </w:p>
    <w:p>
      <w:pPr>
        <w:spacing w:line="600" w:lineRule="exact"/>
        <w:ind w:firstLine="643" w:firstLineChars="200"/>
        <w:outlineLvl w:val="2"/>
        <w:rPr>
          <w:rFonts w:ascii="楷体" w:hAnsi="楷体" w:eastAsia="楷体"/>
          <w:b/>
          <w:sz w:val="32"/>
          <w:szCs w:val="32"/>
        </w:rPr>
      </w:pPr>
      <w:bookmarkStart w:id="32" w:name="_Toc15377212"/>
      <w:r>
        <w:rPr>
          <w:rFonts w:ascii="楷体" w:hAnsi="楷体" w:eastAsia="楷体"/>
          <w:b/>
          <w:sz w:val="32"/>
          <w:szCs w:val="32"/>
        </w:rPr>
        <w:t>（三）一般公共预算财政拨款支出决算具体情况</w:t>
      </w:r>
      <w:bookmarkEnd w:id="32"/>
    </w:p>
    <w:p>
      <w:pPr>
        <w:spacing w:line="600" w:lineRule="exact"/>
        <w:ind w:firstLine="643" w:firstLineChars="200"/>
        <w:outlineLvl w:val="2"/>
        <w:rPr>
          <w:rFonts w:eastAsia="仿宋"/>
          <w:sz w:val="32"/>
          <w:szCs w:val="32"/>
        </w:rPr>
      </w:pPr>
      <w:bookmarkStart w:id="33" w:name="_Toc15377213"/>
      <w:bookmarkStart w:id="34" w:name="_Toc15378460"/>
      <w:bookmarkStart w:id="35" w:name="_Toc15377444"/>
      <w:r>
        <w:rPr>
          <w:rFonts w:eastAsia="仿宋"/>
          <w:b/>
          <w:sz w:val="32"/>
          <w:szCs w:val="32"/>
        </w:rPr>
        <w:t>2020年一般公共预算支出决算数为235.34万元</w:t>
      </w:r>
      <w:r>
        <w:rPr>
          <w:rFonts w:eastAsia="仿宋"/>
          <w:sz w:val="32"/>
          <w:szCs w:val="32"/>
        </w:rPr>
        <w:t>，</w:t>
      </w:r>
      <w:r>
        <w:rPr>
          <w:rStyle w:val="14"/>
          <w:rFonts w:eastAsia="仿宋"/>
          <w:bCs/>
          <w:sz w:val="32"/>
          <w:szCs w:val="32"/>
        </w:rPr>
        <w:t>完成预算95.43%。其中：</w:t>
      </w:r>
      <w:bookmarkEnd w:id="33"/>
      <w:bookmarkEnd w:id="34"/>
      <w:bookmarkEnd w:id="35"/>
    </w:p>
    <w:p>
      <w:pPr>
        <w:spacing w:line="600" w:lineRule="exact"/>
        <w:ind w:firstLine="640" w:firstLineChars="200"/>
        <w:rPr>
          <w:rFonts w:eastAsia="仿宋"/>
          <w:b/>
          <w:sz w:val="32"/>
          <w:szCs w:val="32"/>
        </w:rPr>
      </w:pPr>
      <w:r>
        <w:rPr>
          <w:rStyle w:val="14"/>
          <w:rFonts w:eastAsia="仿宋"/>
          <w:b w:val="0"/>
          <w:bCs w:val="0"/>
          <w:sz w:val="32"/>
          <w:szCs w:val="32"/>
        </w:rPr>
        <w:t>1.</w:t>
      </w:r>
      <w:r>
        <w:rPr>
          <w:rStyle w:val="14"/>
          <w:rFonts w:hint="eastAsia" w:eastAsia="仿宋"/>
          <w:b w:val="0"/>
          <w:bCs w:val="0"/>
          <w:sz w:val="32"/>
          <w:szCs w:val="32"/>
          <w:lang w:val="en-US" w:eastAsia="zh-CN"/>
        </w:rPr>
        <w:t xml:space="preserve"> </w:t>
      </w:r>
      <w:r>
        <w:rPr>
          <w:rStyle w:val="14"/>
          <w:rFonts w:eastAsia="仿宋"/>
          <w:bCs/>
          <w:sz w:val="32"/>
          <w:szCs w:val="32"/>
        </w:rPr>
        <w:t>教育支出（类）进修及培训（款）培训支出（项）:</w:t>
      </w:r>
      <w:r>
        <w:rPr>
          <w:rStyle w:val="14"/>
          <w:rFonts w:eastAsia="仿宋"/>
          <w:b w:val="0"/>
          <w:bCs/>
          <w:sz w:val="32"/>
          <w:szCs w:val="32"/>
        </w:rPr>
        <w:t xml:space="preserve"> 支出决算为0.13万元，完成预算32.5%，决算数小于预算数的主要原因是因疫情原因减少及取消外出参加专业培训的各项支出，年初编制的培训支出未执行完，年底由财政厅统一注销。</w:t>
      </w:r>
    </w:p>
    <w:p>
      <w:pPr>
        <w:spacing w:line="600" w:lineRule="exact"/>
        <w:ind w:firstLine="640" w:firstLineChars="200"/>
        <w:rPr>
          <w:rStyle w:val="14"/>
          <w:rFonts w:eastAsia="仿宋"/>
          <w:b w:val="0"/>
          <w:bCs/>
          <w:sz w:val="32"/>
          <w:szCs w:val="32"/>
        </w:rPr>
      </w:pPr>
      <w:r>
        <w:rPr>
          <w:rStyle w:val="14"/>
          <w:rFonts w:eastAsia="仿宋"/>
          <w:b w:val="0"/>
          <w:bCs w:val="0"/>
          <w:sz w:val="32"/>
          <w:szCs w:val="32"/>
        </w:rPr>
        <w:t>2.</w:t>
      </w:r>
      <w:r>
        <w:rPr>
          <w:rStyle w:val="14"/>
          <w:rFonts w:hint="eastAsia" w:eastAsia="仿宋"/>
          <w:b w:val="0"/>
          <w:bCs w:val="0"/>
          <w:sz w:val="32"/>
          <w:szCs w:val="32"/>
          <w:lang w:val="en-US" w:eastAsia="zh-CN"/>
        </w:rPr>
        <w:t xml:space="preserve"> </w:t>
      </w:r>
      <w:r>
        <w:rPr>
          <w:rStyle w:val="14"/>
          <w:rFonts w:eastAsia="仿宋"/>
          <w:bCs/>
          <w:sz w:val="32"/>
          <w:szCs w:val="32"/>
        </w:rPr>
        <w:t>社会保障和就业（类）</w:t>
      </w:r>
      <w:r>
        <w:rPr>
          <w:rStyle w:val="14"/>
          <w:rFonts w:hint="eastAsia" w:ascii="仿宋" w:hAnsi="仿宋" w:eastAsia="仿宋"/>
          <w:bCs/>
          <w:sz w:val="32"/>
          <w:szCs w:val="32"/>
        </w:rPr>
        <w:t>行政事业单位养老支出</w:t>
      </w:r>
      <w:r>
        <w:rPr>
          <w:rStyle w:val="14"/>
          <w:rFonts w:eastAsia="仿宋"/>
          <w:bCs/>
          <w:sz w:val="32"/>
          <w:szCs w:val="32"/>
        </w:rPr>
        <w:t>（款）机关事业单位基本养老保险缴费支出（项）:</w:t>
      </w:r>
      <w:r>
        <w:rPr>
          <w:rStyle w:val="14"/>
          <w:rFonts w:eastAsia="仿宋"/>
          <w:b w:val="0"/>
          <w:bCs/>
          <w:sz w:val="32"/>
          <w:szCs w:val="32"/>
        </w:rPr>
        <w:t xml:space="preserve"> 支出决算为9.57万元，完成预算89.44%，决算数小于预算数的主要原因是年中单位人员减少，年初编制的养老保险未执行完，年底由财政厅统一注销。</w:t>
      </w:r>
    </w:p>
    <w:p>
      <w:pPr>
        <w:pStyle w:val="2"/>
        <w:spacing w:beforeLines="0" w:line="600" w:lineRule="exact"/>
        <w:ind w:firstLine="640" w:firstLineChars="200"/>
        <w:rPr>
          <w:rStyle w:val="14"/>
          <w:rFonts w:ascii="Times New Roman" w:eastAsia="仿宋"/>
          <w:b w:val="0"/>
          <w:bCs/>
          <w:sz w:val="32"/>
          <w:szCs w:val="32"/>
        </w:rPr>
      </w:pPr>
      <w:r>
        <w:rPr>
          <w:rFonts w:ascii="Times New Roman"/>
          <w:b w:val="0"/>
          <w:bCs w:val="0"/>
          <w:sz w:val="32"/>
          <w:szCs w:val="32"/>
        </w:rPr>
        <w:t>3.</w:t>
      </w:r>
      <w:r>
        <w:rPr>
          <w:rFonts w:hint="eastAsia" w:ascii="Times New Roman"/>
          <w:b w:val="0"/>
          <w:bCs w:val="0"/>
          <w:sz w:val="32"/>
          <w:szCs w:val="32"/>
          <w:lang w:val="en-US" w:eastAsia="zh-CN"/>
        </w:rPr>
        <w:t xml:space="preserve"> </w:t>
      </w:r>
      <w:r>
        <w:rPr>
          <w:rStyle w:val="14"/>
          <w:rFonts w:ascii="Times New Roman" w:eastAsia="仿宋"/>
          <w:bCs/>
          <w:sz w:val="32"/>
          <w:szCs w:val="32"/>
        </w:rPr>
        <w:t>社会保障和就业（类）</w:t>
      </w:r>
      <w:r>
        <w:rPr>
          <w:rStyle w:val="14"/>
          <w:rFonts w:hint="eastAsia" w:ascii="仿宋" w:hAnsi="仿宋" w:eastAsia="仿宋"/>
          <w:bCs/>
          <w:sz w:val="32"/>
          <w:szCs w:val="32"/>
        </w:rPr>
        <w:t>行政事业单位养老支出</w:t>
      </w:r>
      <w:r>
        <w:rPr>
          <w:rStyle w:val="14"/>
          <w:rFonts w:ascii="Times New Roman" w:eastAsia="仿宋"/>
          <w:bCs/>
          <w:sz w:val="32"/>
          <w:szCs w:val="32"/>
        </w:rPr>
        <w:t>（款）机关事业单位职业年金缴费支出（项）：</w:t>
      </w:r>
      <w:r>
        <w:rPr>
          <w:rStyle w:val="14"/>
          <w:rFonts w:ascii="Times New Roman" w:eastAsia="仿宋"/>
          <w:b w:val="0"/>
          <w:bCs/>
          <w:sz w:val="32"/>
          <w:szCs w:val="32"/>
        </w:rPr>
        <w:t>支出决算为4.79万元，完成预算89.53%，决算数小于预算数的主要原因是年中单位人员减少，年初编制的职业年金未执行完，年底由财政厅统一注销。</w:t>
      </w:r>
    </w:p>
    <w:p>
      <w:pPr>
        <w:pStyle w:val="2"/>
        <w:spacing w:beforeLines="0" w:line="600" w:lineRule="exact"/>
        <w:ind w:firstLine="640" w:firstLineChars="200"/>
        <w:rPr>
          <w:rFonts w:ascii="Times New Roman"/>
          <w:sz w:val="32"/>
          <w:szCs w:val="32"/>
        </w:rPr>
      </w:pPr>
      <w:r>
        <w:rPr>
          <w:rFonts w:ascii="Times New Roman"/>
          <w:b w:val="0"/>
          <w:bCs w:val="0"/>
          <w:sz w:val="32"/>
          <w:szCs w:val="32"/>
        </w:rPr>
        <w:t>4.</w:t>
      </w:r>
      <w:r>
        <w:rPr>
          <w:rFonts w:hint="eastAsia" w:ascii="Times New Roman"/>
          <w:b w:val="0"/>
          <w:bCs w:val="0"/>
          <w:sz w:val="32"/>
          <w:szCs w:val="32"/>
          <w:lang w:val="en-US" w:eastAsia="zh-CN"/>
        </w:rPr>
        <w:t xml:space="preserve"> </w:t>
      </w:r>
      <w:r>
        <w:rPr>
          <w:rStyle w:val="14"/>
          <w:rFonts w:ascii="Times New Roman" w:eastAsia="仿宋"/>
          <w:bCs/>
          <w:sz w:val="32"/>
          <w:szCs w:val="32"/>
        </w:rPr>
        <w:t>社会保障和就业（类）抚恤（款）死亡抚恤（项）：</w:t>
      </w:r>
      <w:r>
        <w:rPr>
          <w:rStyle w:val="14"/>
          <w:rFonts w:ascii="Times New Roman" w:eastAsia="仿宋"/>
          <w:b w:val="0"/>
          <w:bCs/>
          <w:sz w:val="32"/>
          <w:szCs w:val="32"/>
        </w:rPr>
        <w:t>支出决算为8.92万元，完成预算100%，决算数与预算数持平。</w:t>
      </w:r>
    </w:p>
    <w:p>
      <w:pPr>
        <w:spacing w:line="600" w:lineRule="exact"/>
        <w:ind w:firstLine="640" w:firstLineChars="200"/>
        <w:rPr>
          <w:rStyle w:val="14"/>
          <w:rFonts w:eastAsia="仿宋"/>
          <w:b w:val="0"/>
          <w:bCs/>
          <w:sz w:val="32"/>
          <w:szCs w:val="32"/>
        </w:rPr>
      </w:pPr>
      <w:r>
        <w:rPr>
          <w:rStyle w:val="14"/>
          <w:rFonts w:eastAsia="仿宋"/>
          <w:b w:val="0"/>
          <w:bCs w:val="0"/>
          <w:sz w:val="32"/>
          <w:szCs w:val="32"/>
        </w:rPr>
        <w:t>5.</w:t>
      </w:r>
      <w:r>
        <w:rPr>
          <w:rStyle w:val="14"/>
          <w:rFonts w:hint="eastAsia" w:eastAsia="仿宋"/>
          <w:b w:val="0"/>
          <w:bCs w:val="0"/>
          <w:sz w:val="32"/>
          <w:szCs w:val="32"/>
          <w:lang w:val="en-US" w:eastAsia="zh-CN"/>
        </w:rPr>
        <w:t xml:space="preserve"> </w:t>
      </w:r>
      <w:r>
        <w:rPr>
          <w:rStyle w:val="14"/>
          <w:rFonts w:eastAsia="仿宋"/>
          <w:bCs/>
          <w:sz w:val="32"/>
          <w:szCs w:val="32"/>
        </w:rPr>
        <w:t>卫生健康支出（类）行政事业单位医疗（款）事业单位医疗（项）:</w:t>
      </w:r>
      <w:r>
        <w:rPr>
          <w:rStyle w:val="14"/>
          <w:rFonts w:eastAsia="仿宋"/>
          <w:b w:val="0"/>
          <w:bCs/>
          <w:sz w:val="32"/>
          <w:szCs w:val="32"/>
        </w:rPr>
        <w:t>支出决算为5.5万元，完成预算91.67%，决算数小于预算数的主要原因是年中单位人员减少，年初编制的基本医疗保险未执行完，年底由财政厅统一注销。</w:t>
      </w:r>
    </w:p>
    <w:p>
      <w:pPr>
        <w:pStyle w:val="2"/>
        <w:spacing w:beforeLines="0" w:line="600" w:lineRule="exact"/>
        <w:ind w:firstLine="640" w:firstLineChars="200"/>
        <w:rPr>
          <w:rStyle w:val="14"/>
          <w:rFonts w:ascii="Times New Roman" w:eastAsia="仿宋"/>
          <w:b w:val="0"/>
          <w:bCs/>
          <w:sz w:val="32"/>
          <w:szCs w:val="32"/>
        </w:rPr>
      </w:pPr>
      <w:r>
        <w:rPr>
          <w:rFonts w:ascii="Times New Roman"/>
          <w:sz w:val="32"/>
          <w:szCs w:val="32"/>
        </w:rPr>
        <w:t xml:space="preserve">6. </w:t>
      </w:r>
      <w:r>
        <w:rPr>
          <w:rStyle w:val="14"/>
          <w:rFonts w:ascii="Times New Roman" w:eastAsia="仿宋"/>
          <w:bCs/>
          <w:kern w:val="2"/>
          <w:sz w:val="32"/>
          <w:szCs w:val="32"/>
        </w:rPr>
        <w:t>城乡社区支出（类）城乡社区管理事务（款）其他城乡社区管理事务支出（项）：</w:t>
      </w:r>
      <w:r>
        <w:rPr>
          <w:rStyle w:val="14"/>
          <w:rFonts w:ascii="Times New Roman" w:eastAsia="仿宋"/>
          <w:b w:val="0"/>
          <w:bCs/>
          <w:sz w:val="32"/>
          <w:szCs w:val="32"/>
        </w:rPr>
        <w:t>支出决算为196.66万元，完成预算97.03%，决算数与预算数</w:t>
      </w:r>
      <w:r>
        <w:rPr>
          <w:rStyle w:val="14"/>
          <w:rFonts w:hint="eastAsia" w:ascii="Times New Roman" w:eastAsia="仿宋"/>
          <w:b w:val="0"/>
          <w:bCs/>
          <w:sz w:val="32"/>
          <w:szCs w:val="32"/>
        </w:rPr>
        <w:t>基本</w:t>
      </w:r>
      <w:r>
        <w:rPr>
          <w:rStyle w:val="14"/>
          <w:rFonts w:ascii="Times New Roman" w:eastAsia="仿宋"/>
          <w:b w:val="0"/>
          <w:bCs/>
          <w:sz w:val="32"/>
          <w:szCs w:val="32"/>
        </w:rPr>
        <w:t>持平。</w:t>
      </w:r>
    </w:p>
    <w:p>
      <w:pPr>
        <w:pStyle w:val="2"/>
        <w:spacing w:beforeLines="0" w:line="600" w:lineRule="exact"/>
        <w:ind w:firstLine="640" w:firstLineChars="200"/>
        <w:rPr>
          <w:rStyle w:val="14"/>
          <w:rFonts w:ascii="Times New Roman" w:eastAsia="仿宋"/>
          <w:b w:val="0"/>
          <w:bCs/>
          <w:sz w:val="32"/>
          <w:szCs w:val="32"/>
        </w:rPr>
      </w:pPr>
      <w:r>
        <w:rPr>
          <w:rFonts w:ascii="Times New Roman"/>
          <w:sz w:val="32"/>
          <w:szCs w:val="32"/>
        </w:rPr>
        <w:t xml:space="preserve">7. </w:t>
      </w:r>
      <w:r>
        <w:rPr>
          <w:rStyle w:val="14"/>
          <w:rFonts w:ascii="Times New Roman" w:eastAsia="仿宋"/>
          <w:bCs/>
          <w:kern w:val="2"/>
          <w:sz w:val="32"/>
          <w:szCs w:val="32"/>
        </w:rPr>
        <w:t>住房保障支出（类）住房改革支出（款）住房公积金（项）：</w:t>
      </w:r>
      <w:r>
        <w:rPr>
          <w:rStyle w:val="14"/>
          <w:rFonts w:ascii="Times New Roman" w:eastAsia="仿宋"/>
          <w:b w:val="0"/>
          <w:bCs/>
          <w:sz w:val="32"/>
          <w:szCs w:val="32"/>
        </w:rPr>
        <w:t>支出决算为6.79万元，完成预算84.88%，决算数小于预算数的主要原因是年中单位人员减少，年初编制的住房公积金未执行完，年底由财政厅统一注销。</w:t>
      </w:r>
    </w:p>
    <w:p>
      <w:pPr>
        <w:pStyle w:val="2"/>
        <w:spacing w:beforeLines="0" w:line="600" w:lineRule="exact"/>
        <w:ind w:firstLine="640" w:firstLineChars="200"/>
        <w:rPr>
          <w:rFonts w:ascii="Times New Roman" w:eastAsia="仿宋"/>
          <w:bCs/>
          <w:sz w:val="32"/>
          <w:szCs w:val="32"/>
        </w:rPr>
      </w:pPr>
      <w:r>
        <w:rPr>
          <w:rFonts w:ascii="Times New Roman"/>
          <w:sz w:val="32"/>
          <w:szCs w:val="32"/>
        </w:rPr>
        <w:t>8.</w:t>
      </w:r>
      <w:r>
        <w:rPr>
          <w:rStyle w:val="14"/>
          <w:rFonts w:ascii="Times New Roman" w:eastAsia="仿宋"/>
          <w:bCs/>
          <w:kern w:val="2"/>
          <w:sz w:val="32"/>
          <w:szCs w:val="32"/>
        </w:rPr>
        <w:t xml:space="preserve"> 住房保障支出（类）住房改革支出（款）购房补贴（项）</w:t>
      </w:r>
      <w:r>
        <w:rPr>
          <w:rStyle w:val="14"/>
          <w:rFonts w:ascii="Times New Roman" w:eastAsia="仿宋"/>
          <w:b w:val="0"/>
          <w:bCs/>
          <w:sz w:val="32"/>
          <w:szCs w:val="32"/>
        </w:rPr>
        <w:t>支出决算为2.98万元，完成预算100%，决算数与预算数持平。</w:t>
      </w:r>
    </w:p>
    <w:p>
      <w:pPr>
        <w:tabs>
          <w:tab w:val="right" w:pos="8306"/>
        </w:tabs>
        <w:spacing w:line="600" w:lineRule="exact"/>
        <w:ind w:firstLine="640" w:firstLineChars="200"/>
        <w:outlineLvl w:val="1"/>
        <w:rPr>
          <w:rStyle w:val="25"/>
          <w:rFonts w:ascii="Times New Roman" w:hAnsi="Times New Roman" w:cs="Times New Roman"/>
        </w:rPr>
      </w:pPr>
      <w:bookmarkStart w:id="36" w:name="_Toc15396608"/>
      <w:bookmarkStart w:id="37" w:name="_Toc15377214"/>
      <w:r>
        <w:rPr>
          <w:rFonts w:eastAsia="黑体"/>
          <w:sz w:val="32"/>
          <w:szCs w:val="32"/>
        </w:rPr>
        <w:t>六</w:t>
      </w:r>
      <w:r>
        <w:rPr>
          <w:rFonts w:eastAsia="黑体"/>
          <w:b/>
          <w:sz w:val="32"/>
          <w:szCs w:val="32"/>
        </w:rPr>
        <w:t>、一</w:t>
      </w:r>
      <w:r>
        <w:rPr>
          <w:rStyle w:val="25"/>
          <w:rFonts w:ascii="Times New Roman" w:hAnsi="Times New Roman" w:eastAsia="黑体" w:cs="Times New Roman"/>
          <w:b w:val="0"/>
        </w:rPr>
        <w:t>般公共预算财政拨款基本支出决算情况说明</w:t>
      </w:r>
      <w:bookmarkEnd w:id="36"/>
      <w:bookmarkEnd w:id="37"/>
      <w:r>
        <w:rPr>
          <w:rStyle w:val="25"/>
          <w:rFonts w:ascii="Times New Roman" w:hAnsi="Times New Roman" w:eastAsia="黑体" w:cs="Times New Roman"/>
          <w:b w:val="0"/>
        </w:rPr>
        <w:tab/>
      </w:r>
    </w:p>
    <w:p>
      <w:pPr>
        <w:spacing w:line="600" w:lineRule="exact"/>
        <w:ind w:firstLine="640" w:firstLineChars="200"/>
        <w:rPr>
          <w:rFonts w:eastAsia="仿宋"/>
          <w:sz w:val="32"/>
          <w:szCs w:val="32"/>
        </w:rPr>
      </w:pPr>
      <w:r>
        <w:rPr>
          <w:rFonts w:eastAsia="仿宋"/>
          <w:sz w:val="32"/>
          <w:szCs w:val="32"/>
        </w:rPr>
        <w:t>2020年一般公共预算财政拨款基本支出135.37万元，其中：</w:t>
      </w:r>
    </w:p>
    <w:p>
      <w:pPr>
        <w:spacing w:line="600" w:lineRule="exact"/>
        <w:ind w:firstLine="640" w:firstLineChars="200"/>
        <w:rPr>
          <w:rFonts w:eastAsia="仿宋"/>
          <w:sz w:val="32"/>
          <w:szCs w:val="32"/>
        </w:rPr>
      </w:pPr>
      <w:r>
        <w:rPr>
          <w:rFonts w:eastAsia="仿宋"/>
          <w:sz w:val="32"/>
          <w:szCs w:val="32"/>
        </w:rPr>
        <w:t>人员经费122.99万元，主要包括：基本工资、津贴补贴、绩效工资、机关事业单位基本养老保险缴费、职业年金缴费、其他社会保障缴费、其他工资福利支出、抚恤金、奖励金、住房公积金、其他对个人和家庭的补助支出等。</w:t>
      </w:r>
      <w:r>
        <w:rPr>
          <w:rFonts w:eastAsia="仿宋"/>
          <w:sz w:val="32"/>
          <w:szCs w:val="32"/>
        </w:rPr>
        <w:br w:type="textWrapping"/>
      </w:r>
      <w:r>
        <w:rPr>
          <w:rFonts w:eastAsia="仿宋"/>
          <w:sz w:val="32"/>
          <w:szCs w:val="32"/>
        </w:rPr>
        <w:t>　　公用经费12.38万元，主要包括：办公费、手续费、水费、电费、邮电费、差旅费、租赁费、培训费、委托业务费、工会经费、福利费、公务用车运行维护费、税金及附加费用、其他商品和服务支出、办公设备购置等。</w:t>
      </w:r>
    </w:p>
    <w:p>
      <w:pPr>
        <w:spacing w:line="600" w:lineRule="exact"/>
        <w:ind w:firstLine="640" w:firstLineChars="200"/>
        <w:outlineLvl w:val="1"/>
        <w:rPr>
          <w:rStyle w:val="25"/>
          <w:rFonts w:ascii="Times New Roman" w:hAnsi="Times New Roman" w:eastAsia="黑体" w:cs="Times New Roman"/>
          <w:b w:val="0"/>
        </w:rPr>
      </w:pPr>
      <w:bookmarkStart w:id="38" w:name="_Toc15377215"/>
      <w:bookmarkStart w:id="39" w:name="_Toc15396609"/>
      <w:r>
        <w:rPr>
          <w:rFonts w:eastAsia="黑体"/>
          <w:sz w:val="32"/>
          <w:szCs w:val="32"/>
        </w:rPr>
        <w:t>七、</w:t>
      </w:r>
      <w:r>
        <w:rPr>
          <w:rStyle w:val="25"/>
          <w:rFonts w:ascii="Times New Roman" w:hAnsi="Times New Roman" w:eastAsia="黑体" w:cs="Times New Roman"/>
        </w:rPr>
        <w:t>“</w:t>
      </w:r>
      <w:r>
        <w:rPr>
          <w:rStyle w:val="25"/>
          <w:rFonts w:ascii="Times New Roman" w:hAnsi="Times New Roman" w:eastAsia="黑体" w:cs="Times New Roman"/>
          <w:b w:val="0"/>
        </w:rPr>
        <w:t>三公”经费财政拨款支出决算情况说明</w:t>
      </w:r>
      <w:bookmarkEnd w:id="38"/>
      <w:bookmarkEnd w:id="39"/>
    </w:p>
    <w:p>
      <w:pPr>
        <w:spacing w:line="600" w:lineRule="exact"/>
        <w:ind w:firstLine="643" w:firstLineChars="200"/>
        <w:outlineLvl w:val="2"/>
        <w:rPr>
          <w:rFonts w:ascii="楷体" w:hAnsi="楷体" w:eastAsia="楷体"/>
          <w:b/>
          <w:sz w:val="32"/>
          <w:szCs w:val="32"/>
        </w:rPr>
      </w:pPr>
      <w:bookmarkStart w:id="40" w:name="_Toc15377216"/>
      <w:r>
        <w:rPr>
          <w:rFonts w:ascii="楷体" w:hAnsi="楷体" w:eastAsia="楷体"/>
          <w:b/>
          <w:sz w:val="32"/>
          <w:szCs w:val="32"/>
        </w:rPr>
        <w:t>（一）“三公”经费财政拨款支出决算总体情况说明</w:t>
      </w:r>
      <w:bookmarkEnd w:id="40"/>
    </w:p>
    <w:p>
      <w:pPr>
        <w:spacing w:line="600" w:lineRule="exact"/>
        <w:ind w:firstLine="640" w:firstLineChars="200"/>
        <w:rPr>
          <w:rFonts w:eastAsia="仿宋"/>
          <w:sz w:val="32"/>
          <w:szCs w:val="32"/>
        </w:rPr>
      </w:pPr>
      <w:r>
        <w:rPr>
          <w:rFonts w:eastAsia="仿宋"/>
          <w:sz w:val="32"/>
          <w:szCs w:val="32"/>
        </w:rPr>
        <w:t>2020年“三公”经费财政拨款支出决算为0.14万元，完成预算15.73%，决算数小于预算数的主要原因是</w:t>
      </w:r>
      <w:r>
        <w:rPr>
          <w:rFonts w:hint="eastAsia" w:eastAsia="仿宋"/>
          <w:sz w:val="32"/>
          <w:szCs w:val="32"/>
          <w:lang w:eastAsia="zh-CN"/>
        </w:rPr>
        <w:t>：</w:t>
      </w:r>
      <w:r>
        <w:rPr>
          <w:rFonts w:eastAsia="仿宋"/>
          <w:sz w:val="32"/>
          <w:szCs w:val="32"/>
        </w:rPr>
        <w:t>1.我单位严格执行国内公务接待管理办法，因公临时出国经费管理办法以及厉行节约等相关规定，坚持有利公务</w:t>
      </w:r>
      <w:r>
        <w:rPr>
          <w:rFonts w:hint="eastAsia" w:eastAsia="仿宋"/>
          <w:sz w:val="32"/>
          <w:szCs w:val="32"/>
        </w:rPr>
        <w:t>、</w:t>
      </w:r>
      <w:r>
        <w:rPr>
          <w:rFonts w:eastAsia="仿宋"/>
          <w:sz w:val="32"/>
          <w:szCs w:val="32"/>
        </w:rPr>
        <w:t>务实</w:t>
      </w:r>
      <w:r>
        <w:rPr>
          <w:rFonts w:hint="eastAsia" w:eastAsia="仿宋"/>
          <w:sz w:val="32"/>
          <w:szCs w:val="32"/>
        </w:rPr>
        <w:t>节俭</w:t>
      </w:r>
      <w:r>
        <w:rPr>
          <w:rFonts w:eastAsia="仿宋"/>
          <w:sz w:val="32"/>
          <w:szCs w:val="32"/>
        </w:rPr>
        <w:t>、严格标准的原则，严格控制出国经费，压缩公务接待支出。2.</w:t>
      </w:r>
      <w:r>
        <w:rPr>
          <w:rFonts w:eastAsia="仿宋"/>
          <w:color w:val="000000"/>
          <w:sz w:val="32"/>
          <w:szCs w:val="32"/>
          <w:shd w:val="clear" w:color="auto" w:fill="FFFFFF"/>
        </w:rPr>
        <w:t>2020年公务用车已到使用年限，经批准后报废处置，故公务用车购置及运行维护费支出减少</w:t>
      </w:r>
      <w:r>
        <w:rPr>
          <w:rFonts w:eastAsia="仿宋"/>
          <w:sz w:val="32"/>
          <w:szCs w:val="32"/>
        </w:rPr>
        <w:t>。</w:t>
      </w:r>
    </w:p>
    <w:p>
      <w:pPr>
        <w:spacing w:line="600" w:lineRule="exact"/>
        <w:ind w:firstLine="643" w:firstLineChars="200"/>
        <w:outlineLvl w:val="2"/>
        <w:rPr>
          <w:rFonts w:ascii="楷体" w:hAnsi="楷体" w:eastAsia="楷体"/>
          <w:b/>
          <w:sz w:val="32"/>
          <w:szCs w:val="32"/>
        </w:rPr>
      </w:pPr>
      <w:bookmarkStart w:id="41" w:name="_Toc15377217"/>
      <w:r>
        <w:rPr>
          <w:rFonts w:ascii="楷体" w:hAnsi="楷体" w:eastAsia="楷体"/>
          <w:b/>
          <w:sz w:val="32"/>
          <w:szCs w:val="32"/>
        </w:rPr>
        <w:t>（二）“三公”经费财政拨款支出决算具体情况说明</w:t>
      </w:r>
      <w:bookmarkEnd w:id="41"/>
    </w:p>
    <w:p>
      <w:pPr>
        <w:spacing w:line="600" w:lineRule="exact"/>
        <w:ind w:firstLine="640" w:firstLineChars="200"/>
        <w:rPr>
          <w:rFonts w:eastAsia="仿宋"/>
          <w:sz w:val="32"/>
          <w:szCs w:val="32"/>
        </w:rPr>
      </w:pPr>
      <w:r>
        <w:rPr>
          <w:rFonts w:eastAsia="仿宋"/>
          <w:sz w:val="32"/>
          <w:szCs w:val="32"/>
        </w:rPr>
        <w:t>2020年“三公”经费财政拨款支出决算中，无因公出国（境）支出，公务用车购置及运行维护费支出决算0.14万元，占15.73%；无公务接待费支出。具体情况如下：</w:t>
      </w:r>
    </w:p>
    <w:p>
      <w:pPr>
        <w:spacing w:line="600" w:lineRule="exact"/>
        <w:ind w:firstLine="640" w:firstLineChars="200"/>
        <w:rPr>
          <w:rFonts w:eastAsia="仿宋"/>
          <w:sz w:val="32"/>
          <w:szCs w:val="32"/>
        </w:rPr>
      </w:pPr>
      <w:r>
        <w:rPr>
          <w:rFonts w:eastAsia="仿宋"/>
          <w:sz w:val="32"/>
          <w:szCs w:val="32"/>
        </w:rPr>
        <w:t>1.因公出国（境）经费支出0万元。全年安排因公出国（境）团组0次，出国（境）0人。因公出国（境）支出决算与2019年持平。</w:t>
      </w:r>
    </w:p>
    <w:p>
      <w:pPr>
        <w:spacing w:line="600" w:lineRule="exact"/>
        <w:ind w:firstLine="640" w:firstLineChars="200"/>
        <w:rPr>
          <w:rFonts w:eastAsia="仿宋_GB2312"/>
          <w:b/>
          <w:sz w:val="32"/>
          <w:szCs w:val="32"/>
        </w:rPr>
      </w:pPr>
      <w:r>
        <w:rPr>
          <w:rFonts w:eastAsia="仿宋"/>
          <w:sz w:val="32"/>
          <w:szCs w:val="32"/>
        </w:rPr>
        <w:t>2.公务用车购置及运行维护费支出0.14万元,完成预算20%。公务用车购置及运行维护费支出决算比2019年减少0.61万元，下降61%。主要原因是2020年公务用车已到使用年限，经批准后报废处置，故公务用车购置及运行维护费支出减少。</w:t>
      </w:r>
    </w:p>
    <w:p>
      <w:pPr>
        <w:spacing w:line="600" w:lineRule="exact"/>
        <w:ind w:firstLine="640" w:firstLineChars="200"/>
        <w:rPr>
          <w:rFonts w:eastAsia="仿宋_GB2312"/>
          <w:b/>
          <w:sz w:val="32"/>
          <w:szCs w:val="32"/>
        </w:rPr>
      </w:pPr>
      <w:r>
        <w:rPr>
          <w:rFonts w:eastAsia="仿宋"/>
          <w:sz w:val="32"/>
          <w:szCs w:val="32"/>
        </w:rPr>
        <w:t xml:space="preserve">其中：公务用车购置支出0万元。全年按规定更新购置公务用车0辆，其中：轿车0辆、金额0万元。截至2020年12月底，单位共有公务用车0辆。 </w:t>
      </w:r>
    </w:p>
    <w:p>
      <w:pPr>
        <w:spacing w:line="600" w:lineRule="exact"/>
        <w:ind w:firstLine="640" w:firstLineChars="200"/>
        <w:rPr>
          <w:rFonts w:eastAsia="仿宋"/>
          <w:sz w:val="32"/>
          <w:szCs w:val="32"/>
        </w:rPr>
      </w:pPr>
      <w:r>
        <w:rPr>
          <w:rFonts w:eastAsia="仿宋"/>
          <w:sz w:val="32"/>
          <w:szCs w:val="32"/>
        </w:rPr>
        <w:t>公务用车运行维护费支出0.14万元。主要用于川A3657Q一辆公务用车1-6月所需的公务用车停车费支出。</w:t>
      </w:r>
    </w:p>
    <w:p>
      <w:pPr>
        <w:spacing w:line="600" w:lineRule="exact"/>
        <w:ind w:firstLine="640" w:firstLineChars="200"/>
        <w:rPr>
          <w:rFonts w:eastAsia="仿宋"/>
          <w:sz w:val="32"/>
          <w:szCs w:val="32"/>
        </w:rPr>
      </w:pPr>
      <w:r>
        <w:rPr>
          <w:rFonts w:eastAsia="仿宋"/>
          <w:sz w:val="32"/>
          <w:szCs w:val="32"/>
        </w:rPr>
        <w:t>3.公务接待费支出0万元，公务接待费支出决算与2019年持平。</w:t>
      </w:r>
      <w:bookmarkStart w:id="42" w:name="_Toc15377218"/>
      <w:bookmarkStart w:id="43" w:name="_Toc15396610"/>
    </w:p>
    <w:p>
      <w:pPr>
        <w:spacing w:line="600" w:lineRule="exact"/>
        <w:ind w:firstLine="640" w:firstLineChars="200"/>
        <w:outlineLvl w:val="1"/>
        <w:rPr>
          <w:rStyle w:val="25"/>
          <w:rFonts w:ascii="Times New Roman" w:hAnsi="Times New Roman" w:eastAsia="黑体" w:cs="Times New Roman"/>
        </w:rPr>
      </w:pPr>
      <w:r>
        <w:rPr>
          <w:rFonts w:eastAsia="黑体"/>
          <w:sz w:val="32"/>
          <w:szCs w:val="32"/>
        </w:rPr>
        <w:t>八、</w:t>
      </w:r>
      <w:r>
        <w:rPr>
          <w:rStyle w:val="25"/>
          <w:rFonts w:ascii="Times New Roman" w:hAnsi="Times New Roman" w:eastAsia="黑体" w:cs="Times New Roman"/>
          <w:b w:val="0"/>
        </w:rPr>
        <w:t>政府性基金预算支出决算情况说明</w:t>
      </w:r>
      <w:bookmarkEnd w:id="42"/>
      <w:bookmarkEnd w:id="43"/>
    </w:p>
    <w:p>
      <w:pPr>
        <w:spacing w:line="600" w:lineRule="exact"/>
        <w:ind w:firstLine="640" w:firstLineChars="200"/>
        <w:rPr>
          <w:rFonts w:eastAsia="仿宋_GB2312"/>
          <w:sz w:val="32"/>
          <w:szCs w:val="32"/>
        </w:rPr>
      </w:pPr>
      <w:r>
        <w:rPr>
          <w:rFonts w:eastAsia="仿宋_GB2312"/>
          <w:sz w:val="32"/>
          <w:szCs w:val="32"/>
        </w:rPr>
        <w:t>2020年政府性基金预算财政拨款支出0万元。</w:t>
      </w:r>
    </w:p>
    <w:p>
      <w:pPr>
        <w:numPr>
          <w:ilvl w:val="0"/>
          <w:numId w:val="2"/>
        </w:numPr>
        <w:spacing w:line="600" w:lineRule="exact"/>
        <w:ind w:firstLine="640" w:firstLineChars="200"/>
        <w:outlineLvl w:val="1"/>
        <w:rPr>
          <w:rStyle w:val="25"/>
          <w:rFonts w:ascii="Times New Roman" w:hAnsi="Times New Roman" w:eastAsia="黑体" w:cs="Times New Roman"/>
          <w:b w:val="0"/>
        </w:rPr>
      </w:pPr>
      <w:bookmarkStart w:id="44" w:name="_Toc15377219"/>
      <w:bookmarkStart w:id="45" w:name="_Toc15396611"/>
      <w:r>
        <w:rPr>
          <w:rStyle w:val="25"/>
          <w:rFonts w:ascii="Times New Roman" w:hAnsi="Times New Roman" w:eastAsia="黑体" w:cs="Times New Roman"/>
          <w:b w:val="0"/>
        </w:rPr>
        <w:t>国有资本经营预算支出决算情况说明</w:t>
      </w:r>
      <w:bookmarkEnd w:id="44"/>
      <w:bookmarkEnd w:id="45"/>
    </w:p>
    <w:p>
      <w:pPr>
        <w:spacing w:line="600" w:lineRule="exact"/>
        <w:ind w:firstLine="640" w:firstLineChars="200"/>
        <w:rPr>
          <w:rFonts w:eastAsia="仿宋_GB2312"/>
          <w:sz w:val="32"/>
          <w:szCs w:val="32"/>
        </w:rPr>
      </w:pPr>
      <w:r>
        <w:rPr>
          <w:rFonts w:eastAsia="仿宋_GB2312"/>
          <w:sz w:val="32"/>
          <w:szCs w:val="32"/>
        </w:rPr>
        <w:t>2020年国有资本经营预算财政拨款支出0万元。</w:t>
      </w:r>
    </w:p>
    <w:p>
      <w:pPr>
        <w:numPr>
          <w:ilvl w:val="0"/>
          <w:numId w:val="2"/>
        </w:numPr>
        <w:spacing w:line="600" w:lineRule="exact"/>
        <w:ind w:firstLine="640" w:firstLineChars="200"/>
        <w:outlineLvl w:val="1"/>
        <w:rPr>
          <w:rStyle w:val="25"/>
          <w:rFonts w:ascii="Times New Roman" w:hAnsi="Times New Roman" w:eastAsia="黑体" w:cs="Times New Roman"/>
          <w:b w:val="0"/>
        </w:rPr>
      </w:pPr>
      <w:bookmarkStart w:id="46" w:name="_Toc15377221"/>
      <w:bookmarkStart w:id="47" w:name="_Toc15396612"/>
      <w:r>
        <w:rPr>
          <w:rStyle w:val="25"/>
          <w:rFonts w:ascii="Times New Roman" w:hAnsi="Times New Roman" w:eastAsia="黑体" w:cs="Times New Roman"/>
          <w:b w:val="0"/>
        </w:rPr>
        <w:t>其他重要事项的情况说明</w:t>
      </w:r>
      <w:bookmarkEnd w:id="46"/>
      <w:bookmarkEnd w:id="47"/>
    </w:p>
    <w:p>
      <w:pPr>
        <w:autoSpaceDE w:val="0"/>
        <w:autoSpaceDN w:val="0"/>
        <w:adjustRightInd w:val="0"/>
        <w:spacing w:line="600" w:lineRule="exact"/>
        <w:ind w:firstLine="420" w:firstLineChars="200"/>
        <w:jc w:val="left"/>
        <w:outlineLvl w:val="2"/>
        <w:rPr>
          <w:rFonts w:ascii="楷体" w:hAnsi="楷体" w:eastAsia="楷体"/>
          <w:b/>
          <w:sz w:val="32"/>
          <w:szCs w:val="32"/>
        </w:rPr>
      </w:pPr>
      <w:r>
        <w:rPr>
          <w:rFonts w:hint="eastAsia"/>
        </w:rPr>
        <w:t xml:space="preserve">  </w:t>
      </w:r>
      <w:r>
        <w:rPr>
          <w:rFonts w:hint="eastAsia" w:ascii="楷体" w:hAnsi="楷体" w:eastAsia="楷体"/>
          <w:b/>
          <w:sz w:val="32"/>
          <w:szCs w:val="32"/>
        </w:rPr>
        <w:t xml:space="preserve"> (一)机关运行经费支出情况</w:t>
      </w:r>
    </w:p>
    <w:p>
      <w:pPr>
        <w:pStyle w:val="2"/>
        <w:spacing w:before="173"/>
        <w:rPr>
          <w:rFonts w:ascii="Times New Roman"/>
          <w:kern w:val="2"/>
          <w:sz w:val="32"/>
          <w:szCs w:val="32"/>
        </w:rPr>
      </w:pPr>
      <w:r>
        <w:rPr>
          <w:rFonts w:hint="eastAsia" w:ascii="Times New Roman"/>
          <w:kern w:val="2"/>
          <w:sz w:val="32"/>
          <w:szCs w:val="32"/>
        </w:rPr>
        <w:t xml:space="preserve">    四川省建筑标准设计办公室为事业单位，按规定未使用机关运行的相关科目。</w:t>
      </w:r>
    </w:p>
    <w:p>
      <w:pPr>
        <w:autoSpaceDE w:val="0"/>
        <w:autoSpaceDN w:val="0"/>
        <w:adjustRightInd w:val="0"/>
        <w:spacing w:line="600" w:lineRule="exact"/>
        <w:ind w:firstLine="643" w:firstLineChars="200"/>
        <w:jc w:val="left"/>
        <w:outlineLvl w:val="2"/>
        <w:rPr>
          <w:rFonts w:ascii="楷体" w:hAnsi="楷体" w:eastAsia="楷体"/>
          <w:b/>
          <w:sz w:val="32"/>
          <w:szCs w:val="32"/>
        </w:rPr>
      </w:pPr>
      <w:bookmarkStart w:id="48" w:name="_Toc15377223"/>
      <w:r>
        <w:rPr>
          <w:rFonts w:ascii="楷体" w:hAnsi="楷体" w:eastAsia="楷体"/>
          <w:b/>
          <w:sz w:val="32"/>
          <w:szCs w:val="32"/>
        </w:rPr>
        <w:t>（</w:t>
      </w:r>
      <w:r>
        <w:rPr>
          <w:rFonts w:hint="eastAsia" w:ascii="楷体" w:hAnsi="楷体" w:eastAsia="楷体"/>
          <w:b/>
          <w:sz w:val="32"/>
          <w:szCs w:val="32"/>
        </w:rPr>
        <w:t>二</w:t>
      </w:r>
      <w:r>
        <w:rPr>
          <w:rFonts w:ascii="楷体" w:hAnsi="楷体" w:eastAsia="楷体"/>
          <w:b/>
          <w:sz w:val="32"/>
          <w:szCs w:val="32"/>
        </w:rPr>
        <w:t>）政府采购支出情况</w:t>
      </w:r>
      <w:bookmarkEnd w:id="48"/>
    </w:p>
    <w:p>
      <w:pPr>
        <w:spacing w:line="600" w:lineRule="exact"/>
        <w:ind w:firstLine="640" w:firstLineChars="200"/>
        <w:rPr>
          <w:rFonts w:eastAsia="仿宋_GB2312"/>
          <w:sz w:val="32"/>
          <w:szCs w:val="32"/>
        </w:rPr>
      </w:pPr>
      <w:r>
        <w:rPr>
          <w:rFonts w:eastAsia="仿宋_GB2312"/>
          <w:sz w:val="32"/>
          <w:szCs w:val="32"/>
        </w:rPr>
        <w:t>2020年，四川省建筑标准设计办公室政府采购支出总额0.74万元，其中：政府采购货物支出0.74万元。主要用于保障单位日常工作运转所需的办公设备购置。授予小微企业合同金额0.74万元，占政府采购支出总额的100%。</w:t>
      </w:r>
    </w:p>
    <w:p>
      <w:pPr>
        <w:autoSpaceDE w:val="0"/>
        <w:autoSpaceDN w:val="0"/>
        <w:adjustRightInd w:val="0"/>
        <w:spacing w:line="600" w:lineRule="exact"/>
        <w:ind w:firstLine="643" w:firstLineChars="200"/>
        <w:jc w:val="left"/>
        <w:outlineLvl w:val="2"/>
        <w:rPr>
          <w:rFonts w:ascii="楷体" w:hAnsi="楷体" w:eastAsia="楷体"/>
          <w:b/>
          <w:sz w:val="32"/>
          <w:szCs w:val="32"/>
        </w:rPr>
      </w:pPr>
      <w:bookmarkStart w:id="49" w:name="_Toc15377224"/>
      <w:r>
        <w:rPr>
          <w:rFonts w:ascii="楷体" w:hAnsi="楷体" w:eastAsia="楷体"/>
          <w:b/>
          <w:sz w:val="32"/>
          <w:szCs w:val="32"/>
        </w:rPr>
        <w:t>（</w:t>
      </w:r>
      <w:r>
        <w:rPr>
          <w:rFonts w:hint="eastAsia" w:ascii="楷体" w:hAnsi="楷体" w:eastAsia="楷体"/>
          <w:b/>
          <w:sz w:val="32"/>
          <w:szCs w:val="32"/>
        </w:rPr>
        <w:t>三</w:t>
      </w:r>
      <w:r>
        <w:rPr>
          <w:rFonts w:ascii="楷体" w:hAnsi="楷体" w:eastAsia="楷体"/>
          <w:b/>
          <w:sz w:val="32"/>
          <w:szCs w:val="32"/>
        </w:rPr>
        <w:t>）国有资产占有使用情况</w:t>
      </w:r>
      <w:bookmarkEnd w:id="49"/>
    </w:p>
    <w:p>
      <w:pPr>
        <w:autoSpaceDE w:val="0"/>
        <w:autoSpaceDN w:val="0"/>
        <w:adjustRightInd w:val="0"/>
        <w:spacing w:line="600" w:lineRule="exact"/>
        <w:ind w:firstLine="640" w:firstLineChars="200"/>
        <w:jc w:val="left"/>
        <w:rPr>
          <w:rFonts w:eastAsia="仿宋"/>
          <w:b/>
          <w:sz w:val="32"/>
          <w:szCs w:val="32"/>
        </w:rPr>
      </w:pPr>
      <w:r>
        <w:rPr>
          <w:rFonts w:eastAsia="仿宋_GB2312"/>
          <w:sz w:val="32"/>
          <w:szCs w:val="32"/>
        </w:rPr>
        <w:t>截至2020年12月31日，四川省建筑标准设计办公室公务用车报废处置，单位无公务用车。无单价50万元以上通用设备，单价万元以上专用设备。</w:t>
      </w:r>
    </w:p>
    <w:p>
      <w:pPr>
        <w:autoSpaceDE w:val="0"/>
        <w:autoSpaceDN w:val="0"/>
        <w:adjustRightInd w:val="0"/>
        <w:spacing w:line="600" w:lineRule="exact"/>
        <w:ind w:firstLine="643" w:firstLineChars="200"/>
        <w:jc w:val="left"/>
        <w:outlineLvl w:val="2"/>
        <w:rPr>
          <w:rFonts w:ascii="楷体" w:hAnsi="楷体" w:eastAsia="楷体"/>
          <w:b/>
          <w:sz w:val="32"/>
          <w:szCs w:val="32"/>
        </w:rPr>
      </w:pPr>
      <w:r>
        <w:rPr>
          <w:rFonts w:ascii="楷体" w:hAnsi="楷体" w:eastAsia="楷体"/>
          <w:b/>
          <w:sz w:val="32"/>
          <w:szCs w:val="32"/>
        </w:rPr>
        <w:t>（</w:t>
      </w:r>
      <w:r>
        <w:rPr>
          <w:rFonts w:hint="eastAsia" w:ascii="楷体" w:hAnsi="楷体" w:eastAsia="楷体"/>
          <w:b/>
          <w:sz w:val="32"/>
          <w:szCs w:val="32"/>
        </w:rPr>
        <w:t>四</w:t>
      </w:r>
      <w:r>
        <w:rPr>
          <w:rFonts w:ascii="楷体" w:hAnsi="楷体" w:eastAsia="楷体"/>
          <w:b/>
          <w:sz w:val="32"/>
          <w:szCs w:val="32"/>
        </w:rPr>
        <w:t>）预算绩效管理情况</w:t>
      </w:r>
    </w:p>
    <w:p>
      <w:pPr>
        <w:spacing w:line="600" w:lineRule="exact"/>
        <w:ind w:firstLine="640" w:firstLineChars="200"/>
        <w:rPr>
          <w:rFonts w:eastAsia="仿宋_GB2312"/>
          <w:sz w:val="32"/>
          <w:szCs w:val="32"/>
        </w:rPr>
      </w:pPr>
      <w:r>
        <w:rPr>
          <w:rFonts w:eastAsia="仿宋_GB2312"/>
          <w:sz w:val="32"/>
          <w:szCs w:val="32"/>
        </w:rPr>
        <w:t>根据预算绩效管理要求，本单位2020年度无100万元以上的项目，按照相关规定无100万元以上项目无需做绩效评估。</w:t>
      </w:r>
    </w:p>
    <w:p>
      <w:pPr>
        <w:spacing w:line="600" w:lineRule="exact"/>
        <w:ind w:firstLine="640" w:firstLineChars="200"/>
        <w:rPr>
          <w:rFonts w:eastAsia="仿宋_GB2312"/>
          <w:sz w:val="32"/>
          <w:szCs w:val="32"/>
        </w:rPr>
      </w:pPr>
      <w:r>
        <w:rPr>
          <w:rFonts w:eastAsia="仿宋_GB2312"/>
          <w:sz w:val="32"/>
          <w:szCs w:val="32"/>
        </w:rPr>
        <w:t>1. 本单位按要求对2020年整体支出开展绩效自评，从评价情况来看，本单位认真履行职能职责，基本完成了各项目标任务，部门整体预算绩效总体合格。</w:t>
      </w:r>
    </w:p>
    <w:p>
      <w:pPr>
        <w:spacing w:line="600" w:lineRule="exact"/>
        <w:ind w:firstLine="640" w:firstLineChars="200"/>
        <w:rPr>
          <w:rFonts w:eastAsia="仿宋_GB2312"/>
          <w:sz w:val="32"/>
          <w:szCs w:val="32"/>
        </w:rPr>
      </w:pPr>
      <w:r>
        <w:rPr>
          <w:rFonts w:eastAsia="仿宋_GB2312"/>
          <w:sz w:val="32"/>
          <w:szCs w:val="32"/>
        </w:rPr>
        <w:t>2.单位绩效评价结果。</w:t>
      </w:r>
    </w:p>
    <w:p>
      <w:pPr>
        <w:spacing w:line="600" w:lineRule="exact"/>
        <w:ind w:firstLine="640" w:firstLineChars="200"/>
        <w:rPr>
          <w:rFonts w:eastAsia="仿宋_GB2312"/>
          <w:sz w:val="32"/>
          <w:szCs w:val="32"/>
        </w:rPr>
      </w:pPr>
      <w:r>
        <w:rPr>
          <w:rFonts w:eastAsia="仿宋_GB2312"/>
          <w:sz w:val="32"/>
          <w:szCs w:val="32"/>
        </w:rPr>
        <w:t>本单位按要求对2020年部门整体支出绩效评价情况开展自评，</w:t>
      </w:r>
      <w:r>
        <w:rPr>
          <w:rFonts w:eastAsia="仿宋"/>
          <w:color w:val="000000"/>
          <w:sz w:val="32"/>
          <w:szCs w:val="32"/>
        </w:rPr>
        <w:t>2020年部门支出与年初预算基本一致，达到预期绩效目标。</w:t>
      </w:r>
    </w:p>
    <w:p>
      <w:pPr>
        <w:widowControl/>
        <w:spacing w:line="600" w:lineRule="exact"/>
        <w:ind w:firstLine="643" w:firstLineChars="200"/>
        <w:jc w:val="left"/>
        <w:rPr>
          <w:rFonts w:eastAsia="仿宋_GB2312"/>
          <w:b/>
          <w:sz w:val="32"/>
          <w:szCs w:val="32"/>
        </w:rPr>
      </w:pPr>
      <w:r>
        <w:rPr>
          <w:rFonts w:eastAsia="仿宋_GB2312"/>
          <w:b/>
          <w:sz w:val="32"/>
          <w:szCs w:val="32"/>
        </w:rPr>
        <w:br w:type="page"/>
      </w:r>
    </w:p>
    <w:p>
      <w:pPr>
        <w:numPr>
          <w:ilvl w:val="0"/>
          <w:numId w:val="3"/>
        </w:numPr>
        <w:spacing w:line="600" w:lineRule="exact"/>
        <w:ind w:firstLine="660" w:firstLineChars="150"/>
        <w:jc w:val="center"/>
        <w:outlineLvl w:val="0"/>
        <w:rPr>
          <w:rStyle w:val="24"/>
          <w:rFonts w:ascii="方正小标宋简体" w:eastAsia="方正小标宋简体"/>
          <w:b w:val="0"/>
        </w:rPr>
      </w:pPr>
      <w:bookmarkStart w:id="50" w:name="_Toc15377225"/>
      <w:bookmarkStart w:id="51" w:name="_Toc15396613"/>
      <w:r>
        <w:rPr>
          <w:rFonts w:hint="eastAsia" w:ascii="方正小标宋简体" w:eastAsia="方正小标宋简体"/>
          <w:color w:val="000000"/>
          <w:sz w:val="44"/>
          <w:szCs w:val="44"/>
        </w:rPr>
        <w:t>名</w:t>
      </w:r>
      <w:r>
        <w:rPr>
          <w:rStyle w:val="24"/>
          <w:rFonts w:hint="eastAsia" w:ascii="方正小标宋简体" w:eastAsia="方正小标宋简体"/>
          <w:b w:val="0"/>
        </w:rPr>
        <w:t>词解释</w:t>
      </w:r>
      <w:bookmarkEnd w:id="50"/>
      <w:bookmarkEnd w:id="51"/>
    </w:p>
    <w:p>
      <w:pPr>
        <w:spacing w:line="600" w:lineRule="exact"/>
        <w:jc w:val="left"/>
        <w:rPr>
          <w:b/>
          <w:color w:val="000000"/>
          <w:sz w:val="32"/>
          <w:szCs w:val="32"/>
        </w:rPr>
      </w:pPr>
    </w:p>
    <w:p>
      <w:pPr>
        <w:pStyle w:val="22"/>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1.财政拨款收入：指单位从同级财政部门取得的财政预算资金。</w:t>
      </w:r>
    </w:p>
    <w:p>
      <w:pPr>
        <w:pStyle w:val="22"/>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 xml:space="preserve">2.其他收入：指单位取得的除上述收入以外的各项收入。主要是单位利息收入、图集编制咨询收入等等。 </w:t>
      </w:r>
    </w:p>
    <w:p>
      <w:pPr>
        <w:pStyle w:val="22"/>
        <w:spacing w:line="600" w:lineRule="exact"/>
        <w:ind w:firstLine="640" w:firstLineChars="200"/>
        <w:rPr>
          <w:rFonts w:ascii="Times New Roman" w:hAnsi="Times New Roman" w:cs="Times New Roman"/>
          <w:sz w:val="32"/>
          <w:szCs w:val="32"/>
        </w:rPr>
      </w:pPr>
      <w:r>
        <w:rPr>
          <w:rFonts w:ascii="Times New Roman" w:hAnsi="Times New Roman" w:cs="Times New Roman"/>
          <w:sz w:val="32"/>
          <w:szCs w:val="32"/>
        </w:rPr>
        <w:t xml:space="preserve">3.使用非财政拨款结余：指事业单位使用以前年度积累的非财政拨款结余弥补当年收支差额的金额。 </w:t>
      </w:r>
    </w:p>
    <w:p>
      <w:pPr>
        <w:spacing w:line="600" w:lineRule="exact"/>
        <w:ind w:firstLine="640" w:firstLineChars="200"/>
        <w:rPr>
          <w:rFonts w:eastAsia="仿宋"/>
          <w:color w:val="000000"/>
          <w:sz w:val="32"/>
          <w:szCs w:val="32"/>
        </w:rPr>
      </w:pPr>
      <w:r>
        <w:rPr>
          <w:rFonts w:eastAsia="仿宋"/>
          <w:color w:val="000000"/>
          <w:sz w:val="32"/>
          <w:szCs w:val="32"/>
        </w:rPr>
        <w:t>4.教育支出 （类）进修及培训（款）培训支出（项）：指单位职工外出参加各类专业培训的各项支出。</w:t>
      </w:r>
    </w:p>
    <w:p>
      <w:pPr>
        <w:spacing w:line="600" w:lineRule="exact"/>
        <w:ind w:firstLine="640" w:firstLineChars="200"/>
        <w:rPr>
          <w:rFonts w:eastAsia="仿宋"/>
          <w:color w:val="000000"/>
          <w:sz w:val="32"/>
          <w:szCs w:val="32"/>
        </w:rPr>
      </w:pPr>
      <w:r>
        <w:rPr>
          <w:rFonts w:eastAsia="仿宋"/>
          <w:color w:val="000000"/>
          <w:sz w:val="32"/>
          <w:szCs w:val="32"/>
        </w:rPr>
        <w:t>5.社会保障和就业（类）行政事业单位离退休（款）机关事业单位基本养老保险缴费支出（项）：指单位用于职工基本养老保险缴费的支出。</w:t>
      </w:r>
    </w:p>
    <w:p>
      <w:pPr>
        <w:pStyle w:val="2"/>
        <w:spacing w:beforeLines="0" w:line="600" w:lineRule="exact"/>
        <w:ind w:firstLine="640" w:firstLineChars="200"/>
        <w:rPr>
          <w:rFonts w:ascii="Times New Roman" w:eastAsia="仿宋"/>
          <w:color w:val="000000"/>
          <w:sz w:val="32"/>
          <w:szCs w:val="32"/>
        </w:rPr>
      </w:pPr>
      <w:r>
        <w:rPr>
          <w:rFonts w:ascii="Times New Roman" w:eastAsia="仿宋"/>
          <w:sz w:val="32"/>
          <w:szCs w:val="32"/>
        </w:rPr>
        <w:t>6.</w:t>
      </w:r>
      <w:r>
        <w:rPr>
          <w:rFonts w:ascii="Times New Roman" w:eastAsia="仿宋"/>
          <w:color w:val="000000"/>
          <w:sz w:val="32"/>
          <w:szCs w:val="32"/>
        </w:rPr>
        <w:t>社会保障和就业（类）行政事业单位离退休（款）机关事业单位职业年金缴费支出（项）：指单位用于职工职业年金缴费的支出。</w:t>
      </w:r>
    </w:p>
    <w:p>
      <w:pPr>
        <w:pStyle w:val="2"/>
        <w:spacing w:beforeLines="0" w:line="600" w:lineRule="exact"/>
        <w:ind w:firstLine="640" w:firstLineChars="200"/>
        <w:rPr>
          <w:rFonts w:ascii="Times New Roman" w:eastAsia="仿宋"/>
          <w:color w:val="000000"/>
          <w:sz w:val="32"/>
          <w:szCs w:val="32"/>
        </w:rPr>
      </w:pPr>
      <w:r>
        <w:rPr>
          <w:rFonts w:ascii="Times New Roman" w:eastAsia="仿宋"/>
          <w:color w:val="000000"/>
          <w:sz w:val="32"/>
          <w:szCs w:val="32"/>
        </w:rPr>
        <w:t>7.社会保障和就业（类）抚恤（款）死亡抚恤（项）：指单位用于病故职工家属的一次性抚恤金以及丧葬补助费的支出。</w:t>
      </w:r>
    </w:p>
    <w:p>
      <w:pPr>
        <w:pStyle w:val="2"/>
        <w:spacing w:beforeLines="0" w:line="600" w:lineRule="exact"/>
        <w:ind w:firstLine="640" w:firstLineChars="200"/>
        <w:rPr>
          <w:rFonts w:ascii="Times New Roman" w:eastAsia="仿宋"/>
          <w:color w:val="000000"/>
          <w:sz w:val="32"/>
          <w:szCs w:val="32"/>
        </w:rPr>
      </w:pPr>
      <w:r>
        <w:rPr>
          <w:rFonts w:ascii="Times New Roman" w:eastAsia="仿宋"/>
          <w:color w:val="000000"/>
          <w:sz w:val="32"/>
          <w:szCs w:val="32"/>
        </w:rPr>
        <w:t>8.卫生健康支出（类）行政事业单位医疗（款）事业单位医疗（项）</w:t>
      </w:r>
      <w:r>
        <w:rPr>
          <w:rFonts w:ascii="Times New Roman" w:eastAsia="仿宋"/>
          <w:sz w:val="32"/>
          <w:szCs w:val="32"/>
        </w:rPr>
        <w:t>：指用于单位按照规定标准为职工缴纳的基本医疗保险支出。</w:t>
      </w:r>
    </w:p>
    <w:p>
      <w:pPr>
        <w:spacing w:line="600" w:lineRule="exact"/>
        <w:ind w:firstLine="640" w:firstLineChars="200"/>
        <w:rPr>
          <w:rFonts w:eastAsia="仿宋"/>
          <w:kern w:val="0"/>
          <w:sz w:val="32"/>
          <w:szCs w:val="32"/>
        </w:rPr>
      </w:pPr>
      <w:r>
        <w:rPr>
          <w:rFonts w:eastAsia="仿宋"/>
          <w:kern w:val="0"/>
          <w:sz w:val="32"/>
          <w:szCs w:val="32"/>
        </w:rPr>
        <w:t>9.城乡社区支出（类）城乡社区管理事务（款）其他城乡社区管理事务支出（项）：指用于全省建筑标准图集编制咨询与出版发行方面的支出。</w:t>
      </w:r>
    </w:p>
    <w:p>
      <w:pPr>
        <w:spacing w:line="600" w:lineRule="exact"/>
        <w:ind w:firstLine="640" w:firstLineChars="200"/>
        <w:rPr>
          <w:rFonts w:eastAsia="仿宋"/>
          <w:color w:val="000000"/>
          <w:sz w:val="32"/>
          <w:szCs w:val="32"/>
        </w:rPr>
      </w:pPr>
      <w:r>
        <w:rPr>
          <w:rFonts w:eastAsia="仿宋"/>
          <w:color w:val="000000"/>
          <w:sz w:val="32"/>
          <w:szCs w:val="32"/>
        </w:rPr>
        <w:t>10.</w:t>
      </w:r>
      <w:r>
        <w:rPr>
          <w:rFonts w:eastAsia="仿宋"/>
          <w:kern w:val="0"/>
          <w:sz w:val="32"/>
          <w:szCs w:val="32"/>
        </w:rPr>
        <w:t>住房保障支出（类）住房改革支出 （款）住房公积金（项）：指用于单位按照规定标准为职工缴纳的住房公积金支出。</w:t>
      </w:r>
    </w:p>
    <w:p>
      <w:pPr>
        <w:spacing w:line="600" w:lineRule="exact"/>
        <w:ind w:firstLine="640" w:firstLineChars="200"/>
        <w:rPr>
          <w:rFonts w:eastAsia="仿宋"/>
          <w:kern w:val="0"/>
          <w:sz w:val="32"/>
          <w:szCs w:val="32"/>
        </w:rPr>
      </w:pPr>
      <w:r>
        <w:rPr>
          <w:rFonts w:eastAsia="仿宋"/>
          <w:color w:val="000000"/>
          <w:sz w:val="32"/>
          <w:szCs w:val="32"/>
        </w:rPr>
        <w:t>11.</w:t>
      </w:r>
      <w:r>
        <w:rPr>
          <w:rFonts w:eastAsia="仿宋"/>
          <w:kern w:val="0"/>
          <w:sz w:val="32"/>
          <w:szCs w:val="32"/>
        </w:rPr>
        <w:t>住房保障支出 （类）住房改革支出  （款）购房补贴（项）：指单位按房改政策规定向符合条件职工发放的用于购买住房的补贴。</w:t>
      </w:r>
    </w:p>
    <w:p>
      <w:pPr>
        <w:spacing w:line="600" w:lineRule="exact"/>
        <w:ind w:firstLine="640" w:firstLineChars="200"/>
        <w:rPr>
          <w:rFonts w:eastAsia="仿宋"/>
          <w:color w:val="000000"/>
          <w:sz w:val="32"/>
          <w:szCs w:val="32"/>
        </w:rPr>
      </w:pPr>
      <w:r>
        <w:rPr>
          <w:rFonts w:eastAsia="仿宋"/>
          <w:color w:val="000000"/>
          <w:sz w:val="32"/>
          <w:szCs w:val="32"/>
        </w:rPr>
        <w:t>12.基本支出：指为保障机构正常运转、完成日常工作任务而发生的人员支出和公用支出。</w:t>
      </w:r>
    </w:p>
    <w:p>
      <w:pPr>
        <w:spacing w:line="600" w:lineRule="exact"/>
        <w:ind w:firstLine="640" w:firstLineChars="200"/>
        <w:rPr>
          <w:rFonts w:eastAsia="仿宋"/>
          <w:color w:val="000000"/>
          <w:sz w:val="32"/>
          <w:szCs w:val="32"/>
        </w:rPr>
      </w:pPr>
      <w:r>
        <w:rPr>
          <w:rFonts w:eastAsia="仿宋"/>
          <w:color w:val="000000"/>
          <w:sz w:val="32"/>
          <w:szCs w:val="32"/>
        </w:rPr>
        <w:t xml:space="preserve">13.项目支出：指在基本支出之外为完成特定行政任务和事业发展目标所发生的支出。 </w:t>
      </w:r>
    </w:p>
    <w:p>
      <w:pPr>
        <w:spacing w:line="600" w:lineRule="exact"/>
        <w:ind w:firstLine="640" w:firstLineChars="200"/>
        <w:rPr>
          <w:rFonts w:eastAsia="仿宋_GB2312"/>
          <w:color w:val="000000"/>
          <w:sz w:val="32"/>
          <w:szCs w:val="32"/>
        </w:rPr>
      </w:pPr>
      <w:r>
        <w:rPr>
          <w:rFonts w:eastAsia="仿宋"/>
          <w:color w:val="000000"/>
          <w:sz w:val="32"/>
          <w:szCs w:val="32"/>
        </w:rPr>
        <w:t>14."三公"经费 :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w:t>
      </w:r>
      <w:r>
        <w:rPr>
          <w:rFonts w:eastAsia="仿宋_GB2312"/>
          <w:color w:val="000000"/>
          <w:sz w:val="32"/>
          <w:szCs w:val="32"/>
        </w:rPr>
        <w:t>出。</w:t>
      </w:r>
    </w:p>
    <w:p>
      <w:pPr>
        <w:spacing w:line="600" w:lineRule="exact"/>
        <w:ind w:firstLine="640" w:firstLineChars="200"/>
        <w:rPr>
          <w:rFonts w:eastAsia="仿宋_GB2312"/>
          <w:color w:val="000000"/>
          <w:sz w:val="32"/>
          <w:szCs w:val="32"/>
        </w:rPr>
      </w:pPr>
    </w:p>
    <w:p>
      <w:pPr>
        <w:spacing w:line="600" w:lineRule="exact"/>
        <w:ind w:firstLine="640" w:firstLineChars="200"/>
        <w:rPr>
          <w:rFonts w:eastAsia="仿宋_GB2312"/>
          <w:color w:val="000000"/>
          <w:sz w:val="32"/>
          <w:szCs w:val="32"/>
        </w:rPr>
      </w:pPr>
    </w:p>
    <w:p>
      <w:pPr>
        <w:spacing w:line="600" w:lineRule="exact"/>
        <w:jc w:val="center"/>
        <w:outlineLvl w:val="0"/>
        <w:rPr>
          <w:rStyle w:val="24"/>
          <w:rFonts w:ascii="方正小标宋简体" w:eastAsia="方正小标宋简体"/>
          <w:b w:val="0"/>
        </w:rPr>
      </w:pPr>
      <w:bookmarkStart w:id="52" w:name="_Toc15377226"/>
      <w:r>
        <w:rPr>
          <w:b/>
          <w:color w:val="000000"/>
          <w:sz w:val="32"/>
          <w:szCs w:val="32"/>
        </w:rPr>
        <w:br w:type="page"/>
      </w:r>
      <w:bookmarkStart w:id="53" w:name="_Toc15396614"/>
      <w:r>
        <w:rPr>
          <w:rFonts w:hint="eastAsia" w:ascii="方正小标宋简体" w:eastAsia="方正小标宋简体"/>
          <w:color w:val="000000"/>
          <w:sz w:val="44"/>
          <w:szCs w:val="44"/>
        </w:rPr>
        <w:t>第</w:t>
      </w:r>
      <w:r>
        <w:rPr>
          <w:rStyle w:val="24"/>
          <w:rFonts w:hint="eastAsia" w:ascii="方正小标宋简体" w:eastAsia="方正小标宋简体"/>
          <w:b w:val="0"/>
        </w:rPr>
        <w:t>四部分 附件</w:t>
      </w:r>
      <w:bookmarkEnd w:id="53"/>
    </w:p>
    <w:p>
      <w:pPr>
        <w:pStyle w:val="2"/>
        <w:spacing w:before="173" w:line="600" w:lineRule="exact"/>
        <w:rPr>
          <w:rFonts w:ascii="Times New Roman"/>
          <w:sz w:val="32"/>
          <w:szCs w:val="32"/>
        </w:rPr>
      </w:pPr>
    </w:p>
    <w:p>
      <w:pPr>
        <w:spacing w:line="600" w:lineRule="exact"/>
        <w:ind w:firstLine="640" w:firstLineChars="200"/>
        <w:rPr>
          <w:rFonts w:eastAsia="仿宋_GB2312"/>
          <w:sz w:val="32"/>
          <w:szCs w:val="32"/>
        </w:rPr>
      </w:pPr>
      <w:r>
        <w:rPr>
          <w:rFonts w:hint="eastAsia" w:eastAsia="仿宋_GB2312"/>
          <w:sz w:val="32"/>
          <w:szCs w:val="32"/>
        </w:rPr>
        <w:t>由于我</w:t>
      </w:r>
      <w:r>
        <w:rPr>
          <w:rFonts w:eastAsia="仿宋_GB2312"/>
          <w:sz w:val="32"/>
          <w:szCs w:val="32"/>
        </w:rPr>
        <w:t>单位2020年</w:t>
      </w:r>
      <w:r>
        <w:rPr>
          <w:rFonts w:hint="eastAsia" w:eastAsia="仿宋_GB2312"/>
          <w:sz w:val="32"/>
          <w:szCs w:val="32"/>
        </w:rPr>
        <w:t>预算中</w:t>
      </w:r>
      <w:r>
        <w:rPr>
          <w:rFonts w:eastAsia="仿宋_GB2312"/>
          <w:sz w:val="32"/>
          <w:szCs w:val="32"/>
        </w:rPr>
        <w:t>无100万元以上的项目，</w:t>
      </w:r>
      <w:r>
        <w:rPr>
          <w:rFonts w:hint="eastAsia" w:eastAsia="仿宋_GB2312"/>
          <w:sz w:val="32"/>
          <w:szCs w:val="32"/>
        </w:rPr>
        <w:t>不涉及项目绩效目标，因此按财政厅口径未开展项目支出绩效自评工作。</w:t>
      </w:r>
      <w:r>
        <w:rPr>
          <w:rFonts w:eastAsia="仿宋_GB2312"/>
          <w:sz w:val="32"/>
          <w:szCs w:val="32"/>
        </w:rPr>
        <w:t xml:space="preserve"> </w:t>
      </w:r>
    </w:p>
    <w:p>
      <w:pPr>
        <w:pStyle w:val="2"/>
        <w:spacing w:before="173" w:line="600" w:lineRule="exact"/>
        <w:rPr>
          <w:rFonts w:ascii="Times New Roman"/>
          <w:sz w:val="32"/>
          <w:szCs w:val="32"/>
        </w:rPr>
      </w:pPr>
    </w:p>
    <w:p>
      <w:pPr>
        <w:pStyle w:val="2"/>
        <w:spacing w:beforeLines="0"/>
        <w:rPr>
          <w:rFonts w:ascii="Times New Roman"/>
          <w:sz w:val="32"/>
          <w:szCs w:val="32"/>
        </w:rPr>
      </w:pPr>
    </w:p>
    <w:p>
      <w:pPr>
        <w:pStyle w:val="2"/>
        <w:spacing w:beforeLines="0"/>
        <w:rPr>
          <w:rFonts w:ascii="Times New Roman"/>
          <w:sz w:val="32"/>
          <w:szCs w:val="32"/>
        </w:rPr>
      </w:pPr>
    </w:p>
    <w:p>
      <w:pPr>
        <w:pStyle w:val="2"/>
        <w:spacing w:beforeLines="0"/>
        <w:rPr>
          <w:rFonts w:ascii="Times New Roman"/>
          <w:sz w:val="32"/>
          <w:szCs w:val="32"/>
        </w:rPr>
      </w:pPr>
    </w:p>
    <w:p>
      <w:pPr>
        <w:pStyle w:val="2"/>
        <w:spacing w:beforeLines="0"/>
        <w:rPr>
          <w:rFonts w:ascii="Times New Roman"/>
          <w:sz w:val="32"/>
          <w:szCs w:val="32"/>
        </w:rPr>
      </w:pPr>
    </w:p>
    <w:p>
      <w:pPr>
        <w:pStyle w:val="2"/>
        <w:spacing w:beforeLines="0"/>
        <w:rPr>
          <w:rFonts w:ascii="Times New Roman"/>
          <w:sz w:val="32"/>
          <w:szCs w:val="32"/>
        </w:rPr>
      </w:pPr>
    </w:p>
    <w:p>
      <w:pPr>
        <w:pStyle w:val="2"/>
        <w:spacing w:beforeLines="0" w:line="600" w:lineRule="exact"/>
        <w:ind w:firstLine="640" w:firstLineChars="200"/>
        <w:rPr>
          <w:rFonts w:ascii="Times New Roman" w:eastAsia="仿宋"/>
          <w:sz w:val="32"/>
          <w:szCs w:val="32"/>
        </w:rPr>
      </w:pPr>
    </w:p>
    <w:p>
      <w:pPr>
        <w:adjustRightInd w:val="0"/>
        <w:snapToGrid w:val="0"/>
        <w:spacing w:line="600" w:lineRule="exact"/>
        <w:ind w:firstLine="643" w:firstLineChars="200"/>
        <w:rPr>
          <w:rFonts w:eastAsia="仿宋"/>
          <w:b/>
          <w:sz w:val="32"/>
          <w:szCs w:val="32"/>
          <w:lang w:val="zh-CN"/>
        </w:rPr>
      </w:pPr>
    </w:p>
    <w:p>
      <w:pPr>
        <w:pStyle w:val="2"/>
        <w:spacing w:before="173"/>
        <w:rPr>
          <w:lang w:val="zh-CN"/>
        </w:rPr>
      </w:pPr>
    </w:p>
    <w:p>
      <w:pPr>
        <w:spacing w:line="600" w:lineRule="exact"/>
        <w:jc w:val="left"/>
        <w:outlineLvl w:val="0"/>
        <w:rPr>
          <w:rFonts w:ascii="仿宋_GB2312" w:eastAsia="仿宋_GB2312"/>
          <w:kern w:val="0"/>
          <w:sz w:val="30"/>
          <w:lang w:val="zh-CN"/>
        </w:rPr>
      </w:pPr>
      <w:bookmarkStart w:id="54" w:name="_Toc15396618"/>
    </w:p>
    <w:p>
      <w:pPr>
        <w:pStyle w:val="2"/>
        <w:rPr>
          <w:rFonts w:ascii="仿宋_GB2312" w:eastAsia="仿宋_GB2312"/>
          <w:kern w:val="0"/>
          <w:sz w:val="30"/>
          <w:lang w:val="zh-CN"/>
        </w:rPr>
      </w:pPr>
    </w:p>
    <w:p>
      <w:pPr>
        <w:pStyle w:val="2"/>
        <w:rPr>
          <w:rFonts w:ascii="仿宋_GB2312" w:eastAsia="仿宋_GB2312"/>
          <w:kern w:val="0"/>
          <w:sz w:val="30"/>
          <w:lang w:val="zh-CN"/>
        </w:rPr>
      </w:pPr>
    </w:p>
    <w:p>
      <w:pPr>
        <w:pStyle w:val="2"/>
        <w:rPr>
          <w:rFonts w:ascii="仿宋_GB2312" w:eastAsia="仿宋_GB2312"/>
          <w:kern w:val="0"/>
          <w:sz w:val="30"/>
          <w:lang w:val="zh-CN"/>
        </w:rPr>
      </w:pPr>
    </w:p>
    <w:p>
      <w:pPr>
        <w:spacing w:line="600" w:lineRule="exact"/>
        <w:jc w:val="left"/>
        <w:outlineLvl w:val="0"/>
        <w:rPr>
          <w:rFonts w:ascii="仿宋_GB2312" w:eastAsia="仿宋_GB2312"/>
          <w:kern w:val="0"/>
          <w:sz w:val="30"/>
          <w:lang w:val="zh-CN"/>
        </w:rPr>
      </w:pPr>
    </w:p>
    <w:p>
      <w:pPr>
        <w:spacing w:line="600" w:lineRule="exact"/>
        <w:jc w:val="left"/>
        <w:outlineLvl w:val="0"/>
        <w:rPr>
          <w:rFonts w:ascii="仿宋_GB2312" w:eastAsia="仿宋_GB2312"/>
          <w:kern w:val="0"/>
          <w:sz w:val="30"/>
          <w:lang w:val="zh-CN"/>
        </w:rPr>
      </w:pPr>
    </w:p>
    <w:p>
      <w:pPr>
        <w:spacing w:line="600" w:lineRule="exact"/>
        <w:jc w:val="center"/>
        <w:outlineLvl w:val="0"/>
        <w:rPr>
          <w:rStyle w:val="24"/>
          <w:rFonts w:ascii="方正小标宋简体" w:eastAsia="方正小标宋简体"/>
          <w:b w:val="0"/>
        </w:rPr>
      </w:pPr>
      <w:r>
        <w:rPr>
          <w:rFonts w:hint="eastAsia" w:ascii="方正小标宋简体" w:eastAsia="方正小标宋简体"/>
          <w:color w:val="000000"/>
          <w:sz w:val="44"/>
          <w:szCs w:val="44"/>
        </w:rPr>
        <w:t>第</w:t>
      </w:r>
      <w:r>
        <w:rPr>
          <w:rStyle w:val="24"/>
          <w:rFonts w:hint="eastAsia" w:ascii="方正小标宋简体" w:eastAsia="方正小标宋简体"/>
          <w:b w:val="0"/>
        </w:rPr>
        <w:t>五部分 附</w:t>
      </w:r>
      <w:bookmarkStart w:id="68" w:name="_GoBack"/>
      <w:bookmarkEnd w:id="68"/>
      <w:r>
        <w:rPr>
          <w:rStyle w:val="24"/>
          <w:rFonts w:hint="eastAsia" w:ascii="方正小标宋简体" w:eastAsia="方正小标宋简体"/>
          <w:b w:val="0"/>
        </w:rPr>
        <w:t>表</w:t>
      </w:r>
      <w:bookmarkEnd w:id="52"/>
      <w:bookmarkEnd w:id="54"/>
      <w:bookmarkStart w:id="55" w:name="_Toc15396619"/>
    </w:p>
    <w:p>
      <w:pPr>
        <w:pStyle w:val="2"/>
        <w:spacing w:before="173"/>
      </w:pPr>
    </w:p>
    <w:p>
      <w:pPr>
        <w:pStyle w:val="4"/>
        <w:spacing w:before="0" w:after="0" w:line="600" w:lineRule="exact"/>
        <w:ind w:firstLine="640" w:firstLineChars="200"/>
        <w:rPr>
          <w:rFonts w:ascii="Times New Roman" w:hAnsi="Times New Roman" w:eastAsia="仿宋" w:cs="Times New Roman"/>
          <w:color w:val="000000"/>
        </w:rPr>
      </w:pPr>
      <w:r>
        <w:rPr>
          <w:rFonts w:ascii="Times New Roman" w:hAnsi="Times New Roman" w:eastAsia="仿宋" w:cs="Times New Roman"/>
          <w:b w:val="0"/>
          <w:color w:val="000000"/>
        </w:rPr>
        <w:t>一、收</w:t>
      </w:r>
      <w:r>
        <w:rPr>
          <w:rStyle w:val="25"/>
          <w:rFonts w:ascii="Times New Roman" w:hAnsi="Times New Roman" w:eastAsia="仿宋" w:cs="Times New Roman"/>
          <w:b w:val="0"/>
          <w:bCs w:val="0"/>
        </w:rPr>
        <w:t>入支出决算总表</w:t>
      </w:r>
      <w:bookmarkEnd w:id="55"/>
    </w:p>
    <w:p>
      <w:pPr>
        <w:pStyle w:val="4"/>
        <w:spacing w:before="0" w:after="0" w:line="600" w:lineRule="exact"/>
        <w:ind w:firstLine="640" w:firstLineChars="200"/>
        <w:rPr>
          <w:rFonts w:ascii="Times New Roman" w:hAnsi="Times New Roman" w:eastAsia="仿宋" w:cs="Times New Roman"/>
          <w:color w:val="000000"/>
        </w:rPr>
      </w:pPr>
      <w:bookmarkStart w:id="56" w:name="_Toc15396620"/>
      <w:r>
        <w:rPr>
          <w:rFonts w:ascii="Times New Roman" w:hAnsi="Times New Roman" w:eastAsia="仿宋" w:cs="Times New Roman"/>
          <w:b w:val="0"/>
          <w:color w:val="000000"/>
        </w:rPr>
        <w:t>二、收</w:t>
      </w:r>
      <w:r>
        <w:rPr>
          <w:rStyle w:val="25"/>
          <w:rFonts w:ascii="Times New Roman" w:hAnsi="Times New Roman" w:eastAsia="仿宋" w:cs="Times New Roman"/>
          <w:b w:val="0"/>
          <w:bCs w:val="0"/>
        </w:rPr>
        <w:t>入决算表</w:t>
      </w:r>
      <w:bookmarkEnd w:id="56"/>
    </w:p>
    <w:p>
      <w:pPr>
        <w:pStyle w:val="4"/>
        <w:spacing w:before="0" w:after="0" w:line="600" w:lineRule="exact"/>
        <w:ind w:firstLine="640" w:firstLineChars="200"/>
        <w:rPr>
          <w:rFonts w:ascii="Times New Roman" w:hAnsi="Times New Roman" w:eastAsia="仿宋" w:cs="Times New Roman"/>
          <w:color w:val="000000"/>
        </w:rPr>
      </w:pPr>
      <w:bookmarkStart w:id="57" w:name="_Toc15396621"/>
      <w:r>
        <w:rPr>
          <w:rStyle w:val="25"/>
          <w:rFonts w:ascii="Times New Roman" w:hAnsi="Times New Roman" w:eastAsia="仿宋" w:cs="Times New Roman"/>
          <w:b w:val="0"/>
          <w:bCs w:val="0"/>
        </w:rPr>
        <w:t>三、</w:t>
      </w:r>
      <w:r>
        <w:rPr>
          <w:rFonts w:ascii="Times New Roman" w:hAnsi="Times New Roman" w:eastAsia="仿宋" w:cs="Times New Roman"/>
          <w:b w:val="0"/>
          <w:color w:val="000000"/>
        </w:rPr>
        <w:t>支</w:t>
      </w:r>
      <w:r>
        <w:rPr>
          <w:rStyle w:val="25"/>
          <w:rFonts w:ascii="Times New Roman" w:hAnsi="Times New Roman" w:eastAsia="仿宋" w:cs="Times New Roman"/>
          <w:b w:val="0"/>
          <w:bCs w:val="0"/>
        </w:rPr>
        <w:t>出决算表</w:t>
      </w:r>
      <w:bookmarkEnd w:id="57"/>
    </w:p>
    <w:p>
      <w:pPr>
        <w:pStyle w:val="4"/>
        <w:spacing w:before="0" w:after="0" w:line="600" w:lineRule="exact"/>
        <w:ind w:firstLine="640" w:firstLineChars="200"/>
        <w:rPr>
          <w:rFonts w:ascii="Times New Roman" w:hAnsi="Times New Roman" w:eastAsia="仿宋" w:cs="Times New Roman"/>
          <w:b w:val="0"/>
          <w:color w:val="000000"/>
        </w:rPr>
      </w:pPr>
      <w:bookmarkStart w:id="58" w:name="_Toc15396622"/>
      <w:r>
        <w:rPr>
          <w:rStyle w:val="25"/>
          <w:rFonts w:ascii="Times New Roman" w:hAnsi="Times New Roman" w:eastAsia="仿宋" w:cs="Times New Roman"/>
          <w:b w:val="0"/>
          <w:bCs w:val="0"/>
        </w:rPr>
        <w:t>四、</w:t>
      </w:r>
      <w:r>
        <w:rPr>
          <w:rFonts w:ascii="Times New Roman" w:hAnsi="Times New Roman" w:eastAsia="仿宋" w:cs="Times New Roman"/>
          <w:b w:val="0"/>
          <w:color w:val="000000"/>
        </w:rPr>
        <w:t>财</w:t>
      </w:r>
      <w:r>
        <w:rPr>
          <w:rStyle w:val="25"/>
          <w:rFonts w:ascii="Times New Roman" w:hAnsi="Times New Roman" w:eastAsia="仿宋" w:cs="Times New Roman"/>
          <w:b w:val="0"/>
          <w:bCs w:val="0"/>
        </w:rPr>
        <w:t>政拨款收入支出决算总表</w:t>
      </w:r>
      <w:bookmarkEnd w:id="58"/>
    </w:p>
    <w:p>
      <w:pPr>
        <w:pStyle w:val="4"/>
        <w:spacing w:before="0" w:after="0" w:line="600" w:lineRule="exact"/>
        <w:ind w:firstLine="640" w:firstLineChars="200"/>
        <w:rPr>
          <w:rStyle w:val="25"/>
          <w:rFonts w:ascii="Times New Roman" w:hAnsi="Times New Roman" w:eastAsia="仿宋" w:cs="Times New Roman"/>
          <w:b w:val="0"/>
          <w:bCs w:val="0"/>
        </w:rPr>
      </w:pPr>
      <w:bookmarkStart w:id="59" w:name="_Toc15396623"/>
      <w:r>
        <w:rPr>
          <w:rStyle w:val="25"/>
          <w:rFonts w:ascii="Times New Roman" w:hAnsi="Times New Roman" w:eastAsia="仿宋" w:cs="Times New Roman"/>
          <w:b w:val="0"/>
          <w:bCs w:val="0"/>
        </w:rPr>
        <w:t>五、</w:t>
      </w:r>
      <w:r>
        <w:rPr>
          <w:rFonts w:ascii="Times New Roman" w:hAnsi="Times New Roman" w:eastAsia="仿宋" w:cs="Times New Roman"/>
          <w:b w:val="0"/>
          <w:color w:val="000000"/>
        </w:rPr>
        <w:t>财</w:t>
      </w:r>
      <w:r>
        <w:rPr>
          <w:rStyle w:val="25"/>
          <w:rFonts w:ascii="Times New Roman" w:hAnsi="Times New Roman" w:eastAsia="仿宋" w:cs="Times New Roman"/>
          <w:b w:val="0"/>
          <w:bCs w:val="0"/>
        </w:rPr>
        <w:t>政拨款支出决算明细表</w:t>
      </w:r>
      <w:bookmarkEnd w:id="59"/>
      <w:bookmarkStart w:id="60" w:name="_Toc15396624"/>
    </w:p>
    <w:p>
      <w:pPr>
        <w:pStyle w:val="4"/>
        <w:spacing w:before="0" w:after="0" w:line="600" w:lineRule="exact"/>
        <w:ind w:firstLine="640" w:firstLineChars="200"/>
        <w:rPr>
          <w:rFonts w:ascii="Times New Roman" w:hAnsi="Times New Roman" w:eastAsia="仿宋" w:cs="Times New Roman"/>
          <w:color w:val="000000"/>
        </w:rPr>
      </w:pPr>
      <w:r>
        <w:rPr>
          <w:rStyle w:val="25"/>
          <w:rFonts w:ascii="Times New Roman" w:hAnsi="Times New Roman" w:eastAsia="仿宋" w:cs="Times New Roman"/>
          <w:b w:val="0"/>
          <w:bCs w:val="0"/>
        </w:rPr>
        <w:t>六、</w:t>
      </w:r>
      <w:r>
        <w:rPr>
          <w:rFonts w:ascii="Times New Roman" w:hAnsi="Times New Roman" w:eastAsia="仿宋" w:cs="Times New Roman"/>
          <w:b w:val="0"/>
          <w:color w:val="000000"/>
        </w:rPr>
        <w:t>一</w:t>
      </w:r>
      <w:r>
        <w:rPr>
          <w:rStyle w:val="25"/>
          <w:rFonts w:ascii="Times New Roman" w:hAnsi="Times New Roman" w:eastAsia="仿宋" w:cs="Times New Roman"/>
          <w:b w:val="0"/>
          <w:bCs w:val="0"/>
        </w:rPr>
        <w:t>般公共预算财政拨款支出决算表</w:t>
      </w:r>
      <w:bookmarkEnd w:id="60"/>
    </w:p>
    <w:p>
      <w:pPr>
        <w:pStyle w:val="4"/>
        <w:spacing w:before="0" w:after="0" w:line="600" w:lineRule="exact"/>
        <w:ind w:firstLine="640" w:firstLineChars="200"/>
        <w:rPr>
          <w:rFonts w:ascii="Times New Roman" w:hAnsi="Times New Roman" w:eastAsia="仿宋" w:cs="Times New Roman"/>
          <w:color w:val="000000"/>
        </w:rPr>
      </w:pPr>
      <w:bookmarkStart w:id="61" w:name="_Toc15396625"/>
      <w:r>
        <w:rPr>
          <w:rStyle w:val="25"/>
          <w:rFonts w:ascii="Times New Roman" w:hAnsi="Times New Roman" w:eastAsia="仿宋" w:cs="Times New Roman"/>
          <w:b w:val="0"/>
          <w:bCs w:val="0"/>
        </w:rPr>
        <w:t>七、</w:t>
      </w:r>
      <w:r>
        <w:rPr>
          <w:rFonts w:ascii="Times New Roman" w:hAnsi="Times New Roman" w:eastAsia="仿宋" w:cs="Times New Roman"/>
          <w:b w:val="0"/>
          <w:color w:val="000000"/>
        </w:rPr>
        <w:t>一</w:t>
      </w:r>
      <w:r>
        <w:rPr>
          <w:rStyle w:val="25"/>
          <w:rFonts w:ascii="Times New Roman" w:hAnsi="Times New Roman" w:eastAsia="仿宋" w:cs="Times New Roman"/>
          <w:b w:val="0"/>
          <w:bCs w:val="0"/>
        </w:rPr>
        <w:t>般公共预算财政拨款支出决算明细表</w:t>
      </w:r>
      <w:bookmarkEnd w:id="61"/>
    </w:p>
    <w:p>
      <w:pPr>
        <w:pStyle w:val="4"/>
        <w:spacing w:before="0" w:after="0" w:line="600" w:lineRule="exact"/>
        <w:ind w:firstLine="640" w:firstLineChars="200"/>
        <w:rPr>
          <w:rFonts w:ascii="Times New Roman" w:hAnsi="Times New Roman" w:eastAsia="仿宋" w:cs="Times New Roman"/>
          <w:color w:val="000000"/>
        </w:rPr>
      </w:pPr>
      <w:bookmarkStart w:id="62" w:name="_Toc15396626"/>
      <w:r>
        <w:rPr>
          <w:rStyle w:val="25"/>
          <w:rFonts w:ascii="Times New Roman" w:hAnsi="Times New Roman" w:eastAsia="仿宋" w:cs="Times New Roman"/>
          <w:b w:val="0"/>
          <w:bCs w:val="0"/>
        </w:rPr>
        <w:t>八、</w:t>
      </w:r>
      <w:r>
        <w:rPr>
          <w:rFonts w:ascii="Times New Roman" w:hAnsi="Times New Roman" w:eastAsia="仿宋" w:cs="Times New Roman"/>
          <w:b w:val="0"/>
          <w:color w:val="000000"/>
        </w:rPr>
        <w:t>一</w:t>
      </w:r>
      <w:r>
        <w:rPr>
          <w:rStyle w:val="25"/>
          <w:rFonts w:ascii="Times New Roman" w:hAnsi="Times New Roman" w:eastAsia="仿宋" w:cs="Times New Roman"/>
          <w:b w:val="0"/>
          <w:bCs w:val="0"/>
        </w:rPr>
        <w:t>般公共预算财政拨款基本支出决算表</w:t>
      </w:r>
      <w:bookmarkEnd w:id="62"/>
    </w:p>
    <w:p>
      <w:pPr>
        <w:pStyle w:val="4"/>
        <w:spacing w:before="0" w:after="0" w:line="600" w:lineRule="exact"/>
        <w:ind w:firstLine="640" w:firstLineChars="200"/>
        <w:rPr>
          <w:rFonts w:ascii="Times New Roman" w:hAnsi="Times New Roman" w:eastAsia="仿宋" w:cs="Times New Roman"/>
          <w:color w:val="000000"/>
        </w:rPr>
      </w:pPr>
      <w:bookmarkStart w:id="63" w:name="_Toc15396627"/>
      <w:r>
        <w:rPr>
          <w:rStyle w:val="25"/>
          <w:rFonts w:ascii="Times New Roman" w:hAnsi="Times New Roman" w:eastAsia="仿宋" w:cs="Times New Roman"/>
          <w:b w:val="0"/>
          <w:bCs w:val="0"/>
        </w:rPr>
        <w:t>九、</w:t>
      </w:r>
      <w:r>
        <w:rPr>
          <w:rFonts w:ascii="Times New Roman" w:hAnsi="Times New Roman" w:eastAsia="仿宋" w:cs="Times New Roman"/>
          <w:b w:val="0"/>
          <w:color w:val="000000"/>
        </w:rPr>
        <w:t>一</w:t>
      </w:r>
      <w:r>
        <w:rPr>
          <w:rStyle w:val="25"/>
          <w:rFonts w:ascii="Times New Roman" w:hAnsi="Times New Roman" w:eastAsia="仿宋" w:cs="Times New Roman"/>
          <w:b w:val="0"/>
          <w:bCs w:val="0"/>
        </w:rPr>
        <w:t>般公共预算财政拨款项目支出决算表</w:t>
      </w:r>
      <w:bookmarkEnd w:id="63"/>
    </w:p>
    <w:p>
      <w:pPr>
        <w:pStyle w:val="4"/>
        <w:spacing w:before="0" w:after="0" w:line="600" w:lineRule="exact"/>
        <w:ind w:firstLine="640" w:firstLineChars="200"/>
        <w:rPr>
          <w:rFonts w:ascii="Times New Roman" w:hAnsi="Times New Roman" w:eastAsia="仿宋" w:cs="Times New Roman"/>
          <w:color w:val="000000"/>
        </w:rPr>
      </w:pPr>
      <w:bookmarkStart w:id="64" w:name="_Toc15396628"/>
      <w:r>
        <w:rPr>
          <w:rStyle w:val="25"/>
          <w:rFonts w:ascii="Times New Roman" w:hAnsi="Times New Roman" w:eastAsia="仿宋" w:cs="Times New Roman"/>
          <w:b w:val="0"/>
          <w:bCs w:val="0"/>
        </w:rPr>
        <w:t>十、</w:t>
      </w:r>
      <w:r>
        <w:rPr>
          <w:rFonts w:ascii="Times New Roman" w:hAnsi="Times New Roman" w:eastAsia="仿宋" w:cs="Times New Roman"/>
          <w:b w:val="0"/>
          <w:color w:val="000000"/>
        </w:rPr>
        <w:t>一</w:t>
      </w:r>
      <w:r>
        <w:rPr>
          <w:rStyle w:val="25"/>
          <w:rFonts w:ascii="Times New Roman" w:hAnsi="Times New Roman" w:eastAsia="仿宋" w:cs="Times New Roman"/>
          <w:b w:val="0"/>
          <w:bCs w:val="0"/>
        </w:rPr>
        <w:t>般公共预算财政拨款“三公”经费支出决算表</w:t>
      </w:r>
      <w:bookmarkEnd w:id="64"/>
    </w:p>
    <w:p>
      <w:pPr>
        <w:pStyle w:val="4"/>
        <w:spacing w:before="0" w:after="0" w:line="600" w:lineRule="exact"/>
        <w:ind w:firstLine="640" w:firstLineChars="200"/>
        <w:rPr>
          <w:rFonts w:ascii="Times New Roman" w:hAnsi="Times New Roman" w:eastAsia="仿宋" w:cs="Times New Roman"/>
          <w:color w:val="000000"/>
        </w:rPr>
      </w:pPr>
      <w:bookmarkStart w:id="65" w:name="_Toc15396629"/>
      <w:r>
        <w:rPr>
          <w:rStyle w:val="25"/>
          <w:rFonts w:ascii="Times New Roman" w:hAnsi="Times New Roman" w:eastAsia="仿宋" w:cs="Times New Roman"/>
          <w:b w:val="0"/>
          <w:bCs w:val="0"/>
        </w:rPr>
        <w:t>十一、</w:t>
      </w:r>
      <w:r>
        <w:rPr>
          <w:rFonts w:ascii="Times New Roman" w:hAnsi="Times New Roman" w:eastAsia="仿宋" w:cs="Times New Roman"/>
          <w:b w:val="0"/>
          <w:color w:val="000000"/>
        </w:rPr>
        <w:t>政</w:t>
      </w:r>
      <w:r>
        <w:rPr>
          <w:rStyle w:val="25"/>
          <w:rFonts w:ascii="Times New Roman" w:hAnsi="Times New Roman" w:eastAsia="仿宋" w:cs="Times New Roman"/>
          <w:b w:val="0"/>
          <w:bCs w:val="0"/>
        </w:rPr>
        <w:t>府性基金预算财政拨款收入支出决算表</w:t>
      </w:r>
      <w:bookmarkEnd w:id="65"/>
    </w:p>
    <w:p>
      <w:pPr>
        <w:pStyle w:val="4"/>
        <w:spacing w:before="0" w:after="0" w:line="600" w:lineRule="exact"/>
        <w:ind w:firstLine="640" w:firstLineChars="200"/>
        <w:rPr>
          <w:rFonts w:ascii="Times New Roman" w:hAnsi="Times New Roman" w:eastAsia="仿宋" w:cs="Times New Roman"/>
          <w:color w:val="000000"/>
        </w:rPr>
      </w:pPr>
      <w:bookmarkStart w:id="66" w:name="_Toc15396630"/>
      <w:r>
        <w:rPr>
          <w:rStyle w:val="25"/>
          <w:rFonts w:ascii="Times New Roman" w:hAnsi="Times New Roman" w:eastAsia="仿宋" w:cs="Times New Roman"/>
          <w:b w:val="0"/>
          <w:bCs w:val="0"/>
        </w:rPr>
        <w:t>十二、</w:t>
      </w:r>
      <w:r>
        <w:rPr>
          <w:rFonts w:ascii="Times New Roman" w:hAnsi="Times New Roman" w:eastAsia="仿宋" w:cs="Times New Roman"/>
          <w:b w:val="0"/>
          <w:color w:val="000000"/>
        </w:rPr>
        <w:t>政</w:t>
      </w:r>
      <w:r>
        <w:rPr>
          <w:rStyle w:val="25"/>
          <w:rFonts w:ascii="Times New Roman" w:hAnsi="Times New Roman" w:eastAsia="仿宋" w:cs="Times New Roman"/>
          <w:b w:val="0"/>
          <w:bCs w:val="0"/>
        </w:rPr>
        <w:t>府性基金预算财政拨款“三公”经费支出决算表</w:t>
      </w:r>
      <w:bookmarkEnd w:id="66"/>
    </w:p>
    <w:p>
      <w:pPr>
        <w:pStyle w:val="4"/>
        <w:spacing w:before="0" w:after="0" w:line="600" w:lineRule="exact"/>
        <w:ind w:firstLine="640" w:firstLineChars="200"/>
        <w:rPr>
          <w:rStyle w:val="25"/>
          <w:rFonts w:ascii="Times New Roman" w:hAnsi="Times New Roman" w:eastAsia="仿宋" w:cs="Times New Roman"/>
          <w:b w:val="0"/>
          <w:bCs w:val="0"/>
        </w:rPr>
      </w:pPr>
      <w:bookmarkStart w:id="67" w:name="_Toc15396631"/>
      <w:r>
        <w:rPr>
          <w:rStyle w:val="25"/>
          <w:rFonts w:ascii="Times New Roman" w:hAnsi="Times New Roman" w:eastAsia="仿宋" w:cs="Times New Roman"/>
          <w:b w:val="0"/>
          <w:bCs w:val="0"/>
        </w:rPr>
        <w:t>十三、</w:t>
      </w:r>
      <w:r>
        <w:rPr>
          <w:rFonts w:ascii="Times New Roman" w:hAnsi="Times New Roman" w:eastAsia="仿宋" w:cs="Times New Roman"/>
          <w:b w:val="0"/>
          <w:color w:val="000000"/>
        </w:rPr>
        <w:t>国</w:t>
      </w:r>
      <w:r>
        <w:rPr>
          <w:rStyle w:val="25"/>
          <w:rFonts w:ascii="Times New Roman" w:hAnsi="Times New Roman" w:eastAsia="仿宋" w:cs="Times New Roman"/>
          <w:b w:val="0"/>
          <w:bCs w:val="0"/>
        </w:rPr>
        <w:t>有资本经营预算财政拨款收入支出决算表</w:t>
      </w:r>
      <w:bookmarkEnd w:id="67"/>
    </w:p>
    <w:p>
      <w:pPr>
        <w:spacing w:line="600" w:lineRule="exact"/>
        <w:ind w:firstLine="640" w:firstLineChars="200"/>
        <w:rPr>
          <w:rFonts w:eastAsia="仿宋"/>
          <w:sz w:val="32"/>
          <w:szCs w:val="32"/>
        </w:rPr>
      </w:pPr>
      <w:r>
        <w:rPr>
          <w:rStyle w:val="25"/>
          <w:rFonts w:ascii="Times New Roman" w:hAnsi="Times New Roman" w:eastAsia="仿宋" w:cs="Times New Roman"/>
          <w:b w:val="0"/>
          <w:bCs w:val="0"/>
        </w:rPr>
        <w:t>十四、国有资本经营预算财政拨款支出决算表</w:t>
      </w:r>
    </w:p>
    <w:p>
      <w:pPr>
        <w:spacing w:line="600" w:lineRule="exact"/>
        <w:ind w:firstLine="640" w:firstLineChars="200"/>
        <w:rPr>
          <w:rFonts w:eastAsia="仿宋"/>
          <w:sz w:val="32"/>
          <w:szCs w:val="32"/>
        </w:rPr>
      </w:pPr>
    </w:p>
    <w:p>
      <w:pPr>
        <w:spacing w:line="600" w:lineRule="exact"/>
        <w:ind w:firstLine="640" w:firstLineChars="200"/>
        <w:rPr>
          <w:rFonts w:eastAsia="仿宋"/>
          <w:sz w:val="32"/>
          <w:szCs w:val="32"/>
        </w:rPr>
      </w:pPr>
    </w:p>
    <w:p>
      <w:pPr>
        <w:spacing w:line="600" w:lineRule="exact"/>
        <w:ind w:firstLine="640" w:firstLineChars="200"/>
        <w:rPr>
          <w:rFonts w:eastAsia="仿宋"/>
          <w:sz w:val="32"/>
          <w:szCs w:val="32"/>
        </w:rPr>
      </w:pPr>
    </w:p>
    <w:sectPr>
      <w:headerReference r:id="rId3" w:type="default"/>
      <w:footerReference r:id="rId4" w:type="default"/>
      <w:pgSz w:w="11906" w:h="16838"/>
      <w:pgMar w:top="2098" w:right="1474" w:bottom="1985" w:left="1588" w:header="851" w:footer="992" w:gutter="0"/>
      <w:cols w:space="425" w:num="1"/>
      <w:titlePg/>
      <w:docGrid w:type="lines" w:linePitch="579" w:charSpace="2167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12807519"/>
    </w:sdtPr>
    <w:sdtContent>
      <w:p>
        <w:pPr>
          <w:pStyle w:val="8"/>
          <w:jc w:val="center"/>
        </w:pPr>
        <w:r>
          <w:fldChar w:fldCharType="begin"/>
        </w:r>
        <w:r>
          <w:instrText xml:space="preserve">PAGE   \* MERGEFORMAT</w:instrText>
        </w:r>
        <w:r>
          <w:fldChar w:fldCharType="separate"/>
        </w:r>
        <w:r>
          <w:rPr>
            <w:lang w:val="zh-CN"/>
          </w:rPr>
          <w:t>6</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652CEC"/>
    <w:multiLevelType w:val="singleLevel"/>
    <w:tmpl w:val="CF652CEC"/>
    <w:lvl w:ilvl="0" w:tentative="0">
      <w:start w:val="9"/>
      <w:numFmt w:val="chineseCounting"/>
      <w:suff w:val="nothing"/>
      <w:lvlText w:val="%1、"/>
      <w:lvlJc w:val="left"/>
      <w:rPr>
        <w:rFonts w:hint="eastAsia"/>
      </w:rPr>
    </w:lvl>
  </w:abstractNum>
  <w:abstractNum w:abstractNumId="1">
    <w:nsid w:val="E2FA047D"/>
    <w:multiLevelType w:val="singleLevel"/>
    <w:tmpl w:val="E2FA047D"/>
    <w:lvl w:ilvl="0" w:tentative="0">
      <w:start w:val="3"/>
      <w:numFmt w:val="chineseCounting"/>
      <w:suff w:val="space"/>
      <w:lvlText w:val="第%1部分"/>
      <w:lvlJc w:val="left"/>
      <w:rPr>
        <w:rFonts w:hint="eastAsia" w:ascii="方正小标宋简体" w:hAnsi="黑体" w:eastAsia="方正小标宋简体" w:cs="黑体"/>
        <w:sz w:val="44"/>
        <w:szCs w:val="44"/>
      </w:rPr>
    </w:lvl>
  </w:abstractNum>
  <w:abstractNum w:abstractNumId="2">
    <w:nsid w:val="1272550B"/>
    <w:multiLevelType w:val="multilevel"/>
    <w:tmpl w:val="1272550B"/>
    <w:lvl w:ilvl="0" w:tentative="0">
      <w:start w:val="1"/>
      <w:numFmt w:val="japaneseCounting"/>
      <w:lvlText w:val="%1、"/>
      <w:lvlJc w:val="left"/>
      <w:pPr>
        <w:ind w:left="1360" w:hanging="720"/>
      </w:pPr>
      <w:rPr>
        <w:rFonts w:hint="default"/>
        <w:b w:val="0"/>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58"/>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jZTg5ODA0YjRkOTVhNTI0MTZkMzAxZjE0NTQwZDgifQ=="/>
  </w:docVars>
  <w:rsids>
    <w:rsidRoot w:val="00F1361C"/>
    <w:rsid w:val="000222C6"/>
    <w:rsid w:val="0002549F"/>
    <w:rsid w:val="000468DB"/>
    <w:rsid w:val="00047AAD"/>
    <w:rsid w:val="0006487A"/>
    <w:rsid w:val="00065F8F"/>
    <w:rsid w:val="00070A43"/>
    <w:rsid w:val="00070FB2"/>
    <w:rsid w:val="000768F2"/>
    <w:rsid w:val="0008261F"/>
    <w:rsid w:val="00091513"/>
    <w:rsid w:val="0009184B"/>
    <w:rsid w:val="00092336"/>
    <w:rsid w:val="00094236"/>
    <w:rsid w:val="0009593C"/>
    <w:rsid w:val="00097322"/>
    <w:rsid w:val="000A4FE7"/>
    <w:rsid w:val="000A6A92"/>
    <w:rsid w:val="000B047F"/>
    <w:rsid w:val="000B1C56"/>
    <w:rsid w:val="000B5923"/>
    <w:rsid w:val="000B5A48"/>
    <w:rsid w:val="000B6FF3"/>
    <w:rsid w:val="000C3467"/>
    <w:rsid w:val="000C3CA6"/>
    <w:rsid w:val="000C7ED3"/>
    <w:rsid w:val="000D1267"/>
    <w:rsid w:val="000D1D50"/>
    <w:rsid w:val="000D4030"/>
    <w:rsid w:val="000D5782"/>
    <w:rsid w:val="000E3CCD"/>
    <w:rsid w:val="000E6613"/>
    <w:rsid w:val="000E7119"/>
    <w:rsid w:val="00114E9B"/>
    <w:rsid w:val="00115618"/>
    <w:rsid w:val="00133493"/>
    <w:rsid w:val="00142216"/>
    <w:rsid w:val="001429BA"/>
    <w:rsid w:val="00144D6A"/>
    <w:rsid w:val="0014729F"/>
    <w:rsid w:val="00157BAB"/>
    <w:rsid w:val="001654D1"/>
    <w:rsid w:val="00174518"/>
    <w:rsid w:val="0018106D"/>
    <w:rsid w:val="001877A7"/>
    <w:rsid w:val="00191536"/>
    <w:rsid w:val="001943EF"/>
    <w:rsid w:val="00196687"/>
    <w:rsid w:val="00196BD9"/>
    <w:rsid w:val="001A11A6"/>
    <w:rsid w:val="001C0962"/>
    <w:rsid w:val="001D7531"/>
    <w:rsid w:val="001E0D85"/>
    <w:rsid w:val="001E737D"/>
    <w:rsid w:val="001F0592"/>
    <w:rsid w:val="001F2048"/>
    <w:rsid w:val="001F7506"/>
    <w:rsid w:val="002006CD"/>
    <w:rsid w:val="00202B36"/>
    <w:rsid w:val="00204B7A"/>
    <w:rsid w:val="00204CDE"/>
    <w:rsid w:val="0021101A"/>
    <w:rsid w:val="002149CD"/>
    <w:rsid w:val="00220536"/>
    <w:rsid w:val="00223D39"/>
    <w:rsid w:val="00235629"/>
    <w:rsid w:val="0025024E"/>
    <w:rsid w:val="00260C38"/>
    <w:rsid w:val="002616C0"/>
    <w:rsid w:val="00265372"/>
    <w:rsid w:val="002662AA"/>
    <w:rsid w:val="00276511"/>
    <w:rsid w:val="00277F23"/>
    <w:rsid w:val="00280496"/>
    <w:rsid w:val="00294DC9"/>
    <w:rsid w:val="00295495"/>
    <w:rsid w:val="002A2434"/>
    <w:rsid w:val="002A2451"/>
    <w:rsid w:val="002A31DE"/>
    <w:rsid w:val="002B2613"/>
    <w:rsid w:val="002B76F3"/>
    <w:rsid w:val="002C121E"/>
    <w:rsid w:val="002D6D05"/>
    <w:rsid w:val="002E1895"/>
    <w:rsid w:val="002E671B"/>
    <w:rsid w:val="002F1818"/>
    <w:rsid w:val="002F5154"/>
    <w:rsid w:val="002F567B"/>
    <w:rsid w:val="00307D27"/>
    <w:rsid w:val="003216A9"/>
    <w:rsid w:val="00326ED1"/>
    <w:rsid w:val="00331C4F"/>
    <w:rsid w:val="00335A74"/>
    <w:rsid w:val="003559E8"/>
    <w:rsid w:val="0036561B"/>
    <w:rsid w:val="0037013F"/>
    <w:rsid w:val="00380C92"/>
    <w:rsid w:val="003A484F"/>
    <w:rsid w:val="003A4883"/>
    <w:rsid w:val="003B0BE0"/>
    <w:rsid w:val="003B0C1B"/>
    <w:rsid w:val="003B688C"/>
    <w:rsid w:val="003C0291"/>
    <w:rsid w:val="003C39AE"/>
    <w:rsid w:val="003C3EF8"/>
    <w:rsid w:val="003C7B60"/>
    <w:rsid w:val="003D0C0F"/>
    <w:rsid w:val="003D1FB2"/>
    <w:rsid w:val="003D66DA"/>
    <w:rsid w:val="003E1310"/>
    <w:rsid w:val="003E60AC"/>
    <w:rsid w:val="003E6F55"/>
    <w:rsid w:val="004026DE"/>
    <w:rsid w:val="00406254"/>
    <w:rsid w:val="00413207"/>
    <w:rsid w:val="004223DE"/>
    <w:rsid w:val="00434489"/>
    <w:rsid w:val="00437085"/>
    <w:rsid w:val="00443880"/>
    <w:rsid w:val="004464F4"/>
    <w:rsid w:val="00446EC9"/>
    <w:rsid w:val="00447D17"/>
    <w:rsid w:val="004558D3"/>
    <w:rsid w:val="0045734A"/>
    <w:rsid w:val="004573D5"/>
    <w:rsid w:val="00466FCC"/>
    <w:rsid w:val="00471401"/>
    <w:rsid w:val="00473F31"/>
    <w:rsid w:val="00480185"/>
    <w:rsid w:val="0048263A"/>
    <w:rsid w:val="00487E5D"/>
    <w:rsid w:val="004A4E84"/>
    <w:rsid w:val="004A711F"/>
    <w:rsid w:val="004B199D"/>
    <w:rsid w:val="004B438A"/>
    <w:rsid w:val="004B4690"/>
    <w:rsid w:val="004C0A02"/>
    <w:rsid w:val="004C1678"/>
    <w:rsid w:val="004D1339"/>
    <w:rsid w:val="004D3B55"/>
    <w:rsid w:val="004E0A2D"/>
    <w:rsid w:val="004E206B"/>
    <w:rsid w:val="004E6DF7"/>
    <w:rsid w:val="004F0FBD"/>
    <w:rsid w:val="004F7031"/>
    <w:rsid w:val="00505A47"/>
    <w:rsid w:val="00512FDA"/>
    <w:rsid w:val="00520DA0"/>
    <w:rsid w:val="00527B2E"/>
    <w:rsid w:val="00557916"/>
    <w:rsid w:val="005664BB"/>
    <w:rsid w:val="00566FFA"/>
    <w:rsid w:val="0057481D"/>
    <w:rsid w:val="0058486E"/>
    <w:rsid w:val="00585B33"/>
    <w:rsid w:val="0059014D"/>
    <w:rsid w:val="005921B6"/>
    <w:rsid w:val="005B5C64"/>
    <w:rsid w:val="005C5337"/>
    <w:rsid w:val="005C6BD0"/>
    <w:rsid w:val="005C7658"/>
    <w:rsid w:val="005D0C87"/>
    <w:rsid w:val="005D1C8B"/>
    <w:rsid w:val="005D468D"/>
    <w:rsid w:val="005D5CED"/>
    <w:rsid w:val="005F1A4C"/>
    <w:rsid w:val="00605688"/>
    <w:rsid w:val="006070AF"/>
    <w:rsid w:val="00607E6C"/>
    <w:rsid w:val="006101B1"/>
    <w:rsid w:val="006140B9"/>
    <w:rsid w:val="00614E44"/>
    <w:rsid w:val="00621B07"/>
    <w:rsid w:val="0062270A"/>
    <w:rsid w:val="00622830"/>
    <w:rsid w:val="00623DA0"/>
    <w:rsid w:val="00626476"/>
    <w:rsid w:val="00630AEF"/>
    <w:rsid w:val="006325F8"/>
    <w:rsid w:val="00633463"/>
    <w:rsid w:val="00634C9A"/>
    <w:rsid w:val="006440E4"/>
    <w:rsid w:val="00645F04"/>
    <w:rsid w:val="006577A8"/>
    <w:rsid w:val="0066343B"/>
    <w:rsid w:val="00664777"/>
    <w:rsid w:val="00671ABB"/>
    <w:rsid w:val="006748A4"/>
    <w:rsid w:val="00681A31"/>
    <w:rsid w:val="00683E73"/>
    <w:rsid w:val="00685786"/>
    <w:rsid w:val="00692912"/>
    <w:rsid w:val="006A3141"/>
    <w:rsid w:val="006A5E34"/>
    <w:rsid w:val="006B2422"/>
    <w:rsid w:val="006B2B9A"/>
    <w:rsid w:val="006B2E7A"/>
    <w:rsid w:val="006C1937"/>
    <w:rsid w:val="006F020C"/>
    <w:rsid w:val="007034EC"/>
    <w:rsid w:val="00712634"/>
    <w:rsid w:val="007127B7"/>
    <w:rsid w:val="0071798E"/>
    <w:rsid w:val="00730988"/>
    <w:rsid w:val="00732E81"/>
    <w:rsid w:val="007416B6"/>
    <w:rsid w:val="00745122"/>
    <w:rsid w:val="00746F48"/>
    <w:rsid w:val="0075404D"/>
    <w:rsid w:val="0076182A"/>
    <w:rsid w:val="00767B7E"/>
    <w:rsid w:val="00774877"/>
    <w:rsid w:val="007770C3"/>
    <w:rsid w:val="00784D24"/>
    <w:rsid w:val="00785FBA"/>
    <w:rsid w:val="00786E4A"/>
    <w:rsid w:val="007875EB"/>
    <w:rsid w:val="0079426B"/>
    <w:rsid w:val="007B53EB"/>
    <w:rsid w:val="007C071F"/>
    <w:rsid w:val="007C19D5"/>
    <w:rsid w:val="007D0E34"/>
    <w:rsid w:val="007D1682"/>
    <w:rsid w:val="007D312A"/>
    <w:rsid w:val="007D3F19"/>
    <w:rsid w:val="007E23B0"/>
    <w:rsid w:val="007E23E5"/>
    <w:rsid w:val="007E3D4E"/>
    <w:rsid w:val="007F1991"/>
    <w:rsid w:val="007F2C2F"/>
    <w:rsid w:val="007F55FC"/>
    <w:rsid w:val="007F5665"/>
    <w:rsid w:val="00800112"/>
    <w:rsid w:val="00805E8D"/>
    <w:rsid w:val="0081041C"/>
    <w:rsid w:val="00813348"/>
    <w:rsid w:val="008253BB"/>
    <w:rsid w:val="00831BD9"/>
    <w:rsid w:val="0083706E"/>
    <w:rsid w:val="008408F6"/>
    <w:rsid w:val="008421CA"/>
    <w:rsid w:val="008423A5"/>
    <w:rsid w:val="00850625"/>
    <w:rsid w:val="00850D54"/>
    <w:rsid w:val="008533A4"/>
    <w:rsid w:val="00853718"/>
    <w:rsid w:val="00855221"/>
    <w:rsid w:val="00860645"/>
    <w:rsid w:val="008613E2"/>
    <w:rsid w:val="00871F71"/>
    <w:rsid w:val="00872FD8"/>
    <w:rsid w:val="00875280"/>
    <w:rsid w:val="0087659F"/>
    <w:rsid w:val="00881006"/>
    <w:rsid w:val="00885AF4"/>
    <w:rsid w:val="008865B7"/>
    <w:rsid w:val="0089041C"/>
    <w:rsid w:val="008939CD"/>
    <w:rsid w:val="008B768C"/>
    <w:rsid w:val="008C06CC"/>
    <w:rsid w:val="008C4DB1"/>
    <w:rsid w:val="008C4EAF"/>
    <w:rsid w:val="008C5176"/>
    <w:rsid w:val="008C7FD0"/>
    <w:rsid w:val="008D1ADF"/>
    <w:rsid w:val="008E1DE7"/>
    <w:rsid w:val="008E3256"/>
    <w:rsid w:val="008E5602"/>
    <w:rsid w:val="008E707C"/>
    <w:rsid w:val="008F2363"/>
    <w:rsid w:val="008F4689"/>
    <w:rsid w:val="00900B08"/>
    <w:rsid w:val="00902155"/>
    <w:rsid w:val="00902FA3"/>
    <w:rsid w:val="00916899"/>
    <w:rsid w:val="00923564"/>
    <w:rsid w:val="0092392E"/>
    <w:rsid w:val="009315F9"/>
    <w:rsid w:val="00933499"/>
    <w:rsid w:val="00935C98"/>
    <w:rsid w:val="00943DD8"/>
    <w:rsid w:val="00946945"/>
    <w:rsid w:val="00951248"/>
    <w:rsid w:val="0095152F"/>
    <w:rsid w:val="00954C49"/>
    <w:rsid w:val="00955E37"/>
    <w:rsid w:val="0097099F"/>
    <w:rsid w:val="00971997"/>
    <w:rsid w:val="00971FFC"/>
    <w:rsid w:val="0098660A"/>
    <w:rsid w:val="00987994"/>
    <w:rsid w:val="009931C3"/>
    <w:rsid w:val="00993534"/>
    <w:rsid w:val="009B1E6F"/>
    <w:rsid w:val="009B2C43"/>
    <w:rsid w:val="009B3591"/>
    <w:rsid w:val="009B3B6F"/>
    <w:rsid w:val="009B4EAE"/>
    <w:rsid w:val="009B7573"/>
    <w:rsid w:val="009C22F4"/>
    <w:rsid w:val="009C2A4B"/>
    <w:rsid w:val="009C2E98"/>
    <w:rsid w:val="009D3447"/>
    <w:rsid w:val="009D4711"/>
    <w:rsid w:val="009E3D24"/>
    <w:rsid w:val="009F1185"/>
    <w:rsid w:val="009F18CD"/>
    <w:rsid w:val="009F2A13"/>
    <w:rsid w:val="009F7527"/>
    <w:rsid w:val="00A0131C"/>
    <w:rsid w:val="00A04EB0"/>
    <w:rsid w:val="00A053B4"/>
    <w:rsid w:val="00A13CC1"/>
    <w:rsid w:val="00A16847"/>
    <w:rsid w:val="00A237D8"/>
    <w:rsid w:val="00A268C4"/>
    <w:rsid w:val="00A307CD"/>
    <w:rsid w:val="00A30D5B"/>
    <w:rsid w:val="00A331C8"/>
    <w:rsid w:val="00A40A00"/>
    <w:rsid w:val="00A4142F"/>
    <w:rsid w:val="00A421EF"/>
    <w:rsid w:val="00A422EB"/>
    <w:rsid w:val="00A45837"/>
    <w:rsid w:val="00A45BB7"/>
    <w:rsid w:val="00A56152"/>
    <w:rsid w:val="00A56DF2"/>
    <w:rsid w:val="00A56E6E"/>
    <w:rsid w:val="00A5795A"/>
    <w:rsid w:val="00A613B1"/>
    <w:rsid w:val="00A665CD"/>
    <w:rsid w:val="00A67AB5"/>
    <w:rsid w:val="00A729E4"/>
    <w:rsid w:val="00A733B2"/>
    <w:rsid w:val="00A739F4"/>
    <w:rsid w:val="00A741C2"/>
    <w:rsid w:val="00A83A65"/>
    <w:rsid w:val="00A91760"/>
    <w:rsid w:val="00A93B00"/>
    <w:rsid w:val="00A93C21"/>
    <w:rsid w:val="00AA047B"/>
    <w:rsid w:val="00AA401A"/>
    <w:rsid w:val="00AB4A1F"/>
    <w:rsid w:val="00AB64C9"/>
    <w:rsid w:val="00AC3C6A"/>
    <w:rsid w:val="00AD5620"/>
    <w:rsid w:val="00AD656B"/>
    <w:rsid w:val="00AD7C1B"/>
    <w:rsid w:val="00AE16BA"/>
    <w:rsid w:val="00AE1EBE"/>
    <w:rsid w:val="00B009C9"/>
    <w:rsid w:val="00B03C9D"/>
    <w:rsid w:val="00B04461"/>
    <w:rsid w:val="00B04E20"/>
    <w:rsid w:val="00B060AE"/>
    <w:rsid w:val="00B10517"/>
    <w:rsid w:val="00B14E76"/>
    <w:rsid w:val="00B161B8"/>
    <w:rsid w:val="00B2048C"/>
    <w:rsid w:val="00B25F90"/>
    <w:rsid w:val="00B310B9"/>
    <w:rsid w:val="00B35F3F"/>
    <w:rsid w:val="00B36CBB"/>
    <w:rsid w:val="00B425E0"/>
    <w:rsid w:val="00B440AA"/>
    <w:rsid w:val="00B44B70"/>
    <w:rsid w:val="00B455B9"/>
    <w:rsid w:val="00B53C56"/>
    <w:rsid w:val="00B55FB3"/>
    <w:rsid w:val="00B57DAF"/>
    <w:rsid w:val="00B60FCD"/>
    <w:rsid w:val="00B65D69"/>
    <w:rsid w:val="00B6688A"/>
    <w:rsid w:val="00B77EA6"/>
    <w:rsid w:val="00B81598"/>
    <w:rsid w:val="00B841F1"/>
    <w:rsid w:val="00B8443D"/>
    <w:rsid w:val="00B944D6"/>
    <w:rsid w:val="00BB4DF0"/>
    <w:rsid w:val="00BC289F"/>
    <w:rsid w:val="00BC2D50"/>
    <w:rsid w:val="00BC5361"/>
    <w:rsid w:val="00BC5460"/>
    <w:rsid w:val="00BC6B50"/>
    <w:rsid w:val="00BD0E25"/>
    <w:rsid w:val="00BE36D7"/>
    <w:rsid w:val="00BE619F"/>
    <w:rsid w:val="00BE6E74"/>
    <w:rsid w:val="00BE7052"/>
    <w:rsid w:val="00BE7F84"/>
    <w:rsid w:val="00BF5BD6"/>
    <w:rsid w:val="00C0298D"/>
    <w:rsid w:val="00C03E31"/>
    <w:rsid w:val="00C33E72"/>
    <w:rsid w:val="00C354B2"/>
    <w:rsid w:val="00C35554"/>
    <w:rsid w:val="00C42709"/>
    <w:rsid w:val="00C533CC"/>
    <w:rsid w:val="00C54F96"/>
    <w:rsid w:val="00C5751C"/>
    <w:rsid w:val="00C61BFC"/>
    <w:rsid w:val="00C62B85"/>
    <w:rsid w:val="00C64DF7"/>
    <w:rsid w:val="00C65438"/>
    <w:rsid w:val="00C75A9F"/>
    <w:rsid w:val="00C8188C"/>
    <w:rsid w:val="00C87FD8"/>
    <w:rsid w:val="00C91381"/>
    <w:rsid w:val="00C91CBB"/>
    <w:rsid w:val="00CB4E70"/>
    <w:rsid w:val="00CC09B6"/>
    <w:rsid w:val="00CC666F"/>
    <w:rsid w:val="00CD1E3F"/>
    <w:rsid w:val="00CD5293"/>
    <w:rsid w:val="00CE44F6"/>
    <w:rsid w:val="00CE49DA"/>
    <w:rsid w:val="00CE7B61"/>
    <w:rsid w:val="00D00095"/>
    <w:rsid w:val="00D114F0"/>
    <w:rsid w:val="00D20620"/>
    <w:rsid w:val="00D254F7"/>
    <w:rsid w:val="00D26091"/>
    <w:rsid w:val="00D2685C"/>
    <w:rsid w:val="00D268A5"/>
    <w:rsid w:val="00D328C1"/>
    <w:rsid w:val="00D34E7C"/>
    <w:rsid w:val="00D35489"/>
    <w:rsid w:val="00D36AFE"/>
    <w:rsid w:val="00D40DD7"/>
    <w:rsid w:val="00D45B6A"/>
    <w:rsid w:val="00D501F7"/>
    <w:rsid w:val="00D51276"/>
    <w:rsid w:val="00D7035F"/>
    <w:rsid w:val="00D75CF9"/>
    <w:rsid w:val="00D8205E"/>
    <w:rsid w:val="00D90DF5"/>
    <w:rsid w:val="00DA634F"/>
    <w:rsid w:val="00DA65AC"/>
    <w:rsid w:val="00DB1913"/>
    <w:rsid w:val="00DC410D"/>
    <w:rsid w:val="00DC5A81"/>
    <w:rsid w:val="00DC68CA"/>
    <w:rsid w:val="00DC7CBA"/>
    <w:rsid w:val="00DD73B7"/>
    <w:rsid w:val="00DE6AFF"/>
    <w:rsid w:val="00DF28BC"/>
    <w:rsid w:val="00DF34B9"/>
    <w:rsid w:val="00E01053"/>
    <w:rsid w:val="00E07ACF"/>
    <w:rsid w:val="00E2733E"/>
    <w:rsid w:val="00E331A1"/>
    <w:rsid w:val="00E33202"/>
    <w:rsid w:val="00E336A9"/>
    <w:rsid w:val="00E375D6"/>
    <w:rsid w:val="00E45DB4"/>
    <w:rsid w:val="00E472B1"/>
    <w:rsid w:val="00E50624"/>
    <w:rsid w:val="00E568DF"/>
    <w:rsid w:val="00E64269"/>
    <w:rsid w:val="00E66E88"/>
    <w:rsid w:val="00E747FC"/>
    <w:rsid w:val="00E76718"/>
    <w:rsid w:val="00E82149"/>
    <w:rsid w:val="00E82267"/>
    <w:rsid w:val="00E853CE"/>
    <w:rsid w:val="00E867B6"/>
    <w:rsid w:val="00E90C7D"/>
    <w:rsid w:val="00E9300C"/>
    <w:rsid w:val="00EA010F"/>
    <w:rsid w:val="00EB578D"/>
    <w:rsid w:val="00EB582B"/>
    <w:rsid w:val="00EC47E4"/>
    <w:rsid w:val="00ED1B63"/>
    <w:rsid w:val="00ED3C1F"/>
    <w:rsid w:val="00ED4085"/>
    <w:rsid w:val="00ED420E"/>
    <w:rsid w:val="00ED6FBE"/>
    <w:rsid w:val="00EE2F57"/>
    <w:rsid w:val="00EE48F4"/>
    <w:rsid w:val="00EF4657"/>
    <w:rsid w:val="00EF4C34"/>
    <w:rsid w:val="00EF77C6"/>
    <w:rsid w:val="00F05438"/>
    <w:rsid w:val="00F1361C"/>
    <w:rsid w:val="00F156F0"/>
    <w:rsid w:val="00F160C7"/>
    <w:rsid w:val="00F221CB"/>
    <w:rsid w:val="00F22BAB"/>
    <w:rsid w:val="00F2408F"/>
    <w:rsid w:val="00F240E9"/>
    <w:rsid w:val="00F36D8F"/>
    <w:rsid w:val="00F417B1"/>
    <w:rsid w:val="00F45853"/>
    <w:rsid w:val="00F602DF"/>
    <w:rsid w:val="00F754A1"/>
    <w:rsid w:val="00F81FD9"/>
    <w:rsid w:val="00F841AA"/>
    <w:rsid w:val="00F84A94"/>
    <w:rsid w:val="00F87E96"/>
    <w:rsid w:val="00F90B3D"/>
    <w:rsid w:val="00F911C6"/>
    <w:rsid w:val="00F92214"/>
    <w:rsid w:val="00FA23E8"/>
    <w:rsid w:val="00FA341E"/>
    <w:rsid w:val="00FA435F"/>
    <w:rsid w:val="00FA7C63"/>
    <w:rsid w:val="00FB0064"/>
    <w:rsid w:val="00FD3CC1"/>
    <w:rsid w:val="00FE3D10"/>
    <w:rsid w:val="00FF1E02"/>
    <w:rsid w:val="00FF30B4"/>
    <w:rsid w:val="09B20D47"/>
    <w:rsid w:val="0A2032A3"/>
    <w:rsid w:val="0C10248D"/>
    <w:rsid w:val="10C055FF"/>
    <w:rsid w:val="118107EC"/>
    <w:rsid w:val="16BB723D"/>
    <w:rsid w:val="1726524B"/>
    <w:rsid w:val="18015F3F"/>
    <w:rsid w:val="1BE8440E"/>
    <w:rsid w:val="1D155CEE"/>
    <w:rsid w:val="20F57F95"/>
    <w:rsid w:val="22252152"/>
    <w:rsid w:val="239A52E8"/>
    <w:rsid w:val="240371BF"/>
    <w:rsid w:val="27842671"/>
    <w:rsid w:val="29FD04D3"/>
    <w:rsid w:val="2ABE7A3E"/>
    <w:rsid w:val="319F7F4E"/>
    <w:rsid w:val="3C0C0783"/>
    <w:rsid w:val="3C2C2262"/>
    <w:rsid w:val="46F85B07"/>
    <w:rsid w:val="493C27E9"/>
    <w:rsid w:val="496F39ED"/>
    <w:rsid w:val="49FF41D3"/>
    <w:rsid w:val="4BE068DB"/>
    <w:rsid w:val="4BF6002B"/>
    <w:rsid w:val="4E79728C"/>
    <w:rsid w:val="4ECE2238"/>
    <w:rsid w:val="4F26385B"/>
    <w:rsid w:val="64CA39A1"/>
    <w:rsid w:val="6C4A05C8"/>
    <w:rsid w:val="6D4D07A1"/>
    <w:rsid w:val="72734D90"/>
    <w:rsid w:val="7DE07AD6"/>
    <w:rsid w:val="7ED76E8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30"/>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8"/>
    <w:unhideWhenUsed/>
    <w:qFormat/>
    <w:uiPriority w:val="9"/>
    <w:pPr>
      <w:keepNext/>
      <w:keepLines/>
      <w:spacing w:before="260" w:after="260" w:line="416" w:lineRule="auto"/>
      <w:outlineLvl w:val="2"/>
    </w:pPr>
    <w:rPr>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1"/>
    <w:qFormat/>
    <w:uiPriority w:val="99"/>
    <w:pPr>
      <w:spacing w:beforeLines="30"/>
    </w:pPr>
    <w:rPr>
      <w:rFonts w:ascii="仿宋_GB2312" w:eastAsia="仿宋_GB2312"/>
      <w:kern w:val="0"/>
      <w:sz w:val="30"/>
    </w:rPr>
  </w:style>
  <w:style w:type="paragraph" w:styleId="6">
    <w:name w:val="toc 3"/>
    <w:basedOn w:val="1"/>
    <w:next w:val="1"/>
    <w:unhideWhenUsed/>
    <w:qFormat/>
    <w:uiPriority w:val="39"/>
    <w:pPr>
      <w:tabs>
        <w:tab w:val="right" w:leader="dot" w:pos="8296"/>
      </w:tabs>
      <w:ind w:left="840" w:leftChars="400"/>
    </w:pPr>
  </w:style>
  <w:style w:type="paragraph" w:styleId="7">
    <w:name w:val="Balloon Text"/>
    <w:basedOn w:val="1"/>
    <w:link w:val="27"/>
    <w:semiHidden/>
    <w:unhideWhenUsed/>
    <w:qFormat/>
    <w:uiPriority w:val="99"/>
    <w:rPr>
      <w:sz w:val="18"/>
      <w:szCs w:val="18"/>
    </w:rPr>
  </w:style>
  <w:style w:type="paragraph" w:styleId="8">
    <w:name w:val="footer"/>
    <w:basedOn w:val="1"/>
    <w:link w:val="19"/>
    <w:qFormat/>
    <w:uiPriority w:val="99"/>
    <w:pPr>
      <w:tabs>
        <w:tab w:val="center" w:pos="4153"/>
        <w:tab w:val="right" w:pos="8306"/>
      </w:tabs>
      <w:snapToGrid w:val="0"/>
      <w:jc w:val="left"/>
    </w:pPr>
    <w:rPr>
      <w:rFonts w:ascii="Calibri" w:hAnsi="Calibri"/>
      <w:kern w:val="0"/>
      <w:sz w:val="18"/>
      <w:szCs w:val="18"/>
    </w:rPr>
  </w:style>
  <w:style w:type="paragraph" w:styleId="9">
    <w:name w:val="header"/>
    <w:basedOn w:val="1"/>
    <w:link w:val="17"/>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0">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1">
    <w:name w:val="toc 2"/>
    <w:basedOn w:val="1"/>
    <w:next w:val="1"/>
    <w:unhideWhenUsed/>
    <w:qFormat/>
    <w:uiPriority w:val="39"/>
    <w:pPr>
      <w:tabs>
        <w:tab w:val="right" w:leader="dot" w:pos="8296"/>
      </w:tabs>
      <w:ind w:left="420" w:leftChars="200"/>
    </w:pPr>
  </w:style>
  <w:style w:type="character" w:styleId="14">
    <w:name w:val="Strong"/>
    <w:basedOn w:val="13"/>
    <w:qFormat/>
    <w:uiPriority w:val="99"/>
    <w:rPr>
      <w:b/>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customStyle="1" w:styleId="16">
    <w:name w:val="Header Char"/>
    <w:basedOn w:val="13"/>
    <w:semiHidden/>
    <w:qFormat/>
    <w:uiPriority w:val="99"/>
    <w:rPr>
      <w:rFonts w:ascii="Times New Roman" w:hAnsi="Times New Roman"/>
      <w:sz w:val="18"/>
      <w:szCs w:val="18"/>
    </w:rPr>
  </w:style>
  <w:style w:type="character" w:customStyle="1" w:styleId="17">
    <w:name w:val="页眉 字符"/>
    <w:link w:val="9"/>
    <w:semiHidden/>
    <w:qFormat/>
    <w:locked/>
    <w:uiPriority w:val="99"/>
    <w:rPr>
      <w:sz w:val="18"/>
    </w:rPr>
  </w:style>
  <w:style w:type="character" w:customStyle="1" w:styleId="18">
    <w:name w:val="Footer Char"/>
    <w:basedOn w:val="13"/>
    <w:semiHidden/>
    <w:qFormat/>
    <w:uiPriority w:val="99"/>
    <w:rPr>
      <w:rFonts w:ascii="Times New Roman" w:hAnsi="Times New Roman"/>
      <w:sz w:val="18"/>
      <w:szCs w:val="18"/>
    </w:rPr>
  </w:style>
  <w:style w:type="character" w:customStyle="1" w:styleId="19">
    <w:name w:val="页脚 字符"/>
    <w:link w:val="8"/>
    <w:qFormat/>
    <w:locked/>
    <w:uiPriority w:val="99"/>
    <w:rPr>
      <w:sz w:val="18"/>
    </w:rPr>
  </w:style>
  <w:style w:type="character" w:customStyle="1" w:styleId="20">
    <w:name w:val="Body Text Char"/>
    <w:basedOn w:val="13"/>
    <w:semiHidden/>
    <w:qFormat/>
    <w:uiPriority w:val="99"/>
    <w:rPr>
      <w:rFonts w:ascii="Times New Roman" w:hAnsi="Times New Roman"/>
      <w:szCs w:val="24"/>
    </w:rPr>
  </w:style>
  <w:style w:type="character" w:customStyle="1" w:styleId="21">
    <w:name w:val="正文文本 字符"/>
    <w:link w:val="2"/>
    <w:qFormat/>
    <w:locked/>
    <w:uiPriority w:val="99"/>
    <w:rPr>
      <w:rFonts w:ascii="仿宋_GB2312" w:hAnsi="Times New Roman" w:eastAsia="仿宋_GB2312"/>
      <w:sz w:val="24"/>
    </w:rPr>
  </w:style>
  <w:style w:type="paragraph" w:customStyle="1" w:styleId="22">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3">
    <w:name w:val="List Paragraph"/>
    <w:basedOn w:val="1"/>
    <w:qFormat/>
    <w:uiPriority w:val="34"/>
    <w:pPr>
      <w:ind w:firstLine="420" w:firstLineChars="200"/>
    </w:pPr>
  </w:style>
  <w:style w:type="character" w:customStyle="1" w:styleId="24">
    <w:name w:val="标题 1 字符"/>
    <w:basedOn w:val="13"/>
    <w:link w:val="3"/>
    <w:qFormat/>
    <w:uiPriority w:val="9"/>
    <w:rPr>
      <w:rFonts w:ascii="Times New Roman" w:hAnsi="Times New Roman"/>
      <w:b/>
      <w:bCs/>
      <w:kern w:val="44"/>
      <w:sz w:val="44"/>
      <w:szCs w:val="44"/>
    </w:rPr>
  </w:style>
  <w:style w:type="character" w:customStyle="1" w:styleId="25">
    <w:name w:val="标题 2 字符"/>
    <w:basedOn w:val="13"/>
    <w:link w:val="4"/>
    <w:qFormat/>
    <w:uiPriority w:val="9"/>
    <w:rPr>
      <w:rFonts w:asciiTheme="majorHAnsi" w:hAnsiTheme="majorHAnsi" w:eastAsiaTheme="majorEastAsia" w:cstheme="majorBidi"/>
      <w:b/>
      <w:bCs/>
      <w:kern w:val="2"/>
      <w:sz w:val="32"/>
      <w:szCs w:val="32"/>
    </w:rPr>
  </w:style>
  <w:style w:type="paragraph" w:customStyle="1" w:styleId="26">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27">
    <w:name w:val="批注框文本 字符"/>
    <w:basedOn w:val="13"/>
    <w:link w:val="7"/>
    <w:semiHidden/>
    <w:qFormat/>
    <w:uiPriority w:val="99"/>
    <w:rPr>
      <w:rFonts w:ascii="Times New Roman" w:hAnsi="Times New Roman"/>
      <w:kern w:val="2"/>
      <w:sz w:val="18"/>
      <w:szCs w:val="18"/>
    </w:rPr>
  </w:style>
  <w:style w:type="character" w:customStyle="1" w:styleId="28">
    <w:name w:val="标题 3 字符"/>
    <w:basedOn w:val="13"/>
    <w:link w:val="5"/>
    <w:qFormat/>
    <w:uiPriority w:val="9"/>
    <w:rPr>
      <w:rFonts w:ascii="Times New Roman" w:hAnsi="Times New Roman"/>
      <w:b/>
      <w:bCs/>
      <w:kern w:val="2"/>
      <w:sz w:val="32"/>
      <w:szCs w:val="32"/>
    </w:rPr>
  </w:style>
  <w:style w:type="paragraph" w:customStyle="1" w:styleId="29">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0">
    <w:name w:val="标题 2 Char"/>
    <w:basedOn w:val="13"/>
    <w:link w:val="4"/>
    <w:qFormat/>
    <w:uiPriority w:val="9"/>
    <w:rPr>
      <w:rFonts w:asciiTheme="majorHAnsi" w:hAnsiTheme="majorHAnsi" w:eastAsiaTheme="majorEastAsia"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hart" Target="charts/chart4.xml"/><Relationship Id="rId8" Type="http://schemas.openxmlformats.org/officeDocument/2006/relationships/chart" Target="charts/chart3.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chart" Target="charts/chart6.xml"/><Relationship Id="rId10" Type="http://schemas.openxmlformats.org/officeDocument/2006/relationships/chart" Target="charts/chart5.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barChart>
        <c:barDir val="col"/>
        <c:grouping val="stacked"/>
        <c:varyColors val="0"/>
        <c:ser>
          <c:idx val="0"/>
          <c:order val="0"/>
          <c:tx>
            <c:strRef>
              <c:f>Sheet1!$B$1</c:f>
              <c:strCache>
                <c:ptCount val="1"/>
                <c:pt idx="0">
                  <c:v>收、支决算总计变动情况图（万元）</c:v>
                </c:pt>
              </c:strCache>
            </c:strRef>
          </c:tx>
          <c:invertIfNegative val="0"/>
          <c:dLbls>
            <c:delete val="1"/>
          </c:dLbls>
          <c:cat>
            <c:strRef>
              <c:f>Sheet1!$A$2:$A$5</c:f>
              <c:strCache>
                <c:ptCount val="2"/>
                <c:pt idx="0">
                  <c:v>2020年度</c:v>
                </c:pt>
                <c:pt idx="1">
                  <c:v>2019年度</c:v>
                </c:pt>
              </c:strCache>
            </c:strRef>
          </c:cat>
          <c:val>
            <c:numRef>
              <c:f>Sheet1!$B$2:$B$5</c:f>
              <c:numCache>
                <c:formatCode>General</c:formatCode>
                <c:ptCount val="2"/>
                <c:pt idx="0">
                  <c:v>252.09</c:v>
                </c:pt>
                <c:pt idx="1">
                  <c:v>226.23</c:v>
                </c:pt>
              </c:numCache>
            </c:numRef>
          </c:val>
        </c:ser>
        <c:ser>
          <c:idx val="1"/>
          <c:order val="1"/>
          <c:tx>
            <c:strRef>
              <c:f>Sheet1!$C$1</c:f>
              <c:strCache>
                <c:ptCount val="1"/>
                <c:pt idx="0">
                  <c:v>系列 2</c:v>
                </c:pt>
              </c:strCache>
            </c:strRef>
          </c:tx>
          <c:invertIfNegative val="0"/>
          <c:dLbls>
            <c:delete val="1"/>
          </c:dLbls>
          <c:cat>
            <c:strRef>
              <c:f>Sheet1!$A$2:$A$5</c:f>
              <c:strCache>
                <c:ptCount val="2"/>
                <c:pt idx="0">
                  <c:v>2020年度</c:v>
                </c:pt>
                <c:pt idx="1">
                  <c:v>2019年度</c:v>
                </c:pt>
              </c:strCache>
            </c:strRef>
          </c:cat>
          <c:val>
            <c:numRef>
              <c:f>Sheet1!$C$2:$C$5</c:f>
            </c:numRef>
          </c:val>
        </c:ser>
        <c:ser>
          <c:idx val="2"/>
          <c:order val="2"/>
          <c:tx>
            <c:strRef>
              <c:f>Sheet1!$D$1</c:f>
              <c:strCache>
                <c:ptCount val="1"/>
                <c:pt idx="0">
                  <c:v>系列 3</c:v>
                </c:pt>
              </c:strCache>
            </c:strRef>
          </c:tx>
          <c:invertIfNegative val="0"/>
          <c:dLbls>
            <c:delete val="1"/>
          </c:dLbls>
          <c:cat>
            <c:strRef>
              <c:f>Sheet1!$A$2:$A$5</c:f>
              <c:strCache>
                <c:ptCount val="2"/>
                <c:pt idx="0">
                  <c:v>2020年度</c:v>
                </c:pt>
                <c:pt idx="1">
                  <c:v>2019年度</c:v>
                </c:pt>
              </c:strCache>
            </c:strRef>
          </c:cat>
          <c:val>
            <c:numRef>
              <c:f>Sheet1!$D$2:$D$5</c:f>
            </c:numRef>
          </c:val>
        </c:ser>
        <c:dLbls>
          <c:showLegendKey val="0"/>
          <c:showVal val="0"/>
          <c:showCatName val="0"/>
          <c:showSerName val="0"/>
          <c:showPercent val="0"/>
          <c:showBubbleSize val="0"/>
        </c:dLbls>
        <c:gapWidth val="150"/>
        <c:overlap val="100"/>
        <c:axId val="98556544"/>
        <c:axId val="98595200"/>
      </c:barChart>
      <c:catAx>
        <c:axId val="98556544"/>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8595200"/>
        <c:crosses val="autoZero"/>
        <c:auto val="1"/>
        <c:lblAlgn val="ctr"/>
        <c:lblOffset val="100"/>
        <c:noMultiLvlLbl val="0"/>
      </c:catAx>
      <c:valAx>
        <c:axId val="98595200"/>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8556544"/>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收入决算结构图（万元）</c:v>
                </c:pt>
              </c:strCache>
            </c:strRef>
          </c:tx>
          <c:explosion val="0"/>
          <c:dPt>
            <c:idx val="0"/>
            <c:bubble3D val="0"/>
          </c:dPt>
          <c:dPt>
            <c:idx val="1"/>
            <c:bubble3D val="0"/>
          </c:dPt>
          <c:dLbls>
            <c:delete val="1"/>
          </c:dLbls>
          <c:cat>
            <c:strRef>
              <c:f>Sheet1!$A$2:$A$5</c:f>
              <c:strCache>
                <c:ptCount val="2"/>
                <c:pt idx="0">
                  <c:v>一般公共预算财政拨款收入94.72%</c:v>
                </c:pt>
                <c:pt idx="1">
                  <c:v>其他收入5.28%</c:v>
                </c:pt>
              </c:strCache>
            </c:strRef>
          </c:cat>
          <c:val>
            <c:numRef>
              <c:f>Sheet1!$B$2:$B$5</c:f>
              <c:numCache>
                <c:formatCode>0.00%</c:formatCode>
                <c:ptCount val="2"/>
                <c:pt idx="0">
                  <c:v>0.9472</c:v>
                </c:pt>
                <c:pt idx="1">
                  <c:v>0.0528</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支出决算结构图（万元）</c:v>
                </c:pt>
              </c:strCache>
            </c:strRef>
          </c:tx>
          <c:explosion val="0"/>
          <c:dPt>
            <c:idx val="0"/>
            <c:bubble3D val="0"/>
          </c:dPt>
          <c:dPt>
            <c:idx val="1"/>
            <c:bubble3D val="0"/>
          </c:dPt>
          <c:dLbls>
            <c:delete val="1"/>
          </c:dLbls>
          <c:cat>
            <c:strRef>
              <c:f>Sheet1!$A$2:$A$5</c:f>
              <c:strCache>
                <c:ptCount val="2"/>
                <c:pt idx="0">
                  <c:v>基本支出58.99%</c:v>
                </c:pt>
                <c:pt idx="1">
                  <c:v>项目支出41.01%</c:v>
                </c:pt>
              </c:strCache>
            </c:strRef>
          </c:cat>
          <c:val>
            <c:numRef>
              <c:f>Sheet1!$B$2:$B$5</c:f>
              <c:numCache>
                <c:formatCode>0.00%</c:formatCode>
                <c:ptCount val="2"/>
                <c:pt idx="0">
                  <c:v>0.5899</c:v>
                </c:pt>
                <c:pt idx="1">
                  <c:v>0.4101</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barChart>
        <c:barDir val="col"/>
        <c:grouping val="stacked"/>
        <c:varyColors val="0"/>
        <c:ser>
          <c:idx val="0"/>
          <c:order val="0"/>
          <c:tx>
            <c:strRef>
              <c:f>Sheet1!$B$1</c:f>
              <c:strCache>
                <c:ptCount val="1"/>
                <c:pt idx="0">
                  <c:v>财政拨款收、支决算变动情况（万元）</c:v>
                </c:pt>
              </c:strCache>
            </c:strRef>
          </c:tx>
          <c:invertIfNegative val="0"/>
          <c:dLbls>
            <c:delete val="1"/>
          </c:dLbls>
          <c:cat>
            <c:strRef>
              <c:f>Sheet1!$A$2:$A$5</c:f>
              <c:strCache>
                <c:ptCount val="2"/>
                <c:pt idx="0">
                  <c:v>2020年度</c:v>
                </c:pt>
                <c:pt idx="1">
                  <c:v>2019年度</c:v>
                </c:pt>
              </c:strCache>
            </c:strRef>
          </c:cat>
          <c:val>
            <c:numRef>
              <c:f>Sheet1!$B$2:$B$5</c:f>
              <c:numCache>
                <c:formatCode>General</c:formatCode>
                <c:ptCount val="2"/>
                <c:pt idx="0">
                  <c:v>235.34</c:v>
                </c:pt>
                <c:pt idx="1">
                  <c:v>207.91</c:v>
                </c:pt>
              </c:numCache>
            </c:numRef>
          </c:val>
        </c:ser>
        <c:ser>
          <c:idx val="1"/>
          <c:order val="1"/>
          <c:tx>
            <c:strRef>
              <c:f>Sheet1!$C$1</c:f>
              <c:strCache>
                <c:ptCount val="1"/>
                <c:pt idx="0">
                  <c:v>系列 2</c:v>
                </c:pt>
              </c:strCache>
            </c:strRef>
          </c:tx>
          <c:invertIfNegative val="0"/>
          <c:dLbls>
            <c:delete val="1"/>
          </c:dLbls>
          <c:cat>
            <c:strRef>
              <c:f>Sheet1!$A$2:$A$5</c:f>
              <c:strCache>
                <c:ptCount val="2"/>
                <c:pt idx="0">
                  <c:v>2020年度</c:v>
                </c:pt>
                <c:pt idx="1">
                  <c:v>2019年度</c:v>
                </c:pt>
              </c:strCache>
            </c:strRef>
          </c:cat>
          <c:val>
            <c:numRef>
              <c:f>Sheet1!$C$2:$C$5</c:f>
            </c:numRef>
          </c:val>
        </c:ser>
        <c:ser>
          <c:idx val="2"/>
          <c:order val="2"/>
          <c:tx>
            <c:strRef>
              <c:f>Sheet1!$D$1</c:f>
              <c:strCache>
                <c:ptCount val="1"/>
                <c:pt idx="0">
                  <c:v>系列 3</c:v>
                </c:pt>
              </c:strCache>
            </c:strRef>
          </c:tx>
          <c:invertIfNegative val="0"/>
          <c:dLbls>
            <c:delete val="1"/>
          </c:dLbls>
          <c:cat>
            <c:strRef>
              <c:f>Sheet1!$A$2:$A$5</c:f>
              <c:strCache>
                <c:ptCount val="2"/>
                <c:pt idx="0">
                  <c:v>2020年度</c:v>
                </c:pt>
                <c:pt idx="1">
                  <c:v>2019年度</c:v>
                </c:pt>
              </c:strCache>
            </c:strRef>
          </c:cat>
          <c:val>
            <c:numRef>
              <c:f>Sheet1!$D$2:$D$5</c:f>
            </c:numRef>
          </c:val>
        </c:ser>
        <c:dLbls>
          <c:showLegendKey val="0"/>
          <c:showVal val="0"/>
          <c:showCatName val="0"/>
          <c:showSerName val="0"/>
          <c:showPercent val="0"/>
          <c:showBubbleSize val="0"/>
        </c:dLbls>
        <c:gapWidth val="150"/>
        <c:overlap val="100"/>
        <c:axId val="103504512"/>
        <c:axId val="103514496"/>
      </c:barChart>
      <c:catAx>
        <c:axId val="103504512"/>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3514496"/>
        <c:crosses val="autoZero"/>
        <c:auto val="1"/>
        <c:lblAlgn val="ctr"/>
        <c:lblOffset val="100"/>
        <c:noMultiLvlLbl val="0"/>
      </c:catAx>
      <c:valAx>
        <c:axId val="103514496"/>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350451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barChart>
        <c:barDir val="col"/>
        <c:grouping val="stacked"/>
        <c:varyColors val="0"/>
        <c:ser>
          <c:idx val="0"/>
          <c:order val="0"/>
          <c:tx>
            <c:strRef>
              <c:f>Sheet1!$B$1</c:f>
              <c:strCache>
                <c:ptCount val="1"/>
                <c:pt idx="0">
                  <c:v>一般公共预算财政拨款支出决算变动情况（万元）</c:v>
                </c:pt>
              </c:strCache>
            </c:strRef>
          </c:tx>
          <c:invertIfNegative val="0"/>
          <c:dLbls>
            <c:delete val="1"/>
          </c:dLbls>
          <c:cat>
            <c:strRef>
              <c:f>Sheet1!$A$2:$A$5</c:f>
              <c:strCache>
                <c:ptCount val="2"/>
                <c:pt idx="0">
                  <c:v>2020年度</c:v>
                </c:pt>
                <c:pt idx="1">
                  <c:v>2019年度</c:v>
                </c:pt>
              </c:strCache>
            </c:strRef>
          </c:cat>
          <c:val>
            <c:numRef>
              <c:f>Sheet1!$B$2:$B$5</c:f>
              <c:numCache>
                <c:formatCode>General</c:formatCode>
                <c:ptCount val="2"/>
                <c:pt idx="0">
                  <c:v>235.34</c:v>
                </c:pt>
                <c:pt idx="1">
                  <c:v>207.91</c:v>
                </c:pt>
              </c:numCache>
            </c:numRef>
          </c:val>
        </c:ser>
        <c:ser>
          <c:idx val="1"/>
          <c:order val="1"/>
          <c:tx>
            <c:strRef>
              <c:f>Sheet1!$C$1</c:f>
              <c:strCache>
                <c:ptCount val="1"/>
                <c:pt idx="0">
                  <c:v>系列 2</c:v>
                </c:pt>
              </c:strCache>
            </c:strRef>
          </c:tx>
          <c:invertIfNegative val="0"/>
          <c:dLbls>
            <c:delete val="1"/>
          </c:dLbls>
          <c:cat>
            <c:strRef>
              <c:f>Sheet1!$A$2:$A$5</c:f>
              <c:strCache>
                <c:ptCount val="2"/>
                <c:pt idx="0">
                  <c:v>2020年度</c:v>
                </c:pt>
                <c:pt idx="1">
                  <c:v>2019年度</c:v>
                </c:pt>
              </c:strCache>
            </c:strRef>
          </c:cat>
          <c:val>
            <c:numRef>
              <c:f>Sheet1!$C$2:$C$5</c:f>
            </c:numRef>
          </c:val>
        </c:ser>
        <c:ser>
          <c:idx val="2"/>
          <c:order val="2"/>
          <c:tx>
            <c:strRef>
              <c:f>Sheet1!$D$1</c:f>
              <c:strCache>
                <c:ptCount val="1"/>
                <c:pt idx="0">
                  <c:v>系列 3</c:v>
                </c:pt>
              </c:strCache>
            </c:strRef>
          </c:tx>
          <c:invertIfNegative val="0"/>
          <c:dLbls>
            <c:delete val="1"/>
          </c:dLbls>
          <c:cat>
            <c:strRef>
              <c:f>Sheet1!$A$2:$A$5</c:f>
              <c:strCache>
                <c:ptCount val="2"/>
                <c:pt idx="0">
                  <c:v>2020年度</c:v>
                </c:pt>
                <c:pt idx="1">
                  <c:v>2019年度</c:v>
                </c:pt>
              </c:strCache>
            </c:strRef>
          </c:cat>
          <c:val>
            <c:numRef>
              <c:f>Sheet1!$D$2:$D$5</c:f>
            </c:numRef>
          </c:val>
        </c:ser>
        <c:dLbls>
          <c:showLegendKey val="0"/>
          <c:showVal val="0"/>
          <c:showCatName val="0"/>
          <c:showSerName val="0"/>
          <c:showPercent val="0"/>
          <c:showBubbleSize val="0"/>
        </c:dLbls>
        <c:gapWidth val="150"/>
        <c:overlap val="100"/>
        <c:axId val="103532032"/>
        <c:axId val="103533568"/>
      </c:barChart>
      <c:catAx>
        <c:axId val="103532032"/>
        <c:scaling>
          <c:orientation val="minMax"/>
        </c:scaling>
        <c:delete val="0"/>
        <c:axPos val="b"/>
        <c:numFmt formatCode="General" sourceLinked="0"/>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3533568"/>
        <c:crosses val="autoZero"/>
        <c:auto val="1"/>
        <c:lblAlgn val="ctr"/>
        <c:lblOffset val="100"/>
        <c:noMultiLvlLbl val="0"/>
      </c:catAx>
      <c:valAx>
        <c:axId val="103533568"/>
        <c:scaling>
          <c:orientation val="minMax"/>
        </c:scaling>
        <c:delete val="0"/>
        <c:axPos val="l"/>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103532032"/>
        <c:crosses val="autoZero"/>
        <c:crossBetween val="between"/>
      </c:valAx>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p>
      </c:txPr>
    </c:title>
    <c:autoTitleDeleted val="0"/>
    <c:plotArea>
      <c:layout/>
      <c:pieChart>
        <c:varyColors val="1"/>
        <c:ser>
          <c:idx val="0"/>
          <c:order val="0"/>
          <c:tx>
            <c:strRef>
              <c:f>Sheet1!$B$1</c:f>
              <c:strCache>
                <c:ptCount val="1"/>
                <c:pt idx="0">
                  <c:v>一般公共预算财政拨款支出决算结构</c:v>
                </c:pt>
              </c:strCache>
            </c:strRef>
          </c:tx>
          <c:explosion val="0"/>
          <c:dPt>
            <c:idx val="0"/>
            <c:bubble3D val="0"/>
          </c:dPt>
          <c:dPt>
            <c:idx val="1"/>
            <c:bubble3D val="0"/>
          </c:dPt>
          <c:dPt>
            <c:idx val="2"/>
            <c:bubble3D val="0"/>
          </c:dPt>
          <c:dPt>
            <c:idx val="3"/>
            <c:bubble3D val="0"/>
          </c:dPt>
          <c:dPt>
            <c:idx val="4"/>
            <c:bubble3D val="0"/>
          </c:dPt>
          <c:dLbls>
            <c:delete val="1"/>
          </c:dLbls>
          <c:cat>
            <c:strRef>
              <c:f>Sheet1!$A$2:$A$6</c:f>
              <c:strCache>
                <c:ptCount val="5"/>
                <c:pt idx="0">
                  <c:v>教育支出（类）0.06%</c:v>
                </c:pt>
                <c:pt idx="1">
                  <c:v>社会保障和就业（类）9.89%</c:v>
                </c:pt>
                <c:pt idx="2">
                  <c:v>卫生健康支出2.34%</c:v>
                </c:pt>
                <c:pt idx="3">
                  <c:v>城乡社区支出83.56%</c:v>
                </c:pt>
                <c:pt idx="4">
                  <c:v>住房保障支出4.15%</c:v>
                </c:pt>
              </c:strCache>
            </c:strRef>
          </c:cat>
          <c:val>
            <c:numRef>
              <c:f>Sheet1!$B$2:$B$6</c:f>
              <c:numCache>
                <c:formatCode>General</c:formatCode>
                <c:ptCount val="5"/>
                <c:pt idx="0">
                  <c:v>0.13</c:v>
                </c:pt>
                <c:pt idx="1">
                  <c:v>23.28</c:v>
                </c:pt>
                <c:pt idx="2">
                  <c:v>5.5</c:v>
                </c:pt>
                <c:pt idx="3">
                  <c:v>196.66</c:v>
                </c:pt>
                <c:pt idx="4">
                  <c:v>9.77</c:v>
                </c:pt>
              </c:numCache>
            </c:numRef>
          </c:val>
        </c:ser>
        <c:dLbls>
          <c:showLegendKey val="0"/>
          <c:showVal val="0"/>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zero"/>
    <c:showDLblsOverMax val="0"/>
  </c:chart>
  <c:txPr>
    <a:bodyPr/>
    <a:lstStyle/>
    <a:p>
      <a:pPr>
        <a:defRPr lang="zh-CN"/>
      </a:pPr>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B7F62-CD9B-41AA-9C9A-091E75866DE7}">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18</Pages>
  <Words>5206</Words>
  <Characters>5745</Characters>
  <Lines>42</Lines>
  <Paragraphs>11</Paragraphs>
  <TotalTime>4</TotalTime>
  <ScaleCrop>false</ScaleCrop>
  <LinksUpToDate>false</LinksUpToDate>
  <CharactersWithSpaces>5790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2022-06-10T02:37:00Z</dcterms:created>
  <dc:creator>曹颖</dc:creator>
  <cp:lastModifiedBy>lenovo</cp:lastModifiedBy>
  <cp:lastPrinted>2021-08-17T08:06:00Z</cp:lastPrinted>
  <dcterms:modified xsi:type="dcterms:W3CDTF">2022-11-11T02:45:03Z</dcterms:modified>
  <dc:title>四川省***</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65E87738E4484F45AFA6F85A79767C8C</vt:lpwstr>
  </property>
</Properties>
</file>