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sz w:val="72"/>
          <w:szCs w:val="72"/>
        </w:rPr>
      </w:pPr>
      <w:bookmarkStart w:id="1" w:name="_Toc15378441"/>
      <w:bookmarkStart w:id="2" w:name="_Toc15396597"/>
      <w:bookmarkStart w:id="3" w:name="_Toc15377425"/>
      <w:bookmarkStart w:id="4" w:name="_Toc15377193"/>
      <w:bookmarkStart w:id="5" w:name="_Toc15396475"/>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sz w:val="72"/>
          <w:szCs w:val="72"/>
        </w:rPr>
      </w:pPr>
      <w:bookmarkStart w:id="6" w:name="_Toc15377194"/>
      <w:bookmarkStart w:id="7" w:name="_Toc15396476"/>
      <w:bookmarkStart w:id="8" w:name="_Toc15377426"/>
      <w:bookmarkStart w:id="9" w:name="_Toc15378442"/>
      <w:bookmarkStart w:id="10" w:name="_Toc15396598"/>
      <w:r>
        <w:rPr>
          <w:rFonts w:hint="eastAsia" w:ascii="方正小标宋简体" w:hAnsi="宋体" w:eastAsia="方正小标宋简体"/>
          <w:sz w:val="72"/>
          <w:szCs w:val="72"/>
        </w:rPr>
        <w:t>四川省</w:t>
      </w:r>
      <w:bookmarkEnd w:id="0"/>
      <w:bookmarkStart w:id="11" w:name="_Toc15306268"/>
      <w:r>
        <w:rPr>
          <w:rFonts w:hint="eastAsia" w:ascii="方正小标宋简体" w:hAnsi="宋体" w:eastAsia="方正小标宋简体"/>
          <w:sz w:val="72"/>
          <w:szCs w:val="72"/>
        </w:rPr>
        <w:t>建筑业发展中心</w:t>
      </w:r>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公开时间：2021年9月10日</w:t>
      </w:r>
    </w:p>
    <w:p>
      <w:pPr>
        <w:rPr>
          <w:rFonts w:eastAsia="仿宋"/>
          <w:b/>
          <w:sz w:val="32"/>
          <w:szCs w:val="32"/>
        </w:rPr>
      </w:pPr>
    </w:p>
    <w:p>
      <w:pPr>
        <w:rPr>
          <w:rFonts w:eastAsia="仿宋"/>
          <w:b/>
          <w:sz w:val="32"/>
          <w:szCs w:val="32"/>
        </w:rPr>
      </w:pPr>
      <w:r>
        <w:rPr>
          <w:rFonts w:hint="eastAsia" w:eastAsia="仿宋"/>
          <w:b/>
          <w:sz w:val="32"/>
          <w:szCs w:val="32"/>
        </w:rPr>
        <w:t>第一部分</w:t>
      </w:r>
      <w:r>
        <w:rPr>
          <w:rFonts w:eastAsia="仿宋"/>
          <w:b/>
          <w:sz w:val="32"/>
          <w:szCs w:val="32"/>
        </w:rPr>
        <w:t xml:space="preserve"> </w:t>
      </w:r>
      <w:r>
        <w:rPr>
          <w:rFonts w:hint="eastAsia" w:eastAsia="仿宋"/>
          <w:b/>
          <w:sz w:val="32"/>
          <w:szCs w:val="32"/>
        </w:rPr>
        <w:t>单位概况</w:t>
      </w:r>
    </w:p>
    <w:p>
      <w:pPr>
        <w:ind w:firstLine="640" w:firstLineChars="200"/>
        <w:rPr>
          <w:rFonts w:eastAsia="仿宋"/>
          <w:sz w:val="32"/>
          <w:szCs w:val="32"/>
        </w:rPr>
      </w:pPr>
      <w:r>
        <w:rPr>
          <w:rFonts w:hint="eastAsia" w:eastAsia="仿宋"/>
          <w:sz w:val="32"/>
          <w:szCs w:val="32"/>
        </w:rPr>
        <w:t>一、职能简介</w:t>
      </w:r>
    </w:p>
    <w:p>
      <w:pPr>
        <w:ind w:firstLine="640" w:firstLineChars="200"/>
        <w:rPr>
          <w:rFonts w:hint="eastAsia" w:eastAsia="仿宋"/>
          <w:sz w:val="32"/>
          <w:szCs w:val="32"/>
        </w:rPr>
      </w:pPr>
      <w:r>
        <w:rPr>
          <w:rFonts w:hint="eastAsia" w:eastAsia="仿宋"/>
          <w:sz w:val="32"/>
          <w:szCs w:val="32"/>
        </w:rPr>
        <w:t>二、2020年重点工作完成情况</w:t>
      </w:r>
    </w:p>
    <w:p>
      <w:pPr>
        <w:pStyle w:val="2"/>
        <w:rPr>
          <w:rFonts w:hint="eastAsia" w:eastAsia="仿宋"/>
          <w:lang w:eastAsia="zh-CN"/>
        </w:rPr>
      </w:pPr>
      <w:r>
        <w:rPr>
          <w:rFonts w:hint="eastAsia" w:eastAsia="仿宋"/>
          <w:sz w:val="32"/>
          <w:szCs w:val="32"/>
          <w:lang w:eastAsia="zh-CN"/>
        </w:rPr>
        <w:t>　　三、机构设置情况</w:t>
      </w:r>
    </w:p>
    <w:p>
      <w:pPr>
        <w:rPr>
          <w:rFonts w:eastAsia="仿宋"/>
          <w:b/>
          <w:sz w:val="32"/>
          <w:szCs w:val="32"/>
        </w:rPr>
      </w:pPr>
      <w:r>
        <w:rPr>
          <w:rFonts w:hint="eastAsia" w:eastAsia="仿宋"/>
          <w:b/>
          <w:sz w:val="32"/>
          <w:szCs w:val="32"/>
        </w:rPr>
        <w:t>第二部分 2020年度部门决算情况说明</w:t>
      </w:r>
    </w:p>
    <w:p>
      <w:pPr>
        <w:ind w:firstLine="640" w:firstLineChars="200"/>
        <w:rPr>
          <w:rFonts w:eastAsia="仿宋"/>
          <w:sz w:val="32"/>
          <w:szCs w:val="32"/>
        </w:rPr>
      </w:pPr>
      <w:r>
        <w:rPr>
          <w:rFonts w:hint="eastAsia" w:eastAsia="仿宋"/>
          <w:sz w:val="32"/>
          <w:szCs w:val="32"/>
        </w:rPr>
        <w:t>一、收入支出决算总体情况说明</w:t>
      </w:r>
    </w:p>
    <w:p>
      <w:pPr>
        <w:ind w:firstLine="640" w:firstLineChars="200"/>
        <w:rPr>
          <w:rFonts w:eastAsia="仿宋"/>
          <w:sz w:val="32"/>
          <w:szCs w:val="32"/>
        </w:rPr>
      </w:pPr>
      <w:r>
        <w:rPr>
          <w:rFonts w:hint="eastAsia" w:eastAsia="仿宋"/>
          <w:sz w:val="32"/>
          <w:szCs w:val="32"/>
        </w:rPr>
        <w:t>二、收入决算情况说明</w:t>
      </w:r>
    </w:p>
    <w:p>
      <w:pPr>
        <w:ind w:firstLine="640" w:firstLineChars="200"/>
        <w:rPr>
          <w:rFonts w:eastAsia="仿宋"/>
          <w:sz w:val="32"/>
          <w:szCs w:val="32"/>
        </w:rPr>
      </w:pPr>
      <w:r>
        <w:rPr>
          <w:rFonts w:hint="eastAsia" w:eastAsia="仿宋"/>
          <w:sz w:val="32"/>
          <w:szCs w:val="32"/>
        </w:rPr>
        <w:t>三、支出决算情况说明</w:t>
      </w:r>
    </w:p>
    <w:p>
      <w:pPr>
        <w:ind w:firstLine="640" w:firstLineChars="200"/>
        <w:rPr>
          <w:rFonts w:eastAsia="仿宋"/>
          <w:sz w:val="32"/>
          <w:szCs w:val="32"/>
        </w:rPr>
      </w:pPr>
      <w:r>
        <w:rPr>
          <w:rFonts w:hint="eastAsia" w:eastAsia="仿宋"/>
          <w:sz w:val="32"/>
          <w:szCs w:val="32"/>
        </w:rPr>
        <w:t>四、财政拨款收入支出决算总体情况说明</w:t>
      </w:r>
    </w:p>
    <w:p>
      <w:pPr>
        <w:ind w:firstLine="640" w:firstLineChars="200"/>
        <w:rPr>
          <w:rFonts w:eastAsia="仿宋"/>
          <w:sz w:val="32"/>
          <w:szCs w:val="32"/>
        </w:rPr>
      </w:pPr>
      <w:r>
        <w:rPr>
          <w:rFonts w:hint="eastAsia" w:eastAsia="仿宋"/>
          <w:sz w:val="32"/>
          <w:szCs w:val="32"/>
        </w:rPr>
        <w:t>五、一般公共预算财政拨款支出决算情况说明</w:t>
      </w:r>
    </w:p>
    <w:p>
      <w:pPr>
        <w:ind w:firstLine="640" w:firstLineChars="200"/>
        <w:rPr>
          <w:rFonts w:eastAsia="仿宋"/>
          <w:sz w:val="32"/>
          <w:szCs w:val="32"/>
        </w:rPr>
      </w:pPr>
      <w:r>
        <w:rPr>
          <w:rFonts w:hint="eastAsia" w:eastAsia="仿宋"/>
          <w:sz w:val="32"/>
          <w:szCs w:val="32"/>
        </w:rPr>
        <w:t>六、一般公共预算财政拨款基本支出决算情况说明</w:t>
      </w:r>
    </w:p>
    <w:p>
      <w:pPr>
        <w:ind w:firstLine="640" w:firstLineChars="200"/>
        <w:rPr>
          <w:rFonts w:eastAsia="仿宋"/>
          <w:sz w:val="32"/>
          <w:szCs w:val="32"/>
        </w:rPr>
      </w:pPr>
      <w:r>
        <w:rPr>
          <w:rFonts w:hint="eastAsia" w:eastAsia="仿宋"/>
          <w:sz w:val="32"/>
          <w:szCs w:val="32"/>
        </w:rPr>
        <w:t>七、</w:t>
      </w:r>
      <w:r>
        <w:rPr>
          <w:rFonts w:eastAsia="仿宋"/>
          <w:sz w:val="32"/>
          <w:szCs w:val="32"/>
        </w:rPr>
        <w:t>“</w:t>
      </w:r>
      <w:r>
        <w:rPr>
          <w:rFonts w:hint="eastAsia" w:eastAsia="仿宋"/>
          <w:sz w:val="32"/>
          <w:szCs w:val="32"/>
        </w:rPr>
        <w:t>三公”经费财政拨款支出决算情况说明</w:t>
      </w:r>
    </w:p>
    <w:p>
      <w:pPr>
        <w:ind w:firstLine="640" w:firstLineChars="200"/>
        <w:rPr>
          <w:rFonts w:eastAsia="仿宋"/>
          <w:sz w:val="32"/>
          <w:szCs w:val="32"/>
        </w:rPr>
      </w:pPr>
      <w:r>
        <w:rPr>
          <w:rFonts w:hint="eastAsia" w:eastAsia="仿宋"/>
          <w:sz w:val="32"/>
          <w:szCs w:val="32"/>
        </w:rPr>
        <w:t>八、政府性基金预算支出决算情况说明</w:t>
      </w:r>
    </w:p>
    <w:p>
      <w:pPr>
        <w:ind w:firstLine="640" w:firstLineChars="200"/>
        <w:rPr>
          <w:rFonts w:eastAsia="仿宋"/>
          <w:sz w:val="32"/>
          <w:szCs w:val="32"/>
        </w:rPr>
      </w:pPr>
      <w:r>
        <w:rPr>
          <w:rFonts w:hint="eastAsia" w:eastAsia="仿宋"/>
          <w:sz w:val="32"/>
          <w:szCs w:val="32"/>
        </w:rPr>
        <w:t>九、国有资本经营预算支出决算情况说明</w:t>
      </w:r>
    </w:p>
    <w:p>
      <w:pPr>
        <w:ind w:firstLine="640" w:firstLineChars="200"/>
        <w:rPr>
          <w:rFonts w:eastAsia="仿宋"/>
          <w:sz w:val="32"/>
          <w:szCs w:val="32"/>
        </w:rPr>
      </w:pPr>
      <w:r>
        <w:rPr>
          <w:rFonts w:hint="eastAsia" w:eastAsia="仿宋"/>
          <w:sz w:val="32"/>
          <w:szCs w:val="32"/>
        </w:rPr>
        <w:t>十、其他重要事项的情况说明</w:t>
      </w:r>
    </w:p>
    <w:p>
      <w:pPr>
        <w:rPr>
          <w:rFonts w:eastAsia="仿宋"/>
          <w:b/>
          <w:sz w:val="32"/>
          <w:szCs w:val="32"/>
        </w:rPr>
      </w:pPr>
      <w:r>
        <w:rPr>
          <w:rFonts w:hint="eastAsia" w:eastAsia="仿宋"/>
          <w:b/>
          <w:sz w:val="32"/>
          <w:szCs w:val="32"/>
        </w:rPr>
        <w:t>第三部分</w:t>
      </w:r>
      <w:r>
        <w:rPr>
          <w:rFonts w:eastAsia="仿宋"/>
          <w:b/>
          <w:sz w:val="32"/>
          <w:szCs w:val="32"/>
        </w:rPr>
        <w:t xml:space="preserve"> </w:t>
      </w:r>
      <w:r>
        <w:rPr>
          <w:rFonts w:hint="eastAsia" w:eastAsia="仿宋"/>
          <w:b/>
          <w:sz w:val="32"/>
          <w:szCs w:val="32"/>
        </w:rPr>
        <w:t>名词解释</w:t>
      </w:r>
    </w:p>
    <w:p>
      <w:pPr>
        <w:rPr>
          <w:rFonts w:eastAsia="仿宋"/>
          <w:b/>
          <w:sz w:val="32"/>
          <w:szCs w:val="32"/>
        </w:rPr>
      </w:pPr>
      <w:r>
        <w:rPr>
          <w:rFonts w:hint="eastAsia" w:eastAsia="仿宋"/>
          <w:b/>
          <w:sz w:val="32"/>
          <w:szCs w:val="32"/>
        </w:rPr>
        <w:t>第四部分</w:t>
      </w:r>
      <w:r>
        <w:rPr>
          <w:rFonts w:eastAsia="仿宋"/>
          <w:b/>
          <w:sz w:val="32"/>
          <w:szCs w:val="32"/>
        </w:rPr>
        <w:t xml:space="preserve"> </w:t>
      </w:r>
      <w:r>
        <w:rPr>
          <w:rFonts w:hint="eastAsia" w:eastAsia="仿宋"/>
          <w:b/>
          <w:sz w:val="32"/>
          <w:szCs w:val="32"/>
        </w:rPr>
        <w:t>附件</w:t>
      </w:r>
    </w:p>
    <w:p>
      <w:pPr>
        <w:rPr>
          <w:rFonts w:eastAsia="仿宋"/>
          <w:b/>
          <w:sz w:val="32"/>
          <w:szCs w:val="32"/>
        </w:rPr>
      </w:pPr>
      <w:r>
        <w:rPr>
          <w:rFonts w:hint="eastAsia" w:eastAsia="仿宋"/>
          <w:b/>
          <w:sz w:val="32"/>
          <w:szCs w:val="32"/>
        </w:rPr>
        <w:t>第五部分</w:t>
      </w:r>
      <w:r>
        <w:rPr>
          <w:rFonts w:eastAsia="仿宋"/>
          <w:b/>
          <w:sz w:val="32"/>
          <w:szCs w:val="32"/>
        </w:rPr>
        <w:t xml:space="preserve"> </w:t>
      </w:r>
      <w:r>
        <w:rPr>
          <w:rFonts w:hint="eastAsia" w:eastAsia="仿宋"/>
          <w:b/>
          <w:sz w:val="32"/>
          <w:szCs w:val="32"/>
        </w:rPr>
        <w:t>附表</w:t>
      </w:r>
    </w:p>
    <w:p>
      <w:pPr>
        <w:widowControl/>
        <w:spacing w:line="600" w:lineRule="exact"/>
        <w:ind w:firstLine="707" w:firstLineChars="221"/>
        <w:jc w:val="left"/>
        <w:rPr>
          <w:rFonts w:eastAsia="仿宋"/>
          <w:sz w:val="32"/>
          <w:szCs w:val="32"/>
        </w:rPr>
      </w:pPr>
      <w:r>
        <w:rPr>
          <w:rFonts w:hint="eastAsia" w:eastAsia="仿宋"/>
          <w:sz w:val="32"/>
          <w:szCs w:val="32"/>
        </w:rPr>
        <w:t>一、收入支出决算总表</w:t>
      </w:r>
    </w:p>
    <w:p>
      <w:pPr>
        <w:widowControl/>
        <w:spacing w:line="600" w:lineRule="exact"/>
        <w:ind w:firstLine="707" w:firstLineChars="221"/>
        <w:jc w:val="left"/>
        <w:rPr>
          <w:rFonts w:eastAsia="仿宋"/>
          <w:sz w:val="32"/>
          <w:szCs w:val="32"/>
        </w:rPr>
      </w:pPr>
      <w:r>
        <w:rPr>
          <w:rFonts w:hint="eastAsia" w:eastAsia="仿宋"/>
          <w:sz w:val="32"/>
          <w:szCs w:val="32"/>
        </w:rPr>
        <w:t>二、收入决算表</w:t>
      </w:r>
    </w:p>
    <w:p>
      <w:pPr>
        <w:widowControl/>
        <w:spacing w:line="600" w:lineRule="exact"/>
        <w:ind w:firstLine="707" w:firstLineChars="221"/>
        <w:jc w:val="left"/>
        <w:rPr>
          <w:rFonts w:eastAsia="仿宋"/>
          <w:sz w:val="32"/>
          <w:szCs w:val="32"/>
        </w:rPr>
      </w:pPr>
      <w:r>
        <w:rPr>
          <w:rFonts w:hint="eastAsia" w:eastAsia="仿宋"/>
          <w:sz w:val="32"/>
          <w:szCs w:val="32"/>
        </w:rPr>
        <w:t>三、支出决算表</w:t>
      </w:r>
    </w:p>
    <w:p>
      <w:pPr>
        <w:widowControl/>
        <w:spacing w:line="600" w:lineRule="exact"/>
        <w:ind w:firstLine="707" w:firstLineChars="221"/>
        <w:jc w:val="left"/>
        <w:rPr>
          <w:rFonts w:eastAsia="仿宋"/>
          <w:sz w:val="32"/>
          <w:szCs w:val="32"/>
        </w:rPr>
      </w:pPr>
      <w:r>
        <w:rPr>
          <w:rFonts w:hint="eastAsia" w:eastAsia="仿宋"/>
          <w:sz w:val="32"/>
          <w:szCs w:val="32"/>
        </w:rPr>
        <w:t>四、财政拨款收入支出决算总表</w:t>
      </w:r>
    </w:p>
    <w:p>
      <w:pPr>
        <w:widowControl/>
        <w:spacing w:line="600" w:lineRule="exact"/>
        <w:ind w:firstLine="707" w:firstLineChars="221"/>
        <w:jc w:val="left"/>
        <w:rPr>
          <w:rFonts w:eastAsia="仿宋"/>
          <w:sz w:val="32"/>
          <w:szCs w:val="32"/>
        </w:rPr>
      </w:pPr>
      <w:r>
        <w:rPr>
          <w:rFonts w:hint="eastAsia" w:eastAsia="仿宋"/>
          <w:sz w:val="32"/>
          <w:szCs w:val="32"/>
        </w:rPr>
        <w:t>五、财政拨款支出决算明细表</w:t>
      </w:r>
    </w:p>
    <w:p>
      <w:pPr>
        <w:widowControl/>
        <w:spacing w:line="600" w:lineRule="exact"/>
        <w:ind w:firstLine="707" w:firstLineChars="221"/>
        <w:jc w:val="left"/>
        <w:rPr>
          <w:rFonts w:eastAsia="仿宋"/>
          <w:sz w:val="32"/>
          <w:szCs w:val="32"/>
        </w:rPr>
      </w:pPr>
      <w:r>
        <w:rPr>
          <w:rFonts w:hint="eastAsia" w:eastAsia="仿宋"/>
          <w:sz w:val="32"/>
          <w:szCs w:val="32"/>
        </w:rPr>
        <w:t>六、一般公共预算财政拨款支出决算表</w:t>
      </w:r>
    </w:p>
    <w:p>
      <w:pPr>
        <w:widowControl/>
        <w:spacing w:line="600" w:lineRule="exact"/>
        <w:ind w:firstLine="707" w:firstLineChars="221"/>
        <w:jc w:val="left"/>
        <w:rPr>
          <w:rFonts w:eastAsia="仿宋"/>
          <w:sz w:val="32"/>
          <w:szCs w:val="32"/>
        </w:rPr>
      </w:pPr>
      <w:r>
        <w:rPr>
          <w:rFonts w:hint="eastAsia" w:eastAsia="仿宋"/>
          <w:sz w:val="32"/>
          <w:szCs w:val="32"/>
        </w:rPr>
        <w:t>七、一般公共预算财政拨款支出决算明细表</w:t>
      </w:r>
    </w:p>
    <w:p>
      <w:pPr>
        <w:widowControl/>
        <w:spacing w:line="600" w:lineRule="exact"/>
        <w:ind w:firstLine="707" w:firstLineChars="221"/>
        <w:jc w:val="left"/>
        <w:rPr>
          <w:rFonts w:eastAsia="仿宋"/>
          <w:sz w:val="32"/>
          <w:szCs w:val="32"/>
        </w:rPr>
      </w:pPr>
      <w:r>
        <w:rPr>
          <w:rFonts w:hint="eastAsia" w:eastAsia="仿宋"/>
          <w:sz w:val="32"/>
          <w:szCs w:val="32"/>
        </w:rPr>
        <w:t>八、一般公共预算财政拨款基本支出决算表</w:t>
      </w:r>
    </w:p>
    <w:p>
      <w:pPr>
        <w:widowControl/>
        <w:spacing w:line="600" w:lineRule="exact"/>
        <w:ind w:firstLine="707" w:firstLineChars="221"/>
        <w:jc w:val="left"/>
        <w:rPr>
          <w:rFonts w:eastAsia="仿宋"/>
          <w:sz w:val="32"/>
          <w:szCs w:val="32"/>
        </w:rPr>
      </w:pPr>
      <w:r>
        <w:rPr>
          <w:rFonts w:hint="eastAsia" w:eastAsia="仿宋"/>
          <w:sz w:val="32"/>
          <w:szCs w:val="32"/>
        </w:rPr>
        <w:t>九、一般公共预算财政拨款项目支出决算表</w:t>
      </w:r>
    </w:p>
    <w:p>
      <w:pPr>
        <w:widowControl/>
        <w:spacing w:line="600" w:lineRule="exact"/>
        <w:ind w:firstLine="707" w:firstLineChars="221"/>
        <w:jc w:val="left"/>
        <w:rPr>
          <w:rFonts w:eastAsia="仿宋"/>
          <w:sz w:val="32"/>
          <w:szCs w:val="32"/>
        </w:rPr>
      </w:pPr>
      <w:r>
        <w:rPr>
          <w:rFonts w:hint="eastAsia" w:eastAsia="仿宋"/>
          <w:sz w:val="32"/>
          <w:szCs w:val="32"/>
        </w:rPr>
        <w:t>十、一般公共预算财政拨款“三公”经费支出决算表</w:t>
      </w:r>
    </w:p>
    <w:p>
      <w:pPr>
        <w:widowControl/>
        <w:spacing w:line="600" w:lineRule="exact"/>
        <w:ind w:firstLine="707" w:firstLineChars="221"/>
        <w:jc w:val="left"/>
        <w:rPr>
          <w:rFonts w:eastAsia="仿宋"/>
          <w:sz w:val="32"/>
          <w:szCs w:val="32"/>
        </w:rPr>
      </w:pPr>
      <w:r>
        <w:rPr>
          <w:rFonts w:hint="eastAsia" w:eastAsia="仿宋"/>
          <w:sz w:val="32"/>
          <w:szCs w:val="32"/>
        </w:rPr>
        <w:t>十一、政府性基金预算财政拨款收入支出决算表</w:t>
      </w:r>
    </w:p>
    <w:p>
      <w:pPr>
        <w:widowControl/>
        <w:spacing w:line="600" w:lineRule="exact"/>
        <w:ind w:firstLine="707" w:firstLineChars="221"/>
        <w:jc w:val="left"/>
        <w:rPr>
          <w:rFonts w:eastAsia="仿宋"/>
          <w:sz w:val="32"/>
          <w:szCs w:val="32"/>
        </w:rPr>
      </w:pPr>
      <w:r>
        <w:rPr>
          <w:rFonts w:hint="eastAsia" w:eastAsia="仿宋"/>
          <w:sz w:val="32"/>
          <w:szCs w:val="32"/>
        </w:rPr>
        <w:t>十二、政府性基金预算财政拨款“三公”经费支出决算表</w:t>
      </w:r>
    </w:p>
    <w:p>
      <w:pPr>
        <w:widowControl/>
        <w:spacing w:line="600" w:lineRule="exact"/>
        <w:ind w:firstLine="707" w:firstLineChars="221"/>
        <w:jc w:val="left"/>
        <w:rPr>
          <w:rFonts w:eastAsia="仿宋"/>
          <w:sz w:val="32"/>
          <w:szCs w:val="32"/>
        </w:rPr>
      </w:pPr>
      <w:r>
        <w:rPr>
          <w:rFonts w:hint="eastAsia" w:eastAsia="仿宋"/>
          <w:sz w:val="32"/>
          <w:szCs w:val="32"/>
        </w:rPr>
        <w:t>十三、国有资本经营预算财政拨款收入支出决算表</w:t>
      </w:r>
    </w:p>
    <w:p>
      <w:pPr>
        <w:widowControl/>
        <w:spacing w:line="600" w:lineRule="exact"/>
        <w:ind w:firstLine="707" w:firstLineChars="221"/>
        <w:jc w:val="left"/>
        <w:rPr>
          <w:rFonts w:eastAsia="仿宋"/>
          <w:sz w:val="32"/>
          <w:szCs w:val="32"/>
        </w:rPr>
      </w:pPr>
      <w:r>
        <w:rPr>
          <w:rFonts w:hint="eastAsia" w:eastAsia="仿宋"/>
          <w:sz w:val="32"/>
          <w:szCs w:val="32"/>
        </w:rPr>
        <w:t>十四、国有资本经营预算财政拨款支出决算表</w:t>
      </w:r>
    </w:p>
    <w:p>
      <w:pPr>
        <w:spacing w:line="600" w:lineRule="exact"/>
        <w:jc w:val="center"/>
        <w:rPr>
          <w:rFonts w:eastAsia="方正小标宋简体"/>
          <w:sz w:val="44"/>
          <w:szCs w:val="44"/>
        </w:rPr>
      </w:pPr>
      <w:bookmarkStart w:id="12" w:name="_Toc15377196"/>
      <w:bookmarkStart w:id="13" w:name="_Toc15396599"/>
      <w:r>
        <w:rPr>
          <w:rFonts w:eastAsia="仿宋"/>
          <w:b/>
          <w:sz w:val="32"/>
          <w:szCs w:val="32"/>
        </w:rPr>
        <w:br w:type="page"/>
      </w:r>
      <w:bookmarkEnd w:id="12"/>
      <w:bookmarkEnd w:id="13"/>
      <w:r>
        <w:rPr>
          <w:rFonts w:hint="eastAsia" w:eastAsia="方正小标宋简体"/>
          <w:bCs/>
          <w:sz w:val="44"/>
          <w:szCs w:val="44"/>
        </w:rPr>
        <w:t>第一部分 单位</w:t>
      </w:r>
      <w:r>
        <w:rPr>
          <w:rFonts w:hint="eastAsia" w:eastAsia="方正小标宋简体"/>
          <w:sz w:val="44"/>
          <w:szCs w:val="44"/>
        </w:rPr>
        <w:t>概况</w:t>
      </w:r>
      <w:bookmarkStart w:id="14" w:name="_Toc15377197"/>
      <w:bookmarkStart w:id="15" w:name="_Toc15396600"/>
    </w:p>
    <w:p>
      <w:pPr>
        <w:spacing w:line="600" w:lineRule="exact"/>
        <w:ind w:firstLine="640" w:firstLineChars="200"/>
        <w:outlineLvl w:val="1"/>
        <w:rPr>
          <w:rStyle w:val="25"/>
          <w:rFonts w:ascii="黑体" w:hAnsi="黑体" w:eastAsia="黑体"/>
          <w:b w:val="0"/>
          <w:bCs w:val="0"/>
        </w:rPr>
      </w:pPr>
      <w:r>
        <w:rPr>
          <w:rStyle w:val="25"/>
          <w:rFonts w:hint="eastAsia" w:ascii="黑体" w:hAnsi="黑体" w:eastAsia="黑体"/>
          <w:b w:val="0"/>
          <w:bCs w:val="0"/>
        </w:rPr>
        <w:t>一、职能简介</w:t>
      </w:r>
    </w:p>
    <w:p>
      <w:pPr>
        <w:ind w:firstLine="640" w:firstLineChars="200"/>
        <w:rPr>
          <w:rFonts w:ascii="仿宋_GB2312" w:hAnsi="仿宋" w:eastAsia="仿宋_GB2312"/>
          <w:sz w:val="32"/>
          <w:szCs w:val="32"/>
        </w:rPr>
      </w:pPr>
      <w:r>
        <w:rPr>
          <w:rFonts w:hint="eastAsia" w:ascii="仿宋_GB2312" w:hAnsi="仿宋" w:eastAsia="仿宋_GB2312"/>
          <w:sz w:val="32"/>
          <w:szCs w:val="32"/>
        </w:rPr>
        <w:t>四川省建筑业发展中心为四川省住房和城乡建设厅直属单位，主要承担全省建筑业发展辅助性、事务性工作，建筑从业人员劳务输出、权益维护、人才服务，以及省际间行业对口交流合作、建筑市场信息研究分析、市场推介和建筑企业服务等工作，推动四川省建筑企业“走出去”，促进建筑业结构调整和转型升级，实现建筑业高质量发展。</w:t>
      </w:r>
    </w:p>
    <w:p>
      <w:pPr>
        <w:pStyle w:val="23"/>
        <w:numPr>
          <w:ilvl w:val="0"/>
          <w:numId w:val="1"/>
        </w:numPr>
        <w:spacing w:line="600" w:lineRule="exact"/>
        <w:ind w:firstLineChars="0"/>
        <w:outlineLvl w:val="1"/>
        <w:rPr>
          <w:rStyle w:val="25"/>
          <w:rFonts w:ascii="黑体" w:hAnsi="黑体" w:eastAsia="黑体"/>
          <w:b w:val="0"/>
          <w:bCs w:val="0"/>
        </w:rPr>
      </w:pPr>
      <w:r>
        <w:rPr>
          <w:rStyle w:val="25"/>
          <w:rFonts w:hint="eastAsia" w:ascii="黑体" w:hAnsi="黑体" w:eastAsia="黑体"/>
          <w:b w:val="0"/>
          <w:bCs w:val="0"/>
        </w:rPr>
        <w:t>2020年重点工作</w:t>
      </w:r>
      <w:bookmarkEnd w:id="14"/>
      <w:bookmarkEnd w:id="15"/>
      <w:r>
        <w:rPr>
          <w:rStyle w:val="25"/>
          <w:rFonts w:hint="eastAsia" w:ascii="黑体" w:hAnsi="黑体" w:eastAsia="黑体"/>
          <w:b w:val="0"/>
          <w:bCs w:val="0"/>
        </w:rPr>
        <w:t>完成情况</w:t>
      </w:r>
    </w:p>
    <w:p>
      <w:pPr>
        <w:ind w:firstLine="704" w:firstLineChars="220"/>
        <w:rPr>
          <w:rFonts w:ascii="仿宋" w:hAnsi="仿宋" w:eastAsia="仿宋" w:cs="仿宋"/>
          <w:color w:val="000000"/>
          <w:sz w:val="32"/>
          <w:szCs w:val="32"/>
        </w:rPr>
      </w:pPr>
      <w:bookmarkStart w:id="16" w:name="_Toc15396602"/>
      <w:bookmarkStart w:id="17" w:name="_Toc15377204"/>
      <w:r>
        <w:rPr>
          <w:rFonts w:hint="eastAsia" w:ascii="仿宋" w:hAnsi="仿宋" w:eastAsia="仿宋" w:cs="仿宋"/>
          <w:color w:val="000000"/>
          <w:sz w:val="32"/>
          <w:szCs w:val="32"/>
        </w:rPr>
        <w:t>四川省建筑业发展中心在省外设立7个分中心（北京分中心、重庆分中心、南京分中心、武汉分中心、广州分中心、西安分中心、昆明分中心），每个分中心负责一个片区，与当地行业主管部门衔接协调，主要开展建筑市场推介、行业对口交流合作，建筑从业人员劳务输出、权益维护、人才服务等工作；协助四川建筑企业在当地市场开展生产经营活动。</w:t>
      </w:r>
    </w:p>
    <w:p>
      <w:pPr>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 xml:space="preserve"> （一）疫情担当作为助力企业复工复产。面对百年未有之大疫情，建筑业发展中心在做好干部职工自身防疫工作的同时，要求所有人员提高政治站位，立足本职岗位，帮助在外企业复工复产。</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（二）高规格座谈会了解企业外出发展需求。5月2</w:t>
      </w:r>
      <w:r>
        <w:rPr>
          <w:rFonts w:ascii="仿宋" w:hAnsi="仿宋" w:eastAsia="仿宋" w:cs="仿宋"/>
          <w:color w:val="000000"/>
          <w:sz w:val="32"/>
          <w:szCs w:val="32"/>
        </w:rPr>
        <w:t>2日</w:t>
      </w:r>
      <w:r>
        <w:rPr>
          <w:rFonts w:hint="eastAsia" w:ascii="仿宋" w:hAnsi="仿宋" w:eastAsia="仿宋" w:cs="仿宋"/>
          <w:color w:val="000000"/>
          <w:sz w:val="32"/>
          <w:szCs w:val="32"/>
        </w:rPr>
        <w:t>、9月18，我单位分别在宜宾、眉山召开</w:t>
      </w:r>
      <w:r>
        <w:rPr>
          <w:rFonts w:ascii="仿宋" w:hAnsi="仿宋" w:eastAsia="仿宋" w:cs="仿宋"/>
          <w:color w:val="000000"/>
          <w:sz w:val="32"/>
          <w:szCs w:val="32"/>
        </w:rPr>
        <w:t xml:space="preserve"> “走出去”发展座谈会，</w:t>
      </w:r>
      <w:r>
        <w:rPr>
          <w:rFonts w:hint="eastAsia" w:ascii="仿宋" w:hAnsi="仿宋" w:eastAsia="仿宋" w:cs="仿宋"/>
          <w:color w:val="000000"/>
          <w:sz w:val="32"/>
          <w:szCs w:val="32"/>
        </w:rPr>
        <w:t>两次会议紧紧围绕“实施‘走出去'发展”这一战略部署，为企业“走出去”搭建平台做好服务工作进行座谈交流。</w:t>
      </w:r>
    </w:p>
    <w:p>
      <w:pPr>
        <w:ind w:firstLine="480" w:firstLineChars="150"/>
        <w:rPr>
          <w:rFonts w:hint="eastAsia"/>
        </w:rPr>
      </w:pPr>
      <w:r>
        <w:rPr>
          <w:rFonts w:hint="eastAsia" w:ascii="仿宋" w:hAnsi="仿宋" w:eastAsia="仿宋" w:cs="仿宋"/>
          <w:color w:val="000000"/>
          <w:sz w:val="32"/>
          <w:szCs w:val="32"/>
        </w:rPr>
        <w:t>（三）弘扬榜样力量营造外出发展浓厚氛围</w:t>
      </w:r>
      <w:r>
        <w:rPr>
          <w:rFonts w:ascii="仿宋" w:hAnsi="仿宋" w:eastAsia="仿宋" w:cs="仿宋"/>
          <w:color w:val="000000"/>
          <w:sz w:val="32"/>
          <w:szCs w:val="32"/>
        </w:rPr>
        <w:t>。</w:t>
      </w:r>
      <w:r>
        <w:rPr>
          <w:rFonts w:hint="eastAsia" w:ascii="仿宋" w:hAnsi="仿宋" w:eastAsia="仿宋" w:cs="仿宋"/>
          <w:color w:val="000000"/>
          <w:sz w:val="32"/>
          <w:szCs w:val="32"/>
        </w:rPr>
        <w:t>一是开展评优评先活动。为大力实施“走出去”发展战略，鼓励建筑业企业拓展省外境外建筑市场， 11月10日，在成都新华宾馆召开“全省建筑业企业‘走出去’发展工作会”，会议回顾近年来我省建筑业企业“走出去”发展的成绩和经验，全面分析面临的形势和存在的问题，谋划今后一个时期的工作思路和要求，对大力实施“走出去”发展战略进行再动员、再部署，得到参会领导和企业的高度评价。</w:t>
      </w:r>
      <w:bookmarkStart w:id="67" w:name="_GoBack"/>
      <w:bookmarkEnd w:id="67"/>
    </w:p>
    <w:p>
      <w:pPr>
        <w:pStyle w:val="23"/>
        <w:numPr>
          <w:numId w:val="0"/>
        </w:numPr>
        <w:spacing w:line="600" w:lineRule="exact"/>
        <w:ind w:left="721" w:leftChars="0"/>
        <w:outlineLvl w:val="1"/>
        <w:rPr>
          <w:rStyle w:val="25"/>
          <w:rFonts w:hint="eastAsia" w:ascii="黑体" w:hAnsi="黑体" w:eastAsia="黑体"/>
          <w:b w:val="0"/>
          <w:bCs w:val="0"/>
          <w:lang w:eastAsia="zh-CN"/>
        </w:rPr>
      </w:pPr>
      <w:r>
        <w:rPr>
          <w:rStyle w:val="25"/>
          <w:rFonts w:hint="eastAsia" w:ascii="黑体" w:hAnsi="黑体" w:eastAsia="黑体"/>
          <w:b w:val="0"/>
          <w:bCs w:val="0"/>
          <w:lang w:eastAsia="zh-CN"/>
        </w:rPr>
        <w:t>三、机构设置情况</w:t>
      </w:r>
    </w:p>
    <w:p>
      <w:pPr>
        <w:pStyle w:val="2"/>
        <w:ind w:firstLine="640"/>
        <w:rPr>
          <w:rFonts w:hint="default" w:hAnsi="仿宋"/>
          <w:sz w:val="32"/>
          <w:szCs w:val="32"/>
          <w:lang w:val="en" w:eastAsia="zh-CN"/>
        </w:rPr>
      </w:pPr>
      <w:r>
        <w:rPr>
          <w:rFonts w:hint="eastAsia" w:hAnsi="仿宋"/>
          <w:sz w:val="32"/>
          <w:szCs w:val="32"/>
          <w:lang w:eastAsia="zh-CN"/>
        </w:rPr>
        <w:t>四川省建筑业发展中心由４个内设科（室）和７个省外分中心组成，分别是办公室、财务科、建筑市场服务科、对外合作交流科、四川省建筑业发展中心驻北京分中心、驻重庆分中心、驻南京分中心、驻武汉分中心、驻广州分中心、驻西安分中心、驻昆明分中心。</w:t>
      </w:r>
    </w:p>
    <w:p>
      <w:pPr>
        <w:pStyle w:val="2"/>
        <w:ind w:firstLine="640"/>
        <w:rPr>
          <w:rFonts w:hint="eastAsia" w:ascii="仿宋" w:hAnsi="仿宋" w:eastAsia="仿宋" w:cs="仿宋"/>
          <w:color w:val="000000"/>
          <w:sz w:val="32"/>
          <w:szCs w:val="32"/>
          <w:lang w:eastAsia="zh-CN"/>
        </w:rPr>
      </w:pPr>
    </w:p>
    <w:p>
      <w:pPr>
        <w:pStyle w:val="2"/>
        <w:spacing w:before="93"/>
      </w:pPr>
    </w:p>
    <w:p>
      <w:pPr>
        <w:pStyle w:val="2"/>
        <w:spacing w:before="93"/>
      </w:pPr>
    </w:p>
    <w:p>
      <w:pPr>
        <w:spacing w:line="600" w:lineRule="exact"/>
        <w:ind w:left="720"/>
        <w:rPr>
          <w:rFonts w:eastAsia="方正小标宋简体"/>
          <w:bCs/>
          <w:sz w:val="44"/>
          <w:szCs w:val="44"/>
        </w:rPr>
      </w:pPr>
      <w:r>
        <w:rPr>
          <w:rFonts w:hint="eastAsia" w:eastAsia="方正小标宋简体"/>
          <w:bCs/>
          <w:sz w:val="44"/>
          <w:szCs w:val="44"/>
        </w:rPr>
        <w:t>第二部分 2020年度部门决算情况说明</w:t>
      </w:r>
      <w:bookmarkEnd w:id="16"/>
      <w:bookmarkEnd w:id="17"/>
    </w:p>
    <w:p>
      <w:pPr>
        <w:spacing w:line="600" w:lineRule="exact"/>
        <w:ind w:firstLine="739" w:firstLineChars="231"/>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一、收</w:t>
      </w:r>
      <w:r>
        <w:rPr>
          <w:rStyle w:val="25"/>
          <w:rFonts w:hint="eastAsia" w:ascii="黑体" w:hAnsi="黑体" w:eastAsia="黑体"/>
          <w:b w:val="0"/>
        </w:rPr>
        <w:t>入支出决算总体情况说明</w:t>
      </w:r>
      <w:bookmarkEnd w:id="18"/>
      <w:bookmarkEnd w:id="19"/>
    </w:p>
    <w:p>
      <w:pPr>
        <w:ind w:firstLine="704" w:firstLineChars="220"/>
        <w:rPr>
          <w:rFonts w:ascii="仿宋" w:hAnsi="仿宋" w:eastAsia="仿宋"/>
          <w:sz w:val="32"/>
          <w:szCs w:val="32"/>
        </w:rPr>
      </w:pPr>
      <w:r>
        <w:rPr>
          <w:rFonts w:hint="eastAsia" w:ascii="仿宋" w:hAnsi="仿宋" w:eastAsia="仿宋"/>
          <w:sz w:val="32"/>
          <w:szCs w:val="32"/>
        </w:rPr>
        <w:t>2020年度收支总计42.64万元，由于由于机构改革，四川省建筑业发展中心为2020年10月新设预算单位，与上年度无对比数据。</w:t>
      </w:r>
      <w:bookmarkStart w:id="20" w:name="_Toc15396604"/>
      <w:bookmarkStart w:id="21" w:name="_Toc15377206"/>
    </w:p>
    <w:p>
      <w:pPr>
        <w:spacing w:line="600" w:lineRule="exact"/>
        <w:ind w:firstLine="642" w:firstLineChars="200"/>
        <w:outlineLvl w:val="1"/>
        <w:rPr>
          <w:rStyle w:val="25"/>
          <w:rFonts w:ascii="黑体" w:hAnsi="黑体" w:eastAsia="黑体"/>
          <w:b w:val="0"/>
        </w:rPr>
      </w:pPr>
      <w:r>
        <w:rPr>
          <w:rStyle w:val="25"/>
          <w:rFonts w:hint="eastAsia" w:ascii="黑体" w:hAnsi="黑体" w:eastAsia="黑体"/>
        </w:rPr>
        <w:t>二、收</w:t>
      </w:r>
      <w:r>
        <w:rPr>
          <w:rStyle w:val="25"/>
          <w:rFonts w:hint="eastAsia" w:ascii="黑体" w:hAnsi="黑体" w:eastAsia="黑体"/>
          <w:b w:val="0"/>
        </w:rPr>
        <w:t>入决算情况说明</w:t>
      </w:r>
      <w:bookmarkEnd w:id="20"/>
      <w:bookmarkEnd w:id="21"/>
    </w:p>
    <w:p>
      <w:pPr>
        <w:ind w:firstLine="704" w:firstLineChars="22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20年本年收入合计42.64万元，其中：一般公共预算财政拨款收入42.64万元，占100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rPr>
          <w:rFonts w:hint="eastAsia"/>
        </w:rPr>
        <w:t xml:space="preserve">   </w:t>
      </w:r>
      <w: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20年本年支出合计42.64万元，其中：基本支出42.64万元，占100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320" w:firstLineChars="100"/>
        <w:jc w:val="center"/>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p>
    <w:p>
      <w:pPr>
        <w:pStyle w:val="2"/>
        <w:spacing w:before="93"/>
      </w:pPr>
      <w:r>
        <w:rPr>
          <w:rFonts w:hint="eastAsia"/>
        </w:rPr>
        <w:t xml:space="preserve">   </w:t>
      </w:r>
      <w: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ind w:firstLine="704" w:firstLineChars="220"/>
        <w:rPr>
          <w:rFonts w:ascii="仿宋" w:hAnsi="仿宋" w:eastAsia="仿宋"/>
          <w:sz w:val="32"/>
          <w:szCs w:val="32"/>
        </w:rPr>
      </w:pPr>
      <w:r>
        <w:rPr>
          <w:rFonts w:hint="eastAsia" w:ascii="仿宋" w:hAnsi="仿宋" w:eastAsia="仿宋"/>
          <w:sz w:val="32"/>
          <w:szCs w:val="32"/>
        </w:rPr>
        <w:t>2020年度财政拨款收支总计42.64万元，由于机构改革，四川省建筑业发展中心为2020年10月新设预算单位，与上年度无对比数据。</w:t>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ind w:firstLine="704" w:firstLineChars="22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20年一般公共预算财政拨款支出42.64万元，占本年支出合计的100</w:t>
      </w:r>
      <w:r>
        <w:rPr>
          <w:rFonts w:ascii="仿宋" w:hAnsi="仿宋" w:eastAsia="仿宋"/>
          <w:sz w:val="32"/>
          <w:szCs w:val="32"/>
        </w:rPr>
        <w:t>%</w:t>
      </w:r>
      <w:r>
        <w:rPr>
          <w:rFonts w:hint="eastAsia" w:ascii="仿宋" w:hAnsi="仿宋" w:eastAsia="仿宋"/>
          <w:sz w:val="32"/>
          <w:szCs w:val="32"/>
        </w:rPr>
        <w:t>。由于机构改革，四川省建筑业发展中心为2020年10月新设预算单位，与上年度无对比数据。</w:t>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20年一般公共预算财政拨款支出42.64万元，主要用于以下方面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支出2.78万元，占6.52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4.48万元，占10.5</w:t>
      </w:r>
      <w:r>
        <w:rPr>
          <w:rFonts w:ascii="仿宋" w:hAnsi="仿宋" w:eastAsia="仿宋"/>
          <w:sz w:val="32"/>
          <w:szCs w:val="32"/>
        </w:rPr>
        <w:t>%</w:t>
      </w:r>
      <w:r>
        <w:rPr>
          <w:rFonts w:hint="eastAsia" w:ascii="仿宋" w:hAnsi="仿宋" w:eastAsia="仿宋"/>
          <w:sz w:val="32"/>
          <w:szCs w:val="32"/>
        </w:rPr>
        <w:t>；城乡社区支出32.87万元，占77.09</w:t>
      </w:r>
      <w:r>
        <w:rPr>
          <w:rFonts w:ascii="仿宋" w:hAnsi="仿宋" w:eastAsia="仿宋"/>
          <w:sz w:val="32"/>
          <w:szCs w:val="32"/>
        </w:rPr>
        <w:t>%</w:t>
      </w:r>
      <w:r>
        <w:rPr>
          <w:rFonts w:hint="eastAsia" w:ascii="仿宋" w:hAnsi="仿宋" w:eastAsia="仿宋"/>
          <w:sz w:val="32"/>
          <w:szCs w:val="32"/>
        </w:rPr>
        <w:t>；住房保障支出2.51万元，占5.89</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spacing w:before="93"/>
      </w:pPr>
      <w:r>
        <w:rPr>
          <w:rFonts w:hint="eastAsia"/>
        </w:rPr>
        <w:drawing>
          <wp:inline distT="0" distB="0" distL="0" distR="0">
            <wp:extent cx="4248150" cy="25908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2020年一般公共预算支出决算数为42.64</w:t>
      </w:r>
      <w:r>
        <w:rPr>
          <w:rFonts w:hint="eastAsia" w:ascii="仿宋" w:hAnsi="仿宋" w:eastAsia="仿宋" w:cs="仿宋"/>
          <w:color w:val="000000"/>
          <w:sz w:val="32"/>
          <w:szCs w:val="32"/>
        </w:rPr>
        <w:t>万元（全部为财政拨款），完成预算72.7</w:t>
      </w:r>
      <w:r>
        <w:rPr>
          <w:rFonts w:ascii="仿宋" w:hAnsi="仿宋" w:eastAsia="仿宋" w:cs="仿宋"/>
          <w:color w:val="000000"/>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2" w:firstLineChars="200"/>
        <w:rPr>
          <w:rStyle w:val="14"/>
          <w:rFonts w:ascii="仿宋" w:hAnsi="仿宋" w:eastAsia="仿宋"/>
          <w:b w:val="0"/>
          <w:bCs/>
          <w:sz w:val="32"/>
          <w:szCs w:val="32"/>
        </w:rPr>
      </w:pPr>
      <w:r>
        <w:rPr>
          <w:rStyle w:val="14"/>
          <w:rFonts w:hint="eastAsia" w:ascii="仿宋" w:hAnsi="仿宋" w:eastAsia="仿宋"/>
          <w:bCs/>
          <w:sz w:val="32"/>
          <w:szCs w:val="32"/>
        </w:rPr>
        <w:t>1</w:t>
      </w:r>
      <w:r>
        <w:rPr>
          <w:rStyle w:val="14"/>
          <w:rFonts w:ascii="仿宋" w:hAnsi="仿宋" w:eastAsia="仿宋"/>
          <w:bCs/>
          <w:sz w:val="32"/>
          <w:szCs w:val="32"/>
        </w:rPr>
        <w:t>.</w:t>
      </w:r>
      <w:r>
        <w:rPr>
          <w:rStyle w:val="14"/>
          <w:rFonts w:hint="eastAsia" w:ascii="仿宋" w:hAnsi="仿宋" w:eastAsia="仿宋"/>
          <w:bCs/>
          <w:sz w:val="32"/>
          <w:szCs w:val="32"/>
        </w:rPr>
        <w:t xml:space="preserve"> 社会保障和就业支出（类）行政事业单位养老支出（款）机关事业单位基本养老保险缴费支出（项）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，决算数小于预算数的主要原因是由于四川省建筑业发展中心为新设单位，职工养老保险账户2020年底尚未开设，养老保险支出无法支付。</w:t>
      </w:r>
    </w:p>
    <w:p>
      <w:pPr>
        <w:pStyle w:val="2"/>
        <w:spacing w:before="93"/>
      </w:pPr>
      <w:r>
        <w:rPr>
          <w:rFonts w:hint="eastAsia"/>
        </w:rPr>
        <w:t xml:space="preserve">    </w:t>
      </w:r>
      <w:r>
        <w:rPr>
          <w:rStyle w:val="14"/>
          <w:rFonts w:hint="eastAsia" w:ascii="仿宋" w:hAnsi="仿宋" w:eastAsia="仿宋"/>
          <w:bCs/>
          <w:sz w:val="32"/>
          <w:szCs w:val="32"/>
        </w:rPr>
        <w:t>2. 社会保障和就业支出（类）行政事业单位养老支出（款）行政单位离退休（项）</w:t>
      </w:r>
      <w:r>
        <w:rPr>
          <w:rStyle w:val="14"/>
          <w:rFonts w:ascii="仿宋" w:hAnsi="仿宋" w:eastAsia="仿宋"/>
          <w:bCs/>
          <w:sz w:val="32"/>
          <w:szCs w:val="32"/>
        </w:rPr>
        <w:t>:</w:t>
      </w:r>
      <w:r>
        <w:rPr>
          <w:rStyle w:val="14"/>
          <w:rFonts w:hint="eastAsia" w:ascii="仿宋" w:hAnsi="仿宋" w:eastAsia="仿宋"/>
          <w:b w:val="0"/>
          <w:bCs/>
          <w:kern w:val="2"/>
          <w:sz w:val="32"/>
          <w:szCs w:val="32"/>
        </w:rPr>
        <w:t>支出决算2.78万元，完成预算100%，决算数等于预算数。</w:t>
      </w:r>
    </w:p>
    <w:p>
      <w:pPr>
        <w:spacing w:line="600" w:lineRule="exact"/>
        <w:ind w:firstLine="642" w:firstLineChars="200"/>
        <w:rPr>
          <w:rFonts w:ascii="仿宋" w:hAnsi="仿宋" w:eastAsia="仿宋"/>
          <w:b/>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bCs/>
          <w:sz w:val="32"/>
          <w:szCs w:val="32"/>
        </w:rPr>
        <w:t>卫生健康支出（类）行政事业单位医疗（款）行政单位医疗（项）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支出决算为4.48万元，完成预算100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Fonts w:hint="eastAsia" w:ascii="仿宋" w:hAnsi="仿宋" w:eastAsia="仿宋"/>
          <w:b/>
          <w:bCs/>
          <w:sz w:val="32"/>
          <w:szCs w:val="32"/>
        </w:rPr>
        <w:t>城乡社区支出</w:t>
      </w:r>
      <w:r>
        <w:rPr>
          <w:rStyle w:val="14"/>
          <w:rFonts w:hint="eastAsia" w:ascii="仿宋" w:hAnsi="仿宋" w:eastAsia="仿宋"/>
          <w:bCs/>
          <w:sz w:val="32"/>
          <w:szCs w:val="32"/>
        </w:rPr>
        <w:t>（类）城乡社区管理事务（款）行政运行（项）</w:t>
      </w:r>
      <w:r>
        <w:rPr>
          <w:rStyle w:val="14"/>
          <w:rFonts w:ascii="仿宋" w:hAnsi="仿宋" w:eastAsia="仿宋"/>
          <w:bCs/>
          <w:sz w:val="32"/>
          <w:szCs w:val="32"/>
        </w:rPr>
        <w:t>:</w:t>
      </w:r>
      <w:r>
        <w:rPr>
          <w:rStyle w:val="14"/>
          <w:rFonts w:hint="eastAsia" w:ascii="仿宋" w:hAnsi="仿宋" w:eastAsia="仿宋"/>
          <w:b w:val="0"/>
          <w:bCs/>
          <w:sz w:val="32"/>
          <w:szCs w:val="32"/>
        </w:rPr>
        <w:t>支出决算为32.87万元，完成预算74.72</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，决算数小于预算数的主要原因是新设单位，人员基本工资、津补贴有所剩余。</w:t>
      </w:r>
    </w:p>
    <w:p>
      <w:pPr>
        <w:spacing w:line="600" w:lineRule="exact"/>
        <w:ind w:firstLine="642" w:firstLineChars="200"/>
        <w:rPr>
          <w:rStyle w:val="14"/>
          <w:bCs/>
        </w:rPr>
      </w:pPr>
      <w:r>
        <w:rPr>
          <w:rStyle w:val="14"/>
          <w:rFonts w:hint="eastAsia" w:ascii="仿宋" w:hAnsi="仿宋" w:eastAsia="仿宋"/>
          <w:bCs/>
          <w:sz w:val="32"/>
          <w:szCs w:val="32"/>
        </w:rPr>
        <w:t>5.住房保障支出（类）住房改革支出（款）住房公积金（项）：</w:t>
      </w:r>
      <w:r>
        <w:rPr>
          <w:rStyle w:val="14"/>
          <w:rFonts w:hint="eastAsia" w:ascii="仿宋" w:hAnsi="仿宋" w:eastAsia="仿宋"/>
          <w:b w:val="0"/>
          <w:bCs/>
          <w:sz w:val="32"/>
          <w:szCs w:val="32"/>
        </w:rPr>
        <w:t>支出决算数2.51万元，完成预算100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20年一般公共预算财政拨款基本支出42.64万元，其中：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人员经费40.3万元，主要包括：基本工资、津贴补贴、奖金、机关事业单位基本养老保险缴费、职工基本医疗保险缴费、住房公积金、奖励金、退休费等。</w:t>
      </w:r>
      <w:r>
        <w:rPr>
          <w:rFonts w:ascii="仿宋" w:hAnsi="仿宋" w:eastAsia="仿宋"/>
          <w:sz w:val="32"/>
          <w:szCs w:val="32"/>
        </w:rPr>
        <w:br w:type="textWrapping"/>
      </w:r>
      <w:r>
        <w:rPr>
          <w:rFonts w:hint="eastAsia" w:ascii="仿宋" w:hAnsi="仿宋" w:eastAsia="仿宋"/>
          <w:sz w:val="32"/>
          <w:szCs w:val="32"/>
        </w:rPr>
        <w:t>　　公用经费2.34万元，主要包括：其他交通费用。</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20年“三公”经费财政拨款支出决算为0万元，完成预算0</w:t>
      </w:r>
      <w:r>
        <w:rPr>
          <w:rFonts w:ascii="仿宋" w:hAnsi="仿宋" w:eastAsia="仿宋"/>
          <w:sz w:val="32"/>
          <w:szCs w:val="32"/>
        </w:rPr>
        <w:t>%</w:t>
      </w:r>
      <w:r>
        <w:rPr>
          <w:rFonts w:hint="eastAsia" w:ascii="仿宋" w:hAnsi="仿宋" w:eastAsia="仿宋"/>
          <w:sz w:val="32"/>
          <w:szCs w:val="32"/>
        </w:rPr>
        <w:t>，决算数小于预算数的主要原因是2020年未开展公务接待活动。</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其中：</w:t>
      </w: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0" w:name="_Toc15377218"/>
      <w:bookmarkStart w:id="41"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20年政府性基金预算财政拨款支出0万元。</w:t>
      </w:r>
    </w:p>
    <w:p>
      <w:pPr>
        <w:numPr>
          <w:ilvl w:val="0"/>
          <w:numId w:val="3"/>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20年国有资本经营预算财政拨款支出0万元。</w:t>
      </w:r>
    </w:p>
    <w:p>
      <w:pPr>
        <w:numPr>
          <w:ilvl w:val="0"/>
          <w:numId w:val="3"/>
        </w:numPr>
        <w:spacing w:line="600" w:lineRule="exact"/>
        <w:ind w:firstLine="640"/>
        <w:outlineLvl w:val="1"/>
        <w:rPr>
          <w:rStyle w:val="25"/>
          <w:rFonts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20年，机关运行经费支出0万元，</w:t>
      </w:r>
      <w:r>
        <w:rPr>
          <w:rFonts w:hint="eastAsia" w:ascii="仿宋" w:hAnsi="仿宋" w:eastAsia="仿宋"/>
          <w:sz w:val="32"/>
          <w:szCs w:val="32"/>
        </w:rPr>
        <w:t>由于四川省建筑业发展中心为新设单位，只将部分人员经费列入预算，未有机关运行经费支出。</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日，四川省建筑业发展中心共有车辆0辆，其中：主要领导干部用车0辆、机要通信用车0辆、应急保障用车0辆、其他用车0辆。单价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adjustRightInd w:val="0"/>
        <w:snapToGrid w:val="0"/>
        <w:spacing w:line="540" w:lineRule="exact"/>
        <w:ind w:firstLine="643" w:firstLineChars="201"/>
        <w:jc w:val="left"/>
        <w:rPr>
          <w:rFonts w:ascii="仿宋" w:hAnsi="仿宋" w:eastAsia="仿宋"/>
          <w:sz w:val="32"/>
          <w:szCs w:val="32"/>
        </w:rPr>
      </w:pPr>
      <w:r>
        <w:rPr>
          <w:rFonts w:hint="eastAsia" w:ascii="仿宋" w:hAnsi="仿宋" w:eastAsia="仿宋"/>
          <w:sz w:val="32"/>
          <w:szCs w:val="32"/>
        </w:rPr>
        <w:t>由于四川省建筑业发展中心为新设单位，无项目支出，未开展预算绩效管理。</w:t>
      </w:r>
      <w:bookmarkStart w:id="49" w:name="_Toc15377225"/>
      <w:bookmarkStart w:id="50" w:name="_Toc15396613"/>
    </w:p>
    <w:p>
      <w:pPr>
        <w:widowControl/>
        <w:adjustRightInd w:val="0"/>
        <w:snapToGrid w:val="0"/>
        <w:spacing w:line="540" w:lineRule="exact"/>
        <w:ind w:firstLine="884" w:firstLineChars="201"/>
        <w:jc w:val="left"/>
        <w:rPr>
          <w:rFonts w:ascii="黑体" w:hAnsi="黑体" w:eastAsia="黑体"/>
          <w:color w:val="000000"/>
          <w:sz w:val="44"/>
          <w:szCs w:val="44"/>
        </w:rPr>
      </w:pPr>
    </w:p>
    <w:p>
      <w:pPr>
        <w:widowControl/>
        <w:adjustRightInd w:val="0"/>
        <w:snapToGrid w:val="0"/>
        <w:spacing w:line="540" w:lineRule="exact"/>
        <w:ind w:firstLine="884" w:firstLineChars="201"/>
        <w:jc w:val="left"/>
        <w:rPr>
          <w:rFonts w:ascii="黑体" w:hAnsi="黑体" w:eastAsia="黑体"/>
          <w:color w:val="000000"/>
          <w:sz w:val="44"/>
          <w:szCs w:val="44"/>
        </w:rPr>
      </w:pPr>
    </w:p>
    <w:p>
      <w:pPr>
        <w:widowControl/>
        <w:adjustRightInd w:val="0"/>
        <w:snapToGrid w:val="0"/>
        <w:spacing w:line="540" w:lineRule="exact"/>
        <w:ind w:firstLine="884" w:firstLineChars="201"/>
        <w:jc w:val="left"/>
        <w:rPr>
          <w:rFonts w:ascii="黑体" w:hAnsi="黑体" w:eastAsia="黑体"/>
          <w:color w:val="000000"/>
          <w:sz w:val="44"/>
          <w:szCs w:val="44"/>
        </w:rPr>
      </w:pPr>
    </w:p>
    <w:p>
      <w:pPr>
        <w:widowControl/>
        <w:adjustRightInd w:val="0"/>
        <w:snapToGrid w:val="0"/>
        <w:spacing w:line="540" w:lineRule="exact"/>
        <w:jc w:val="left"/>
        <w:rPr>
          <w:rFonts w:ascii="黑体" w:hAnsi="黑体" w:eastAsia="黑体"/>
          <w:color w:val="000000"/>
          <w:sz w:val="44"/>
          <w:szCs w:val="44"/>
        </w:rPr>
      </w:pPr>
    </w:p>
    <w:p>
      <w:pPr>
        <w:widowControl/>
        <w:adjustRightInd w:val="0"/>
        <w:snapToGrid w:val="0"/>
        <w:spacing w:line="540" w:lineRule="exact"/>
        <w:jc w:val="center"/>
        <w:rPr>
          <w:rStyle w:val="24"/>
          <w:rFonts w:ascii="黑体" w:hAnsi="黑体" w:eastAsia="黑体"/>
          <w:b w:val="0"/>
        </w:rPr>
      </w:pPr>
      <w:r>
        <w:rPr>
          <w:rFonts w:hint="eastAsia" w:ascii="黑体" w:hAnsi="黑体" w:eastAsia="黑体"/>
          <w:color w:val="000000"/>
          <w:sz w:val="44"/>
          <w:szCs w:val="44"/>
        </w:rPr>
        <w:t>第三部分 名</w:t>
      </w:r>
      <w:r>
        <w:rPr>
          <w:rStyle w:val="24"/>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Bdr>
          <w:top w:val="single" w:color="FFFFFF" w:sz="4" w:space="0"/>
          <w:left w:val="single" w:color="FFFFFF" w:sz="4" w:space="31"/>
          <w:bottom w:val="single" w:color="FFFFFF" w:sz="4" w:space="31"/>
          <w:right w:val="single" w:color="FFFFFF" w:sz="4" w:space="0"/>
        </w:pBdr>
        <w:snapToGrid w:val="0"/>
        <w:spacing w:line="64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w:t>
      </w:r>
      <w:r>
        <w:rPr>
          <w:rFonts w:ascii="仿宋_GB2312" w:hAnsi="Calibri" w:eastAsia="仿宋_GB2312" w:cs="仿宋"/>
          <w:color w:val="000000"/>
          <w:kern w:val="0"/>
          <w:sz w:val="32"/>
          <w:szCs w:val="32"/>
        </w:rPr>
        <w:t>社会保障和就业支出（类）行政事业单位养老支出（款）机关事业单位基本养老保险缴费支出（项）</w:t>
      </w:r>
      <w:r>
        <w:rPr>
          <w:rFonts w:hint="eastAsia" w:ascii="仿宋_GB2312" w:hAnsi="Calibri" w:eastAsia="仿宋_GB2312" w:cs="仿宋"/>
          <w:color w:val="000000"/>
          <w:kern w:val="0"/>
          <w:sz w:val="32"/>
          <w:szCs w:val="32"/>
        </w:rPr>
        <w:t>：</w:t>
      </w:r>
      <w:r>
        <w:rPr>
          <w:rFonts w:ascii="仿宋_GB2312" w:hAnsi="Calibri" w:eastAsia="仿宋_GB2312" w:cs="仿宋"/>
          <w:color w:val="000000"/>
          <w:kern w:val="0"/>
          <w:sz w:val="32"/>
          <w:szCs w:val="32"/>
        </w:rPr>
        <w:t>指机关事业单位实施养老保险制度由单位缴纳的基本养老保险费支出。</w:t>
      </w:r>
    </w:p>
    <w:p>
      <w:pPr>
        <w:pBdr>
          <w:top w:val="single" w:color="FFFFFF" w:sz="4" w:space="0"/>
          <w:left w:val="single" w:color="FFFFFF" w:sz="4" w:space="31"/>
          <w:bottom w:val="single" w:color="FFFFFF" w:sz="4" w:space="31"/>
          <w:right w:val="single" w:color="FFFFFF" w:sz="4" w:space="0"/>
        </w:pBdr>
        <w:snapToGrid w:val="0"/>
        <w:spacing w:line="64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w:t>
      </w:r>
      <w:r>
        <w:rPr>
          <w:rFonts w:ascii="仿宋_GB2312" w:hAnsi="Calibri" w:eastAsia="仿宋_GB2312" w:cs="仿宋"/>
          <w:color w:val="000000"/>
          <w:kern w:val="0"/>
          <w:sz w:val="32"/>
          <w:szCs w:val="32"/>
        </w:rPr>
        <w:t>卫生健康支出（类）行政事业单位医疗（款）行政单位医疗（项）：指由单位缴纳的基本医疗保险缴费支出。</w:t>
      </w:r>
    </w:p>
    <w:p>
      <w:pPr>
        <w:pBdr>
          <w:top w:val="single" w:color="FFFFFF" w:sz="4" w:space="0"/>
          <w:left w:val="single" w:color="FFFFFF" w:sz="4" w:space="31"/>
          <w:bottom w:val="single" w:color="FFFFFF" w:sz="4" w:space="31"/>
          <w:right w:val="single" w:color="FFFFFF" w:sz="4" w:space="0"/>
        </w:pBdr>
        <w:snapToGrid w:val="0"/>
        <w:spacing w:line="64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w:t>
      </w:r>
      <w:r>
        <w:rPr>
          <w:rFonts w:ascii="仿宋_GB2312" w:hAnsi="Calibri" w:eastAsia="仿宋_GB2312" w:cs="仿宋"/>
          <w:color w:val="000000"/>
          <w:kern w:val="0"/>
          <w:sz w:val="32"/>
          <w:szCs w:val="32"/>
        </w:rPr>
        <w:t>城乡社区支出（类）城乡社区管理事务（款）行政运行（项）: 指行政单位（包括实行公务员管理的事业单位）的基本支出。</w:t>
      </w:r>
    </w:p>
    <w:p>
      <w:pPr>
        <w:pBdr>
          <w:top w:val="single" w:color="FFFFFF" w:sz="4" w:space="0"/>
          <w:left w:val="single" w:color="FFFFFF" w:sz="4" w:space="31"/>
          <w:bottom w:val="single" w:color="FFFFFF" w:sz="4" w:space="31"/>
          <w:right w:val="single" w:color="FFFFFF" w:sz="4" w:space="0"/>
        </w:pBdr>
        <w:snapToGrid w:val="0"/>
        <w:spacing w:line="64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w:t>
      </w:r>
      <w:r>
        <w:rPr>
          <w:rFonts w:ascii="仿宋_GB2312" w:hAnsi="Calibri" w:eastAsia="仿宋_GB2312" w:cs="仿宋"/>
          <w:color w:val="000000"/>
          <w:kern w:val="0"/>
          <w:sz w:val="32"/>
          <w:szCs w:val="32"/>
        </w:rPr>
        <w:t>住房保障支出（类）住房改革支出（款）住房公积金（项）：指单位为职工缴纳的住房公积金。</w:t>
      </w:r>
    </w:p>
    <w:p>
      <w:pPr>
        <w:pBdr>
          <w:top w:val="single" w:color="FFFFFF" w:sz="4" w:space="0"/>
          <w:left w:val="single" w:color="FFFFFF" w:sz="4" w:space="31"/>
          <w:bottom w:val="single" w:color="FFFFFF" w:sz="4" w:space="31"/>
          <w:right w:val="single" w:color="FFFFFF" w:sz="4" w:space="0"/>
        </w:pBdr>
        <w:snapToGrid w:val="0"/>
        <w:spacing w:line="640" w:lineRule="exact"/>
        <w:ind w:firstLine="640" w:firstLineChars="200"/>
        <w:rPr>
          <w:rFonts w:ascii="仿宋_GB2312" w:hAnsi="Calibri" w:eastAsia="仿宋_GB2312" w:cs="仿宋"/>
          <w:color w:val="000000"/>
          <w:kern w:val="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pBdr>
          <w:top w:val="single" w:color="FFFFFF" w:sz="4" w:space="0"/>
          <w:left w:val="single" w:color="FFFFFF" w:sz="4" w:space="31"/>
          <w:bottom w:val="single" w:color="FFFFFF" w:sz="4" w:space="31"/>
          <w:right w:val="single" w:color="FFFFFF" w:sz="4" w:space="0"/>
        </w:pBdr>
        <w:snapToGrid w:val="0"/>
        <w:spacing w:line="64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2429" w:firstLineChars="550"/>
        <w:rPr>
          <w:rStyle w:val="24"/>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pStyle w:val="22"/>
        <w:spacing w:line="560" w:lineRule="exact"/>
        <w:rPr>
          <w:rStyle w:val="24"/>
          <w:rFonts w:ascii="黑体" w:hAnsi="黑体" w:eastAsia="黑体"/>
          <w:b w:val="0"/>
        </w:rPr>
      </w:pPr>
    </w:p>
    <w:p>
      <w:pPr>
        <w:ind w:firstLine="640" w:firstLineChars="200"/>
        <w:rPr>
          <w:rStyle w:val="25"/>
          <w:rFonts w:ascii="Times New Roman" w:hAnsi="Times New Roman" w:eastAsia="仿宋" w:cs="Times New Roman"/>
          <w:b w:val="0"/>
        </w:rPr>
      </w:pPr>
      <w:bookmarkStart w:id="53" w:name="_Toc15396618"/>
      <w:r>
        <w:rPr>
          <w:rStyle w:val="25"/>
          <w:rFonts w:ascii="Times New Roman" w:hAnsi="Times New Roman" w:eastAsia="仿宋" w:cs="Times New Roman"/>
          <w:b w:val="0"/>
        </w:rPr>
        <w:t>由于我单位2020年预算中无100万元以上项目，不涉及项目绩效目标，因此按财政厅口径未开展项目支出绩效自评工作。</w:t>
      </w:r>
    </w:p>
    <w:p>
      <w:pPr>
        <w:pStyle w:val="2"/>
        <w:spacing w:before="93"/>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1"/>
      <w:bookmarkEnd w:id="53"/>
      <w:bookmarkStart w:id="54" w:name="_Toc15396619"/>
    </w:p>
    <w:bookmarkEnd w:id="54"/>
    <w:p>
      <w:pPr>
        <w:ind w:firstLine="640" w:firstLineChars="200"/>
        <w:rPr>
          <w:rStyle w:val="25"/>
          <w:rFonts w:ascii="Times New Roman" w:hAnsi="Times New Roman" w:eastAsia="仿宋" w:cs="Times New Roman"/>
          <w:b w:val="0"/>
        </w:rPr>
      </w:pPr>
      <w:r>
        <w:rPr>
          <w:rStyle w:val="25"/>
          <w:rFonts w:ascii="Times New Roman" w:hAnsi="Times New Roman" w:eastAsia="仿宋" w:cs="Times New Roman"/>
          <w:b w:val="0"/>
        </w:rPr>
        <w:t>一、收入支出决算总表</w:t>
      </w:r>
    </w:p>
    <w:p>
      <w:pPr>
        <w:ind w:firstLine="640" w:firstLineChars="200"/>
        <w:rPr>
          <w:rStyle w:val="25"/>
          <w:rFonts w:ascii="Times New Roman" w:hAnsi="Times New Roman" w:eastAsia="仿宋" w:cs="Times New Roman"/>
          <w:b w:val="0"/>
        </w:rPr>
      </w:pPr>
      <w:bookmarkStart w:id="55" w:name="_Toc15396620"/>
      <w:r>
        <w:rPr>
          <w:rStyle w:val="25"/>
          <w:rFonts w:ascii="Times New Roman" w:hAnsi="Times New Roman" w:eastAsia="仿宋" w:cs="Times New Roman"/>
          <w:b w:val="0"/>
        </w:rPr>
        <w:t>二、收入决算表</w:t>
      </w:r>
      <w:bookmarkEnd w:id="55"/>
    </w:p>
    <w:p>
      <w:pPr>
        <w:ind w:firstLine="640" w:firstLineChars="200"/>
        <w:rPr>
          <w:rStyle w:val="25"/>
          <w:rFonts w:ascii="Times New Roman" w:hAnsi="Times New Roman" w:eastAsia="仿宋" w:cs="Times New Roman"/>
          <w:b w:val="0"/>
        </w:rPr>
      </w:pPr>
      <w:bookmarkStart w:id="56" w:name="_Toc15396621"/>
      <w:r>
        <w:rPr>
          <w:rStyle w:val="25"/>
          <w:rFonts w:ascii="Times New Roman" w:hAnsi="Times New Roman" w:eastAsia="仿宋" w:cs="Times New Roman"/>
          <w:b w:val="0"/>
        </w:rPr>
        <w:t>三、支出决算表</w:t>
      </w:r>
      <w:bookmarkEnd w:id="56"/>
    </w:p>
    <w:p>
      <w:pPr>
        <w:ind w:firstLine="640" w:firstLineChars="200"/>
        <w:rPr>
          <w:rStyle w:val="25"/>
          <w:rFonts w:ascii="Times New Roman" w:hAnsi="Times New Roman" w:eastAsia="仿宋" w:cs="Times New Roman"/>
          <w:b w:val="0"/>
        </w:rPr>
      </w:pPr>
      <w:bookmarkStart w:id="57" w:name="_Toc15396622"/>
      <w:r>
        <w:rPr>
          <w:rStyle w:val="25"/>
          <w:rFonts w:ascii="Times New Roman" w:hAnsi="Times New Roman" w:eastAsia="仿宋" w:cs="Times New Roman"/>
          <w:b w:val="0"/>
        </w:rPr>
        <w:t>四、财政拨款收入支出决算总表</w:t>
      </w:r>
      <w:bookmarkEnd w:id="57"/>
    </w:p>
    <w:p>
      <w:pPr>
        <w:ind w:firstLine="640" w:firstLineChars="200"/>
        <w:rPr>
          <w:rStyle w:val="25"/>
          <w:rFonts w:ascii="Times New Roman" w:hAnsi="Times New Roman" w:eastAsia="仿宋" w:cs="Times New Roman"/>
          <w:b w:val="0"/>
        </w:rPr>
      </w:pPr>
      <w:bookmarkStart w:id="58" w:name="_Toc15396623"/>
      <w:r>
        <w:rPr>
          <w:rStyle w:val="25"/>
          <w:rFonts w:ascii="Times New Roman" w:hAnsi="Times New Roman" w:eastAsia="仿宋" w:cs="Times New Roman"/>
          <w:b w:val="0"/>
        </w:rPr>
        <w:t>五、财政拨款支出决算明细表</w:t>
      </w:r>
      <w:bookmarkEnd w:id="58"/>
      <w:bookmarkStart w:id="59" w:name="_Toc15396624"/>
    </w:p>
    <w:p>
      <w:pPr>
        <w:ind w:firstLine="640" w:firstLineChars="200"/>
        <w:rPr>
          <w:rStyle w:val="25"/>
          <w:rFonts w:ascii="Times New Roman" w:hAnsi="Times New Roman" w:eastAsia="仿宋" w:cs="Times New Roman"/>
          <w:b w:val="0"/>
        </w:rPr>
      </w:pPr>
      <w:r>
        <w:rPr>
          <w:rStyle w:val="25"/>
          <w:rFonts w:ascii="Times New Roman" w:hAnsi="Times New Roman" w:eastAsia="仿宋" w:cs="Times New Roman"/>
          <w:b w:val="0"/>
        </w:rPr>
        <w:t>六、一般公共预算财政拨款支出决算表</w:t>
      </w:r>
      <w:bookmarkEnd w:id="59"/>
    </w:p>
    <w:p>
      <w:pPr>
        <w:ind w:firstLine="640" w:firstLineChars="200"/>
        <w:rPr>
          <w:rStyle w:val="25"/>
          <w:rFonts w:ascii="Times New Roman" w:hAnsi="Times New Roman" w:eastAsia="仿宋" w:cs="Times New Roman"/>
          <w:b w:val="0"/>
        </w:rPr>
      </w:pPr>
      <w:bookmarkStart w:id="60" w:name="_Toc15396625"/>
      <w:r>
        <w:rPr>
          <w:rStyle w:val="25"/>
          <w:rFonts w:ascii="Times New Roman" w:hAnsi="Times New Roman" w:eastAsia="仿宋" w:cs="Times New Roman"/>
          <w:b w:val="0"/>
        </w:rPr>
        <w:t>七、一般公共预算财政拨款支出决算明细表</w:t>
      </w:r>
      <w:bookmarkEnd w:id="60"/>
    </w:p>
    <w:p>
      <w:pPr>
        <w:ind w:firstLine="640" w:firstLineChars="200"/>
        <w:rPr>
          <w:rStyle w:val="25"/>
          <w:rFonts w:ascii="Times New Roman" w:hAnsi="Times New Roman" w:eastAsia="仿宋" w:cs="Times New Roman"/>
          <w:b w:val="0"/>
        </w:rPr>
      </w:pPr>
      <w:bookmarkStart w:id="61" w:name="_Toc15396626"/>
      <w:r>
        <w:rPr>
          <w:rStyle w:val="25"/>
          <w:rFonts w:ascii="Times New Roman" w:hAnsi="Times New Roman" w:eastAsia="仿宋" w:cs="Times New Roman"/>
          <w:b w:val="0"/>
        </w:rPr>
        <w:t>八、一般公共预算财政拨款基本支出决算表</w:t>
      </w:r>
      <w:bookmarkEnd w:id="61"/>
    </w:p>
    <w:p>
      <w:pPr>
        <w:ind w:firstLine="640" w:firstLineChars="200"/>
        <w:rPr>
          <w:rStyle w:val="25"/>
          <w:rFonts w:ascii="Times New Roman" w:hAnsi="Times New Roman" w:eastAsia="仿宋" w:cs="Times New Roman"/>
          <w:b w:val="0"/>
        </w:rPr>
      </w:pPr>
      <w:bookmarkStart w:id="62" w:name="_Toc15396627"/>
      <w:r>
        <w:rPr>
          <w:rStyle w:val="25"/>
          <w:rFonts w:ascii="Times New Roman" w:hAnsi="Times New Roman" w:eastAsia="仿宋" w:cs="Times New Roman"/>
          <w:b w:val="0"/>
        </w:rPr>
        <w:t>九、一般公共预算财政拨款项目支出决算表</w:t>
      </w:r>
      <w:bookmarkEnd w:id="62"/>
    </w:p>
    <w:p>
      <w:pPr>
        <w:ind w:firstLine="640" w:firstLineChars="200"/>
        <w:rPr>
          <w:rStyle w:val="25"/>
          <w:rFonts w:ascii="Times New Roman" w:hAnsi="Times New Roman" w:eastAsia="仿宋" w:cs="Times New Roman"/>
          <w:b w:val="0"/>
        </w:rPr>
      </w:pPr>
      <w:bookmarkStart w:id="63" w:name="_Toc15396628"/>
      <w:r>
        <w:rPr>
          <w:rStyle w:val="25"/>
          <w:rFonts w:ascii="Times New Roman" w:hAnsi="Times New Roman" w:eastAsia="仿宋" w:cs="Times New Roman"/>
          <w:b w:val="0"/>
        </w:rPr>
        <w:t>十、一般公共预算财政拨款“三公”经费支出决算表</w:t>
      </w:r>
      <w:bookmarkEnd w:id="63"/>
    </w:p>
    <w:p>
      <w:pPr>
        <w:ind w:firstLine="640" w:firstLineChars="200"/>
        <w:rPr>
          <w:rStyle w:val="25"/>
          <w:rFonts w:ascii="Times New Roman" w:hAnsi="Times New Roman" w:eastAsia="仿宋" w:cs="Times New Roman"/>
          <w:b w:val="0"/>
        </w:rPr>
      </w:pPr>
      <w:bookmarkStart w:id="64" w:name="_Toc15396629"/>
      <w:r>
        <w:rPr>
          <w:rStyle w:val="25"/>
          <w:rFonts w:ascii="Times New Roman" w:hAnsi="Times New Roman" w:eastAsia="仿宋" w:cs="Times New Roman"/>
          <w:b w:val="0"/>
        </w:rPr>
        <w:t>十一、政府性基金预算财政拨款收入支出决算表</w:t>
      </w:r>
      <w:bookmarkEnd w:id="64"/>
    </w:p>
    <w:p>
      <w:pPr>
        <w:ind w:firstLine="640" w:firstLineChars="200"/>
        <w:rPr>
          <w:rStyle w:val="25"/>
          <w:rFonts w:ascii="Times New Roman" w:hAnsi="Times New Roman" w:eastAsia="仿宋" w:cs="Times New Roman"/>
          <w:b w:val="0"/>
        </w:rPr>
      </w:pPr>
      <w:bookmarkStart w:id="65" w:name="_Toc15396630"/>
      <w:r>
        <w:rPr>
          <w:rStyle w:val="25"/>
          <w:rFonts w:ascii="Times New Roman" w:hAnsi="Times New Roman" w:eastAsia="仿宋" w:cs="Times New Roman"/>
          <w:b w:val="0"/>
        </w:rPr>
        <w:t>十二、政府性基金预算财政拨款“三公”经费支出决算表</w:t>
      </w:r>
      <w:bookmarkEnd w:id="65"/>
    </w:p>
    <w:p>
      <w:pPr>
        <w:ind w:firstLine="640" w:firstLineChars="200"/>
        <w:rPr>
          <w:rStyle w:val="25"/>
          <w:rFonts w:ascii="Times New Roman" w:hAnsi="Times New Roman" w:eastAsia="仿宋" w:cs="Times New Roman"/>
          <w:b w:val="0"/>
        </w:rPr>
      </w:pPr>
      <w:bookmarkStart w:id="66" w:name="_Toc15396631"/>
      <w:r>
        <w:rPr>
          <w:rStyle w:val="25"/>
          <w:rFonts w:ascii="Times New Roman" w:hAnsi="Times New Roman" w:eastAsia="仿宋" w:cs="Times New Roman"/>
          <w:b w:val="0"/>
        </w:rPr>
        <w:t>十三、</w:t>
      </w:r>
      <w:bookmarkEnd w:id="66"/>
      <w:r>
        <w:rPr>
          <w:rStyle w:val="25"/>
          <w:rFonts w:hint="eastAsia" w:ascii="Times New Roman" w:hAnsi="Times New Roman" w:eastAsia="仿宋" w:cs="Times New Roman"/>
          <w:b w:val="0"/>
        </w:rPr>
        <w:t>国有资本经营预算财政拨款收入支出决算表</w:t>
      </w:r>
    </w:p>
    <w:p>
      <w:pPr>
        <w:ind w:firstLine="640" w:firstLineChars="200"/>
        <w:rPr>
          <w:rStyle w:val="25"/>
          <w:rFonts w:ascii="Times New Roman" w:hAnsi="Times New Roman" w:eastAsia="仿宋" w:cs="Times New Roman"/>
          <w:b w:val="0"/>
        </w:rPr>
      </w:pPr>
      <w:r>
        <w:rPr>
          <w:rStyle w:val="25"/>
          <w:rFonts w:ascii="Times New Roman" w:hAnsi="Times New Roman" w:eastAsia="仿宋" w:cs="Times New Roman"/>
          <w:b w:val="0"/>
        </w:rPr>
        <w:t>十</w:t>
      </w:r>
      <w:r>
        <w:rPr>
          <w:rStyle w:val="25"/>
          <w:rFonts w:hint="eastAsia" w:ascii="Times New Roman" w:hAnsi="Times New Roman" w:eastAsia="仿宋" w:cs="Times New Roman"/>
          <w:b w:val="0"/>
        </w:rPr>
        <w:t>四</w:t>
      </w:r>
      <w:r>
        <w:rPr>
          <w:rStyle w:val="25"/>
          <w:rFonts w:ascii="Times New Roman" w:hAnsi="Times New Roman" w:eastAsia="仿宋" w:cs="Times New Roman"/>
          <w:b w:val="0"/>
        </w:rPr>
        <w:t>、</w:t>
      </w:r>
      <w:r>
        <w:rPr>
          <w:rStyle w:val="25"/>
          <w:rFonts w:hint="eastAsia" w:ascii="Times New Roman" w:hAnsi="Times New Roman" w:eastAsia="仿宋" w:cs="Times New Roman"/>
          <w:b w:val="0"/>
        </w:rPr>
        <w:t>国有资本经营预算财政拨款支出决算表</w:t>
      </w:r>
    </w:p>
    <w:p>
      <w:pPr>
        <w:spacing w:line="600" w:lineRule="exact"/>
        <w:outlineLvl w:val="0"/>
        <w:rPr>
          <w:rFonts w:eastAsia="仿宋"/>
        </w:rPr>
      </w:pPr>
    </w:p>
    <w:sectPr>
      <w:headerReference r:id="rId3" w:type="default"/>
      <w:footerReference r:id="rId4" w:type="default"/>
      <w:pgSz w:w="11906" w:h="16838"/>
      <w:pgMar w:top="2098" w:right="1474" w:bottom="1985"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C3E0D7B"/>
    <w:multiLevelType w:val="multilevel"/>
    <w:tmpl w:val="5C3E0D7B"/>
    <w:lvl w:ilvl="0" w:tentative="0">
      <w:start w:val="2"/>
      <w:numFmt w:val="none"/>
      <w:lvlText w:val="二、"/>
      <w:lvlJc w:val="left"/>
      <w:pPr>
        <w:ind w:left="1441" w:hanging="720"/>
      </w:pPr>
      <w:rPr>
        <w:rFonts w:hint="default"/>
      </w:rPr>
    </w:lvl>
    <w:lvl w:ilvl="1" w:tentative="0">
      <w:start w:val="1"/>
      <w:numFmt w:val="lowerLetter"/>
      <w:lvlText w:val="%2)"/>
      <w:lvlJc w:val="left"/>
      <w:pPr>
        <w:ind w:left="1561" w:hanging="420"/>
      </w:pPr>
    </w:lvl>
    <w:lvl w:ilvl="2" w:tentative="0">
      <w:start w:val="1"/>
      <w:numFmt w:val="lowerRoman"/>
      <w:lvlText w:val="%3."/>
      <w:lvlJc w:val="right"/>
      <w:pPr>
        <w:ind w:left="1981" w:hanging="420"/>
      </w:pPr>
    </w:lvl>
    <w:lvl w:ilvl="3" w:tentative="0">
      <w:start w:val="1"/>
      <w:numFmt w:val="decimal"/>
      <w:lvlText w:val="%4."/>
      <w:lvlJc w:val="left"/>
      <w:pPr>
        <w:ind w:left="2401" w:hanging="420"/>
      </w:pPr>
    </w:lvl>
    <w:lvl w:ilvl="4" w:tentative="0">
      <w:start w:val="1"/>
      <w:numFmt w:val="lowerLetter"/>
      <w:lvlText w:val="%5)"/>
      <w:lvlJc w:val="left"/>
      <w:pPr>
        <w:ind w:left="2821" w:hanging="420"/>
      </w:pPr>
    </w:lvl>
    <w:lvl w:ilvl="5" w:tentative="0">
      <w:start w:val="1"/>
      <w:numFmt w:val="lowerRoman"/>
      <w:lvlText w:val="%6."/>
      <w:lvlJc w:val="right"/>
      <w:pPr>
        <w:ind w:left="3241" w:hanging="420"/>
      </w:pPr>
    </w:lvl>
    <w:lvl w:ilvl="6" w:tentative="0">
      <w:start w:val="1"/>
      <w:numFmt w:val="decimal"/>
      <w:lvlText w:val="%7."/>
      <w:lvlJc w:val="left"/>
      <w:pPr>
        <w:ind w:left="3661" w:hanging="420"/>
      </w:pPr>
    </w:lvl>
    <w:lvl w:ilvl="7" w:tentative="0">
      <w:start w:val="1"/>
      <w:numFmt w:val="lowerLetter"/>
      <w:lvlText w:val="%8)"/>
      <w:lvlJc w:val="left"/>
      <w:pPr>
        <w:ind w:left="4081" w:hanging="420"/>
      </w:pPr>
    </w:lvl>
    <w:lvl w:ilvl="8" w:tentative="0">
      <w:start w:val="1"/>
      <w:numFmt w:val="lowerRoman"/>
      <w:lvlText w:val="%9."/>
      <w:lvlJc w:val="right"/>
      <w:pPr>
        <w:ind w:left="450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3F99"/>
    <w:rsid w:val="0002549F"/>
    <w:rsid w:val="000468DB"/>
    <w:rsid w:val="0005416B"/>
    <w:rsid w:val="0006487A"/>
    <w:rsid w:val="00065F8F"/>
    <w:rsid w:val="00070001"/>
    <w:rsid w:val="00070A43"/>
    <w:rsid w:val="000720EB"/>
    <w:rsid w:val="000768F2"/>
    <w:rsid w:val="0009184B"/>
    <w:rsid w:val="00094236"/>
    <w:rsid w:val="0009593C"/>
    <w:rsid w:val="00097322"/>
    <w:rsid w:val="000A6A92"/>
    <w:rsid w:val="000B047F"/>
    <w:rsid w:val="000B5923"/>
    <w:rsid w:val="000B5A48"/>
    <w:rsid w:val="000B6FF3"/>
    <w:rsid w:val="000C3467"/>
    <w:rsid w:val="000C3CA6"/>
    <w:rsid w:val="000C59AF"/>
    <w:rsid w:val="000D1267"/>
    <w:rsid w:val="000D1D50"/>
    <w:rsid w:val="000D5782"/>
    <w:rsid w:val="000E6613"/>
    <w:rsid w:val="000E7119"/>
    <w:rsid w:val="00102747"/>
    <w:rsid w:val="00114E9B"/>
    <w:rsid w:val="00120EE2"/>
    <w:rsid w:val="00132669"/>
    <w:rsid w:val="00142216"/>
    <w:rsid w:val="00144D6A"/>
    <w:rsid w:val="0014729F"/>
    <w:rsid w:val="00157BAB"/>
    <w:rsid w:val="001654D1"/>
    <w:rsid w:val="00173F12"/>
    <w:rsid w:val="00174518"/>
    <w:rsid w:val="00175733"/>
    <w:rsid w:val="0018106D"/>
    <w:rsid w:val="001877A7"/>
    <w:rsid w:val="00191536"/>
    <w:rsid w:val="00196687"/>
    <w:rsid w:val="001B10A2"/>
    <w:rsid w:val="001C0962"/>
    <w:rsid w:val="001C3913"/>
    <w:rsid w:val="001D7531"/>
    <w:rsid w:val="001E737D"/>
    <w:rsid w:val="001F0592"/>
    <w:rsid w:val="001F7506"/>
    <w:rsid w:val="002006CD"/>
    <w:rsid w:val="00202B36"/>
    <w:rsid w:val="00204B7A"/>
    <w:rsid w:val="00204CDE"/>
    <w:rsid w:val="0021101A"/>
    <w:rsid w:val="00220536"/>
    <w:rsid w:val="00230B3B"/>
    <w:rsid w:val="00235629"/>
    <w:rsid w:val="0024357B"/>
    <w:rsid w:val="00260C38"/>
    <w:rsid w:val="002616C0"/>
    <w:rsid w:val="00265372"/>
    <w:rsid w:val="002662AA"/>
    <w:rsid w:val="0027288D"/>
    <w:rsid w:val="00280496"/>
    <w:rsid w:val="00286435"/>
    <w:rsid w:val="00294DC9"/>
    <w:rsid w:val="00295495"/>
    <w:rsid w:val="002A31DE"/>
    <w:rsid w:val="002B2613"/>
    <w:rsid w:val="002D6D05"/>
    <w:rsid w:val="002F1818"/>
    <w:rsid w:val="002F567B"/>
    <w:rsid w:val="003216A9"/>
    <w:rsid w:val="00335A74"/>
    <w:rsid w:val="0036561B"/>
    <w:rsid w:val="0037013F"/>
    <w:rsid w:val="00377F70"/>
    <w:rsid w:val="00380C92"/>
    <w:rsid w:val="00381EE7"/>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587A"/>
    <w:rsid w:val="004464F4"/>
    <w:rsid w:val="00471401"/>
    <w:rsid w:val="00473F31"/>
    <w:rsid w:val="0048263A"/>
    <w:rsid w:val="00487E5D"/>
    <w:rsid w:val="00492CAF"/>
    <w:rsid w:val="004A711F"/>
    <w:rsid w:val="004B199D"/>
    <w:rsid w:val="004B4690"/>
    <w:rsid w:val="004E0A2D"/>
    <w:rsid w:val="004E206B"/>
    <w:rsid w:val="004E6DF7"/>
    <w:rsid w:val="004F0FBD"/>
    <w:rsid w:val="00505A47"/>
    <w:rsid w:val="00512FDA"/>
    <w:rsid w:val="00520DA0"/>
    <w:rsid w:val="00527F95"/>
    <w:rsid w:val="005664BB"/>
    <w:rsid w:val="00566FFA"/>
    <w:rsid w:val="005714BA"/>
    <w:rsid w:val="0057481D"/>
    <w:rsid w:val="0058486E"/>
    <w:rsid w:val="00585B33"/>
    <w:rsid w:val="0059014D"/>
    <w:rsid w:val="00593CCA"/>
    <w:rsid w:val="005A4EF7"/>
    <w:rsid w:val="005B5C64"/>
    <w:rsid w:val="005C5337"/>
    <w:rsid w:val="005C6BD0"/>
    <w:rsid w:val="005D1C8B"/>
    <w:rsid w:val="005D468D"/>
    <w:rsid w:val="005D5CED"/>
    <w:rsid w:val="005F1A4C"/>
    <w:rsid w:val="00603E33"/>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A6052"/>
    <w:rsid w:val="006B2422"/>
    <w:rsid w:val="006B2B9A"/>
    <w:rsid w:val="006C1937"/>
    <w:rsid w:val="006F020C"/>
    <w:rsid w:val="00704D12"/>
    <w:rsid w:val="007127B7"/>
    <w:rsid w:val="0071798E"/>
    <w:rsid w:val="007416B6"/>
    <w:rsid w:val="00746F48"/>
    <w:rsid w:val="0075404D"/>
    <w:rsid w:val="0076182A"/>
    <w:rsid w:val="00767B7E"/>
    <w:rsid w:val="007770C3"/>
    <w:rsid w:val="00784D24"/>
    <w:rsid w:val="00785FBA"/>
    <w:rsid w:val="00786E4A"/>
    <w:rsid w:val="007875EB"/>
    <w:rsid w:val="0079426B"/>
    <w:rsid w:val="007C390C"/>
    <w:rsid w:val="007D1682"/>
    <w:rsid w:val="007D312A"/>
    <w:rsid w:val="007D3F19"/>
    <w:rsid w:val="007E23B0"/>
    <w:rsid w:val="007E23E5"/>
    <w:rsid w:val="007F1991"/>
    <w:rsid w:val="007F2C2F"/>
    <w:rsid w:val="007F55FC"/>
    <w:rsid w:val="007F5665"/>
    <w:rsid w:val="00800112"/>
    <w:rsid w:val="00813348"/>
    <w:rsid w:val="008213AF"/>
    <w:rsid w:val="008253BB"/>
    <w:rsid w:val="0083706E"/>
    <w:rsid w:val="008408F6"/>
    <w:rsid w:val="008423A5"/>
    <w:rsid w:val="00850625"/>
    <w:rsid w:val="00853718"/>
    <w:rsid w:val="00855221"/>
    <w:rsid w:val="00860645"/>
    <w:rsid w:val="00871F71"/>
    <w:rsid w:val="00872FD8"/>
    <w:rsid w:val="00885AF4"/>
    <w:rsid w:val="00887538"/>
    <w:rsid w:val="008939CD"/>
    <w:rsid w:val="008B0752"/>
    <w:rsid w:val="008B3B29"/>
    <w:rsid w:val="008B768C"/>
    <w:rsid w:val="008C4DB1"/>
    <w:rsid w:val="008C4EAF"/>
    <w:rsid w:val="008C5176"/>
    <w:rsid w:val="008C7FD0"/>
    <w:rsid w:val="008E1DE7"/>
    <w:rsid w:val="008E707C"/>
    <w:rsid w:val="00900B08"/>
    <w:rsid w:val="00902155"/>
    <w:rsid w:val="00902FA3"/>
    <w:rsid w:val="00923564"/>
    <w:rsid w:val="0092392E"/>
    <w:rsid w:val="00923E3F"/>
    <w:rsid w:val="009315F9"/>
    <w:rsid w:val="00933499"/>
    <w:rsid w:val="00935C98"/>
    <w:rsid w:val="00946945"/>
    <w:rsid w:val="00951248"/>
    <w:rsid w:val="0095152F"/>
    <w:rsid w:val="00954C49"/>
    <w:rsid w:val="00955E37"/>
    <w:rsid w:val="0097099F"/>
    <w:rsid w:val="00971997"/>
    <w:rsid w:val="00971FFC"/>
    <w:rsid w:val="0098660A"/>
    <w:rsid w:val="009931C3"/>
    <w:rsid w:val="009B078D"/>
    <w:rsid w:val="009B13E8"/>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3EA2"/>
    <w:rsid w:val="00A35FA7"/>
    <w:rsid w:val="00A40A00"/>
    <w:rsid w:val="00A4142F"/>
    <w:rsid w:val="00A422EB"/>
    <w:rsid w:val="00A45BB7"/>
    <w:rsid w:val="00A56DF2"/>
    <w:rsid w:val="00A56E6E"/>
    <w:rsid w:val="00A67AB5"/>
    <w:rsid w:val="00A733B2"/>
    <w:rsid w:val="00A741C2"/>
    <w:rsid w:val="00A91760"/>
    <w:rsid w:val="00A91C3A"/>
    <w:rsid w:val="00A93B00"/>
    <w:rsid w:val="00A93C21"/>
    <w:rsid w:val="00A94E83"/>
    <w:rsid w:val="00AB1C3B"/>
    <w:rsid w:val="00AB64C9"/>
    <w:rsid w:val="00AC3C6A"/>
    <w:rsid w:val="00AC6EA4"/>
    <w:rsid w:val="00AD5620"/>
    <w:rsid w:val="00AD656B"/>
    <w:rsid w:val="00AD7C1B"/>
    <w:rsid w:val="00AE16BA"/>
    <w:rsid w:val="00AE1EBE"/>
    <w:rsid w:val="00B03C9D"/>
    <w:rsid w:val="00B060AE"/>
    <w:rsid w:val="00B10517"/>
    <w:rsid w:val="00B14E76"/>
    <w:rsid w:val="00B161B8"/>
    <w:rsid w:val="00B17D15"/>
    <w:rsid w:val="00B2048C"/>
    <w:rsid w:val="00B310B9"/>
    <w:rsid w:val="00B35F3F"/>
    <w:rsid w:val="00B36CBB"/>
    <w:rsid w:val="00B425E0"/>
    <w:rsid w:val="00B42AEB"/>
    <w:rsid w:val="00B440AA"/>
    <w:rsid w:val="00B44B70"/>
    <w:rsid w:val="00B4573B"/>
    <w:rsid w:val="00B53C56"/>
    <w:rsid w:val="00B57DAF"/>
    <w:rsid w:val="00B60F36"/>
    <w:rsid w:val="00B70C51"/>
    <w:rsid w:val="00B77EA6"/>
    <w:rsid w:val="00B81598"/>
    <w:rsid w:val="00B841F1"/>
    <w:rsid w:val="00B944D6"/>
    <w:rsid w:val="00BB4DF0"/>
    <w:rsid w:val="00BC289F"/>
    <w:rsid w:val="00BC2D50"/>
    <w:rsid w:val="00BC5361"/>
    <w:rsid w:val="00BC5460"/>
    <w:rsid w:val="00BC6B50"/>
    <w:rsid w:val="00BD0E25"/>
    <w:rsid w:val="00BF5BD6"/>
    <w:rsid w:val="00C03E31"/>
    <w:rsid w:val="00C17DD6"/>
    <w:rsid w:val="00C17F3C"/>
    <w:rsid w:val="00C33E72"/>
    <w:rsid w:val="00C354B2"/>
    <w:rsid w:val="00C35554"/>
    <w:rsid w:val="00C421A9"/>
    <w:rsid w:val="00C42709"/>
    <w:rsid w:val="00C46B0C"/>
    <w:rsid w:val="00C533CC"/>
    <w:rsid w:val="00C5751C"/>
    <w:rsid w:val="00C61BFC"/>
    <w:rsid w:val="00C62B85"/>
    <w:rsid w:val="00C65438"/>
    <w:rsid w:val="00C87FD8"/>
    <w:rsid w:val="00C91381"/>
    <w:rsid w:val="00C91CBB"/>
    <w:rsid w:val="00CB35C2"/>
    <w:rsid w:val="00CB4E70"/>
    <w:rsid w:val="00CC09B6"/>
    <w:rsid w:val="00CC666F"/>
    <w:rsid w:val="00CD1E3F"/>
    <w:rsid w:val="00CD6A6A"/>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6194"/>
    <w:rsid w:val="00D875A6"/>
    <w:rsid w:val="00DA634F"/>
    <w:rsid w:val="00DA65AC"/>
    <w:rsid w:val="00DB1913"/>
    <w:rsid w:val="00DC410D"/>
    <w:rsid w:val="00DC5A81"/>
    <w:rsid w:val="00DC68CA"/>
    <w:rsid w:val="00DC7CBA"/>
    <w:rsid w:val="00DD73B7"/>
    <w:rsid w:val="00DF28BC"/>
    <w:rsid w:val="00DF34B9"/>
    <w:rsid w:val="00DF4FA1"/>
    <w:rsid w:val="00DF5371"/>
    <w:rsid w:val="00DF763F"/>
    <w:rsid w:val="00E01053"/>
    <w:rsid w:val="00E07ACF"/>
    <w:rsid w:val="00E331A1"/>
    <w:rsid w:val="00E33202"/>
    <w:rsid w:val="00E336A9"/>
    <w:rsid w:val="00E472B1"/>
    <w:rsid w:val="00E50624"/>
    <w:rsid w:val="00E568DF"/>
    <w:rsid w:val="00E64269"/>
    <w:rsid w:val="00E649B9"/>
    <w:rsid w:val="00E71375"/>
    <w:rsid w:val="00E80537"/>
    <w:rsid w:val="00E82267"/>
    <w:rsid w:val="00E83284"/>
    <w:rsid w:val="00E853CE"/>
    <w:rsid w:val="00E867B6"/>
    <w:rsid w:val="00EA010F"/>
    <w:rsid w:val="00EB7A96"/>
    <w:rsid w:val="00ED1B63"/>
    <w:rsid w:val="00ED3C1F"/>
    <w:rsid w:val="00ED4085"/>
    <w:rsid w:val="00ED420E"/>
    <w:rsid w:val="00ED6FBE"/>
    <w:rsid w:val="00EE2F57"/>
    <w:rsid w:val="00EF4C34"/>
    <w:rsid w:val="00EF4FDB"/>
    <w:rsid w:val="00EF77C6"/>
    <w:rsid w:val="00F04EDD"/>
    <w:rsid w:val="00F05438"/>
    <w:rsid w:val="00F1361C"/>
    <w:rsid w:val="00F156F0"/>
    <w:rsid w:val="00F1607B"/>
    <w:rsid w:val="00F160C7"/>
    <w:rsid w:val="00F2408F"/>
    <w:rsid w:val="00F240E9"/>
    <w:rsid w:val="00F35276"/>
    <w:rsid w:val="00F36D8F"/>
    <w:rsid w:val="00F417B1"/>
    <w:rsid w:val="00F45853"/>
    <w:rsid w:val="00F602DF"/>
    <w:rsid w:val="00F66FDA"/>
    <w:rsid w:val="00F754A1"/>
    <w:rsid w:val="00F81FD9"/>
    <w:rsid w:val="00F82327"/>
    <w:rsid w:val="00F83376"/>
    <w:rsid w:val="00F841AA"/>
    <w:rsid w:val="00F84A94"/>
    <w:rsid w:val="00F87E96"/>
    <w:rsid w:val="00FA23E8"/>
    <w:rsid w:val="00FA5724"/>
    <w:rsid w:val="00FD3CC1"/>
    <w:rsid w:val="00FE6FA5"/>
    <w:rsid w:val="00FF1E02"/>
    <w:rsid w:val="00FF30B4"/>
    <w:rsid w:val="0A2032A3"/>
    <w:rsid w:val="10C055FF"/>
    <w:rsid w:val="118107EC"/>
    <w:rsid w:val="16BB723D"/>
    <w:rsid w:val="18015F3F"/>
    <w:rsid w:val="1BE8440E"/>
    <w:rsid w:val="1D155CEE"/>
    <w:rsid w:val="1DFF4DEC"/>
    <w:rsid w:val="20F57F95"/>
    <w:rsid w:val="240371BF"/>
    <w:rsid w:val="27842671"/>
    <w:rsid w:val="29FD04D3"/>
    <w:rsid w:val="2ABE7A3E"/>
    <w:rsid w:val="319F7F4E"/>
    <w:rsid w:val="3C0C0783"/>
    <w:rsid w:val="493C27E9"/>
    <w:rsid w:val="496F39ED"/>
    <w:rsid w:val="49FF41D3"/>
    <w:rsid w:val="4BE068DB"/>
    <w:rsid w:val="4BF6002B"/>
    <w:rsid w:val="4ECE2238"/>
    <w:rsid w:val="64CA39A1"/>
    <w:rsid w:val="6C4A05C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99"/>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2020年收入</c:v>
                </c:pt>
              </c:strCache>
            </c:strRef>
          </c:tx>
          <c:explosion val="0"/>
          <c:dPt>
            <c:idx val="0"/>
            <c:bubble3D val="false"/>
          </c:dPt>
          <c:dLbls>
            <c:delete val="true"/>
          </c:dLbls>
          <c:cat>
            <c:strRef>
              <c:f>Sheet1!$A$2</c:f>
              <c:strCache>
                <c:ptCount val="1"/>
                <c:pt idx="0">
                  <c:v>一般公共预算财政拨款收入</c:v>
                </c:pt>
              </c:strCache>
            </c:strRef>
          </c:cat>
          <c:val>
            <c:numRef>
              <c:f>Sheet1!$B$2</c:f>
              <c:numCache>
                <c:formatCode>General</c:formatCode>
                <c:ptCount val="1"/>
                <c:pt idx="0">
                  <c:v>58.67</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2020年支出</c:v>
                </c:pt>
              </c:strCache>
            </c:strRef>
          </c:tx>
          <c:explosion val="0"/>
          <c:dPt>
            <c:idx val="0"/>
            <c:bubble3D val="false"/>
          </c:dPt>
          <c:dLbls>
            <c:delete val="true"/>
          </c:dLbls>
          <c:cat>
            <c:strRef>
              <c:f>Sheet1!$A$2</c:f>
              <c:strCache>
                <c:ptCount val="1"/>
                <c:pt idx="0">
                  <c:v>基本支出</c:v>
                </c:pt>
              </c:strCache>
            </c:strRef>
          </c:cat>
          <c:val>
            <c:numRef>
              <c:f>Sheet1!$B$2</c:f>
              <c:numCache>
                <c:formatCode>General</c:formatCode>
                <c:ptCount val="1"/>
                <c:pt idx="0">
                  <c:v>58.67</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explosion val="0"/>
          <c:dPt>
            <c:idx val="0"/>
            <c:bubble3D val="false"/>
          </c:dPt>
          <c:dPt>
            <c:idx val="1"/>
            <c:bubble3D val="false"/>
          </c:dPt>
          <c:dPt>
            <c:idx val="2"/>
            <c:bubble3D val="false"/>
          </c:dPt>
          <c:dPt>
            <c:idx val="3"/>
            <c:bubble3D val="false"/>
          </c:dPt>
          <c:dLbls>
            <c:delete val="true"/>
          </c:dLbls>
          <c:cat>
            <c:strRef>
              <c:f>Sheet1!$A$2:$A$5</c:f>
              <c:strCache>
                <c:ptCount val="4"/>
                <c:pt idx="0">
                  <c:v>社会保障和就业</c:v>
                </c:pt>
                <c:pt idx="1">
                  <c:v>卫生健康支出</c:v>
                </c:pt>
                <c:pt idx="2">
                  <c:v>城乡社区支出</c:v>
                </c:pt>
                <c:pt idx="3">
                  <c:v>住房保障支出</c:v>
                </c:pt>
              </c:strCache>
            </c:strRef>
          </c:cat>
          <c:val>
            <c:numRef>
              <c:f>Sheet1!$B$2:$B$5</c:f>
              <c:numCache>
                <c:formatCode>General</c:formatCode>
                <c:ptCount val="4"/>
                <c:pt idx="0">
                  <c:v>2.78</c:v>
                </c:pt>
                <c:pt idx="1">
                  <c:v>4.48</c:v>
                </c:pt>
                <c:pt idx="2">
                  <c:v>32.87</c:v>
                </c:pt>
                <c:pt idx="3">
                  <c:v>2.51</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647</Words>
  <Characters>3694</Characters>
  <Lines>30</Lines>
  <Paragraphs>8</Paragraphs>
  <TotalTime>2</TotalTime>
  <ScaleCrop>false</ScaleCrop>
  <LinksUpToDate>false</LinksUpToDate>
  <CharactersWithSpaces>4333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2021-08-26T17:04:00Z</dcterms:created>
  <dc:creator>曹颖</dc:creator>
  <cp:lastModifiedBy>user</cp:lastModifiedBy>
  <cp:lastPrinted>2021-08-17T16:06:00Z</cp:lastPrinted>
  <dcterms:modified xsi:type="dcterms:W3CDTF">2022-11-11T10:26:26Z</dcterms:modified>
  <dc:title>四川省***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