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document.xml" ContentType="application/vnd.openxmlformats-officedocument.wordprocessingml.document.main+xml"/>
  <Override PartName="/word/drawings/drawing1.xml" ContentType="application/vnd.openxmlformats-officedocument.drawingml.chartshapes+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outlineLvl w:val="9"/>
        <w:rPr>
          <w:rFonts w:hint="default" w:ascii="方正小标宋简体" w:hAnsi="宋体" w:eastAsia="方正小标宋简体"/>
          <w:color w:val="000000"/>
          <w:sz w:val="30"/>
          <w:szCs w:val="30"/>
          <w:lang w:val="en-US" w:eastAsia="zh-CN"/>
        </w:rPr>
      </w:pPr>
      <w:bookmarkStart w:id="0" w:name="_Toc15306267"/>
    </w:p>
    <w:p>
      <w:pPr>
        <w:spacing w:line="600" w:lineRule="exact"/>
        <w:jc w:val="center"/>
        <w:outlineLvl w:val="9"/>
        <w:rPr>
          <w:rFonts w:ascii="方正小标宋简体" w:hAnsi="宋体" w:eastAsia="方正小标宋简体"/>
          <w:color w:val="000000"/>
          <w:sz w:val="72"/>
          <w:szCs w:val="72"/>
        </w:rPr>
      </w:pPr>
    </w:p>
    <w:p>
      <w:pPr>
        <w:spacing w:line="600" w:lineRule="exact"/>
        <w:jc w:val="center"/>
        <w:outlineLvl w:val="9"/>
        <w:rPr>
          <w:rFonts w:ascii="方正小标宋简体" w:hAnsi="宋体" w:eastAsia="方正小标宋简体"/>
          <w:color w:val="000000"/>
          <w:sz w:val="72"/>
          <w:szCs w:val="72"/>
        </w:rPr>
      </w:pPr>
    </w:p>
    <w:p>
      <w:pPr>
        <w:spacing w:line="600" w:lineRule="exact"/>
        <w:jc w:val="center"/>
        <w:outlineLvl w:val="9"/>
        <w:rPr>
          <w:rFonts w:ascii="方正小标宋简体" w:hAnsi="宋体" w:eastAsia="方正小标宋简体"/>
          <w:color w:val="000000"/>
          <w:sz w:val="72"/>
          <w:szCs w:val="72"/>
        </w:rPr>
      </w:pPr>
    </w:p>
    <w:p>
      <w:pPr>
        <w:adjustRightInd w:val="0"/>
        <w:snapToGrid w:val="0"/>
        <w:spacing w:line="360" w:lineRule="auto"/>
        <w:jc w:val="center"/>
        <w:outlineLvl w:val="0"/>
        <w:rPr>
          <w:rFonts w:ascii="方正小标宋简体" w:hAnsi="宋体" w:eastAsia="方正小标宋简体"/>
          <w:color w:val="auto"/>
          <w:sz w:val="72"/>
          <w:szCs w:val="72"/>
        </w:rPr>
      </w:pPr>
      <w:bookmarkStart w:id="1" w:name="_Toc15396597"/>
      <w:bookmarkStart w:id="2" w:name="_Toc15377193"/>
      <w:bookmarkStart w:id="3" w:name="_Toc21219"/>
      <w:bookmarkStart w:id="4" w:name="_Toc15378441"/>
      <w:bookmarkStart w:id="5" w:name="_Toc15377425"/>
      <w:bookmarkStart w:id="6" w:name="_Toc15396475"/>
      <w:r>
        <w:rPr>
          <w:rFonts w:ascii="黑体" w:hAnsi="黑体" w:eastAsia="黑体"/>
          <w:color w:val="auto"/>
          <w:sz w:val="72"/>
          <w:szCs w:val="72"/>
        </w:rPr>
        <w:t>20</w:t>
      </w:r>
      <w:r>
        <w:rPr>
          <w:rFonts w:hint="eastAsia" w:ascii="黑体" w:hAnsi="黑体" w:eastAsia="黑体"/>
          <w:color w:val="auto"/>
          <w:sz w:val="72"/>
          <w:szCs w:val="72"/>
          <w:lang w:val="en-US" w:eastAsia="zh-CN"/>
        </w:rPr>
        <w:t>20</w:t>
      </w:r>
      <w:r>
        <w:rPr>
          <w:rFonts w:hint="eastAsia" w:ascii="方正小标宋简体" w:hAnsi="宋体" w:eastAsia="方正小标宋简体"/>
          <w:color w:val="auto"/>
          <w:sz w:val="72"/>
          <w:szCs w:val="72"/>
        </w:rPr>
        <w:t>年度</w:t>
      </w:r>
      <w:bookmarkEnd w:id="1"/>
      <w:bookmarkEnd w:id="2"/>
      <w:bookmarkEnd w:id="3"/>
      <w:bookmarkEnd w:id="4"/>
      <w:bookmarkEnd w:id="5"/>
      <w:bookmarkEnd w:id="6"/>
    </w:p>
    <w:bookmarkEnd w:id="0"/>
    <w:p>
      <w:pPr>
        <w:adjustRightInd w:val="0"/>
        <w:snapToGrid w:val="0"/>
        <w:spacing w:line="360" w:lineRule="auto"/>
        <w:jc w:val="center"/>
        <w:outlineLvl w:val="0"/>
        <w:rPr>
          <w:rFonts w:ascii="方正小标宋简体" w:hAnsi="宋体" w:eastAsia="方正小标宋简体"/>
          <w:color w:val="auto"/>
          <w:sz w:val="72"/>
          <w:szCs w:val="72"/>
        </w:rPr>
      </w:pPr>
      <w:bookmarkStart w:id="7" w:name="_Toc15396476"/>
      <w:bookmarkStart w:id="8" w:name="_Toc15377426"/>
      <w:bookmarkStart w:id="9" w:name="_Toc15378442"/>
      <w:bookmarkStart w:id="10" w:name="_Toc8654"/>
      <w:bookmarkStart w:id="11" w:name="_Toc15306268"/>
      <w:bookmarkStart w:id="12" w:name="_Toc15377194"/>
      <w:bookmarkStart w:id="13" w:name="_Toc15396598"/>
      <w:r>
        <w:rPr>
          <w:rFonts w:hint="eastAsia" w:ascii="方正小标宋简体" w:hAnsi="宋体" w:eastAsia="方正小标宋简体"/>
          <w:color w:val="auto"/>
          <w:sz w:val="72"/>
          <w:szCs w:val="72"/>
        </w:rPr>
        <w:t>四川省建设岗位培训与执业资格注册中心部门决算</w:t>
      </w:r>
      <w:bookmarkEnd w:id="7"/>
      <w:bookmarkEnd w:id="8"/>
      <w:bookmarkEnd w:id="9"/>
      <w:bookmarkEnd w:id="10"/>
      <w:bookmarkEnd w:id="11"/>
      <w:bookmarkEnd w:id="12"/>
      <w:bookmarkEnd w:id="13"/>
    </w:p>
    <w:p>
      <w:pPr>
        <w:widowControl/>
        <w:jc w:val="center"/>
        <w:rPr>
          <w:rFonts w:ascii="黑体" w:hAnsi="黑体" w:eastAsia="黑体"/>
          <w:color w:val="auto"/>
          <w:sz w:val="48"/>
          <w:szCs w:val="48"/>
        </w:rPr>
      </w:pPr>
      <w:r>
        <w:rPr>
          <w:rFonts w:ascii="方正小标宋简体" w:hAnsi="宋体" w:eastAsia="方正小标宋简体"/>
          <w:color w:val="auto"/>
          <w:sz w:val="36"/>
          <w:szCs w:val="36"/>
        </w:rPr>
        <w:br w:type="page"/>
      </w:r>
      <w:r>
        <w:rPr>
          <w:rFonts w:hint="eastAsia" w:ascii="黑体" w:hAnsi="黑体" w:eastAsia="黑体"/>
          <w:color w:val="auto"/>
          <w:sz w:val="48"/>
          <w:szCs w:val="48"/>
        </w:rPr>
        <w:t>目录</w:t>
      </w:r>
    </w:p>
    <w:p>
      <w:pPr>
        <w:widowControl/>
        <w:jc w:val="center"/>
        <w:rPr>
          <w:rFonts w:ascii="黑体" w:hAnsi="黑体" w:eastAsia="黑体" w:cstheme="minorBidi"/>
          <w:color w:val="auto"/>
          <w:sz w:val="28"/>
          <w:szCs w:val="28"/>
        </w:rPr>
      </w:pPr>
    </w:p>
    <w:p>
      <w:pPr>
        <w:pStyle w:val="10"/>
        <w:rPr>
          <w:rFonts w:hint="eastAsia"/>
          <w:color w:val="auto"/>
        </w:rPr>
      </w:pPr>
      <w:r>
        <w:rPr>
          <w:rFonts w:hint="eastAsia"/>
          <w:color w:val="auto"/>
        </w:rPr>
        <w:t>公开时间：20</w:t>
      </w:r>
      <w:r>
        <w:rPr>
          <w:rFonts w:hint="eastAsia"/>
          <w:color w:val="auto"/>
          <w:lang w:val="en-US" w:eastAsia="zh-CN"/>
        </w:rPr>
        <w:t>21</w:t>
      </w:r>
      <w:r>
        <w:rPr>
          <w:rFonts w:hint="eastAsia"/>
          <w:color w:val="auto"/>
        </w:rPr>
        <w:t>年</w:t>
      </w:r>
      <w:r>
        <w:rPr>
          <w:rFonts w:hint="eastAsia"/>
          <w:color w:val="auto"/>
          <w:lang w:val="en-US" w:eastAsia="zh-CN"/>
        </w:rPr>
        <w:t>9</w:t>
      </w:r>
      <w:r>
        <w:rPr>
          <w:rFonts w:hint="eastAsia"/>
          <w:color w:val="auto"/>
        </w:rPr>
        <w:t>月</w:t>
      </w:r>
      <w:r>
        <w:rPr>
          <w:rFonts w:hint="eastAsia"/>
          <w:color w:val="auto"/>
          <w:lang w:val="en-US" w:eastAsia="zh-CN"/>
        </w:rPr>
        <w:t>10</w:t>
      </w:r>
      <w:r>
        <w:rPr>
          <w:rFonts w:hint="eastAsia"/>
          <w:color w:val="auto"/>
        </w:rPr>
        <w:t>日</w:t>
      </w:r>
    </w:p>
    <w:sdt>
      <w:sdtPr>
        <w:rPr>
          <w:rFonts w:ascii="宋体" w:hAnsi="宋体" w:eastAsia="宋体" w:cs="Times New Roman"/>
          <w:kern w:val="2"/>
          <w:sz w:val="21"/>
          <w:szCs w:val="24"/>
          <w:lang w:val="en-US" w:eastAsia="zh-CN" w:bidi="ar-SA"/>
        </w:rPr>
        <w:id w:val="147470242"/>
        <w15:color w:val="DBDBDB"/>
        <w:docPartObj>
          <w:docPartGallery w:val="Table of Contents"/>
          <w:docPartUnique/>
        </w:docPartObj>
      </w:sdtPr>
      <w:sdtEndPr>
        <w:rPr>
          <w:rFonts w:hint="eastAsia" w:ascii="仿宋" w:hAnsi="仿宋" w:eastAsia="仿宋" w:cs="仿宋"/>
          <w:b w:val="0"/>
          <w:bCs w:val="0"/>
          <w:kern w:val="2"/>
          <w:sz w:val="28"/>
          <w:szCs w:val="36"/>
          <w:lang w:val="en-US" w:eastAsia="zh-CN" w:bidi="ar-SA"/>
        </w:rPr>
      </w:sdtEndPr>
      <w:sdtContent>
        <w:p>
          <w:pPr>
            <w:spacing w:before="0" w:beforeLines="0" w:after="0" w:afterLines="0" w:line="240" w:lineRule="auto"/>
            <w:ind w:left="0" w:leftChars="0" w:right="0" w:rightChars="0" w:firstLine="0" w:firstLineChars="0"/>
            <w:jc w:val="center"/>
            <w:rPr>
              <w:rFonts w:hint="eastAsia" w:ascii="仿宋" w:hAnsi="仿宋" w:eastAsia="仿宋" w:cs="仿宋"/>
              <w:b w:val="0"/>
              <w:bCs w:val="0"/>
              <w:sz w:val="28"/>
              <w:szCs w:val="36"/>
            </w:rPr>
          </w:pPr>
          <w:r>
            <w:rPr>
              <w:rFonts w:hint="eastAsia" w:ascii="仿宋" w:hAnsi="仿宋" w:eastAsia="仿宋" w:cs="仿宋"/>
              <w:b w:val="0"/>
              <w:bCs w:val="0"/>
              <w:sz w:val="28"/>
              <w:szCs w:val="36"/>
            </w:rPr>
            <w:fldChar w:fldCharType="begin"/>
          </w:r>
          <w:r>
            <w:rPr>
              <w:rFonts w:hint="eastAsia" w:ascii="仿宋" w:hAnsi="仿宋" w:eastAsia="仿宋" w:cs="仿宋"/>
              <w:b w:val="0"/>
              <w:bCs w:val="0"/>
              <w:sz w:val="28"/>
              <w:szCs w:val="36"/>
            </w:rPr>
            <w:instrText xml:space="preserve">TOC \o "1-2" \h \u </w:instrText>
          </w:r>
          <w:r>
            <w:rPr>
              <w:rFonts w:hint="eastAsia" w:ascii="仿宋" w:hAnsi="仿宋" w:eastAsia="仿宋" w:cs="仿宋"/>
              <w:b w:val="0"/>
              <w:bCs w:val="0"/>
              <w:sz w:val="28"/>
              <w:szCs w:val="36"/>
            </w:rPr>
            <w:fldChar w:fldCharType="separate"/>
          </w:r>
        </w:p>
        <w:p>
          <w:pPr>
            <w:pStyle w:val="30"/>
            <w:tabs>
              <w:tab w:val="right" w:leader="dot" w:pos="8306"/>
            </w:tabs>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HYPERLINK \l _Toc3401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 xml:space="preserve">第一部分 </w:t>
          </w:r>
          <w:r>
            <w:rPr>
              <w:rFonts w:hint="eastAsia" w:ascii="仿宋" w:hAnsi="仿宋" w:eastAsia="仿宋" w:cs="仿宋"/>
              <w:b w:val="0"/>
              <w:bCs w:val="0"/>
              <w:sz w:val="24"/>
              <w:szCs w:val="24"/>
              <w:lang w:eastAsia="zh-CN"/>
            </w:rPr>
            <w:t>单位</w:t>
          </w:r>
          <w:r>
            <w:rPr>
              <w:rFonts w:hint="eastAsia" w:ascii="仿宋" w:hAnsi="仿宋" w:eastAsia="仿宋" w:cs="仿宋"/>
              <w:b w:val="0"/>
              <w:bCs w:val="0"/>
              <w:sz w:val="24"/>
              <w:szCs w:val="24"/>
            </w:rPr>
            <w:t>概况</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_Toc3401 \h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4</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rPr>
            <w:fldChar w:fldCharType="end"/>
          </w:r>
        </w:p>
        <w:p>
          <w:pPr>
            <w:pStyle w:val="31"/>
            <w:tabs>
              <w:tab w:val="right" w:leader="dot" w:pos="8306"/>
            </w:tabs>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HYPERLINK \l _Toc8678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一、职能</w:t>
          </w:r>
          <w:r>
            <w:rPr>
              <w:rFonts w:hint="eastAsia" w:ascii="仿宋" w:hAnsi="仿宋" w:eastAsia="仿宋" w:cs="仿宋"/>
              <w:b w:val="0"/>
              <w:bCs w:val="0"/>
              <w:sz w:val="24"/>
              <w:szCs w:val="24"/>
              <w:lang w:eastAsia="zh-CN"/>
            </w:rPr>
            <w:t>简介</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_Toc8678 \h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4</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rPr>
            <w:fldChar w:fldCharType="end"/>
          </w:r>
        </w:p>
        <w:p>
          <w:pPr>
            <w:pStyle w:val="31"/>
            <w:tabs>
              <w:tab w:val="right" w:leader="dot" w:pos="8306"/>
            </w:tabs>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HYPERLINK \l _Toc10142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二、</w:t>
          </w:r>
          <w:r>
            <w:rPr>
              <w:rFonts w:hint="eastAsia" w:ascii="仿宋" w:hAnsi="仿宋" w:eastAsia="仿宋" w:cs="仿宋"/>
              <w:b w:val="0"/>
              <w:bCs w:val="0"/>
              <w:sz w:val="24"/>
              <w:szCs w:val="24"/>
              <w:lang w:val="en-US" w:eastAsia="zh-CN"/>
            </w:rPr>
            <w:t>2020年重点</w:t>
          </w:r>
          <w:r>
            <w:rPr>
              <w:rFonts w:hint="eastAsia" w:ascii="仿宋" w:hAnsi="仿宋" w:eastAsia="仿宋" w:cs="仿宋"/>
              <w:b w:val="0"/>
              <w:bCs w:val="0"/>
              <w:sz w:val="24"/>
              <w:szCs w:val="24"/>
            </w:rPr>
            <w:t>工作</w:t>
          </w:r>
          <w:r>
            <w:rPr>
              <w:rFonts w:hint="eastAsia" w:ascii="仿宋" w:hAnsi="仿宋" w:eastAsia="仿宋" w:cs="仿宋"/>
              <w:b w:val="0"/>
              <w:bCs w:val="0"/>
              <w:sz w:val="24"/>
              <w:szCs w:val="24"/>
              <w:lang w:eastAsia="zh-CN"/>
            </w:rPr>
            <w:t>完成情况</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_Toc10142 \h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4</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rPr>
            <w:fldChar w:fldCharType="end"/>
          </w:r>
        </w:p>
        <w:p>
          <w:pPr>
            <w:pStyle w:val="31"/>
            <w:tabs>
              <w:tab w:val="right" w:leader="dot" w:pos="8306"/>
            </w:tabs>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HYPERLINK \l _Toc18363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44"/>
              <w:lang w:eastAsia="zh-CN"/>
            </w:rPr>
            <w:t>三、机构设置情况</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_Toc18363 \h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5</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rPr>
            <w:fldChar w:fldCharType="end"/>
          </w:r>
        </w:p>
        <w:p>
          <w:pPr>
            <w:pStyle w:val="30"/>
            <w:tabs>
              <w:tab w:val="right" w:leader="dot" w:pos="8306"/>
            </w:tabs>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HYPERLINK \l _Toc8132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 xml:space="preserve">第二部分 </w:t>
          </w:r>
          <w:r>
            <w:rPr>
              <w:rFonts w:hint="eastAsia" w:ascii="仿宋" w:hAnsi="仿宋" w:eastAsia="仿宋" w:cs="仿宋"/>
              <w:b w:val="0"/>
              <w:bCs w:val="0"/>
              <w:sz w:val="24"/>
              <w:szCs w:val="24"/>
              <w:lang w:val="en-US" w:eastAsia="zh-CN"/>
            </w:rPr>
            <w:t>2020年度</w:t>
          </w:r>
          <w:r>
            <w:rPr>
              <w:rFonts w:hint="eastAsia" w:ascii="仿宋" w:hAnsi="仿宋" w:eastAsia="仿宋" w:cs="仿宋"/>
              <w:b w:val="0"/>
              <w:bCs w:val="0"/>
              <w:sz w:val="24"/>
              <w:szCs w:val="24"/>
            </w:rPr>
            <w:t>部门决算情况说明</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_Toc8132 \h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6</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rPr>
            <w:fldChar w:fldCharType="end"/>
          </w:r>
        </w:p>
        <w:p>
          <w:pPr>
            <w:pStyle w:val="31"/>
            <w:tabs>
              <w:tab w:val="right" w:leader="dot" w:pos="8306"/>
            </w:tabs>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HYPERLINK \l _Toc18937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一、</w:t>
          </w:r>
          <w:r>
            <w:rPr>
              <w:rFonts w:hint="eastAsia" w:ascii="仿宋" w:hAnsi="仿宋" w:eastAsia="仿宋" w:cs="仿宋"/>
              <w:b w:val="0"/>
              <w:bCs w:val="0"/>
              <w:sz w:val="24"/>
              <w:szCs w:val="44"/>
            </w:rPr>
            <w:t>收</w:t>
          </w:r>
          <w:r>
            <w:rPr>
              <w:rFonts w:hint="eastAsia" w:ascii="仿宋" w:hAnsi="仿宋" w:eastAsia="仿宋" w:cs="仿宋"/>
              <w:b w:val="0"/>
              <w:bCs w:val="0"/>
              <w:sz w:val="24"/>
              <w:szCs w:val="24"/>
            </w:rPr>
            <w:t>入支出决算总体情况说明</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_Toc18937 \h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6</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rPr>
            <w:fldChar w:fldCharType="end"/>
          </w:r>
        </w:p>
        <w:p>
          <w:pPr>
            <w:pStyle w:val="31"/>
            <w:tabs>
              <w:tab w:val="right" w:leader="dot" w:pos="8306"/>
            </w:tabs>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HYPERLINK \l _Toc25116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二、</w:t>
          </w:r>
          <w:r>
            <w:rPr>
              <w:rFonts w:hint="eastAsia" w:ascii="仿宋" w:hAnsi="仿宋" w:eastAsia="仿宋" w:cs="仿宋"/>
              <w:b w:val="0"/>
              <w:bCs w:val="0"/>
              <w:sz w:val="24"/>
              <w:szCs w:val="44"/>
            </w:rPr>
            <w:t>收</w:t>
          </w:r>
          <w:r>
            <w:rPr>
              <w:rFonts w:hint="eastAsia" w:ascii="仿宋" w:hAnsi="仿宋" w:eastAsia="仿宋" w:cs="仿宋"/>
              <w:b w:val="0"/>
              <w:bCs w:val="0"/>
              <w:sz w:val="24"/>
              <w:szCs w:val="24"/>
            </w:rPr>
            <w:t>入决算情况说明</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_Toc25116 \h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6</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rPr>
            <w:fldChar w:fldCharType="end"/>
          </w:r>
        </w:p>
        <w:p>
          <w:pPr>
            <w:pStyle w:val="31"/>
            <w:tabs>
              <w:tab w:val="right" w:leader="dot" w:pos="8306"/>
            </w:tabs>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HYPERLINK \l _Toc20674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三、</w:t>
          </w:r>
          <w:r>
            <w:rPr>
              <w:rFonts w:hint="eastAsia" w:ascii="仿宋" w:hAnsi="仿宋" w:eastAsia="仿宋" w:cs="仿宋"/>
              <w:b w:val="0"/>
              <w:bCs w:val="0"/>
              <w:sz w:val="24"/>
              <w:szCs w:val="44"/>
            </w:rPr>
            <w:t>支</w:t>
          </w:r>
          <w:r>
            <w:rPr>
              <w:rFonts w:hint="eastAsia" w:ascii="仿宋" w:hAnsi="仿宋" w:eastAsia="仿宋" w:cs="仿宋"/>
              <w:b w:val="0"/>
              <w:bCs w:val="0"/>
              <w:sz w:val="24"/>
              <w:szCs w:val="24"/>
            </w:rPr>
            <w:t>出决算情况说明</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_Toc20674 \h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7</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rPr>
            <w:fldChar w:fldCharType="end"/>
          </w:r>
        </w:p>
        <w:p>
          <w:pPr>
            <w:pStyle w:val="31"/>
            <w:tabs>
              <w:tab w:val="right" w:leader="dot" w:pos="8306"/>
            </w:tabs>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HYPERLINK \l _Toc9983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44"/>
            </w:rPr>
            <w:t>四、财</w:t>
          </w:r>
          <w:r>
            <w:rPr>
              <w:rFonts w:hint="eastAsia" w:ascii="仿宋" w:hAnsi="仿宋" w:eastAsia="仿宋" w:cs="仿宋"/>
              <w:b w:val="0"/>
              <w:bCs w:val="0"/>
              <w:sz w:val="24"/>
              <w:szCs w:val="24"/>
            </w:rPr>
            <w:t>政拨款收入支出决算总体情况说明</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_Toc9983 \h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8</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rPr>
            <w:fldChar w:fldCharType="end"/>
          </w:r>
        </w:p>
        <w:p>
          <w:pPr>
            <w:pStyle w:val="31"/>
            <w:tabs>
              <w:tab w:val="right" w:leader="dot" w:pos="8306"/>
            </w:tabs>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HYPERLINK \l _Toc31781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44"/>
            </w:rPr>
            <w:t>五、一</w:t>
          </w:r>
          <w:r>
            <w:rPr>
              <w:rFonts w:hint="eastAsia" w:ascii="仿宋" w:hAnsi="仿宋" w:eastAsia="仿宋" w:cs="仿宋"/>
              <w:b w:val="0"/>
              <w:bCs w:val="0"/>
              <w:sz w:val="24"/>
              <w:szCs w:val="24"/>
            </w:rPr>
            <w:t>般公共预算财政拨款支出决算情况说明</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_Toc31781 \h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9</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rPr>
            <w:fldChar w:fldCharType="end"/>
          </w:r>
        </w:p>
        <w:p>
          <w:pPr>
            <w:pStyle w:val="31"/>
            <w:tabs>
              <w:tab w:val="right" w:leader="dot" w:pos="8306"/>
            </w:tabs>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HYPERLINK \l _Toc8467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44"/>
            </w:rPr>
            <w:t>六、一</w:t>
          </w:r>
          <w:r>
            <w:rPr>
              <w:rFonts w:hint="eastAsia" w:ascii="仿宋" w:hAnsi="仿宋" w:eastAsia="仿宋" w:cs="仿宋"/>
              <w:b w:val="0"/>
              <w:bCs w:val="0"/>
              <w:sz w:val="24"/>
              <w:szCs w:val="24"/>
            </w:rPr>
            <w:t>般公共预算财政拨款基本支出决算情况说明</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_Toc8467 \h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12</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rPr>
            <w:fldChar w:fldCharType="end"/>
          </w:r>
        </w:p>
        <w:p>
          <w:pPr>
            <w:pStyle w:val="31"/>
            <w:tabs>
              <w:tab w:val="right" w:leader="dot" w:pos="8306"/>
            </w:tabs>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HYPERLINK \l _Toc13176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44"/>
            </w:rPr>
            <w:t>七、</w:t>
          </w:r>
          <w:r>
            <w:rPr>
              <w:rFonts w:hint="eastAsia" w:ascii="仿宋" w:hAnsi="仿宋" w:eastAsia="仿宋" w:cs="仿宋"/>
              <w:b w:val="0"/>
              <w:bCs w:val="0"/>
              <w:sz w:val="24"/>
              <w:szCs w:val="24"/>
            </w:rPr>
            <w:t>“三公”经费财政拨款支出决算情况说明</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_Toc13176 \h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12</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rPr>
            <w:fldChar w:fldCharType="end"/>
          </w:r>
        </w:p>
        <w:p>
          <w:pPr>
            <w:pStyle w:val="31"/>
            <w:tabs>
              <w:tab w:val="right" w:leader="dot" w:pos="8306"/>
            </w:tabs>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HYPERLINK \l _Toc26825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44"/>
            </w:rPr>
            <w:t>八、</w:t>
          </w:r>
          <w:r>
            <w:rPr>
              <w:rFonts w:hint="eastAsia" w:ascii="仿宋" w:hAnsi="仿宋" w:eastAsia="仿宋" w:cs="仿宋"/>
              <w:b w:val="0"/>
              <w:bCs w:val="0"/>
              <w:sz w:val="24"/>
              <w:szCs w:val="24"/>
            </w:rPr>
            <w:t>政府性基金预算支出决算情况说明</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_Toc26825 \h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12</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rPr>
            <w:fldChar w:fldCharType="end"/>
          </w:r>
        </w:p>
        <w:p>
          <w:pPr>
            <w:pStyle w:val="31"/>
            <w:tabs>
              <w:tab w:val="right" w:leader="dot" w:pos="8306"/>
            </w:tabs>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HYPERLINK \l _Toc19589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九、国有资本经营预算支出决算情况说明</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_Toc19589 \h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13</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rPr>
            <w:fldChar w:fldCharType="end"/>
          </w:r>
        </w:p>
        <w:p>
          <w:pPr>
            <w:pStyle w:val="31"/>
            <w:tabs>
              <w:tab w:val="right" w:leader="dot" w:pos="8306"/>
            </w:tabs>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HYPERLINK \l _Toc31416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十、其他重要事项的情况说明</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_Toc31416 \h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13</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rPr>
            <w:fldChar w:fldCharType="end"/>
          </w:r>
        </w:p>
        <w:p>
          <w:pPr>
            <w:pStyle w:val="30"/>
            <w:tabs>
              <w:tab w:val="right" w:leader="dot" w:pos="8306"/>
            </w:tabs>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HYPERLINK \l _Toc30368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56"/>
            </w:rPr>
            <w:t>第三部分 名</w:t>
          </w:r>
          <w:r>
            <w:rPr>
              <w:rFonts w:hint="eastAsia" w:ascii="仿宋" w:hAnsi="仿宋" w:eastAsia="仿宋" w:cs="仿宋"/>
              <w:b w:val="0"/>
              <w:bCs w:val="0"/>
              <w:sz w:val="24"/>
              <w:szCs w:val="24"/>
            </w:rPr>
            <w:t>词解释</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_Toc30368 \h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19</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rPr>
            <w:fldChar w:fldCharType="end"/>
          </w:r>
        </w:p>
        <w:p>
          <w:pPr>
            <w:pStyle w:val="30"/>
            <w:tabs>
              <w:tab w:val="right" w:leader="dot" w:pos="8306"/>
            </w:tabs>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HYPERLINK \l _Toc30546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56"/>
            </w:rPr>
            <w:t>第</w:t>
          </w:r>
          <w:r>
            <w:rPr>
              <w:rFonts w:hint="eastAsia" w:ascii="仿宋" w:hAnsi="仿宋" w:eastAsia="仿宋" w:cs="仿宋"/>
              <w:b w:val="0"/>
              <w:bCs w:val="0"/>
              <w:sz w:val="24"/>
              <w:szCs w:val="24"/>
            </w:rPr>
            <w:t>四部分 附件</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_Toc30546 \h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22</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rPr>
            <w:fldChar w:fldCharType="end"/>
          </w:r>
        </w:p>
        <w:p>
          <w:pPr>
            <w:pStyle w:val="30"/>
            <w:tabs>
              <w:tab w:val="right" w:leader="dot" w:pos="8306"/>
            </w:tabs>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HYPERLINK \l _Toc4102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56"/>
            </w:rPr>
            <w:t>第</w:t>
          </w:r>
          <w:r>
            <w:rPr>
              <w:rFonts w:hint="eastAsia" w:ascii="仿宋" w:hAnsi="仿宋" w:eastAsia="仿宋" w:cs="仿宋"/>
              <w:b w:val="0"/>
              <w:bCs w:val="0"/>
              <w:sz w:val="24"/>
              <w:szCs w:val="24"/>
            </w:rPr>
            <w:t>五部分 附表</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_Toc4102 \h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29</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rPr>
            <w:fldChar w:fldCharType="end"/>
          </w:r>
        </w:p>
        <w:p>
          <w:pPr>
            <w:pStyle w:val="31"/>
            <w:tabs>
              <w:tab w:val="right" w:leader="dot" w:pos="8306"/>
            </w:tabs>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HYPERLINK \l _Toc13941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一、收入支出决算总表</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_Toc13941 \h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29</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rPr>
            <w:fldChar w:fldCharType="end"/>
          </w:r>
        </w:p>
        <w:p>
          <w:pPr>
            <w:pStyle w:val="31"/>
            <w:tabs>
              <w:tab w:val="right" w:leader="dot" w:pos="8306"/>
            </w:tabs>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HYPERLINK \l _Toc16486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二、收入决算表</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_Toc16486 \h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29</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rPr>
            <w:fldChar w:fldCharType="end"/>
          </w:r>
        </w:p>
        <w:p>
          <w:pPr>
            <w:pStyle w:val="31"/>
            <w:tabs>
              <w:tab w:val="right" w:leader="dot" w:pos="8306"/>
            </w:tabs>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HYPERLINK \l _Toc29642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三、支出决算表</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_Toc29642 \h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29</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rPr>
            <w:fldChar w:fldCharType="end"/>
          </w:r>
        </w:p>
        <w:p>
          <w:pPr>
            <w:pStyle w:val="31"/>
            <w:tabs>
              <w:tab w:val="right" w:leader="dot" w:pos="8306"/>
            </w:tabs>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HYPERLINK \l _Toc19238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四、财政拨款收入支出决算总表</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_Toc19238 \h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29</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rPr>
            <w:fldChar w:fldCharType="end"/>
          </w:r>
        </w:p>
        <w:p>
          <w:pPr>
            <w:pStyle w:val="31"/>
            <w:tabs>
              <w:tab w:val="right" w:leader="dot" w:pos="8306"/>
            </w:tabs>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HYPERLINK \l _Toc232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五、财政拨款支出决算明细表</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_Toc232 \h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29</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rPr>
            <w:fldChar w:fldCharType="end"/>
          </w:r>
        </w:p>
        <w:p>
          <w:pPr>
            <w:pStyle w:val="31"/>
            <w:tabs>
              <w:tab w:val="right" w:leader="dot" w:pos="8306"/>
            </w:tabs>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HYPERLINK \l _Toc15061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六、一般公共预算财政拨款支出决算表</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_Toc15061 \h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29</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rPr>
            <w:fldChar w:fldCharType="end"/>
          </w:r>
        </w:p>
        <w:p>
          <w:pPr>
            <w:pStyle w:val="31"/>
            <w:tabs>
              <w:tab w:val="right" w:leader="dot" w:pos="8306"/>
            </w:tabs>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HYPERLINK \l _Toc3937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七、一般公共预算财政拨款支出决算明细表</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_Toc3937 \h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29</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rPr>
            <w:fldChar w:fldCharType="end"/>
          </w:r>
        </w:p>
        <w:p>
          <w:pPr>
            <w:pStyle w:val="31"/>
            <w:tabs>
              <w:tab w:val="right" w:leader="dot" w:pos="8306"/>
            </w:tabs>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HYPERLINK \l _Toc3827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八、一般公共预算财政拨款基本支出决算表</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_Toc3827 \h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29</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rPr>
            <w:fldChar w:fldCharType="end"/>
          </w:r>
        </w:p>
        <w:p>
          <w:pPr>
            <w:pStyle w:val="31"/>
            <w:tabs>
              <w:tab w:val="right" w:leader="dot" w:pos="8306"/>
            </w:tabs>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HYPERLINK \l _Toc19468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九、一般公共预算财政拨款项目支出决算表</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_Toc19468 \h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29</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rPr>
            <w:fldChar w:fldCharType="end"/>
          </w:r>
        </w:p>
        <w:p>
          <w:pPr>
            <w:pStyle w:val="31"/>
            <w:tabs>
              <w:tab w:val="right" w:leader="dot" w:pos="8306"/>
            </w:tabs>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HYPERLINK \l _Toc1799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十、一般公共预算财政拨款“三公”经费支出决算表</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_Toc1799 \h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29</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rPr>
            <w:fldChar w:fldCharType="end"/>
          </w:r>
        </w:p>
        <w:p>
          <w:pPr>
            <w:pStyle w:val="31"/>
            <w:tabs>
              <w:tab w:val="right" w:leader="dot" w:pos="8306"/>
            </w:tabs>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HYPERLINK \l _Toc20019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十一、政府性基金预算财政拨款收入支出决算表</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_Toc20019 \h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29</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rPr>
            <w:fldChar w:fldCharType="end"/>
          </w:r>
        </w:p>
        <w:p>
          <w:pPr>
            <w:pStyle w:val="31"/>
            <w:tabs>
              <w:tab w:val="right" w:leader="dot" w:pos="8306"/>
            </w:tabs>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HYPERLINK \l _Toc25485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十二、政府性基金预算财政拨款“三公”经费支出决算表</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_Toc25485 \h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29</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rPr>
            <w:fldChar w:fldCharType="end"/>
          </w:r>
        </w:p>
        <w:p>
          <w:pPr>
            <w:pStyle w:val="31"/>
            <w:tabs>
              <w:tab w:val="right" w:leader="dot" w:pos="8306"/>
            </w:tabs>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HYPERLINK \l _Toc10577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十三、国有资本经营预算</w:t>
          </w:r>
          <w:r>
            <w:rPr>
              <w:rFonts w:hint="eastAsia" w:ascii="仿宋" w:hAnsi="仿宋" w:eastAsia="仿宋" w:cs="仿宋"/>
              <w:b w:val="0"/>
              <w:bCs w:val="0"/>
              <w:sz w:val="24"/>
              <w:szCs w:val="24"/>
              <w:lang w:eastAsia="zh-CN"/>
            </w:rPr>
            <w:t>财政拨款收入</w:t>
          </w:r>
          <w:r>
            <w:rPr>
              <w:rFonts w:hint="eastAsia" w:ascii="仿宋" w:hAnsi="仿宋" w:eastAsia="仿宋" w:cs="仿宋"/>
              <w:b w:val="0"/>
              <w:bCs w:val="0"/>
              <w:sz w:val="24"/>
              <w:szCs w:val="24"/>
            </w:rPr>
            <w:t>支出决算表</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_Toc10577 \h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29</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rPr>
            <w:fldChar w:fldCharType="end"/>
          </w:r>
        </w:p>
        <w:p>
          <w:pPr>
            <w:pStyle w:val="31"/>
            <w:tabs>
              <w:tab w:val="right" w:leader="dot" w:pos="8306"/>
            </w:tabs>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HYPERLINK \l _Toc13116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lang w:eastAsia="zh-CN"/>
            </w:rPr>
            <w:t>十四、国有资本经营预算财政拨款支出决算表</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_Toc13116 \h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29</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rPr>
            <w:fldChar w:fldCharType="end"/>
          </w:r>
        </w:p>
        <w:p>
          <w:pPr>
            <w:rPr>
              <w:rFonts w:hint="eastAsia" w:ascii="仿宋" w:hAnsi="仿宋" w:eastAsia="仿宋" w:cs="仿宋"/>
              <w:b w:val="0"/>
              <w:bCs w:val="0"/>
              <w:sz w:val="28"/>
              <w:szCs w:val="36"/>
            </w:rPr>
          </w:pPr>
          <w:r>
            <w:rPr>
              <w:rFonts w:hint="eastAsia" w:ascii="仿宋" w:hAnsi="仿宋" w:eastAsia="仿宋" w:cs="仿宋"/>
              <w:b w:val="0"/>
              <w:bCs w:val="0"/>
              <w:sz w:val="28"/>
              <w:szCs w:val="36"/>
            </w:rPr>
            <w:fldChar w:fldCharType="end"/>
          </w:r>
        </w:p>
      </w:sdtContent>
    </w:sdt>
    <w:p>
      <w:pPr>
        <w:rPr>
          <w:rFonts w:hint="eastAsia" w:ascii="仿宋" w:hAnsi="仿宋" w:eastAsia="仿宋" w:cs="仿宋"/>
          <w:b w:val="0"/>
          <w:bCs w:val="0"/>
          <w:color w:val="auto"/>
          <w:sz w:val="28"/>
          <w:szCs w:val="36"/>
        </w:rPr>
      </w:pPr>
    </w:p>
    <w:p>
      <w:pPr>
        <w:pStyle w:val="11"/>
        <w:tabs>
          <w:tab w:val="right" w:leader="dot" w:pos="8306"/>
          <w:tab w:val="clear" w:pos="8296"/>
        </w:tabs>
        <w:rPr>
          <w:rFonts w:hint="eastAsia" w:ascii="仿宋" w:hAnsi="仿宋" w:eastAsia="仿宋" w:cs="仿宋"/>
          <w:b w:val="0"/>
          <w:bCs w:val="0"/>
          <w:sz w:val="40"/>
          <w:szCs w:val="40"/>
        </w:rPr>
      </w:pPr>
      <w:bookmarkStart w:id="14" w:name="_Toc15396599"/>
      <w:bookmarkStart w:id="15" w:name="_Toc15377196"/>
    </w:p>
    <w:p>
      <w:pPr>
        <w:pStyle w:val="3"/>
        <w:jc w:val="both"/>
        <w:outlineLvl w:val="9"/>
        <w:rPr>
          <w:rFonts w:hint="eastAsia" w:ascii="黑体" w:hAnsi="黑体" w:eastAsia="黑体"/>
          <w:b w:val="0"/>
          <w:color w:val="auto"/>
        </w:rPr>
      </w:pPr>
    </w:p>
    <w:p>
      <w:pPr>
        <w:rPr>
          <w:rFonts w:hint="eastAsia" w:ascii="黑体" w:hAnsi="黑体" w:eastAsia="黑体"/>
          <w:b w:val="0"/>
          <w:color w:val="auto"/>
        </w:rPr>
      </w:pPr>
    </w:p>
    <w:p>
      <w:pPr>
        <w:pStyle w:val="2"/>
        <w:rPr>
          <w:rFonts w:hint="eastAsia"/>
        </w:rPr>
      </w:pPr>
    </w:p>
    <w:p>
      <w:pPr>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3"/>
        <w:jc w:val="center"/>
        <w:rPr>
          <w:rStyle w:val="24"/>
          <w:rFonts w:ascii="黑体" w:hAnsi="黑体" w:eastAsia="黑体"/>
          <w:b/>
          <w:bCs w:val="0"/>
          <w:color w:val="auto"/>
        </w:rPr>
      </w:pPr>
      <w:bookmarkStart w:id="16" w:name="_Toc3401"/>
      <w:r>
        <w:rPr>
          <w:rFonts w:hint="eastAsia" w:ascii="黑体" w:hAnsi="黑体" w:eastAsia="黑体"/>
          <w:b w:val="0"/>
          <w:color w:val="auto"/>
        </w:rPr>
        <w:t xml:space="preserve">第一部分 </w:t>
      </w:r>
      <w:r>
        <w:rPr>
          <w:rFonts w:hint="eastAsia" w:ascii="黑体" w:hAnsi="黑体" w:eastAsia="黑体"/>
          <w:b w:val="0"/>
          <w:color w:val="auto"/>
          <w:lang w:eastAsia="zh-CN"/>
        </w:rPr>
        <w:t>单位</w:t>
      </w:r>
      <w:r>
        <w:rPr>
          <w:rStyle w:val="24"/>
          <w:rFonts w:hint="eastAsia" w:ascii="黑体" w:hAnsi="黑体" w:eastAsia="黑体"/>
          <w:b w:val="0"/>
          <w:bCs w:val="0"/>
          <w:color w:val="auto"/>
        </w:rPr>
        <w:t>概况</w:t>
      </w:r>
      <w:bookmarkEnd w:id="14"/>
      <w:bookmarkEnd w:id="15"/>
      <w:bookmarkEnd w:id="16"/>
    </w:p>
    <w:p>
      <w:pPr>
        <w:pStyle w:val="4"/>
        <w:numPr>
          <w:numId w:val="0"/>
        </w:numPr>
        <w:rPr>
          <w:rFonts w:hint="eastAsia"/>
          <w:color w:val="auto"/>
        </w:rPr>
      </w:pPr>
      <w:bookmarkStart w:id="17" w:name="_Toc8678"/>
      <w:bookmarkStart w:id="18" w:name="_Toc15396600"/>
      <w:bookmarkStart w:id="19" w:name="_Toc15377197"/>
      <w:r>
        <w:rPr>
          <w:rStyle w:val="25"/>
          <w:rFonts w:hint="eastAsia" w:ascii="黑体" w:hAnsi="黑体" w:eastAsia="黑体"/>
          <w:b w:val="0"/>
          <w:bCs w:val="0"/>
          <w:color w:val="auto"/>
          <w:lang w:val="en-US" w:eastAsia="zh-CN"/>
        </w:rPr>
        <w:t xml:space="preserve">    一、</w:t>
      </w:r>
      <w:r>
        <w:rPr>
          <w:rStyle w:val="25"/>
          <w:rFonts w:hint="eastAsia" w:ascii="黑体" w:hAnsi="黑体" w:eastAsia="黑体"/>
          <w:b w:val="0"/>
          <w:bCs w:val="0"/>
          <w:color w:val="auto"/>
        </w:rPr>
        <w:t>职能</w:t>
      </w:r>
      <w:r>
        <w:rPr>
          <w:rStyle w:val="25"/>
          <w:rFonts w:hint="eastAsia" w:ascii="黑体" w:hAnsi="黑体" w:eastAsia="黑体"/>
          <w:b w:val="0"/>
          <w:bCs w:val="0"/>
          <w:color w:val="auto"/>
          <w:lang w:eastAsia="zh-CN"/>
        </w:rPr>
        <w:t>简介</w:t>
      </w:r>
      <w:bookmarkEnd w:id="17"/>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川省建设岗位培训与执业资格注册中心是核定收支、经费自筹的厅属事业单位，主要职能是负责全省建设系统专业管理人员、企业操作技术工人的资格培训和岗位培训、考核、鉴定、发证及建设类培训机构资质审查；负责建设行业各类执业资格的考试报名资格审查、考前培训、考试合格人员的注册管理服务工作；提供人才供求信息和咨询服务，开展建设人才交流活动。</w:t>
      </w:r>
    </w:p>
    <w:p>
      <w:pPr>
        <w:rPr>
          <w:rFonts w:hint="eastAsia"/>
        </w:rPr>
      </w:pPr>
    </w:p>
    <w:p>
      <w:pPr>
        <w:pStyle w:val="4"/>
        <w:numPr>
          <w:numId w:val="0"/>
        </w:numPr>
        <w:rPr>
          <w:rFonts w:hint="eastAsia" w:ascii="黑体" w:hAnsi="黑体" w:eastAsia="黑体"/>
          <w:b w:val="0"/>
          <w:color w:val="auto"/>
        </w:rPr>
      </w:pPr>
      <w:bookmarkStart w:id="20" w:name="_Toc10142"/>
      <w:r>
        <w:rPr>
          <w:rFonts w:hint="eastAsia" w:ascii="黑体" w:hAnsi="黑体" w:eastAsia="黑体"/>
          <w:b w:val="0"/>
          <w:color w:val="auto"/>
          <w:lang w:val="en-US" w:eastAsia="zh-CN"/>
        </w:rPr>
        <w:t xml:space="preserve">    二、2020年重点</w:t>
      </w:r>
      <w:r>
        <w:rPr>
          <w:rFonts w:hint="eastAsia" w:ascii="黑体" w:hAnsi="黑体" w:eastAsia="黑体"/>
          <w:b w:val="0"/>
          <w:color w:val="auto"/>
        </w:rPr>
        <w:t>工作</w:t>
      </w:r>
      <w:bookmarkEnd w:id="18"/>
      <w:bookmarkEnd w:id="19"/>
      <w:r>
        <w:rPr>
          <w:rFonts w:hint="eastAsia" w:ascii="黑体" w:hAnsi="黑体" w:eastAsia="黑体"/>
          <w:b w:val="0"/>
          <w:color w:val="auto"/>
          <w:lang w:eastAsia="zh-CN"/>
        </w:rPr>
        <w:t>完成情况</w:t>
      </w:r>
      <w:bookmarkEnd w:id="20"/>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2020年在厅党组及厅领导坚强领导、有关处室大力指导支持下，单位紧紧围绕厅重点中心工作，以常态化疫情防控为前提，认真履行有关服务工作职能，较好地完成了全年工作目标任务。全年共计组织建筑施工“安管人员”、“特种作业人员”和燃气经营企业从业人员考试4次，报名参加考试共计23.26万人次、合格率56%；全年网上办结“安管人员”和“特种作业人员”有关业务共计18.36万件，线下办结业务共计0.28万件，并导入继续教育数据12.21万条；核发建筑工人职业培训合格证书17.64万本、国家职业技能鉴定合格证书0.35万本；办理人员执业资格注册事项审查36.74万件，发放注册证书20.98万本，新增各类执业注册人员1.62万人；疫情期间免费开放30余门公共课程以及近10门专业课程供建设行业人员在线学习，继续教育培训平台全年新增注册7万人、总数达19万人，新增注册企业用户1700家、总数达8000家。</w:t>
      </w:r>
    </w:p>
    <w:p>
      <w:pPr>
        <w:pStyle w:val="2"/>
        <w:rPr>
          <w:rFonts w:hint="eastAsia" w:ascii="仿宋_GB2312" w:hAnsi="仿宋_GB2312" w:eastAsia="仿宋_GB2312" w:cs="仿宋_GB2312"/>
          <w:sz w:val="32"/>
          <w:szCs w:val="32"/>
        </w:rPr>
      </w:pPr>
    </w:p>
    <w:p>
      <w:pPr>
        <w:pStyle w:val="2"/>
        <w:numPr>
          <w:numId w:val="0"/>
        </w:numPr>
        <w:ind w:leftChars="0"/>
        <w:outlineLvl w:val="1"/>
        <w:rPr>
          <w:rFonts w:hint="eastAsia" w:ascii="黑体" w:hAnsi="黑体" w:eastAsia="黑体" w:cs="黑体"/>
          <w:sz w:val="32"/>
          <w:szCs w:val="32"/>
          <w:lang w:eastAsia="zh-CN"/>
        </w:rPr>
      </w:pPr>
      <w:bookmarkStart w:id="21" w:name="_Toc18363"/>
      <w:r>
        <w:rPr>
          <w:rFonts w:hint="eastAsia" w:ascii="黑体" w:hAnsi="黑体" w:eastAsia="黑体" w:cs="黑体"/>
          <w:sz w:val="32"/>
          <w:szCs w:val="32"/>
          <w:lang w:val="en-US" w:eastAsia="zh-CN"/>
        </w:rPr>
        <w:t xml:space="preserve">    三、</w:t>
      </w:r>
      <w:r>
        <w:rPr>
          <w:rFonts w:hint="eastAsia" w:ascii="黑体" w:hAnsi="黑体" w:eastAsia="黑体" w:cs="黑体"/>
          <w:sz w:val="32"/>
          <w:szCs w:val="32"/>
          <w:lang w:eastAsia="zh-CN"/>
        </w:rPr>
        <w:t>机构设置情况</w:t>
      </w:r>
      <w:bookmarkEnd w:id="21"/>
    </w:p>
    <w:p>
      <w:pPr>
        <w:ind w:firstLine="640" w:firstLineChars="200"/>
        <w:jc w:val="left"/>
        <w:rPr>
          <w:rFonts w:hint="eastAsia" w:ascii="仿宋" w:hAnsi="仿宋" w:eastAsia="仿宋" w:cs="Times New Roman"/>
          <w:sz w:val="32"/>
          <w:szCs w:val="32"/>
        </w:rPr>
      </w:pPr>
      <w:r>
        <w:rPr>
          <w:rFonts w:hint="eastAsia" w:ascii="仿宋" w:hAnsi="仿宋" w:eastAsia="仿宋" w:cs="仿宋"/>
          <w:sz w:val="32"/>
          <w:szCs w:val="32"/>
          <w:lang w:val="en-US" w:eastAsia="zh-CN"/>
        </w:rPr>
        <w:t>单位内设5个科室，分别是：</w:t>
      </w:r>
      <w:r>
        <w:rPr>
          <w:rFonts w:ascii="仿宋" w:hAnsi="仿宋" w:eastAsia="仿宋" w:cs="Times New Roman"/>
          <w:sz w:val="32"/>
          <w:szCs w:val="32"/>
        </w:rPr>
        <w:t>办公室、</w:t>
      </w:r>
      <w:r>
        <w:rPr>
          <w:rFonts w:hint="eastAsia" w:ascii="仿宋" w:hAnsi="仿宋" w:eastAsia="仿宋"/>
          <w:sz w:val="32"/>
          <w:szCs w:val="32"/>
          <w:lang w:eastAsia="zh-CN"/>
        </w:rPr>
        <w:t>岗位考核鉴定科、</w:t>
      </w:r>
      <w:r>
        <w:rPr>
          <w:rFonts w:hint="eastAsia" w:ascii="仿宋" w:hAnsi="仿宋" w:eastAsia="仿宋"/>
          <w:sz w:val="32"/>
          <w:szCs w:val="32"/>
        </w:rPr>
        <w:t>执业注册科</w:t>
      </w:r>
      <w:r>
        <w:rPr>
          <w:rFonts w:hint="eastAsia" w:ascii="仿宋" w:hAnsi="仿宋" w:eastAsia="仿宋"/>
          <w:sz w:val="32"/>
          <w:szCs w:val="32"/>
          <w:lang w:eastAsia="zh-CN"/>
        </w:rPr>
        <w:t>、</w:t>
      </w:r>
      <w:r>
        <w:rPr>
          <w:rFonts w:hint="eastAsia" w:ascii="仿宋" w:hAnsi="仿宋" w:eastAsia="仿宋"/>
          <w:sz w:val="32"/>
          <w:szCs w:val="32"/>
        </w:rPr>
        <w:t>职业</w:t>
      </w:r>
      <w:r>
        <w:rPr>
          <w:rFonts w:hint="eastAsia" w:ascii="仿宋" w:hAnsi="仿宋" w:eastAsia="仿宋"/>
          <w:sz w:val="32"/>
          <w:szCs w:val="32"/>
          <w:lang w:eastAsia="zh-CN"/>
        </w:rPr>
        <w:t>教育</w:t>
      </w:r>
      <w:r>
        <w:rPr>
          <w:rFonts w:hint="eastAsia" w:ascii="仿宋" w:hAnsi="仿宋" w:eastAsia="仿宋"/>
          <w:sz w:val="32"/>
          <w:szCs w:val="32"/>
        </w:rPr>
        <w:t>培训科</w:t>
      </w:r>
      <w:r>
        <w:rPr>
          <w:rFonts w:hint="eastAsia" w:ascii="仿宋" w:hAnsi="仿宋" w:eastAsia="仿宋"/>
          <w:sz w:val="32"/>
          <w:szCs w:val="32"/>
          <w:lang w:eastAsia="zh-CN"/>
        </w:rPr>
        <w:t>、人才服务</w:t>
      </w:r>
      <w:r>
        <w:rPr>
          <w:rFonts w:ascii="仿宋" w:hAnsi="仿宋" w:eastAsia="仿宋"/>
          <w:sz w:val="32"/>
          <w:szCs w:val="32"/>
        </w:rPr>
        <w:t>科</w:t>
      </w:r>
      <w:r>
        <w:rPr>
          <w:rFonts w:hint="eastAsia" w:ascii="仿宋" w:hAnsi="仿宋" w:eastAsia="仿宋" w:cs="Times New Roman"/>
          <w:sz w:val="32"/>
          <w:szCs w:val="32"/>
        </w:rPr>
        <w:t>。</w:t>
      </w:r>
    </w:p>
    <w:p>
      <w:pPr>
        <w:pStyle w:val="2"/>
        <w:numPr>
          <w:ilvl w:val="0"/>
          <w:numId w:val="0"/>
        </w:numPr>
        <w:ind w:leftChars="0"/>
        <w:rPr>
          <w:rFonts w:hint="eastAsia" w:ascii="仿宋" w:hAnsi="仿宋" w:eastAsia="仿宋" w:cs="仿宋"/>
          <w:sz w:val="32"/>
          <w:szCs w:val="32"/>
          <w:lang w:val="en-US" w:eastAsia="zh-CN"/>
        </w:rPr>
      </w:pPr>
    </w:p>
    <w:p>
      <w:pPr>
        <w:widowControl/>
        <w:jc w:val="left"/>
        <w:rPr>
          <w:rFonts w:ascii="仿宋" w:hAnsi="仿宋" w:eastAsia="仿宋"/>
          <w:color w:val="auto"/>
          <w:kern w:val="0"/>
          <w:sz w:val="32"/>
          <w:szCs w:val="32"/>
        </w:rPr>
      </w:pPr>
      <w:r>
        <w:rPr>
          <w:rFonts w:ascii="仿宋" w:hAnsi="仿宋" w:eastAsia="仿宋"/>
          <w:color w:val="auto"/>
          <w:sz w:val="32"/>
          <w:szCs w:val="32"/>
        </w:rPr>
        <w:br w:type="page"/>
      </w:r>
    </w:p>
    <w:p>
      <w:pPr>
        <w:pStyle w:val="3"/>
        <w:ind w:right="440"/>
        <w:jc w:val="center"/>
        <w:rPr>
          <w:rStyle w:val="24"/>
          <w:rFonts w:ascii="黑体" w:hAnsi="黑体" w:eastAsia="黑体"/>
          <w:b w:val="0"/>
          <w:bCs/>
          <w:color w:val="auto"/>
        </w:rPr>
      </w:pPr>
      <w:bookmarkStart w:id="22" w:name="_Toc8132"/>
      <w:bookmarkStart w:id="23" w:name="_Toc15396602"/>
      <w:bookmarkStart w:id="24" w:name="_Toc15377204"/>
      <w:r>
        <w:rPr>
          <w:rFonts w:hint="eastAsia" w:ascii="黑体" w:hAnsi="黑体" w:eastAsia="黑体"/>
          <w:b w:val="0"/>
          <w:bCs/>
          <w:color w:val="auto"/>
        </w:rPr>
        <w:t xml:space="preserve">第二部分 </w:t>
      </w:r>
      <w:r>
        <w:rPr>
          <w:rFonts w:hint="eastAsia" w:ascii="黑体" w:hAnsi="黑体" w:eastAsia="黑体"/>
          <w:b w:val="0"/>
          <w:bCs/>
          <w:color w:val="auto"/>
          <w:lang w:val="en-US" w:eastAsia="zh-CN"/>
        </w:rPr>
        <w:t>2020年度</w:t>
      </w:r>
      <w:r>
        <w:rPr>
          <w:rStyle w:val="24"/>
          <w:rFonts w:hint="eastAsia" w:ascii="黑体" w:hAnsi="黑体" w:eastAsia="黑体"/>
          <w:b w:val="0"/>
          <w:bCs/>
          <w:color w:val="auto"/>
        </w:rPr>
        <w:t>部门决算情况说明</w:t>
      </w:r>
      <w:bookmarkEnd w:id="22"/>
      <w:bookmarkEnd w:id="23"/>
      <w:bookmarkEnd w:id="24"/>
    </w:p>
    <w:p>
      <w:pPr>
        <w:rPr>
          <w:color w:val="auto"/>
        </w:rPr>
      </w:pPr>
    </w:p>
    <w:p>
      <w:pPr>
        <w:pStyle w:val="23"/>
        <w:numPr>
          <w:ilvl w:val="0"/>
          <w:numId w:val="1"/>
        </w:numPr>
        <w:spacing w:line="600" w:lineRule="exact"/>
        <w:ind w:firstLineChars="0"/>
        <w:outlineLvl w:val="1"/>
        <w:rPr>
          <w:rStyle w:val="25"/>
          <w:rFonts w:ascii="黑体" w:hAnsi="黑体" w:eastAsia="黑体"/>
          <w:b w:val="0"/>
          <w:color w:val="auto"/>
        </w:rPr>
      </w:pPr>
      <w:bookmarkStart w:id="25" w:name="_Toc18937"/>
      <w:bookmarkStart w:id="26" w:name="_Toc15377205"/>
      <w:bookmarkStart w:id="27" w:name="_Toc15396603"/>
      <w:r>
        <w:rPr>
          <w:rFonts w:hint="eastAsia" w:ascii="黑体" w:hAnsi="黑体" w:eastAsia="黑体"/>
          <w:color w:val="auto"/>
          <w:sz w:val="32"/>
          <w:szCs w:val="32"/>
        </w:rPr>
        <w:t>收</w:t>
      </w:r>
      <w:r>
        <w:rPr>
          <w:rStyle w:val="25"/>
          <w:rFonts w:hint="eastAsia" w:ascii="黑体" w:hAnsi="黑体" w:eastAsia="黑体"/>
          <w:b w:val="0"/>
          <w:color w:val="auto"/>
        </w:rPr>
        <w:t>入支出决算总体情况说明</w:t>
      </w:r>
      <w:bookmarkEnd w:id="25"/>
      <w:bookmarkEnd w:id="26"/>
      <w:bookmarkEnd w:id="27"/>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2020年度收、支总计1887.81万元。与2019年相比，收、支总计各增加433.35万元，增长29.79</w:t>
      </w:r>
      <w:r>
        <w:rPr>
          <w:rFonts w:ascii="仿宋" w:hAnsi="仿宋" w:eastAsia="仿宋"/>
          <w:sz w:val="32"/>
          <w:szCs w:val="32"/>
        </w:rPr>
        <w:t>%</w:t>
      </w:r>
      <w:r>
        <w:rPr>
          <w:rFonts w:hint="eastAsia" w:ascii="仿宋" w:hAnsi="仿宋" w:eastAsia="仿宋"/>
          <w:sz w:val="32"/>
          <w:szCs w:val="32"/>
        </w:rPr>
        <w:t>。主要变动原因是现场专业人员、三类人员继续教育培训工作开展情况良好，收入增加；2020年建筑施工行业对持证人员的需求量大增，“安管人员”、</w:t>
      </w:r>
      <w:r>
        <w:rPr>
          <w:rFonts w:hint="eastAsia" w:ascii="仿宋" w:hAnsi="仿宋" w:eastAsia="仿宋"/>
          <w:sz w:val="32"/>
          <w:szCs w:val="32"/>
          <w:lang w:eastAsia="zh-CN"/>
        </w:rPr>
        <w:t>“</w:t>
      </w:r>
      <w:r>
        <w:rPr>
          <w:rFonts w:hint="eastAsia" w:ascii="仿宋" w:hAnsi="仿宋" w:eastAsia="仿宋"/>
          <w:sz w:val="32"/>
          <w:szCs w:val="32"/>
        </w:rPr>
        <w:t>特种作业人员</w:t>
      </w:r>
      <w:r>
        <w:rPr>
          <w:rFonts w:hint="eastAsia" w:ascii="仿宋" w:hAnsi="仿宋" w:eastAsia="仿宋"/>
          <w:sz w:val="32"/>
          <w:szCs w:val="32"/>
          <w:lang w:eastAsia="zh-CN"/>
        </w:rPr>
        <w:t>”</w:t>
      </w:r>
      <w:r>
        <w:rPr>
          <w:rFonts w:hint="eastAsia" w:ascii="仿宋" w:hAnsi="仿宋" w:eastAsia="仿宋"/>
          <w:sz w:val="32"/>
          <w:szCs w:val="32"/>
        </w:rPr>
        <w:t>、燃气经营企业从业人员报考人数远超2019年，支出增加。</w:t>
      </w:r>
    </w:p>
    <w:p>
      <w:pPr>
        <w:pStyle w:val="2"/>
      </w:pPr>
    </w:p>
    <w:p>
      <w:pPr>
        <w:spacing w:line="60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（图</w:t>
      </w:r>
      <w:r>
        <w:rPr>
          <w:rFonts w:ascii="仿宋" w:hAnsi="仿宋" w:eastAsia="仿宋"/>
          <w:color w:val="auto"/>
          <w:sz w:val="32"/>
          <w:szCs w:val="32"/>
        </w:rPr>
        <w:t>1</w:t>
      </w:r>
      <w:r>
        <w:rPr>
          <w:rFonts w:hint="eastAsia" w:ascii="仿宋" w:hAnsi="仿宋" w:eastAsia="仿宋"/>
          <w:color w:val="auto"/>
          <w:sz w:val="32"/>
          <w:szCs w:val="32"/>
        </w:rPr>
        <w:t>：收、支决算总计变动情况图）</w:t>
      </w:r>
    </w:p>
    <w:p>
      <w:pPr>
        <w:pStyle w:val="2"/>
      </w:pPr>
      <w:r>
        <w:drawing>
          <wp:inline distT="0" distB="0" distL="114300" distR="114300">
            <wp:extent cx="5372100" cy="3123565"/>
            <wp:effectExtent l="4445" t="4445" r="14605" b="15240"/>
            <wp:docPr id="8"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spacing w:line="600" w:lineRule="exact"/>
        <w:ind w:firstLine="640" w:firstLineChars="200"/>
        <w:jc w:val="left"/>
        <w:rPr>
          <w:rFonts w:ascii="仿宋_GB2312" w:eastAsia="仿宋_GB2312"/>
          <w:color w:val="auto"/>
          <w:sz w:val="32"/>
          <w:szCs w:val="32"/>
        </w:rPr>
      </w:pPr>
    </w:p>
    <w:p>
      <w:pPr>
        <w:pStyle w:val="23"/>
        <w:numPr>
          <w:ilvl w:val="0"/>
          <w:numId w:val="1"/>
        </w:numPr>
        <w:spacing w:line="600" w:lineRule="exact"/>
        <w:ind w:firstLineChars="0"/>
        <w:outlineLvl w:val="1"/>
        <w:rPr>
          <w:rStyle w:val="25"/>
          <w:rFonts w:ascii="黑体" w:hAnsi="黑体" w:eastAsia="黑体"/>
          <w:b w:val="0"/>
          <w:color w:val="auto"/>
        </w:rPr>
      </w:pPr>
      <w:bookmarkStart w:id="28" w:name="_Toc15396604"/>
      <w:bookmarkStart w:id="29" w:name="_Toc15377206"/>
      <w:bookmarkStart w:id="30" w:name="_Toc25116"/>
      <w:r>
        <w:rPr>
          <w:rFonts w:hint="eastAsia" w:ascii="黑体" w:hAnsi="黑体" w:eastAsia="黑体"/>
          <w:color w:val="auto"/>
          <w:sz w:val="32"/>
          <w:szCs w:val="32"/>
        </w:rPr>
        <w:t>收</w:t>
      </w:r>
      <w:r>
        <w:rPr>
          <w:rStyle w:val="25"/>
          <w:rFonts w:hint="eastAsia" w:ascii="黑体" w:hAnsi="黑体" w:eastAsia="黑体"/>
          <w:b w:val="0"/>
          <w:color w:val="auto"/>
        </w:rPr>
        <w:t>入决算情况说明</w:t>
      </w:r>
      <w:bookmarkEnd w:id="28"/>
      <w:bookmarkEnd w:id="29"/>
      <w:bookmarkEnd w:id="30"/>
    </w:p>
    <w:p>
      <w:pPr>
        <w:spacing w:line="600" w:lineRule="exact"/>
        <w:ind w:firstLine="640" w:firstLineChars="200"/>
        <w:outlineLvl w:val="1"/>
        <w:rPr>
          <w:rFonts w:ascii="仿宋" w:hAnsi="仿宋" w:eastAsia="仿宋"/>
          <w:sz w:val="32"/>
          <w:szCs w:val="32"/>
        </w:rPr>
      </w:pPr>
      <w:bookmarkStart w:id="31" w:name="_Toc3166"/>
      <w:r>
        <w:rPr>
          <w:rFonts w:ascii="仿宋" w:hAnsi="仿宋" w:eastAsia="仿宋"/>
          <w:sz w:val="32"/>
          <w:szCs w:val="32"/>
        </w:rPr>
        <w:t>20</w:t>
      </w:r>
      <w:r>
        <w:rPr>
          <w:rFonts w:hint="eastAsia" w:ascii="仿宋" w:hAnsi="仿宋" w:eastAsia="仿宋"/>
          <w:sz w:val="32"/>
          <w:szCs w:val="32"/>
        </w:rPr>
        <w:t>20年收入合计1887.81万元，其中：一般公共预算财政拨款收入875.36万元，占46.37</w:t>
      </w:r>
      <w:r>
        <w:rPr>
          <w:rFonts w:ascii="仿宋" w:hAnsi="仿宋" w:eastAsia="仿宋"/>
          <w:sz w:val="32"/>
          <w:szCs w:val="32"/>
        </w:rPr>
        <w:t>%</w:t>
      </w:r>
      <w:r>
        <w:rPr>
          <w:rFonts w:hint="eastAsia" w:ascii="仿宋" w:hAnsi="仿宋" w:eastAsia="仿宋"/>
          <w:sz w:val="32"/>
          <w:szCs w:val="32"/>
        </w:rPr>
        <w:t>；事业收入913万元，占48.36</w:t>
      </w:r>
      <w:r>
        <w:rPr>
          <w:rFonts w:ascii="仿宋" w:hAnsi="仿宋" w:eastAsia="仿宋"/>
          <w:sz w:val="32"/>
          <w:szCs w:val="32"/>
        </w:rPr>
        <w:t>%</w:t>
      </w:r>
      <w:r>
        <w:rPr>
          <w:rFonts w:hint="eastAsia" w:ascii="仿宋" w:hAnsi="仿宋" w:eastAsia="仿宋"/>
          <w:sz w:val="32"/>
          <w:szCs w:val="32"/>
        </w:rPr>
        <w:t>；其他收入99.45万元，占5.27</w:t>
      </w:r>
      <w:r>
        <w:rPr>
          <w:rFonts w:ascii="仿宋" w:hAnsi="仿宋" w:eastAsia="仿宋"/>
          <w:sz w:val="32"/>
          <w:szCs w:val="32"/>
        </w:rPr>
        <w:t>%</w:t>
      </w:r>
      <w:r>
        <w:rPr>
          <w:rFonts w:hint="eastAsia" w:ascii="仿宋" w:hAnsi="仿宋" w:eastAsia="仿宋"/>
          <w:sz w:val="32"/>
          <w:szCs w:val="32"/>
        </w:rPr>
        <w:t>。</w:t>
      </w:r>
      <w:bookmarkEnd w:id="31"/>
    </w:p>
    <w:p>
      <w:pPr>
        <w:spacing w:line="600" w:lineRule="exact"/>
        <w:outlineLvl w:val="9"/>
        <w:rPr>
          <w:rFonts w:ascii="仿宋" w:hAnsi="仿宋" w:eastAsia="仿宋"/>
          <w:color w:val="auto"/>
          <w:sz w:val="32"/>
          <w:szCs w:val="32"/>
        </w:rPr>
      </w:pPr>
    </w:p>
    <w:p>
      <w:pPr>
        <w:spacing w:line="60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（图2：收入决算结构图）</w:t>
      </w:r>
    </w:p>
    <w:p>
      <w:pPr>
        <w:pStyle w:val="2"/>
      </w:pPr>
      <w:r>
        <w:drawing>
          <wp:inline distT="0" distB="0" distL="114300" distR="114300">
            <wp:extent cx="5402580" cy="3116580"/>
            <wp:effectExtent l="5080" t="4445" r="21590" b="22225"/>
            <wp:docPr id="1"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spacing w:line="600" w:lineRule="exact"/>
        <w:ind w:firstLine="640" w:firstLineChars="200"/>
        <w:rPr>
          <w:rFonts w:ascii="仿宋_GB2312" w:eastAsia="仿宋_GB2312"/>
          <w:color w:val="auto"/>
          <w:sz w:val="32"/>
          <w:szCs w:val="32"/>
        </w:rPr>
      </w:pPr>
    </w:p>
    <w:p>
      <w:pPr>
        <w:pStyle w:val="23"/>
        <w:numPr>
          <w:ilvl w:val="0"/>
          <w:numId w:val="1"/>
        </w:numPr>
        <w:spacing w:line="600" w:lineRule="exact"/>
        <w:ind w:firstLineChars="0"/>
        <w:outlineLvl w:val="1"/>
        <w:rPr>
          <w:rStyle w:val="25"/>
          <w:rFonts w:ascii="黑体" w:hAnsi="黑体" w:eastAsia="黑体"/>
          <w:b w:val="0"/>
          <w:color w:val="auto"/>
        </w:rPr>
      </w:pPr>
      <w:bookmarkStart w:id="32" w:name="_Toc15396605"/>
      <w:bookmarkStart w:id="33" w:name="_Toc20674"/>
      <w:bookmarkStart w:id="34" w:name="_Toc15377207"/>
      <w:r>
        <w:rPr>
          <w:rFonts w:hint="eastAsia" w:ascii="黑体" w:hAnsi="黑体" w:eastAsia="黑体"/>
          <w:color w:val="auto"/>
          <w:sz w:val="32"/>
          <w:szCs w:val="32"/>
        </w:rPr>
        <w:t>支</w:t>
      </w:r>
      <w:r>
        <w:rPr>
          <w:rStyle w:val="25"/>
          <w:rFonts w:hint="eastAsia" w:ascii="黑体" w:hAnsi="黑体" w:eastAsia="黑体"/>
          <w:b w:val="0"/>
          <w:color w:val="auto"/>
        </w:rPr>
        <w:t>出决算情况说明</w:t>
      </w:r>
      <w:bookmarkEnd w:id="32"/>
      <w:bookmarkEnd w:id="33"/>
      <w:bookmarkEnd w:id="34"/>
    </w:p>
    <w:p>
      <w:pPr>
        <w:spacing w:line="600" w:lineRule="exact"/>
        <w:ind w:firstLine="640" w:firstLineChars="200"/>
        <w:outlineLvl w:val="1"/>
        <w:rPr>
          <w:rFonts w:ascii="仿宋" w:hAnsi="仿宋" w:eastAsia="仿宋"/>
          <w:sz w:val="32"/>
          <w:szCs w:val="32"/>
        </w:rPr>
      </w:pPr>
      <w:bookmarkStart w:id="35" w:name="_Toc10379"/>
      <w:r>
        <w:rPr>
          <w:rFonts w:ascii="仿宋" w:hAnsi="仿宋" w:eastAsia="仿宋"/>
          <w:sz w:val="32"/>
          <w:szCs w:val="32"/>
        </w:rPr>
        <w:t>20</w:t>
      </w:r>
      <w:r>
        <w:rPr>
          <w:rFonts w:hint="eastAsia" w:ascii="仿宋" w:hAnsi="仿宋" w:eastAsia="仿宋"/>
          <w:sz w:val="32"/>
          <w:szCs w:val="32"/>
        </w:rPr>
        <w:t>20年本年支出合计1610.1</w:t>
      </w:r>
      <w:r>
        <w:rPr>
          <w:rFonts w:hint="eastAsia" w:ascii="仿宋" w:hAnsi="仿宋" w:eastAsia="仿宋"/>
          <w:sz w:val="32"/>
          <w:szCs w:val="32"/>
          <w:lang w:val="en-US" w:eastAsia="zh-CN"/>
        </w:rPr>
        <w:t>5</w:t>
      </w:r>
      <w:r>
        <w:rPr>
          <w:rFonts w:hint="eastAsia" w:ascii="仿宋" w:hAnsi="仿宋" w:eastAsia="仿宋"/>
          <w:sz w:val="32"/>
          <w:szCs w:val="32"/>
        </w:rPr>
        <w:t>万元，其中：基本支出539.1万元，占33.48</w:t>
      </w:r>
      <w:r>
        <w:rPr>
          <w:rFonts w:ascii="仿宋" w:hAnsi="仿宋" w:eastAsia="仿宋"/>
          <w:sz w:val="32"/>
          <w:szCs w:val="32"/>
        </w:rPr>
        <w:t>%</w:t>
      </w:r>
      <w:r>
        <w:rPr>
          <w:rFonts w:hint="eastAsia" w:ascii="仿宋" w:hAnsi="仿宋" w:eastAsia="仿宋"/>
          <w:sz w:val="32"/>
          <w:szCs w:val="32"/>
        </w:rPr>
        <w:t>；项目支出1071.05万元，占66.52</w:t>
      </w:r>
      <w:r>
        <w:rPr>
          <w:rFonts w:ascii="仿宋" w:hAnsi="仿宋" w:eastAsia="仿宋"/>
          <w:sz w:val="32"/>
          <w:szCs w:val="32"/>
        </w:rPr>
        <w:t>%</w:t>
      </w:r>
      <w:r>
        <w:rPr>
          <w:rFonts w:hint="eastAsia" w:ascii="仿宋" w:hAnsi="仿宋" w:eastAsia="仿宋"/>
          <w:sz w:val="32"/>
          <w:szCs w:val="32"/>
        </w:rPr>
        <w:t>。</w:t>
      </w:r>
      <w:bookmarkEnd w:id="35"/>
    </w:p>
    <w:p>
      <w:pPr>
        <w:spacing w:line="600" w:lineRule="exact"/>
        <w:rPr>
          <w:rFonts w:ascii="仿宋" w:hAnsi="仿宋" w:eastAsia="仿宋"/>
          <w:color w:val="auto"/>
          <w:sz w:val="32"/>
          <w:szCs w:val="32"/>
          <w:shd w:val="pct10" w:color="auto" w:fill="FFFFFF"/>
        </w:rPr>
      </w:pPr>
    </w:p>
    <w:p>
      <w:pPr>
        <w:spacing w:line="60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（图3：支出决算结构图）</w:t>
      </w:r>
    </w:p>
    <w:p>
      <w:pPr>
        <w:pStyle w:val="2"/>
      </w:pPr>
      <w:r>
        <w:drawing>
          <wp:inline distT="0" distB="0" distL="114300" distR="114300">
            <wp:extent cx="5275580" cy="2980690"/>
            <wp:effectExtent l="5080" t="4445" r="15240" b="5715"/>
            <wp:docPr id="6"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spacing w:line="600" w:lineRule="exact"/>
        <w:ind w:firstLine="640" w:firstLineChars="200"/>
        <w:rPr>
          <w:rFonts w:ascii="仿宋_GB2312" w:eastAsia="仿宋_GB2312"/>
          <w:color w:val="auto"/>
          <w:sz w:val="32"/>
          <w:szCs w:val="32"/>
        </w:rPr>
      </w:pPr>
    </w:p>
    <w:p>
      <w:pPr>
        <w:spacing w:line="600" w:lineRule="exact"/>
        <w:ind w:firstLine="640" w:firstLineChars="200"/>
        <w:outlineLvl w:val="1"/>
        <w:rPr>
          <w:rStyle w:val="25"/>
          <w:rFonts w:ascii="黑体" w:hAnsi="黑体" w:eastAsia="黑体"/>
          <w:b w:val="0"/>
          <w:color w:val="auto"/>
        </w:rPr>
      </w:pPr>
      <w:bookmarkStart w:id="36" w:name="_Toc9983"/>
      <w:bookmarkStart w:id="37" w:name="_Toc15396606"/>
      <w:bookmarkStart w:id="38" w:name="_Toc15377208"/>
      <w:r>
        <w:rPr>
          <w:rFonts w:hint="eastAsia" w:ascii="黑体" w:hAnsi="黑体" w:eastAsia="黑体"/>
          <w:color w:val="auto"/>
          <w:sz w:val="32"/>
          <w:szCs w:val="32"/>
        </w:rPr>
        <w:t>四、财</w:t>
      </w:r>
      <w:r>
        <w:rPr>
          <w:rStyle w:val="25"/>
          <w:rFonts w:hint="eastAsia" w:ascii="黑体" w:hAnsi="黑体" w:eastAsia="黑体"/>
          <w:b w:val="0"/>
          <w:color w:val="auto"/>
        </w:rPr>
        <w:t>政拨款收入支出决算总体情况说明</w:t>
      </w:r>
      <w:bookmarkEnd w:id="36"/>
      <w:bookmarkEnd w:id="37"/>
      <w:bookmarkEnd w:id="38"/>
    </w:p>
    <w:p>
      <w:pPr>
        <w:spacing w:line="600" w:lineRule="exact"/>
        <w:ind w:firstLine="640"/>
        <w:rPr>
          <w:rFonts w:ascii="仿宋" w:hAnsi="仿宋" w:eastAsia="仿宋"/>
          <w:b/>
          <w:color w:val="auto"/>
          <w:sz w:val="32"/>
          <w:szCs w:val="32"/>
        </w:rPr>
      </w:pPr>
      <w:r>
        <w:rPr>
          <w:rFonts w:ascii="仿宋" w:hAnsi="仿宋" w:eastAsia="仿宋"/>
          <w:sz w:val="32"/>
          <w:szCs w:val="32"/>
        </w:rPr>
        <w:t>20</w:t>
      </w:r>
      <w:r>
        <w:rPr>
          <w:rFonts w:hint="eastAsia" w:ascii="仿宋" w:hAnsi="仿宋" w:eastAsia="仿宋"/>
          <w:sz w:val="32"/>
          <w:szCs w:val="32"/>
        </w:rPr>
        <w:t>20年财政拨款收、支总计875.36万元。与</w:t>
      </w:r>
      <w:r>
        <w:rPr>
          <w:rFonts w:ascii="仿宋" w:hAnsi="仿宋" w:eastAsia="仿宋"/>
          <w:sz w:val="32"/>
          <w:szCs w:val="32"/>
        </w:rPr>
        <w:t>201</w:t>
      </w:r>
      <w:r>
        <w:rPr>
          <w:rFonts w:hint="eastAsia" w:ascii="仿宋" w:hAnsi="仿宋" w:eastAsia="仿宋"/>
          <w:sz w:val="32"/>
          <w:szCs w:val="32"/>
        </w:rPr>
        <w:t>9年相比，财政拨款收、支总计各增加470.08万元，增长115.99</w:t>
      </w:r>
      <w:r>
        <w:rPr>
          <w:rFonts w:ascii="仿宋" w:hAnsi="仿宋" w:eastAsia="仿宋"/>
          <w:sz w:val="32"/>
          <w:szCs w:val="32"/>
        </w:rPr>
        <w:t>%</w:t>
      </w:r>
      <w:r>
        <w:rPr>
          <w:rFonts w:hint="eastAsia" w:ascii="仿宋" w:hAnsi="仿宋" w:eastAsia="仿宋"/>
          <w:sz w:val="32"/>
          <w:szCs w:val="32"/>
        </w:rPr>
        <w:t>。主要变动原因是</w:t>
      </w:r>
      <w:r>
        <w:rPr>
          <w:rFonts w:hint="eastAsia" w:ascii="仿宋" w:hAnsi="仿宋" w:eastAsia="仿宋"/>
          <w:sz w:val="32"/>
          <w:szCs w:val="32"/>
          <w:lang w:eastAsia="zh-CN"/>
        </w:rPr>
        <w:t>：</w:t>
      </w:r>
      <w:r>
        <w:rPr>
          <w:rFonts w:hint="eastAsia" w:ascii="仿宋" w:hAnsi="仿宋" w:eastAsia="仿宋"/>
          <w:sz w:val="32"/>
          <w:szCs w:val="32"/>
        </w:rPr>
        <w:t>在2019年的工作基础上，单位新增了部分事务性工作，财政拨款相应增加。</w:t>
      </w:r>
    </w:p>
    <w:p>
      <w:pPr>
        <w:spacing w:line="600" w:lineRule="exact"/>
        <w:rPr>
          <w:rFonts w:ascii="仿宋" w:hAnsi="仿宋" w:eastAsia="仿宋"/>
          <w:color w:val="auto"/>
          <w:sz w:val="32"/>
          <w:szCs w:val="32"/>
        </w:rPr>
      </w:pPr>
    </w:p>
    <w:p>
      <w:pPr>
        <w:spacing w:line="60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（图4：财政拨款收、支决算总计变动情况）</w:t>
      </w:r>
    </w:p>
    <w:p>
      <w:pPr>
        <w:pStyle w:val="2"/>
      </w:pPr>
      <w:r>
        <w:drawing>
          <wp:inline distT="0" distB="0" distL="114300" distR="114300">
            <wp:extent cx="5292725" cy="2786380"/>
            <wp:effectExtent l="4445" t="4445" r="17780" b="9525"/>
            <wp:docPr id="7"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spacing w:line="600" w:lineRule="exact"/>
        <w:ind w:firstLine="640"/>
        <w:rPr>
          <w:rFonts w:ascii="仿宋" w:hAnsi="仿宋" w:eastAsia="仿宋"/>
          <w:b/>
          <w:color w:val="auto"/>
          <w:sz w:val="32"/>
          <w:szCs w:val="32"/>
        </w:rPr>
      </w:pPr>
    </w:p>
    <w:p>
      <w:pPr>
        <w:spacing w:line="600" w:lineRule="exact"/>
        <w:ind w:firstLine="640" w:firstLineChars="200"/>
        <w:outlineLvl w:val="1"/>
        <w:rPr>
          <w:rStyle w:val="25"/>
          <w:rFonts w:ascii="黑体" w:hAnsi="黑体" w:eastAsia="黑体"/>
          <w:b w:val="0"/>
          <w:color w:val="auto"/>
        </w:rPr>
      </w:pPr>
      <w:bookmarkStart w:id="39" w:name="_Toc15396607"/>
      <w:bookmarkStart w:id="40" w:name="_Toc15377209"/>
      <w:bookmarkStart w:id="41" w:name="_Toc31781"/>
      <w:r>
        <w:rPr>
          <w:rFonts w:hint="eastAsia" w:ascii="黑体" w:hAnsi="黑体" w:eastAsia="黑体"/>
          <w:color w:val="auto"/>
          <w:sz w:val="32"/>
          <w:szCs w:val="32"/>
        </w:rPr>
        <w:t>五、</w:t>
      </w:r>
      <w:r>
        <w:rPr>
          <w:rFonts w:hint="eastAsia" w:ascii="黑体" w:hAnsi="黑体" w:eastAsia="黑体"/>
          <w:b/>
          <w:color w:val="auto"/>
          <w:sz w:val="32"/>
          <w:szCs w:val="32"/>
        </w:rPr>
        <w:t>一</w:t>
      </w:r>
      <w:r>
        <w:rPr>
          <w:rStyle w:val="25"/>
          <w:rFonts w:hint="eastAsia" w:ascii="黑体" w:hAnsi="黑体" w:eastAsia="黑体"/>
          <w:b w:val="0"/>
          <w:color w:val="auto"/>
        </w:rPr>
        <w:t>般公共预算财政拨款支出决算情况说明</w:t>
      </w:r>
      <w:bookmarkEnd w:id="39"/>
      <w:bookmarkEnd w:id="40"/>
      <w:bookmarkEnd w:id="41"/>
    </w:p>
    <w:p>
      <w:pPr>
        <w:spacing w:line="600" w:lineRule="exact"/>
        <w:ind w:firstLine="643" w:firstLineChars="200"/>
        <w:outlineLvl w:val="2"/>
        <w:rPr>
          <w:rFonts w:ascii="仿宋" w:hAnsi="仿宋" w:eastAsia="仿宋"/>
          <w:b/>
          <w:color w:val="auto"/>
          <w:sz w:val="32"/>
          <w:szCs w:val="32"/>
        </w:rPr>
      </w:pPr>
      <w:bookmarkStart w:id="42" w:name="_Toc15377210"/>
      <w:r>
        <w:rPr>
          <w:rFonts w:hint="eastAsia" w:ascii="仿宋" w:hAnsi="仿宋" w:eastAsia="仿宋"/>
          <w:b/>
          <w:color w:val="auto"/>
          <w:sz w:val="32"/>
          <w:szCs w:val="32"/>
        </w:rPr>
        <w:t>（一）一般公共预算财政拨款支出决算总体情况</w:t>
      </w:r>
      <w:bookmarkEnd w:id="42"/>
    </w:p>
    <w:p>
      <w:pPr>
        <w:spacing w:line="600" w:lineRule="exact"/>
        <w:ind w:firstLine="640" w:firstLineChars="200"/>
        <w:rPr>
          <w:rFonts w:hint="default" w:ascii="仿宋" w:hAnsi="仿宋" w:eastAsia="仿宋"/>
          <w:sz w:val="32"/>
          <w:szCs w:val="32"/>
          <w:lang w:val="en-US" w:eastAsia="zh-CN"/>
        </w:rPr>
      </w:pPr>
      <w:r>
        <w:rPr>
          <w:rFonts w:ascii="仿宋" w:hAnsi="仿宋" w:eastAsia="仿宋"/>
          <w:sz w:val="32"/>
          <w:szCs w:val="32"/>
        </w:rPr>
        <w:t>20</w:t>
      </w:r>
      <w:r>
        <w:rPr>
          <w:rFonts w:hint="eastAsia" w:ascii="仿宋" w:hAnsi="仿宋" w:eastAsia="仿宋"/>
          <w:sz w:val="32"/>
          <w:szCs w:val="32"/>
        </w:rPr>
        <w:t>20年一般公共预算财政拨款支出875.36万元，占本年支出合计的46.36</w:t>
      </w:r>
      <w:r>
        <w:rPr>
          <w:rFonts w:ascii="仿宋" w:hAnsi="仿宋" w:eastAsia="仿宋"/>
          <w:sz w:val="32"/>
          <w:szCs w:val="32"/>
        </w:rPr>
        <w:t>%</w:t>
      </w:r>
      <w:r>
        <w:rPr>
          <w:rFonts w:hint="eastAsia" w:ascii="仿宋" w:hAnsi="仿宋" w:eastAsia="仿宋"/>
          <w:sz w:val="32"/>
          <w:szCs w:val="32"/>
        </w:rPr>
        <w:t>。与</w:t>
      </w:r>
      <w:r>
        <w:rPr>
          <w:rFonts w:ascii="仿宋" w:hAnsi="仿宋" w:eastAsia="仿宋"/>
          <w:sz w:val="32"/>
          <w:szCs w:val="32"/>
        </w:rPr>
        <w:t>201</w:t>
      </w:r>
      <w:r>
        <w:rPr>
          <w:rFonts w:hint="eastAsia" w:ascii="仿宋" w:hAnsi="仿宋" w:eastAsia="仿宋"/>
          <w:sz w:val="32"/>
          <w:szCs w:val="32"/>
        </w:rPr>
        <w:t>9年相比，一般公共预算财政拨款增加470.08万元，增长115.99</w:t>
      </w:r>
      <w:r>
        <w:rPr>
          <w:rFonts w:ascii="仿宋" w:hAnsi="仿宋" w:eastAsia="仿宋"/>
          <w:sz w:val="32"/>
          <w:szCs w:val="32"/>
        </w:rPr>
        <w:t>%</w:t>
      </w:r>
      <w:r>
        <w:rPr>
          <w:rFonts w:hint="eastAsia" w:ascii="仿宋" w:hAnsi="仿宋" w:eastAsia="仿宋"/>
          <w:sz w:val="32"/>
          <w:szCs w:val="32"/>
        </w:rPr>
        <w:t>。主要变动原因是</w:t>
      </w:r>
      <w:r>
        <w:rPr>
          <w:rFonts w:hint="eastAsia" w:ascii="仿宋" w:hAnsi="仿宋" w:eastAsia="仿宋"/>
          <w:sz w:val="32"/>
          <w:szCs w:val="32"/>
          <w:lang w:eastAsia="zh-CN"/>
        </w:rPr>
        <w:t>：</w:t>
      </w:r>
      <w:r>
        <w:rPr>
          <w:rFonts w:hint="eastAsia" w:ascii="仿宋" w:hAnsi="仿宋" w:eastAsia="仿宋"/>
          <w:sz w:val="32"/>
          <w:szCs w:val="32"/>
          <w:lang w:val="en-US" w:eastAsia="zh-CN"/>
        </w:rPr>
        <w:t>在2019年的工作基础上，单位新增了部分事务性工作，财政拨款相应增加。</w:t>
      </w:r>
    </w:p>
    <w:p>
      <w:pPr>
        <w:spacing w:line="600" w:lineRule="exact"/>
        <w:ind w:firstLine="640" w:firstLineChars="200"/>
        <w:rPr>
          <w:rFonts w:ascii="仿宋" w:hAnsi="仿宋" w:eastAsia="仿宋"/>
          <w:color w:val="auto"/>
          <w:sz w:val="32"/>
          <w:szCs w:val="32"/>
        </w:rPr>
      </w:pPr>
    </w:p>
    <w:p>
      <w:pPr>
        <w:spacing w:line="60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（图5：一般公共预算财政拨款支出决算变动情况）</w:t>
      </w:r>
    </w:p>
    <w:p>
      <w:pPr>
        <w:pStyle w:val="2"/>
      </w:pPr>
      <w:r>
        <w:drawing>
          <wp:inline distT="0" distB="0" distL="114300" distR="114300">
            <wp:extent cx="5248910" cy="2832735"/>
            <wp:effectExtent l="4445" t="4445" r="23495" b="20320"/>
            <wp:docPr id="9"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spacing w:line="600" w:lineRule="exact"/>
        <w:ind w:firstLine="640" w:firstLineChars="200"/>
        <w:rPr>
          <w:rFonts w:ascii="仿宋" w:hAnsi="仿宋" w:eastAsia="仿宋"/>
          <w:color w:val="auto"/>
          <w:sz w:val="32"/>
          <w:szCs w:val="32"/>
        </w:rPr>
      </w:pPr>
    </w:p>
    <w:p>
      <w:pPr>
        <w:spacing w:line="600" w:lineRule="exact"/>
        <w:ind w:firstLine="643" w:firstLineChars="200"/>
        <w:outlineLvl w:val="2"/>
        <w:rPr>
          <w:rFonts w:ascii="仿宋" w:hAnsi="仿宋" w:eastAsia="仿宋"/>
          <w:b/>
          <w:color w:val="auto"/>
          <w:sz w:val="32"/>
          <w:szCs w:val="32"/>
        </w:rPr>
      </w:pPr>
      <w:bookmarkStart w:id="43" w:name="_Toc15377211"/>
      <w:r>
        <w:rPr>
          <w:rFonts w:hint="eastAsia" w:ascii="仿宋" w:hAnsi="仿宋" w:eastAsia="仿宋"/>
          <w:b/>
          <w:color w:val="auto"/>
          <w:sz w:val="32"/>
          <w:szCs w:val="32"/>
        </w:rPr>
        <w:t>（二）一般公共预算财政拨款支出决算结构情况</w:t>
      </w:r>
      <w:bookmarkEnd w:id="43"/>
    </w:p>
    <w:p>
      <w:pPr>
        <w:spacing w:line="600" w:lineRule="exact"/>
        <w:ind w:firstLine="640"/>
        <w:rPr>
          <w:rFonts w:ascii="仿宋" w:hAnsi="仿宋" w:eastAsia="仿宋"/>
          <w:b/>
          <w:sz w:val="32"/>
          <w:szCs w:val="32"/>
        </w:rPr>
      </w:pPr>
      <w:r>
        <w:rPr>
          <w:rFonts w:ascii="仿宋" w:hAnsi="仿宋" w:eastAsia="仿宋"/>
          <w:sz w:val="32"/>
          <w:szCs w:val="32"/>
        </w:rPr>
        <w:t>20</w:t>
      </w:r>
      <w:r>
        <w:rPr>
          <w:rFonts w:hint="eastAsia" w:ascii="仿宋" w:hAnsi="仿宋" w:eastAsia="仿宋"/>
          <w:sz w:val="32"/>
          <w:szCs w:val="32"/>
        </w:rPr>
        <w:t>20年一般公共预算财政拨款支出875.36万元，主要用于以下方面</w:t>
      </w:r>
      <w:r>
        <w:rPr>
          <w:rFonts w:ascii="仿宋" w:hAnsi="仿宋" w:eastAsia="仿宋"/>
          <w:sz w:val="32"/>
          <w:szCs w:val="32"/>
        </w:rPr>
        <w:t>:</w:t>
      </w:r>
      <w:r>
        <w:rPr>
          <w:rFonts w:hint="eastAsia" w:ascii="仿宋" w:hAnsi="仿宋" w:eastAsia="仿宋"/>
          <w:b/>
          <w:bCs/>
          <w:sz w:val="32"/>
          <w:szCs w:val="32"/>
        </w:rPr>
        <w:t>社会保障和就业支出</w:t>
      </w:r>
      <w:r>
        <w:rPr>
          <w:rFonts w:hint="eastAsia" w:ascii="仿宋" w:hAnsi="仿宋" w:eastAsia="仿宋"/>
          <w:sz w:val="32"/>
          <w:szCs w:val="32"/>
        </w:rPr>
        <w:t>0.74万元，占0.09</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bCs/>
          <w:i w:val="0"/>
          <w:iCs w:val="0"/>
          <w:sz w:val="32"/>
          <w:szCs w:val="32"/>
        </w:rPr>
        <w:t>卫生健康支出</w:t>
      </w:r>
      <w:r>
        <w:rPr>
          <w:rFonts w:hint="eastAsia" w:ascii="仿宋" w:hAnsi="仿宋" w:eastAsia="仿宋"/>
          <w:sz w:val="32"/>
          <w:szCs w:val="32"/>
        </w:rPr>
        <w:t>10万元，占1.14</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bCs/>
          <w:sz w:val="32"/>
          <w:szCs w:val="32"/>
        </w:rPr>
        <w:t>住房保障支出</w:t>
      </w:r>
      <w:r>
        <w:rPr>
          <w:rFonts w:hint="eastAsia" w:ascii="仿宋" w:hAnsi="仿宋" w:eastAsia="仿宋"/>
          <w:sz w:val="32"/>
          <w:szCs w:val="32"/>
        </w:rPr>
        <w:t>15万元，占1.71</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bCs/>
          <w:sz w:val="32"/>
          <w:szCs w:val="32"/>
        </w:rPr>
        <w:t>城乡社区支出</w:t>
      </w:r>
      <w:r>
        <w:rPr>
          <w:rFonts w:hint="eastAsia" w:ascii="仿宋" w:hAnsi="仿宋" w:eastAsia="仿宋"/>
          <w:sz w:val="32"/>
          <w:szCs w:val="32"/>
        </w:rPr>
        <w:t>849.62万元，占97.06%。</w:t>
      </w:r>
    </w:p>
    <w:p>
      <w:pPr>
        <w:spacing w:line="600" w:lineRule="exact"/>
        <w:ind w:firstLine="640"/>
        <w:rPr>
          <w:rFonts w:ascii="仿宋" w:hAnsi="仿宋" w:eastAsia="仿宋"/>
          <w:color w:val="auto"/>
          <w:sz w:val="32"/>
          <w:szCs w:val="32"/>
        </w:rPr>
      </w:pPr>
    </w:p>
    <w:p>
      <w:pPr>
        <w:spacing w:line="60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（图6：一般公共预算财政拨款支出决算结构）</w:t>
      </w:r>
    </w:p>
    <w:p>
      <w:pPr>
        <w:pStyle w:val="2"/>
      </w:pPr>
      <w:r>
        <w:drawing>
          <wp:inline distT="0" distB="0" distL="114300" distR="114300">
            <wp:extent cx="5461635" cy="3434715"/>
            <wp:effectExtent l="4445" t="4445" r="20320" b="8890"/>
            <wp:docPr id="1070" name="图表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pPr>
        <w:spacing w:line="600" w:lineRule="exact"/>
        <w:ind w:firstLine="640" w:firstLineChars="200"/>
        <w:rPr>
          <w:rFonts w:ascii="仿宋" w:hAnsi="仿宋" w:eastAsia="仿宋"/>
          <w:color w:val="auto"/>
          <w:sz w:val="32"/>
          <w:szCs w:val="32"/>
        </w:rPr>
      </w:pPr>
    </w:p>
    <w:p>
      <w:pPr>
        <w:spacing w:line="600" w:lineRule="exact"/>
        <w:ind w:firstLine="643" w:firstLineChars="200"/>
        <w:outlineLvl w:val="2"/>
        <w:rPr>
          <w:rFonts w:ascii="仿宋" w:hAnsi="仿宋" w:eastAsia="仿宋"/>
          <w:b/>
          <w:color w:val="auto"/>
          <w:sz w:val="32"/>
          <w:szCs w:val="32"/>
        </w:rPr>
      </w:pPr>
      <w:bookmarkStart w:id="44" w:name="_Toc15377212"/>
      <w:r>
        <w:rPr>
          <w:rFonts w:hint="eastAsia" w:ascii="仿宋" w:hAnsi="仿宋" w:eastAsia="仿宋"/>
          <w:b/>
          <w:color w:val="auto"/>
          <w:sz w:val="32"/>
          <w:szCs w:val="32"/>
        </w:rPr>
        <w:t>（三）一般公共预算财政拨款支出决算具体情况</w:t>
      </w:r>
      <w:bookmarkEnd w:id="44"/>
    </w:p>
    <w:p>
      <w:pPr>
        <w:spacing w:line="600" w:lineRule="exact"/>
        <w:ind w:firstLine="643" w:firstLineChars="200"/>
        <w:outlineLvl w:val="1"/>
        <w:rPr>
          <w:rFonts w:ascii="仿宋" w:hAnsi="仿宋" w:eastAsia="仿宋"/>
          <w:color w:val="auto"/>
          <w:sz w:val="32"/>
          <w:szCs w:val="32"/>
        </w:rPr>
      </w:pPr>
      <w:bookmarkStart w:id="45" w:name="_Toc9569"/>
      <w:r>
        <w:rPr>
          <w:rFonts w:hint="eastAsia" w:ascii="仿宋" w:hAnsi="仿宋" w:eastAsia="仿宋"/>
          <w:b/>
          <w:color w:val="auto"/>
          <w:sz w:val="32"/>
          <w:szCs w:val="32"/>
        </w:rPr>
        <w:t>2020年一般公共预算支出决算数为875.36</w:t>
      </w:r>
      <w:r>
        <w:rPr>
          <w:rFonts w:hint="eastAsia" w:ascii="仿宋" w:hAnsi="仿宋" w:eastAsia="仿宋"/>
          <w:b/>
          <w:color w:val="auto"/>
          <w:sz w:val="32"/>
          <w:szCs w:val="32"/>
          <w:lang w:eastAsia="zh-CN"/>
        </w:rPr>
        <w:t>万元</w:t>
      </w:r>
      <w:r>
        <w:rPr>
          <w:rFonts w:hint="eastAsia" w:ascii="仿宋" w:hAnsi="仿宋" w:eastAsia="仿宋"/>
          <w:b/>
          <w:color w:val="auto"/>
          <w:sz w:val="32"/>
          <w:szCs w:val="32"/>
        </w:rPr>
        <w:t>，完成预算98.82%。其中：</w:t>
      </w:r>
      <w:bookmarkEnd w:id="45"/>
    </w:p>
    <w:p>
      <w:pPr>
        <w:spacing w:line="600" w:lineRule="exact"/>
        <w:ind w:firstLine="643" w:firstLineChars="200"/>
        <w:rPr>
          <w:rFonts w:ascii="仿宋" w:hAnsi="仿宋" w:eastAsia="仿宋"/>
          <w:b/>
          <w:color w:val="auto"/>
          <w:sz w:val="32"/>
          <w:szCs w:val="32"/>
        </w:rPr>
      </w:pPr>
      <w:r>
        <w:rPr>
          <w:rStyle w:val="14"/>
          <w:rFonts w:hint="eastAsia" w:ascii="仿宋" w:hAnsi="仿宋" w:eastAsia="仿宋"/>
          <w:bCs/>
          <w:color w:val="auto"/>
          <w:sz w:val="32"/>
          <w:szCs w:val="32"/>
        </w:rPr>
        <w:t>1.社会保障和就业（类）行政事业单位养老支出（款）机关事业单位职业年金缴费支出（项）:</w:t>
      </w:r>
      <w:r>
        <w:rPr>
          <w:rStyle w:val="14"/>
          <w:rFonts w:ascii="仿宋" w:hAnsi="仿宋" w:eastAsia="仿宋"/>
          <w:b w:val="0"/>
          <w:bCs/>
          <w:color w:val="auto"/>
          <w:sz w:val="32"/>
          <w:szCs w:val="32"/>
        </w:rPr>
        <w:t xml:space="preserve"> </w:t>
      </w:r>
      <w:r>
        <w:rPr>
          <w:rStyle w:val="14"/>
          <w:rFonts w:hint="eastAsia" w:ascii="仿宋" w:hAnsi="仿宋" w:eastAsia="仿宋"/>
          <w:b w:val="0"/>
          <w:bCs/>
          <w:color w:val="auto"/>
          <w:sz w:val="32"/>
          <w:szCs w:val="32"/>
        </w:rPr>
        <w:t>支出决算为0.74万元，完成预算100%。</w:t>
      </w:r>
    </w:p>
    <w:p>
      <w:pPr>
        <w:spacing w:line="600" w:lineRule="exact"/>
        <w:ind w:firstLine="643" w:firstLineChars="200"/>
        <w:rPr>
          <w:rFonts w:ascii="仿宋" w:hAnsi="仿宋" w:eastAsia="仿宋"/>
          <w:b/>
          <w:color w:val="auto"/>
          <w:sz w:val="32"/>
          <w:szCs w:val="32"/>
        </w:rPr>
      </w:pPr>
      <w:r>
        <w:rPr>
          <w:rStyle w:val="14"/>
          <w:rFonts w:hint="eastAsia" w:ascii="仿宋" w:hAnsi="仿宋" w:eastAsia="仿宋"/>
          <w:bCs/>
          <w:color w:val="auto"/>
          <w:sz w:val="32"/>
          <w:szCs w:val="32"/>
        </w:rPr>
        <w:t>2.卫生健康（类）行政事业单位医疗（款）事业单位医疗（项）:</w:t>
      </w:r>
      <w:r>
        <w:rPr>
          <w:rStyle w:val="14"/>
          <w:rFonts w:hint="eastAsia" w:ascii="仿宋" w:hAnsi="仿宋" w:eastAsia="仿宋"/>
          <w:b w:val="0"/>
          <w:bCs/>
          <w:color w:val="auto"/>
          <w:sz w:val="32"/>
          <w:szCs w:val="32"/>
        </w:rPr>
        <w:t>支出决算为10万元，完成预算100%。</w:t>
      </w:r>
    </w:p>
    <w:p>
      <w:pPr>
        <w:spacing w:line="600" w:lineRule="exact"/>
        <w:ind w:firstLine="643" w:firstLineChars="200"/>
        <w:rPr>
          <w:rStyle w:val="14"/>
          <w:rFonts w:hint="eastAsia" w:ascii="仿宋" w:hAnsi="仿宋" w:eastAsia="仿宋"/>
          <w:b w:val="0"/>
          <w:bCs/>
          <w:color w:val="auto"/>
          <w:sz w:val="32"/>
          <w:szCs w:val="32"/>
        </w:rPr>
      </w:pPr>
      <w:r>
        <w:rPr>
          <w:rStyle w:val="14"/>
          <w:rFonts w:hint="eastAsia" w:ascii="仿宋" w:hAnsi="仿宋" w:eastAsia="仿宋"/>
          <w:bCs/>
          <w:color w:val="auto"/>
          <w:sz w:val="32"/>
          <w:szCs w:val="32"/>
        </w:rPr>
        <w:t>3.住房保障（类）住房改革（款）住房公积金（项）:</w:t>
      </w:r>
      <w:r>
        <w:rPr>
          <w:rStyle w:val="14"/>
          <w:rFonts w:ascii="仿宋" w:hAnsi="仿宋" w:eastAsia="仿宋"/>
          <w:b w:val="0"/>
          <w:bCs/>
          <w:color w:val="auto"/>
          <w:sz w:val="32"/>
          <w:szCs w:val="32"/>
        </w:rPr>
        <w:t xml:space="preserve"> </w:t>
      </w:r>
      <w:r>
        <w:rPr>
          <w:rStyle w:val="14"/>
          <w:rFonts w:hint="eastAsia" w:ascii="仿宋" w:hAnsi="仿宋" w:eastAsia="仿宋"/>
          <w:b w:val="0"/>
          <w:bCs/>
          <w:color w:val="auto"/>
          <w:sz w:val="32"/>
          <w:szCs w:val="32"/>
        </w:rPr>
        <w:t>支出决算为15万元，完成预算100%。</w:t>
      </w:r>
    </w:p>
    <w:p>
      <w:pPr>
        <w:spacing w:line="600" w:lineRule="exact"/>
        <w:ind w:firstLine="643" w:firstLineChars="200"/>
        <w:rPr>
          <w:rFonts w:ascii="仿宋" w:hAnsi="仿宋" w:eastAsia="仿宋"/>
          <w:b/>
          <w:color w:val="auto"/>
          <w:sz w:val="32"/>
          <w:szCs w:val="32"/>
        </w:rPr>
      </w:pPr>
      <w:r>
        <w:rPr>
          <w:rStyle w:val="14"/>
          <w:rFonts w:hint="eastAsia" w:ascii="仿宋" w:hAnsi="仿宋" w:eastAsia="仿宋"/>
          <w:bCs/>
          <w:color w:val="auto"/>
          <w:sz w:val="32"/>
          <w:szCs w:val="32"/>
        </w:rPr>
        <w:t>4.城乡社区（类）城乡社区管理事务（款）其他城乡社区管理事务支出（项）:</w:t>
      </w:r>
      <w:r>
        <w:rPr>
          <w:rStyle w:val="14"/>
          <w:rFonts w:ascii="仿宋" w:hAnsi="仿宋" w:eastAsia="仿宋"/>
          <w:b w:val="0"/>
          <w:bCs/>
          <w:color w:val="auto"/>
          <w:sz w:val="32"/>
          <w:szCs w:val="32"/>
        </w:rPr>
        <w:t xml:space="preserve"> </w:t>
      </w:r>
      <w:r>
        <w:rPr>
          <w:rStyle w:val="14"/>
          <w:rFonts w:hint="eastAsia" w:ascii="仿宋" w:hAnsi="仿宋" w:eastAsia="仿宋"/>
          <w:b w:val="0"/>
          <w:bCs/>
          <w:color w:val="auto"/>
          <w:sz w:val="32"/>
          <w:szCs w:val="32"/>
        </w:rPr>
        <w:t>支出决算为849.62万元，完成预算98.79%。决算数小于预算数的主要原因是受新冠肺炎疫情影响，三项考试改为线上进行，职工</w:t>
      </w:r>
      <w:r>
        <w:rPr>
          <w:rStyle w:val="14"/>
          <w:rFonts w:hint="eastAsia" w:ascii="仿宋" w:hAnsi="仿宋" w:eastAsia="仿宋"/>
          <w:b w:val="0"/>
          <w:bCs/>
          <w:color w:val="auto"/>
          <w:sz w:val="32"/>
          <w:szCs w:val="32"/>
          <w:lang w:eastAsia="zh-CN"/>
        </w:rPr>
        <w:t>不需</w:t>
      </w:r>
      <w:r>
        <w:rPr>
          <w:rStyle w:val="14"/>
          <w:rFonts w:hint="eastAsia" w:ascii="仿宋" w:hAnsi="仿宋" w:eastAsia="仿宋"/>
          <w:b w:val="0"/>
          <w:bCs/>
          <w:color w:val="auto"/>
          <w:sz w:val="32"/>
          <w:szCs w:val="32"/>
        </w:rPr>
        <w:t>前往各地市州参与</w:t>
      </w:r>
      <w:r>
        <w:rPr>
          <w:rStyle w:val="14"/>
          <w:rFonts w:hint="eastAsia" w:ascii="仿宋" w:hAnsi="仿宋" w:eastAsia="仿宋"/>
          <w:b w:val="0"/>
          <w:bCs/>
          <w:color w:val="auto"/>
          <w:sz w:val="32"/>
          <w:szCs w:val="32"/>
          <w:lang w:eastAsia="zh-CN"/>
        </w:rPr>
        <w:t>巡考</w:t>
      </w:r>
      <w:r>
        <w:rPr>
          <w:rStyle w:val="14"/>
          <w:rFonts w:hint="eastAsia" w:ascii="仿宋" w:hAnsi="仿宋" w:eastAsia="仿宋"/>
          <w:b w:val="0"/>
          <w:bCs/>
          <w:color w:val="auto"/>
          <w:sz w:val="32"/>
          <w:szCs w:val="32"/>
        </w:rPr>
        <w:t>，无差旅费支出。</w:t>
      </w:r>
    </w:p>
    <w:p>
      <w:pPr>
        <w:spacing w:line="600" w:lineRule="exact"/>
        <w:ind w:firstLine="640"/>
        <w:rPr>
          <w:rFonts w:ascii="仿宋" w:hAnsi="仿宋" w:eastAsia="仿宋"/>
          <w:b/>
          <w:color w:val="auto"/>
          <w:sz w:val="32"/>
          <w:szCs w:val="32"/>
        </w:rPr>
      </w:pPr>
    </w:p>
    <w:p>
      <w:pPr>
        <w:tabs>
          <w:tab w:val="right" w:pos="8306"/>
        </w:tabs>
        <w:spacing w:line="600" w:lineRule="exact"/>
        <w:ind w:firstLine="640"/>
        <w:outlineLvl w:val="1"/>
        <w:rPr>
          <w:rStyle w:val="25"/>
          <w:color w:val="auto"/>
        </w:rPr>
      </w:pPr>
      <w:bookmarkStart w:id="46" w:name="_Toc15396608"/>
      <w:bookmarkStart w:id="47" w:name="_Toc15377214"/>
      <w:bookmarkStart w:id="48" w:name="_Toc8467"/>
      <w:r>
        <w:rPr>
          <w:rFonts w:hint="eastAsia" w:ascii="黑体" w:eastAsia="黑体"/>
          <w:color w:val="auto"/>
          <w:sz w:val="32"/>
          <w:szCs w:val="32"/>
        </w:rPr>
        <w:t>六</w:t>
      </w:r>
      <w:r>
        <w:rPr>
          <w:rFonts w:hint="eastAsia" w:ascii="黑体" w:eastAsia="黑体"/>
          <w:b/>
          <w:color w:val="auto"/>
          <w:sz w:val="32"/>
          <w:szCs w:val="32"/>
        </w:rPr>
        <w:t>、</w:t>
      </w:r>
      <w:r>
        <w:rPr>
          <w:rFonts w:hint="eastAsia" w:ascii="黑体" w:hAnsi="黑体" w:eastAsia="黑体"/>
          <w:b/>
          <w:color w:val="auto"/>
          <w:sz w:val="32"/>
          <w:szCs w:val="32"/>
        </w:rPr>
        <w:t>一</w:t>
      </w:r>
      <w:r>
        <w:rPr>
          <w:rStyle w:val="25"/>
          <w:rFonts w:hint="eastAsia" w:ascii="黑体" w:hAnsi="黑体" w:eastAsia="黑体"/>
          <w:b w:val="0"/>
          <w:color w:val="auto"/>
        </w:rPr>
        <w:t>般公共预算财政拨款基本支出决算情况说明</w:t>
      </w:r>
      <w:bookmarkEnd w:id="46"/>
      <w:bookmarkEnd w:id="47"/>
      <w:bookmarkEnd w:id="48"/>
      <w:r>
        <w:rPr>
          <w:rStyle w:val="25"/>
          <w:rFonts w:ascii="黑体" w:hAnsi="黑体" w:eastAsia="黑体"/>
          <w:b w:val="0"/>
          <w:color w:val="auto"/>
        </w:rPr>
        <w:tab/>
      </w:r>
    </w:p>
    <w:p>
      <w:pPr>
        <w:spacing w:line="600" w:lineRule="exact"/>
        <w:ind w:firstLine="645"/>
        <w:rPr>
          <w:rFonts w:ascii="仿宋" w:hAnsi="仿宋" w:eastAsia="仿宋"/>
          <w:sz w:val="32"/>
          <w:szCs w:val="32"/>
        </w:rPr>
      </w:pPr>
      <w:r>
        <w:rPr>
          <w:rFonts w:ascii="仿宋" w:hAnsi="仿宋" w:eastAsia="仿宋"/>
          <w:sz w:val="32"/>
          <w:szCs w:val="32"/>
        </w:rPr>
        <w:t>20</w:t>
      </w:r>
      <w:r>
        <w:rPr>
          <w:rFonts w:hint="eastAsia" w:ascii="仿宋" w:hAnsi="仿宋" w:eastAsia="仿宋"/>
          <w:sz w:val="32"/>
          <w:szCs w:val="32"/>
        </w:rPr>
        <w:t>20年一般公共预算财政拨款基本支出180.56万元，其中：</w:t>
      </w:r>
    </w:p>
    <w:p>
      <w:pPr>
        <w:spacing w:line="600" w:lineRule="exact"/>
        <w:ind w:firstLine="645"/>
        <w:rPr>
          <w:rFonts w:hint="eastAsia" w:ascii="仿宋" w:hAnsi="仿宋" w:eastAsia="仿宋"/>
          <w:sz w:val="32"/>
          <w:szCs w:val="32"/>
          <w:lang w:eastAsia="zh-CN"/>
        </w:rPr>
      </w:pPr>
      <w:r>
        <w:rPr>
          <w:rFonts w:hint="eastAsia" w:ascii="仿宋" w:hAnsi="仿宋" w:eastAsia="仿宋"/>
          <w:sz w:val="32"/>
          <w:szCs w:val="32"/>
        </w:rPr>
        <w:t>人员经费74.79万元，主要包括：基本工资、津贴补贴、职业年金缴费、职工基本医疗保险缴费、住房公积金、其他工资福利支出、奖励金等。</w:t>
      </w:r>
    </w:p>
    <w:p>
      <w:pPr>
        <w:spacing w:line="600" w:lineRule="exact"/>
        <w:ind w:firstLine="645"/>
        <w:rPr>
          <w:rFonts w:ascii="仿宋" w:hAnsi="仿宋" w:eastAsia="仿宋"/>
          <w:sz w:val="32"/>
          <w:szCs w:val="32"/>
        </w:rPr>
      </w:pPr>
      <w:r>
        <w:rPr>
          <w:rFonts w:hint="eastAsia" w:ascii="仿宋" w:hAnsi="仿宋" w:eastAsia="仿宋"/>
          <w:sz w:val="32"/>
          <w:szCs w:val="32"/>
        </w:rPr>
        <w:t>公用经费105.77万元，主要包括：办公费、邮电费、物业管理费、差旅费、维修（护）费、工会经费、福利费等。</w:t>
      </w:r>
    </w:p>
    <w:p>
      <w:pPr>
        <w:spacing w:line="600" w:lineRule="exact"/>
        <w:ind w:firstLine="640"/>
        <w:rPr>
          <w:rFonts w:ascii="仿宋" w:hAnsi="仿宋" w:eastAsia="仿宋"/>
          <w:b/>
          <w:color w:val="auto"/>
          <w:sz w:val="32"/>
          <w:szCs w:val="32"/>
        </w:rPr>
      </w:pPr>
    </w:p>
    <w:p>
      <w:pPr>
        <w:spacing w:line="600" w:lineRule="exact"/>
        <w:ind w:firstLine="640"/>
        <w:outlineLvl w:val="1"/>
        <w:rPr>
          <w:rStyle w:val="25"/>
          <w:rFonts w:ascii="黑体" w:hAnsi="黑体" w:eastAsia="黑体"/>
          <w:b w:val="0"/>
          <w:color w:val="auto"/>
        </w:rPr>
      </w:pPr>
      <w:bookmarkStart w:id="49" w:name="_Toc15396609"/>
      <w:bookmarkStart w:id="50" w:name="_Toc15377215"/>
      <w:bookmarkStart w:id="51" w:name="_Toc13176"/>
      <w:r>
        <w:rPr>
          <w:rFonts w:hint="eastAsia" w:ascii="黑体" w:eastAsia="黑体"/>
          <w:color w:val="auto"/>
          <w:sz w:val="32"/>
          <w:szCs w:val="32"/>
        </w:rPr>
        <w:t>七、</w:t>
      </w:r>
      <w:r>
        <w:rPr>
          <w:rStyle w:val="25"/>
          <w:rFonts w:hint="eastAsia" w:ascii="黑体" w:hAnsi="黑体" w:eastAsia="黑体"/>
          <w:color w:val="auto"/>
        </w:rPr>
        <w:t>“</w:t>
      </w:r>
      <w:r>
        <w:rPr>
          <w:rStyle w:val="25"/>
          <w:rFonts w:hint="eastAsia" w:ascii="黑体" w:hAnsi="黑体" w:eastAsia="黑体"/>
          <w:b w:val="0"/>
          <w:color w:val="auto"/>
        </w:rPr>
        <w:t>三公”经费财政拨款支出决算情况说明</w:t>
      </w:r>
      <w:bookmarkEnd w:id="49"/>
      <w:bookmarkEnd w:id="50"/>
      <w:bookmarkEnd w:id="51"/>
    </w:p>
    <w:p>
      <w:pPr>
        <w:spacing w:line="600" w:lineRule="exact"/>
        <w:ind w:firstLine="640"/>
        <w:rPr>
          <w:rFonts w:hint="eastAsia" w:ascii="仿宋" w:hAnsi="仿宋" w:eastAsia="仿宋"/>
          <w:sz w:val="32"/>
          <w:szCs w:val="32"/>
        </w:rPr>
      </w:pPr>
      <w:r>
        <w:rPr>
          <w:rFonts w:ascii="仿宋" w:hAnsi="仿宋" w:eastAsia="仿宋"/>
          <w:sz w:val="32"/>
          <w:szCs w:val="32"/>
        </w:rPr>
        <w:t>20</w:t>
      </w:r>
      <w:r>
        <w:rPr>
          <w:rFonts w:hint="eastAsia" w:ascii="仿宋" w:hAnsi="仿宋" w:eastAsia="仿宋"/>
          <w:sz w:val="32"/>
          <w:szCs w:val="32"/>
        </w:rPr>
        <w:t>20年“三公”经费财政拨款支出决算为0万元，年初无预算。</w:t>
      </w:r>
    </w:p>
    <w:p>
      <w:pPr>
        <w:spacing w:line="600" w:lineRule="exact"/>
        <w:ind w:firstLine="640"/>
        <w:rPr>
          <w:rFonts w:hint="eastAsia" w:ascii="仿宋" w:hAnsi="仿宋" w:eastAsia="仿宋"/>
          <w:sz w:val="32"/>
          <w:szCs w:val="32"/>
          <w:lang w:eastAsia="zh-CN"/>
        </w:rPr>
      </w:pPr>
      <w:r>
        <w:rPr>
          <w:rFonts w:hint="eastAsia" w:ascii="仿宋" w:hAnsi="仿宋" w:eastAsia="仿宋"/>
          <w:sz w:val="32"/>
          <w:szCs w:val="32"/>
          <w:lang w:val="en-US" w:eastAsia="zh-CN"/>
        </w:rPr>
        <w:t>2020年</w:t>
      </w:r>
      <w:r>
        <w:rPr>
          <w:rFonts w:hint="eastAsia" w:ascii="仿宋" w:hAnsi="仿宋" w:eastAsia="仿宋"/>
          <w:sz w:val="32"/>
          <w:szCs w:val="32"/>
        </w:rPr>
        <w:t>“三公”经费财政拨款</w:t>
      </w:r>
      <w:r>
        <w:rPr>
          <w:rFonts w:hint="eastAsia" w:ascii="仿宋" w:hAnsi="仿宋" w:eastAsia="仿宋"/>
          <w:sz w:val="32"/>
          <w:szCs w:val="32"/>
          <w:lang w:eastAsia="zh-CN"/>
        </w:rPr>
        <w:t>支出决算数较</w:t>
      </w:r>
      <w:r>
        <w:rPr>
          <w:rFonts w:hint="eastAsia" w:ascii="仿宋" w:hAnsi="仿宋" w:eastAsia="仿宋"/>
          <w:sz w:val="32"/>
          <w:szCs w:val="32"/>
          <w:lang w:val="en-US" w:eastAsia="zh-CN"/>
        </w:rPr>
        <w:t>2019</w:t>
      </w:r>
      <w:r>
        <w:rPr>
          <w:rFonts w:hint="eastAsia" w:ascii="仿宋" w:hAnsi="仿宋" w:eastAsia="仿宋"/>
          <w:sz w:val="32"/>
          <w:szCs w:val="32"/>
        </w:rPr>
        <w:t xml:space="preserve"> 年</w:t>
      </w:r>
      <w:r>
        <w:rPr>
          <w:rFonts w:hint="eastAsia" w:ascii="仿宋" w:hAnsi="仿宋" w:eastAsia="仿宋"/>
          <w:sz w:val="32"/>
          <w:szCs w:val="32"/>
          <w:lang w:eastAsia="zh-CN"/>
        </w:rPr>
        <w:t>决算数无增减变化。</w:t>
      </w:r>
    </w:p>
    <w:p>
      <w:pPr>
        <w:spacing w:line="600" w:lineRule="exact"/>
        <w:ind w:firstLine="640"/>
        <w:outlineLvl w:val="9"/>
        <w:rPr>
          <w:rFonts w:ascii="黑体" w:eastAsia="黑体"/>
          <w:color w:val="auto"/>
          <w:sz w:val="32"/>
          <w:szCs w:val="32"/>
        </w:rPr>
      </w:pPr>
      <w:bookmarkStart w:id="52" w:name="_Toc15377218"/>
      <w:bookmarkStart w:id="53" w:name="_Toc15396610"/>
    </w:p>
    <w:p>
      <w:pPr>
        <w:spacing w:line="600" w:lineRule="exact"/>
        <w:ind w:firstLine="640"/>
        <w:outlineLvl w:val="1"/>
        <w:rPr>
          <w:rStyle w:val="25"/>
          <w:rFonts w:ascii="黑体" w:hAnsi="黑体" w:eastAsia="黑体"/>
          <w:color w:val="auto"/>
        </w:rPr>
      </w:pPr>
      <w:bookmarkStart w:id="54" w:name="_Toc26825"/>
      <w:r>
        <w:rPr>
          <w:rFonts w:hint="eastAsia" w:ascii="黑体" w:eastAsia="黑体"/>
          <w:color w:val="auto"/>
          <w:sz w:val="32"/>
          <w:szCs w:val="32"/>
        </w:rPr>
        <w:t>八、</w:t>
      </w:r>
      <w:r>
        <w:rPr>
          <w:rStyle w:val="25"/>
          <w:rFonts w:hint="eastAsia" w:ascii="黑体" w:hAnsi="黑体" w:eastAsia="黑体"/>
          <w:b w:val="0"/>
          <w:color w:val="auto"/>
        </w:rPr>
        <w:t>政府性基金预算支出决算情况说明</w:t>
      </w:r>
      <w:bookmarkEnd w:id="52"/>
      <w:bookmarkEnd w:id="53"/>
      <w:bookmarkEnd w:id="54"/>
    </w:p>
    <w:p>
      <w:pPr>
        <w:spacing w:line="600" w:lineRule="exact"/>
        <w:ind w:firstLine="640"/>
        <w:rPr>
          <w:rFonts w:ascii="仿宋_GB2312" w:eastAsia="仿宋_GB2312"/>
          <w:color w:val="auto"/>
          <w:sz w:val="32"/>
          <w:szCs w:val="32"/>
        </w:rPr>
      </w:pPr>
      <w:r>
        <w:rPr>
          <w:rFonts w:ascii="仿宋_GB2312" w:eastAsia="仿宋_GB2312"/>
          <w:color w:val="auto"/>
          <w:sz w:val="32"/>
          <w:szCs w:val="32"/>
        </w:rPr>
        <w:t>20</w:t>
      </w:r>
      <w:r>
        <w:rPr>
          <w:rFonts w:hint="eastAsia" w:ascii="仿宋_GB2312" w:eastAsia="仿宋_GB2312"/>
          <w:color w:val="auto"/>
          <w:sz w:val="32"/>
          <w:szCs w:val="32"/>
          <w:lang w:val="en-US" w:eastAsia="zh-CN"/>
        </w:rPr>
        <w:t>20</w:t>
      </w:r>
      <w:r>
        <w:rPr>
          <w:rFonts w:hint="eastAsia" w:ascii="仿宋_GB2312" w:eastAsia="仿宋_GB2312"/>
          <w:color w:val="auto"/>
          <w:sz w:val="32"/>
          <w:szCs w:val="32"/>
        </w:rPr>
        <w:t>年政府性基金预算</w:t>
      </w:r>
      <w:r>
        <w:rPr>
          <w:rFonts w:hint="eastAsia" w:ascii="仿宋_GB2312" w:eastAsia="仿宋_GB2312"/>
          <w:color w:val="auto"/>
          <w:sz w:val="32"/>
          <w:szCs w:val="32"/>
          <w:lang w:eastAsia="zh-CN"/>
        </w:rPr>
        <w:t>财政</w:t>
      </w:r>
      <w:r>
        <w:rPr>
          <w:rFonts w:hint="eastAsia" w:ascii="仿宋_GB2312" w:eastAsia="仿宋_GB2312"/>
          <w:color w:val="auto"/>
          <w:sz w:val="32"/>
          <w:szCs w:val="32"/>
        </w:rPr>
        <w:t>拨款支出</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万元。</w:t>
      </w:r>
    </w:p>
    <w:p>
      <w:pPr>
        <w:spacing w:line="600" w:lineRule="exact"/>
        <w:ind w:firstLine="640"/>
        <w:rPr>
          <w:rFonts w:ascii="仿宋_GB2312" w:eastAsia="仿宋_GB2312"/>
          <w:color w:val="auto"/>
          <w:sz w:val="32"/>
          <w:szCs w:val="32"/>
        </w:rPr>
      </w:pPr>
    </w:p>
    <w:p>
      <w:pPr>
        <w:pStyle w:val="2"/>
      </w:pPr>
    </w:p>
    <w:p>
      <w:pPr>
        <w:numPr>
          <w:ilvl w:val="0"/>
          <w:numId w:val="2"/>
        </w:numPr>
        <w:spacing w:line="600" w:lineRule="exact"/>
        <w:ind w:firstLine="640"/>
        <w:outlineLvl w:val="1"/>
        <w:rPr>
          <w:rStyle w:val="25"/>
          <w:rFonts w:ascii="黑体" w:hAnsi="黑体" w:eastAsia="黑体"/>
          <w:b w:val="0"/>
          <w:color w:val="auto"/>
        </w:rPr>
      </w:pPr>
      <w:bookmarkStart w:id="55" w:name="_Toc15377219"/>
      <w:bookmarkStart w:id="56" w:name="_Toc15396611"/>
      <w:bookmarkStart w:id="57" w:name="_Toc19589"/>
      <w:r>
        <w:rPr>
          <w:rStyle w:val="25"/>
          <w:rFonts w:hint="eastAsia" w:ascii="黑体" w:hAnsi="黑体" w:eastAsia="黑体"/>
          <w:b w:val="0"/>
          <w:color w:val="auto"/>
        </w:rPr>
        <w:t>国有资本经营预算支出决算情况说明</w:t>
      </w:r>
      <w:bookmarkEnd w:id="55"/>
      <w:bookmarkEnd w:id="56"/>
      <w:bookmarkEnd w:id="57"/>
    </w:p>
    <w:p>
      <w:pPr>
        <w:spacing w:line="600" w:lineRule="exact"/>
        <w:ind w:firstLine="640"/>
        <w:rPr>
          <w:rFonts w:ascii="仿宋_GB2312" w:eastAsia="仿宋_GB2312"/>
          <w:color w:val="auto"/>
          <w:sz w:val="32"/>
          <w:szCs w:val="32"/>
        </w:rPr>
      </w:pPr>
      <w:r>
        <w:rPr>
          <w:rFonts w:ascii="仿宋_GB2312" w:eastAsia="仿宋_GB2312"/>
          <w:color w:val="auto"/>
          <w:sz w:val="32"/>
          <w:szCs w:val="32"/>
        </w:rPr>
        <w:t>20</w:t>
      </w:r>
      <w:r>
        <w:rPr>
          <w:rFonts w:hint="eastAsia" w:ascii="仿宋_GB2312" w:eastAsia="仿宋_GB2312"/>
          <w:color w:val="auto"/>
          <w:sz w:val="32"/>
          <w:szCs w:val="32"/>
          <w:lang w:val="en-US" w:eastAsia="zh-CN"/>
        </w:rPr>
        <w:t>20</w:t>
      </w:r>
      <w:r>
        <w:rPr>
          <w:rFonts w:hint="eastAsia" w:ascii="仿宋_GB2312" w:eastAsia="仿宋_GB2312"/>
          <w:color w:val="auto"/>
          <w:sz w:val="32"/>
          <w:szCs w:val="32"/>
        </w:rPr>
        <w:t>年国有资本经营预算</w:t>
      </w:r>
      <w:r>
        <w:rPr>
          <w:rFonts w:hint="eastAsia" w:ascii="仿宋_GB2312" w:eastAsia="仿宋_GB2312"/>
          <w:color w:val="auto"/>
          <w:sz w:val="32"/>
          <w:szCs w:val="32"/>
          <w:lang w:eastAsia="zh-CN"/>
        </w:rPr>
        <w:t>财政</w:t>
      </w:r>
      <w:r>
        <w:rPr>
          <w:rFonts w:hint="eastAsia" w:ascii="仿宋_GB2312" w:eastAsia="仿宋_GB2312"/>
          <w:color w:val="auto"/>
          <w:sz w:val="32"/>
          <w:szCs w:val="32"/>
        </w:rPr>
        <w:t>拨款支出</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万元。</w:t>
      </w:r>
    </w:p>
    <w:p>
      <w:pPr>
        <w:spacing w:line="580" w:lineRule="exact"/>
        <w:jc w:val="center"/>
        <w:rPr>
          <w:rFonts w:ascii="方正小标宋简体" w:hAnsi="方正小标宋简体" w:eastAsia="方正小标宋简体" w:cs="方正小标宋简体"/>
          <w:color w:val="auto"/>
          <w:sz w:val="44"/>
          <w:szCs w:val="44"/>
        </w:rPr>
      </w:pPr>
    </w:p>
    <w:p>
      <w:pPr>
        <w:numPr>
          <w:ilvl w:val="0"/>
          <w:numId w:val="2"/>
        </w:numPr>
        <w:spacing w:line="600" w:lineRule="exact"/>
        <w:ind w:firstLine="640"/>
        <w:outlineLvl w:val="1"/>
        <w:rPr>
          <w:rStyle w:val="25"/>
          <w:rFonts w:hint="eastAsia" w:ascii="黑体" w:hAnsi="黑体" w:eastAsia="黑体"/>
          <w:b w:val="0"/>
          <w:color w:val="auto"/>
        </w:rPr>
      </w:pPr>
      <w:bookmarkStart w:id="58" w:name="_Toc15377221"/>
      <w:bookmarkStart w:id="59" w:name="_Toc15396612"/>
      <w:bookmarkStart w:id="60" w:name="_Toc31416"/>
      <w:r>
        <w:rPr>
          <w:rStyle w:val="25"/>
          <w:rFonts w:hint="eastAsia" w:ascii="黑体" w:hAnsi="黑体" w:eastAsia="黑体"/>
          <w:b w:val="0"/>
          <w:color w:val="auto"/>
        </w:rPr>
        <w:t>其他重要事项的情况说明</w:t>
      </w:r>
      <w:bookmarkEnd w:id="58"/>
      <w:bookmarkEnd w:id="59"/>
      <w:bookmarkEnd w:id="60"/>
    </w:p>
    <w:p>
      <w:pPr>
        <w:spacing w:line="600" w:lineRule="exact"/>
        <w:ind w:firstLine="643" w:firstLineChars="200"/>
        <w:outlineLvl w:val="2"/>
        <w:rPr>
          <w:rFonts w:ascii="仿宋" w:hAnsi="仿宋" w:eastAsia="仿宋"/>
          <w:color w:val="auto"/>
          <w:sz w:val="32"/>
          <w:szCs w:val="32"/>
        </w:rPr>
      </w:pPr>
      <w:bookmarkStart w:id="61" w:name="_Toc15377222"/>
      <w:r>
        <w:rPr>
          <w:rFonts w:hint="eastAsia" w:ascii="仿宋" w:hAnsi="仿宋" w:eastAsia="仿宋"/>
          <w:b/>
          <w:color w:val="auto"/>
          <w:sz w:val="32"/>
          <w:szCs w:val="32"/>
        </w:rPr>
        <w:t>（一）机关运行经费支出情况</w:t>
      </w:r>
      <w:bookmarkEnd w:id="61"/>
    </w:p>
    <w:p>
      <w:pPr>
        <w:autoSpaceDE w:val="0"/>
        <w:autoSpaceDN w:val="0"/>
        <w:adjustRightInd w:val="0"/>
        <w:spacing w:line="600" w:lineRule="exact"/>
        <w:ind w:firstLine="640" w:firstLineChars="200"/>
        <w:rPr>
          <w:rFonts w:ascii="仿宋_GB2312" w:eastAsia="仿宋_GB2312"/>
          <w:sz w:val="32"/>
          <w:szCs w:val="32"/>
        </w:rPr>
      </w:pPr>
      <w:r>
        <w:rPr>
          <w:rFonts w:hint="eastAsia" w:ascii="仿宋_GB2312" w:eastAsia="仿宋_GB2312"/>
          <w:sz w:val="32"/>
          <w:szCs w:val="32"/>
        </w:rPr>
        <w:t>2020年，省建岗培注册中心机关运行经费支出0万元，与2019年决算数持平。</w:t>
      </w:r>
    </w:p>
    <w:p>
      <w:pPr>
        <w:autoSpaceDE w:val="0"/>
        <w:autoSpaceDN w:val="0"/>
        <w:adjustRightInd w:val="0"/>
        <w:spacing w:line="600" w:lineRule="exact"/>
        <w:ind w:firstLine="643" w:firstLineChars="200"/>
        <w:jc w:val="left"/>
        <w:outlineLvl w:val="2"/>
        <w:rPr>
          <w:rFonts w:ascii="仿宋" w:hAnsi="仿宋" w:eastAsia="仿宋"/>
          <w:b/>
          <w:color w:val="auto"/>
          <w:sz w:val="32"/>
          <w:szCs w:val="32"/>
        </w:rPr>
      </w:pPr>
      <w:bookmarkStart w:id="62" w:name="_Toc15377223"/>
      <w:r>
        <w:rPr>
          <w:rFonts w:hint="eastAsia" w:ascii="仿宋" w:hAnsi="仿宋" w:eastAsia="仿宋"/>
          <w:b/>
          <w:color w:val="auto"/>
          <w:sz w:val="32"/>
          <w:szCs w:val="32"/>
        </w:rPr>
        <w:t>（二）政府采购支出情况</w:t>
      </w:r>
      <w:bookmarkEnd w:id="62"/>
    </w:p>
    <w:p>
      <w:pPr>
        <w:spacing w:line="600" w:lineRule="exact"/>
        <w:ind w:firstLine="640" w:firstLineChars="200"/>
        <w:rPr>
          <w:rFonts w:ascii="仿宋_GB2312" w:eastAsia="仿宋_GB2312"/>
          <w:sz w:val="32"/>
          <w:szCs w:val="32"/>
        </w:rPr>
      </w:pPr>
      <w:r>
        <w:rPr>
          <w:rFonts w:ascii="仿宋_GB2312" w:eastAsia="仿宋_GB2312"/>
          <w:sz w:val="32"/>
          <w:szCs w:val="32"/>
        </w:rPr>
        <w:t>20</w:t>
      </w:r>
      <w:r>
        <w:rPr>
          <w:rFonts w:hint="eastAsia" w:ascii="仿宋_GB2312" w:eastAsia="仿宋_GB2312"/>
          <w:sz w:val="32"/>
          <w:szCs w:val="32"/>
        </w:rPr>
        <w:t>20年，省建岗培注册中心政府采购支出总额441万元，其中：政府采购服务支出441万元。主要用于单位物业管理服务和四川省建筑施工企业“安管人员”和“特种作业人员”、燃气经营企业从业人员的电子化考试服务。授予中小企业合同金额81万元，占政府采购支出总额的18.37</w:t>
      </w:r>
      <w:r>
        <w:rPr>
          <w:rFonts w:ascii="仿宋_GB2312" w:eastAsia="仿宋_GB2312"/>
          <w:sz w:val="32"/>
          <w:szCs w:val="32"/>
        </w:rPr>
        <w:t>%</w:t>
      </w:r>
      <w:r>
        <w:rPr>
          <w:rFonts w:hint="eastAsia" w:ascii="仿宋_GB2312" w:eastAsia="仿宋_GB2312"/>
          <w:sz w:val="32"/>
          <w:szCs w:val="32"/>
        </w:rPr>
        <w:t>，其中：授予小微企业合同金额0万元。</w:t>
      </w:r>
    </w:p>
    <w:p>
      <w:pPr>
        <w:autoSpaceDE w:val="0"/>
        <w:autoSpaceDN w:val="0"/>
        <w:adjustRightInd w:val="0"/>
        <w:spacing w:line="600" w:lineRule="exact"/>
        <w:ind w:firstLine="643" w:firstLineChars="200"/>
        <w:jc w:val="left"/>
        <w:outlineLvl w:val="2"/>
        <w:rPr>
          <w:rFonts w:ascii="仿宋" w:hAnsi="仿宋" w:eastAsia="仿宋"/>
          <w:b/>
          <w:color w:val="auto"/>
          <w:sz w:val="32"/>
          <w:szCs w:val="32"/>
        </w:rPr>
      </w:pPr>
      <w:bookmarkStart w:id="63" w:name="_Toc15377224"/>
      <w:r>
        <w:rPr>
          <w:rFonts w:hint="eastAsia" w:ascii="仿宋" w:hAnsi="仿宋" w:eastAsia="仿宋"/>
          <w:b/>
          <w:color w:val="auto"/>
          <w:sz w:val="32"/>
          <w:szCs w:val="32"/>
        </w:rPr>
        <w:t>（三）国有资产占有使用情况</w:t>
      </w:r>
      <w:bookmarkEnd w:id="63"/>
    </w:p>
    <w:p>
      <w:pPr>
        <w:autoSpaceDE w:val="0"/>
        <w:autoSpaceDN w:val="0"/>
        <w:adjustRightInd w:val="0"/>
        <w:spacing w:line="600" w:lineRule="exact"/>
        <w:ind w:firstLine="640" w:firstLineChars="200"/>
        <w:jc w:val="left"/>
        <w:rPr>
          <w:rFonts w:ascii="仿宋" w:hAnsi="仿宋" w:eastAsia="仿宋"/>
          <w:b/>
          <w:sz w:val="32"/>
          <w:szCs w:val="32"/>
        </w:rPr>
      </w:pPr>
      <w:r>
        <w:rPr>
          <w:rFonts w:hint="eastAsia" w:ascii="仿宋_GB2312" w:eastAsia="仿宋_GB2312"/>
          <w:sz w:val="32"/>
          <w:szCs w:val="32"/>
        </w:rPr>
        <w:t>截至2020年12月31日，省建岗培注册中心共有车辆3辆，其中：其他用车3辆，主要用于向各市州派驻人员开展全省建筑施工企业包括“安管人员”、“特种作业人员”、“燃气经营企业从业人员”的统一考试</w:t>
      </w:r>
      <w:r>
        <w:rPr>
          <w:rFonts w:hint="eastAsia" w:ascii="仿宋_GB2312" w:eastAsia="仿宋_GB2312"/>
          <w:sz w:val="32"/>
          <w:szCs w:val="32"/>
          <w:lang w:eastAsia="zh-CN"/>
        </w:rPr>
        <w:t>巡考</w:t>
      </w:r>
      <w:r>
        <w:rPr>
          <w:rFonts w:hint="eastAsia" w:ascii="仿宋_GB2312" w:eastAsia="仿宋_GB2312"/>
          <w:sz w:val="32"/>
          <w:szCs w:val="32"/>
        </w:rPr>
        <w:t>工作；开展全省住房城乡建设行业专业技术人员、职业技能人员、专业管理人员岗位培训、继续教育工作；开展全省住房城乡建设行业人才交流服务工作；协助厅人教处对全省各市州建筑工人、施工现场管理人员培训工作进行不定期巡查等。无单价50万元以上通用设备和单价100万元以上专用设备。</w:t>
      </w:r>
    </w:p>
    <w:p>
      <w:pPr>
        <w:autoSpaceDE w:val="0"/>
        <w:autoSpaceDN w:val="0"/>
        <w:adjustRightInd w:val="0"/>
        <w:spacing w:line="600" w:lineRule="exact"/>
        <w:ind w:firstLine="643" w:firstLineChars="200"/>
        <w:jc w:val="left"/>
        <w:outlineLvl w:val="2"/>
        <w:rPr>
          <w:rFonts w:hint="eastAsia" w:ascii="仿宋" w:hAnsi="仿宋" w:eastAsia="仿宋"/>
          <w:b/>
          <w:color w:val="auto"/>
          <w:sz w:val="32"/>
          <w:szCs w:val="32"/>
          <w:lang w:eastAsia="zh-CN"/>
        </w:rPr>
      </w:pPr>
      <w:r>
        <w:rPr>
          <w:rFonts w:hint="eastAsia" w:ascii="仿宋" w:hAnsi="仿宋" w:eastAsia="仿宋"/>
          <w:b/>
          <w:color w:val="auto"/>
          <w:sz w:val="32"/>
          <w:szCs w:val="32"/>
        </w:rPr>
        <w:t>（四）预算绩效管理情况</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w:t>
      </w:r>
      <w:r>
        <w:rPr>
          <w:rFonts w:hint="eastAsia" w:ascii="仿宋_GB2312" w:hAnsi="仿宋_GB2312" w:eastAsia="仿宋_GB2312" w:cs="仿宋_GB2312"/>
          <w:sz w:val="32"/>
          <w:szCs w:val="32"/>
          <w:lang w:eastAsia="zh-CN"/>
        </w:rPr>
        <w:t>省建岗培注册中心</w:t>
      </w:r>
      <w:r>
        <w:rPr>
          <w:rFonts w:hint="eastAsia" w:ascii="仿宋_GB2312" w:hAnsi="仿宋_GB2312" w:eastAsia="仿宋_GB2312" w:cs="仿宋_GB2312"/>
          <w:sz w:val="32"/>
          <w:szCs w:val="32"/>
        </w:rPr>
        <w:t>在2020年度预算编制阶段，组织对住房城乡建设相关专业人员考试经费项目、住建领域岗位培训与执业资格注册管理经费项目开展了预算事前绩效评估，对2个项目编制了绩效目标，预算执行过程中，选取2个项目开展绩效监控，年终执行完毕后，对2个项目开展了绩效目标完成情况自评。</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省建岗培注册中心</w:t>
      </w:r>
      <w:r>
        <w:rPr>
          <w:rFonts w:hint="eastAsia" w:ascii="仿宋_GB2312" w:hAnsi="仿宋_GB2312" w:eastAsia="仿宋_GB2312" w:cs="仿宋_GB2312"/>
          <w:sz w:val="32"/>
          <w:szCs w:val="32"/>
        </w:rPr>
        <w:t>按要求对2020年整体支出开展绩效自评，从评价情况来看单位2020年部门整体预算任务目标与法律法规、部门职责、中长期规划相符，绩效目标设定要素完整，做到了细化量化要求，部门预算资金使用达到了预期效果，基本实现了2020年部门预算整体支出的绩效目标。单位还自行组织了2个项目支出绩效评价，从评价情况来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2020年度项目的设立、业务开展、资金预算、政府采购、资金支付等事项均纳入单位目标计划任务，部门预算资金使用达到了预期效果，基本实现了项目绩效目标。</w:t>
      </w:r>
    </w:p>
    <w:p>
      <w:pPr>
        <w:spacing w:line="580" w:lineRule="exact"/>
        <w:ind w:firstLine="640" w:firstLineChars="200"/>
        <w:rPr>
          <w:rFonts w:hint="eastAsia" w:ascii="楷体_GB2312" w:hAnsi="楷体_GB2312" w:eastAsia="楷体_GB2312" w:cs="楷体_GB2312"/>
          <w:color w:val="auto"/>
          <w:sz w:val="32"/>
          <w:szCs w:val="32"/>
          <w:lang w:eastAsia="zh-CN"/>
        </w:rPr>
      </w:pPr>
      <w:r>
        <w:rPr>
          <w:rFonts w:hint="eastAsia" w:ascii="楷体_GB2312" w:hAnsi="楷体_GB2312" w:eastAsia="楷体_GB2312" w:cs="楷体_GB2312"/>
          <w:color w:val="auto"/>
          <w:sz w:val="32"/>
          <w:szCs w:val="32"/>
        </w:rPr>
        <w:t>1.项目绩效目标完成情况。</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省建岗培注册中心</w:t>
      </w:r>
      <w:r>
        <w:rPr>
          <w:rFonts w:hint="eastAsia" w:ascii="仿宋_GB2312" w:hAnsi="仿宋_GB2312" w:eastAsia="仿宋_GB2312" w:cs="仿宋_GB2312"/>
          <w:sz w:val="32"/>
          <w:szCs w:val="32"/>
        </w:rPr>
        <w:t>在2020年度部门决算中反映“住房城乡建设相关专业人员考试经费</w:t>
      </w:r>
      <w:r>
        <w:rPr>
          <w:rFonts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住建领域岗位培训与执业资格注册管理经费</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等2个项目绩效目标实际完成情况。</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住房城乡建设相关专业人员考试经费项目绩效目标完成情况综述。项目全年财政拨款预算数394.75万元，执行数为386.80万元，完成预算的97.99%。通过项目实施，提高了全省建筑行业、燃气行业从业人员的业务素质，满足了企业对持证人员的需求。</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住建领域岗位培训与执业资格注册管理经费项目绩效目标完成情况综述。项目全年预算数300万元，执行数为300万元，完成预算的100%。通过项目实施，推进了全省住建行业技术人员执业，提高了从业人员劳动生产率，促进了建筑行业总产值提升。</w:t>
      </w:r>
    </w:p>
    <w:p>
      <w:pPr>
        <w:spacing w:line="580" w:lineRule="exact"/>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color w:val="auto"/>
          <w:sz w:val="32"/>
          <w:szCs w:val="32"/>
        </w:rPr>
      </w:pPr>
    </w:p>
    <w:p>
      <w:pPr>
        <w:spacing w:line="580" w:lineRule="exact"/>
        <w:rPr>
          <w:rFonts w:ascii="仿宋_GB2312" w:hAnsi="仿宋_GB2312" w:eastAsia="仿宋_GB2312" w:cs="仿宋_GB2312"/>
          <w:color w:val="auto"/>
          <w:sz w:val="32"/>
          <w:szCs w:val="32"/>
        </w:rPr>
      </w:pPr>
    </w:p>
    <w:tbl>
      <w:tblPr>
        <w:tblStyle w:val="12"/>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hint="eastAsia" w:ascii="宋体" w:hAnsi="宋体" w:eastAsia="宋体" w:cs="宋体"/>
                <w:b/>
                <w:bCs/>
                <w:kern w:val="0"/>
                <w:sz w:val="36"/>
                <w:szCs w:val="36"/>
                <w:lang w:eastAsia="zh-CN" w:bidi="ar"/>
              </w:rPr>
            </w:pPr>
            <w:r>
              <w:rPr>
                <w:rFonts w:hint="eastAsia" w:ascii="宋体" w:hAnsi="宋体" w:cs="宋体"/>
                <w:b/>
                <w:bCs/>
                <w:kern w:val="0"/>
                <w:sz w:val="36"/>
                <w:szCs w:val="36"/>
                <w:lang w:bidi="ar"/>
              </w:rPr>
              <w:t>项目绩效目标完成情况表</w:t>
            </w:r>
          </w:p>
          <w:p>
            <w:pPr>
              <w:widowControl/>
              <w:jc w:val="center"/>
              <w:textAlignment w:val="center"/>
              <w:rPr>
                <w:rFonts w:ascii="宋体" w:hAnsi="宋体" w:cs="宋体"/>
                <w:sz w:val="36"/>
                <w:szCs w:val="36"/>
              </w:rPr>
            </w:pPr>
            <w:r>
              <w:rPr>
                <w:rFonts w:hint="eastAsia" w:ascii="宋体" w:hAnsi="宋体" w:cs="宋体"/>
                <w:kern w:val="0"/>
                <w:sz w:val="36"/>
                <w:szCs w:val="36"/>
                <w:lang w:bidi="ar"/>
              </w:rPr>
              <w:t>(2020年度)</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住房城乡建设相关专业人员考试经费</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四川省建设岗位培训与执业资格注册中心</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预算执行情况(万元)</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预算数: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394.75</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执行数: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671.78</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394.75</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386.80</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r>
              <w:rPr>
                <w:rFonts w:hint="eastAsia" w:ascii="宋体" w:hAnsi="宋体" w:cs="宋体"/>
                <w:sz w:val="24"/>
              </w:rPr>
              <w:t>284.98</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sz w:val="24"/>
              </w:rPr>
            </w:pPr>
            <w:r>
              <w:rPr>
                <w:rFonts w:hint="eastAsia" w:ascii="宋体" w:hAnsi="宋体" w:cs="宋体"/>
                <w:sz w:val="24"/>
              </w:rPr>
              <w:t>组织完成全省建筑施工企业6.58万安管人员、2万特种作业人员、1万燃气经营从业人员的考试考务工作,使90%的考生能达成考试意愿，提升全省建筑业对质量、安全人员素质需求，预计信息网络及软件购置更新用于购置电子化管理系统；拟聘请专家组建完善考试题库，预计44套题库，每套题库200道题，共8800道题，按每题8元计算，劳务费共计7万元；预计全省建筑施工企业“安管人员”报考5.5万人、“特种作业人员”报考1.5万人、燃气经营企业从业人员报考1万人，合计9.58万人，按46元/人计算委托业务费，合计360万元；预计组织全省统考4次，单位44人参加21个地市州巡考工作，预计差旅费7.95万元。</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sz w:val="24"/>
              </w:rPr>
            </w:pPr>
            <w:r>
              <w:rPr>
                <w:rFonts w:hint="eastAsia" w:ascii="宋体" w:hAnsi="宋体" w:cs="宋体"/>
                <w:sz w:val="24"/>
              </w:rPr>
              <w:t>组织完成全省建筑施工企业安管人员和特种作业人员、燃气经营企业从业人员的考试4次，报名参加考试共计23.26万人次，提升了全省建筑业对质量、安全人员素质需求；组织专家对考试题库进行了修订扩充，对考试报名和证书管理系统进行了优化调整；受新冠疫情影响，考试采用了手机端在线方式进行，取消了考场巡</w:t>
            </w:r>
            <w:r>
              <w:rPr>
                <w:rFonts w:hint="eastAsia" w:ascii="宋体" w:hAnsi="宋体" w:cs="宋体"/>
                <w:sz w:val="24"/>
                <w:lang w:eastAsia="zh-CN"/>
              </w:rPr>
              <w:t>考</w:t>
            </w:r>
            <w:r>
              <w:rPr>
                <w:rFonts w:hint="eastAsia" w:ascii="宋体" w:hAnsi="宋体" w:cs="宋体"/>
                <w:sz w:val="24"/>
              </w:rPr>
              <w:t>工作，未发生差旅费。</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预期指标值(包含数字及文字描述)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实际完成指标值(包含数字及文字描述)</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参考人数</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8万人次</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23.16万人次</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质量指标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考试完成质量</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良好</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良好</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时效指标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项目完成时间</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12月底前完成</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12月底已完成</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kern w:val="0"/>
                <w:sz w:val="24"/>
                <w:lang w:bidi="ar"/>
              </w:rPr>
            </w:pPr>
            <w:r>
              <w:rPr>
                <w:rFonts w:hint="eastAsia" w:ascii="宋体" w:hAnsi="宋体" w:cs="宋体"/>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成本指标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成本控制</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严格按照协议支付</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严格按照协议支付</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社会效益指标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对建筑行业从业人员素质影响；对燃气行业从业人员素质影响</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提高</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提高</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服务对象满意度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98%</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99%</w:t>
            </w:r>
          </w:p>
        </w:tc>
      </w:tr>
    </w:tbl>
    <w:p>
      <w:pPr>
        <w:pStyle w:val="2"/>
        <w:spacing w:before="93"/>
        <w:rPr>
          <w:rFonts w:hAnsi="仿宋_GB2312" w:cs="仿宋_GB2312"/>
          <w:sz w:val="32"/>
          <w:szCs w:val="32"/>
        </w:rPr>
      </w:pPr>
    </w:p>
    <w:tbl>
      <w:tblPr>
        <w:tblStyle w:val="12"/>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hint="eastAsia" w:ascii="宋体" w:hAnsi="宋体" w:eastAsia="宋体" w:cs="宋体"/>
                <w:b/>
                <w:bCs/>
                <w:kern w:val="0"/>
                <w:sz w:val="36"/>
                <w:szCs w:val="36"/>
                <w:lang w:eastAsia="zh-CN" w:bidi="ar"/>
              </w:rPr>
            </w:pPr>
            <w:r>
              <w:rPr>
                <w:rFonts w:hint="eastAsia" w:ascii="宋体" w:hAnsi="宋体" w:cs="宋体"/>
                <w:b/>
                <w:bCs/>
                <w:kern w:val="0"/>
                <w:sz w:val="36"/>
                <w:szCs w:val="36"/>
                <w:lang w:bidi="ar"/>
              </w:rPr>
              <w:t>项目绩效目标完成情况表</w:t>
            </w:r>
          </w:p>
          <w:p>
            <w:pPr>
              <w:widowControl/>
              <w:jc w:val="center"/>
              <w:textAlignment w:val="center"/>
              <w:rPr>
                <w:rFonts w:ascii="宋体" w:hAnsi="宋体" w:cs="宋体"/>
                <w:sz w:val="36"/>
                <w:szCs w:val="36"/>
              </w:rPr>
            </w:pPr>
            <w:r>
              <w:rPr>
                <w:rFonts w:hint="eastAsia" w:ascii="宋体" w:hAnsi="宋体" w:cs="宋体"/>
                <w:kern w:val="0"/>
                <w:sz w:val="36"/>
                <w:szCs w:val="36"/>
                <w:lang w:bidi="ar"/>
              </w:rPr>
              <w:t>(2020年度)</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住建领域岗位培训与执业资格注册管理经费</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四川省建设岗位培训与执业资格注册中心</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预算执行情况(万元)</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预算数: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300.00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执行数: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300.00</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300.00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300.00</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sz w:val="24"/>
              </w:rPr>
            </w:pPr>
            <w:r>
              <w:rPr>
                <w:rFonts w:hint="eastAsia" w:ascii="宋体" w:hAnsi="宋体" w:cs="宋体"/>
                <w:sz w:val="24"/>
              </w:rPr>
              <w:t>做好执业资格各项注册受理、审查、上报等工作，积极推行电子化服务，力争省级审批事项实现全程电子化注册并发放电子证照。积极落实国家职业资格制度和住建部相关政策要求，持续开展建筑工人培训与行业技能鉴定工作。</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sz w:val="24"/>
              </w:rPr>
            </w:pPr>
            <w:r>
              <w:rPr>
                <w:rFonts w:hint="eastAsia" w:ascii="宋体" w:hAnsi="宋体" w:cs="宋体"/>
                <w:sz w:val="24"/>
              </w:rPr>
              <w:t>完成执业资格各项注册受理、审查、上报等工作，积极推行了电子化服务，省级审批事项基本实现全程电子化注册并发放电子证照。积极落实国家职业资格制度和住建部相关政策要求，持续开展建筑工人培训与行业技能鉴定工作。</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预期指标值(包含数字及文字描述)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实际完成指标值(包含数字及文字描述)</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开展全省建筑工人执业培训和技能鉴定</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5万人次</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17.99万人次</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受理审查执业资格人员各项注册申请</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18万件次</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36.74万件次</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kern w:val="0"/>
                <w:sz w:val="24"/>
                <w:lang w:bidi="ar"/>
              </w:rPr>
            </w:pPr>
            <w:r>
              <w:rPr>
                <w:rFonts w:hint="eastAsia" w:ascii="宋体" w:hAnsi="宋体" w:cs="宋体"/>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质量指标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各项业务按要求办理</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100%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100%</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时效指标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各项业务按时办结率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100%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100%</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kern w:val="0"/>
                <w:sz w:val="24"/>
                <w:lang w:bidi="ar"/>
              </w:rPr>
            </w:pPr>
            <w:r>
              <w:rPr>
                <w:rFonts w:hint="eastAsia" w:ascii="宋体" w:hAnsi="宋体" w:cs="宋体"/>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成本指标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人员经费</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300万元</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300万元</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经济效益指标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sz w:val="24"/>
              </w:rPr>
            </w:pPr>
            <w:r>
              <w:rPr>
                <w:rFonts w:hint="eastAsia" w:ascii="宋体" w:hAnsi="宋体" w:cs="宋体"/>
                <w:sz w:val="24"/>
              </w:rPr>
              <w:t>推进住建技术技能人员执业，提高从业人员劳动生产率，促进建筑业行业总产值提升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sz w:val="24"/>
              </w:rPr>
            </w:pPr>
            <w:r>
              <w:rPr>
                <w:rFonts w:hint="eastAsia" w:ascii="宋体" w:hAnsi="宋体" w:cs="宋体"/>
                <w:sz w:val="24"/>
              </w:rPr>
              <w:t>增加技术人员从业数量，提高人才队伍质量</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sz w:val="24"/>
              </w:rPr>
            </w:pPr>
            <w:r>
              <w:rPr>
                <w:rFonts w:hint="eastAsia" w:ascii="宋体" w:hAnsi="宋体" w:cs="宋体"/>
                <w:sz w:val="24"/>
              </w:rPr>
              <w:t>增加技术人员从业数量，提高人才队伍质量</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服务对象满意度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98%</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24"/>
              </w:rPr>
            </w:pPr>
            <w:r>
              <w:rPr>
                <w:rFonts w:hint="eastAsia" w:ascii="宋体" w:hAnsi="宋体" w:cs="宋体"/>
                <w:sz w:val="24"/>
              </w:rPr>
              <w:t>99%</w:t>
            </w:r>
          </w:p>
        </w:tc>
      </w:tr>
    </w:tbl>
    <w:p>
      <w:pPr>
        <w:spacing w:line="580" w:lineRule="exact"/>
        <w:rPr>
          <w:rFonts w:ascii="仿宋_GB2312" w:hAnsi="仿宋_GB2312" w:eastAsia="仿宋_GB2312" w:cs="仿宋_GB2312"/>
          <w:sz w:val="32"/>
          <w:szCs w:val="32"/>
        </w:rPr>
      </w:pPr>
    </w:p>
    <w:p>
      <w:pPr>
        <w:pStyle w:val="2"/>
        <w:spacing w:before="93"/>
      </w:pPr>
    </w:p>
    <w:p>
      <w:pPr>
        <w:spacing w:line="580" w:lineRule="exact"/>
        <w:ind w:left="630"/>
        <w:rPr>
          <w:rFonts w:ascii="仿宋_GB2312" w:hAnsi="仿宋_GB2312" w:eastAsia="仿宋_GB2312" w:cs="仿宋_GB2312"/>
          <w:sz w:val="32"/>
          <w:szCs w:val="32"/>
        </w:rPr>
      </w:pPr>
      <w:r>
        <w:rPr>
          <w:rFonts w:hint="eastAsia" w:ascii="楷体_GB2312" w:hAnsi="楷体_GB2312" w:eastAsia="楷体_GB2312" w:cs="楷体_GB2312"/>
          <w:sz w:val="32"/>
          <w:szCs w:val="32"/>
        </w:rPr>
        <w:t>2.单位绩效评价结果。</w:t>
      </w:r>
    </w:p>
    <w:p>
      <w:pPr>
        <w:spacing w:line="580" w:lineRule="exact"/>
        <w:ind w:firstLine="640" w:firstLineChars="200"/>
        <w:rPr>
          <w:rFonts w:ascii="仿宋_GB2312" w:eastAsia="仿宋_GB2312"/>
          <w:b/>
          <w:sz w:val="32"/>
          <w:szCs w:val="32"/>
        </w:rPr>
      </w:pPr>
      <w:r>
        <w:rPr>
          <w:rFonts w:hint="eastAsia" w:ascii="仿宋_GB2312" w:hAnsi="仿宋_GB2312" w:eastAsia="仿宋_GB2312" w:cs="仿宋_GB2312"/>
          <w:sz w:val="32"/>
          <w:szCs w:val="32"/>
          <w:lang w:eastAsia="zh-CN"/>
        </w:rPr>
        <w:t>省建岗培注册中心</w:t>
      </w:r>
      <w:r>
        <w:rPr>
          <w:rFonts w:hint="eastAsia" w:ascii="仿宋_GB2312" w:hAnsi="仿宋_GB2312" w:eastAsia="仿宋_GB2312" w:cs="仿宋_GB2312"/>
          <w:sz w:val="32"/>
          <w:szCs w:val="32"/>
        </w:rPr>
        <w:t>自行组织对住房城乡建设相关专业人员考试经费项目、住建领域岗位培训与执业资格注册管理经费项目开展了绩效评价，《2020年住房城乡建设相关专业人员考试经费项目支出绩效自评报告》、《2020年住建领域岗位培训与执业资格注册管理经费项目支出绩效自评报告》见附件（第四部分）。</w:t>
      </w:r>
    </w:p>
    <w:p>
      <w:pPr>
        <w:widowControl/>
        <w:jc w:val="left"/>
        <w:rPr>
          <w:rFonts w:ascii="仿宋_GB2312" w:eastAsia="仿宋_GB2312"/>
          <w:b/>
          <w:color w:val="auto"/>
          <w:sz w:val="32"/>
          <w:szCs w:val="32"/>
        </w:rPr>
      </w:pPr>
    </w:p>
    <w:p>
      <w:pPr>
        <w:pStyle w:val="2"/>
        <w:rPr>
          <w:rFonts w:ascii="仿宋_GB2312" w:eastAsia="仿宋_GB2312"/>
          <w:b/>
          <w:color w:val="auto"/>
          <w:sz w:val="32"/>
          <w:szCs w:val="32"/>
        </w:rPr>
      </w:pPr>
    </w:p>
    <w:p>
      <w:pPr>
        <w:pStyle w:val="2"/>
        <w:rPr>
          <w:rFonts w:ascii="仿宋_GB2312" w:eastAsia="仿宋_GB2312"/>
          <w:b/>
          <w:color w:val="auto"/>
          <w:sz w:val="32"/>
          <w:szCs w:val="32"/>
        </w:rPr>
      </w:pPr>
    </w:p>
    <w:p>
      <w:pPr>
        <w:pStyle w:val="2"/>
        <w:rPr>
          <w:rFonts w:ascii="仿宋_GB2312" w:eastAsia="仿宋_GB2312"/>
          <w:b/>
          <w:color w:val="auto"/>
          <w:sz w:val="32"/>
          <w:szCs w:val="32"/>
        </w:rPr>
      </w:pPr>
    </w:p>
    <w:p>
      <w:pPr>
        <w:pStyle w:val="2"/>
        <w:rPr>
          <w:rFonts w:ascii="仿宋_GB2312" w:eastAsia="仿宋_GB2312"/>
          <w:b/>
          <w:color w:val="auto"/>
          <w:sz w:val="32"/>
          <w:szCs w:val="32"/>
        </w:rPr>
      </w:pPr>
    </w:p>
    <w:p>
      <w:pPr>
        <w:pStyle w:val="2"/>
        <w:rPr>
          <w:rFonts w:ascii="仿宋_GB2312" w:eastAsia="仿宋_GB2312"/>
          <w:b/>
          <w:color w:val="auto"/>
          <w:sz w:val="32"/>
          <w:szCs w:val="32"/>
        </w:rPr>
      </w:pPr>
    </w:p>
    <w:p>
      <w:pPr>
        <w:pStyle w:val="2"/>
        <w:rPr>
          <w:rFonts w:ascii="仿宋_GB2312" w:eastAsia="仿宋_GB2312"/>
          <w:b/>
          <w:color w:val="auto"/>
          <w:sz w:val="32"/>
          <w:szCs w:val="32"/>
        </w:rPr>
      </w:pPr>
    </w:p>
    <w:p>
      <w:pPr>
        <w:pStyle w:val="2"/>
        <w:rPr>
          <w:rFonts w:ascii="仿宋_GB2312" w:eastAsia="仿宋_GB2312"/>
          <w:b/>
          <w:color w:val="auto"/>
          <w:sz w:val="32"/>
          <w:szCs w:val="32"/>
        </w:rPr>
      </w:pPr>
    </w:p>
    <w:p>
      <w:pPr>
        <w:pStyle w:val="2"/>
        <w:rPr>
          <w:rFonts w:ascii="仿宋_GB2312" w:eastAsia="仿宋_GB2312"/>
          <w:b/>
          <w:color w:val="auto"/>
          <w:sz w:val="32"/>
          <w:szCs w:val="32"/>
        </w:rPr>
      </w:pPr>
    </w:p>
    <w:p>
      <w:pPr>
        <w:pStyle w:val="2"/>
        <w:rPr>
          <w:rFonts w:ascii="仿宋_GB2312" w:eastAsia="仿宋_GB2312"/>
          <w:b/>
          <w:color w:val="auto"/>
          <w:sz w:val="32"/>
          <w:szCs w:val="32"/>
        </w:rPr>
      </w:pPr>
    </w:p>
    <w:p>
      <w:pPr>
        <w:pStyle w:val="2"/>
        <w:rPr>
          <w:rFonts w:ascii="仿宋_GB2312" w:eastAsia="仿宋_GB2312"/>
          <w:b/>
          <w:color w:val="auto"/>
          <w:sz w:val="32"/>
          <w:szCs w:val="32"/>
        </w:rPr>
      </w:pPr>
    </w:p>
    <w:p>
      <w:pPr>
        <w:pStyle w:val="2"/>
        <w:rPr>
          <w:rFonts w:ascii="仿宋_GB2312" w:eastAsia="仿宋_GB2312"/>
          <w:b/>
          <w:color w:val="auto"/>
          <w:sz w:val="32"/>
          <w:szCs w:val="32"/>
        </w:rPr>
      </w:pPr>
    </w:p>
    <w:p>
      <w:pPr>
        <w:pStyle w:val="2"/>
        <w:rPr>
          <w:rFonts w:ascii="仿宋_GB2312" w:eastAsia="仿宋_GB2312"/>
          <w:b/>
          <w:color w:val="auto"/>
          <w:sz w:val="32"/>
          <w:szCs w:val="32"/>
        </w:rPr>
      </w:pPr>
      <w:bookmarkStart w:id="107" w:name="_GoBack"/>
      <w:bookmarkEnd w:id="107"/>
    </w:p>
    <w:p>
      <w:pPr>
        <w:numPr>
          <w:ilvl w:val="0"/>
          <w:numId w:val="3"/>
        </w:numPr>
        <w:spacing w:line="600" w:lineRule="exact"/>
        <w:ind w:firstLine="660" w:firstLineChars="150"/>
        <w:jc w:val="center"/>
        <w:outlineLvl w:val="0"/>
        <w:rPr>
          <w:rStyle w:val="24"/>
          <w:rFonts w:ascii="黑体" w:hAnsi="黑体" w:eastAsia="黑体"/>
          <w:b w:val="0"/>
        </w:rPr>
      </w:pPr>
      <w:bookmarkStart w:id="64" w:name="_Toc15377225"/>
      <w:bookmarkStart w:id="65" w:name="_Toc15396613"/>
      <w:bookmarkStart w:id="66" w:name="_Toc30368"/>
      <w:r>
        <w:rPr>
          <w:rFonts w:hint="eastAsia" w:ascii="黑体" w:hAnsi="黑体" w:eastAsia="黑体"/>
          <w:color w:val="000000"/>
          <w:sz w:val="44"/>
          <w:szCs w:val="44"/>
        </w:rPr>
        <w:t>名</w:t>
      </w:r>
      <w:r>
        <w:rPr>
          <w:rStyle w:val="24"/>
          <w:rFonts w:hint="eastAsia" w:ascii="黑体" w:hAnsi="黑体" w:eastAsia="黑体"/>
          <w:b w:val="0"/>
        </w:rPr>
        <w:t>词解释</w:t>
      </w:r>
      <w:bookmarkEnd w:id="64"/>
      <w:bookmarkEnd w:id="65"/>
      <w:bookmarkEnd w:id="66"/>
    </w:p>
    <w:p>
      <w:pPr>
        <w:spacing w:line="600" w:lineRule="exact"/>
        <w:jc w:val="left"/>
        <w:rPr>
          <w:rFonts w:ascii="宋体"/>
          <w:b/>
          <w:color w:val="000000"/>
          <w:sz w:val="44"/>
          <w:szCs w:val="44"/>
        </w:rPr>
      </w:pPr>
    </w:p>
    <w:p>
      <w:pPr>
        <w:ind w:firstLine="640" w:firstLineChars="200"/>
        <w:rPr>
          <w:rFonts w:hint="eastAsia" w:ascii="仿宋_GB2312" w:eastAsia="仿宋_GB2312"/>
          <w:sz w:val="32"/>
          <w:szCs w:val="32"/>
        </w:rPr>
      </w:pPr>
      <w:r>
        <w:rPr>
          <w:rFonts w:hint="eastAsia" w:ascii="仿宋_GB2312" w:eastAsia="仿宋_GB2312"/>
          <w:sz w:val="32"/>
          <w:szCs w:val="32"/>
        </w:rPr>
        <w:t>1.财政拨款收入：指单位从同级财政部门取得的财政预算资金。</w:t>
      </w:r>
    </w:p>
    <w:p>
      <w:pPr>
        <w:ind w:firstLine="640" w:firstLineChars="200"/>
        <w:rPr>
          <w:rFonts w:hint="eastAsia" w:ascii="仿宋_GB2312" w:eastAsia="仿宋_GB2312"/>
          <w:sz w:val="32"/>
          <w:szCs w:val="32"/>
        </w:rPr>
      </w:pPr>
      <w:r>
        <w:rPr>
          <w:rFonts w:hint="eastAsia" w:ascii="仿宋_GB2312" w:eastAsia="仿宋_GB2312"/>
          <w:sz w:val="32"/>
          <w:szCs w:val="32"/>
        </w:rPr>
        <w:t>2.事业收入：指事业单位开展专业业务活动及辅助活动取得的收入。如建筑施工企业“三类人员”、“专业技术人员”继续教育培训等所取得的收入。</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3.其他收入：指单位取得的除上述收入以外的各项收入。主要是银行利息收入等。 </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4.年初结转和结余：指以前年度尚未完成、结转到本年按有关规定继续使用的资金。 </w:t>
      </w:r>
    </w:p>
    <w:p>
      <w:pPr>
        <w:ind w:firstLine="640" w:firstLineChars="200"/>
        <w:rPr>
          <w:rFonts w:hint="eastAsia" w:ascii="仿宋_GB2312" w:eastAsia="仿宋_GB2312"/>
          <w:sz w:val="32"/>
          <w:szCs w:val="32"/>
        </w:rPr>
      </w:pPr>
      <w:r>
        <w:rPr>
          <w:rFonts w:hint="eastAsia" w:ascii="仿宋_GB2312" w:eastAsia="仿宋_GB2312"/>
          <w:sz w:val="32"/>
          <w:szCs w:val="32"/>
        </w:rPr>
        <w:t>5.结余分配：指事业单位按照会计制度规定缴纳的所得税、提取的专用结余以及转入非财政拨款结余的金额等。</w:t>
      </w:r>
    </w:p>
    <w:p>
      <w:pPr>
        <w:ind w:firstLine="640" w:firstLineChars="200"/>
        <w:rPr>
          <w:rFonts w:hint="eastAsia" w:ascii="仿宋_GB2312" w:eastAsia="仿宋_GB2312"/>
          <w:sz w:val="32"/>
          <w:szCs w:val="32"/>
        </w:rPr>
      </w:pPr>
      <w:r>
        <w:rPr>
          <w:rFonts w:hint="eastAsia" w:ascii="仿宋_GB2312" w:eastAsia="仿宋_GB2312"/>
          <w:sz w:val="32"/>
          <w:szCs w:val="32"/>
        </w:rPr>
        <w:t>6.城乡社区支出（类）城乡社区管理事务（款）其他城乡社区管理事务支出（项）:指省建岗培注册中心用于其他城乡社区管理事务方面的支出。</w:t>
      </w:r>
    </w:p>
    <w:p>
      <w:pPr>
        <w:ind w:firstLine="640" w:firstLineChars="200"/>
        <w:rPr>
          <w:rFonts w:hint="eastAsia" w:ascii="仿宋_GB2312" w:eastAsia="仿宋_GB2312"/>
          <w:sz w:val="32"/>
          <w:szCs w:val="32"/>
        </w:rPr>
      </w:pPr>
      <w:r>
        <w:rPr>
          <w:rFonts w:hint="eastAsia" w:ascii="仿宋_GB2312" w:eastAsia="仿宋_GB2312"/>
          <w:sz w:val="32"/>
          <w:szCs w:val="32"/>
        </w:rPr>
        <w:t>7.教育支出（类）进修及培训（款）培训支出（项）：指省建岗培注册中心开展培训等方面的支出。</w:t>
      </w:r>
    </w:p>
    <w:p>
      <w:pPr>
        <w:ind w:firstLine="640" w:firstLineChars="200"/>
        <w:rPr>
          <w:rFonts w:hint="eastAsia" w:ascii="仿宋_GB2312" w:eastAsia="仿宋_GB2312"/>
          <w:sz w:val="32"/>
          <w:szCs w:val="32"/>
        </w:rPr>
      </w:pPr>
      <w:r>
        <w:rPr>
          <w:rFonts w:hint="eastAsia" w:ascii="仿宋_GB2312" w:eastAsia="仿宋_GB2312"/>
          <w:sz w:val="32"/>
          <w:szCs w:val="32"/>
        </w:rPr>
        <w:t>8.社会保障和就业支出（类）行政事业单位离退休（款） 机关事业单位职业年金缴费支出（项）：指省建岗培注册中心职业年金缴费的支出。</w:t>
      </w:r>
    </w:p>
    <w:p>
      <w:pPr>
        <w:ind w:firstLine="640" w:firstLineChars="200"/>
        <w:rPr>
          <w:rFonts w:hint="eastAsia" w:ascii="仿宋_GB2312" w:eastAsia="仿宋_GB2312"/>
          <w:sz w:val="32"/>
          <w:szCs w:val="32"/>
        </w:rPr>
      </w:pPr>
      <w:r>
        <w:rPr>
          <w:rFonts w:hint="eastAsia" w:ascii="仿宋_GB2312" w:eastAsia="仿宋_GB2312"/>
          <w:sz w:val="32"/>
          <w:szCs w:val="32"/>
        </w:rPr>
        <w:t>9.社会保障和就业支出（类）行政事业单位离退休（款）机关事业单位基本养老保险缴费支出（项）：指省建岗培注册中心基本养老保险缴费的支出。</w:t>
      </w:r>
    </w:p>
    <w:p>
      <w:pPr>
        <w:ind w:firstLine="640" w:firstLineChars="200"/>
        <w:rPr>
          <w:rFonts w:hint="eastAsia" w:ascii="仿宋_GB2312" w:eastAsia="仿宋_GB2312"/>
          <w:sz w:val="32"/>
          <w:szCs w:val="32"/>
        </w:rPr>
      </w:pPr>
      <w:r>
        <w:rPr>
          <w:rFonts w:hint="eastAsia" w:ascii="仿宋_GB2312" w:eastAsia="仿宋_GB2312"/>
          <w:sz w:val="32"/>
          <w:szCs w:val="32"/>
        </w:rPr>
        <w:t>10.卫生健康支出（类）行政事业单位医疗（款）事业单位医疗（项）：指省建岗培注册中心基本医疗保险缴费的支出。</w:t>
      </w:r>
    </w:p>
    <w:p>
      <w:pPr>
        <w:ind w:firstLine="640" w:firstLineChars="200"/>
        <w:rPr>
          <w:rFonts w:hint="eastAsia" w:ascii="仿宋_GB2312" w:eastAsia="仿宋_GB2312"/>
          <w:sz w:val="32"/>
          <w:szCs w:val="32"/>
        </w:rPr>
      </w:pPr>
      <w:r>
        <w:rPr>
          <w:rFonts w:hint="eastAsia" w:ascii="仿宋_GB2312" w:eastAsia="仿宋_GB2312"/>
          <w:sz w:val="32"/>
          <w:szCs w:val="32"/>
        </w:rPr>
        <w:t>11.住房保障支出（类）住房改革支出（款）住房公积金（项）：指省建岗培注册中心按人力资源和社会保障部、财政部规定的基本工资和津贴补贴以及规定比例为职工缴纳的住房公积金。</w:t>
      </w:r>
    </w:p>
    <w:p>
      <w:pPr>
        <w:ind w:firstLine="640" w:firstLineChars="200"/>
        <w:rPr>
          <w:rFonts w:hint="eastAsia" w:ascii="仿宋_GB2312" w:eastAsia="仿宋_GB2312"/>
          <w:sz w:val="32"/>
          <w:szCs w:val="32"/>
        </w:rPr>
      </w:pPr>
      <w:r>
        <w:rPr>
          <w:rFonts w:hint="eastAsia" w:ascii="仿宋_GB2312" w:eastAsia="仿宋_GB2312"/>
          <w:sz w:val="32"/>
          <w:szCs w:val="32"/>
        </w:rPr>
        <w:t>12.住房保障支出（类）住房改革支出（款）购房补贴（项）：指省建岗培注册中心按房改政策规定向符合条件职工发放的用于购买住房的补贴。</w:t>
      </w:r>
    </w:p>
    <w:p>
      <w:pPr>
        <w:ind w:firstLine="640" w:firstLineChars="200"/>
        <w:rPr>
          <w:rFonts w:hint="eastAsia" w:ascii="仿宋_GB2312" w:eastAsia="仿宋_GB2312"/>
          <w:sz w:val="32"/>
          <w:szCs w:val="32"/>
        </w:rPr>
      </w:pPr>
      <w:r>
        <w:rPr>
          <w:rFonts w:hint="eastAsia" w:ascii="仿宋_GB2312" w:eastAsia="仿宋_GB2312"/>
          <w:sz w:val="32"/>
          <w:szCs w:val="32"/>
        </w:rPr>
        <w:t>13.基本支出：指为保障机构正常运转、完成日常工作任务而发生的人员支出和公用支出。</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14.项目支出：指在基本支出之外为完成特定行政任务和事业发展目标所发生的支出。 </w:t>
      </w:r>
    </w:p>
    <w:p>
      <w:pPr>
        <w:ind w:firstLine="640" w:firstLineChars="200"/>
        <w:rPr>
          <w:rFonts w:hint="eastAsia" w:ascii="仿宋_GB2312" w:eastAsia="仿宋_GB2312"/>
          <w:sz w:val="32"/>
          <w:szCs w:val="32"/>
        </w:rPr>
      </w:pPr>
      <w:r>
        <w:rPr>
          <w:rFonts w:hint="eastAsia" w:ascii="仿宋_GB2312" w:eastAsia="仿宋_GB2312"/>
          <w:sz w:val="32"/>
          <w:szCs w:val="32"/>
        </w:rPr>
        <w:t>15.“三公”经费：指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ind w:firstLine="640" w:firstLineChars="200"/>
        <w:rPr>
          <w:rFonts w:ascii="仿宋" w:hAnsi="仿宋" w:eastAsia="仿宋"/>
          <w:b/>
          <w:color w:val="000000"/>
          <w:sz w:val="32"/>
          <w:szCs w:val="32"/>
        </w:rPr>
      </w:pPr>
      <w:r>
        <w:rPr>
          <w:rFonts w:hint="eastAsia" w:ascii="仿宋_GB2312" w:eastAsia="仿宋_GB2312"/>
          <w:sz w:val="32"/>
          <w:szCs w:val="32"/>
        </w:rPr>
        <w:t>16.住房城乡建设相关专业人员考试：指依据相关法规规定，由省住房城乡建设部门负责组织的建筑施工企业“安管人员”、建筑施工“特种作业人员”、燃气经营企业从业人员的考试。</w:t>
      </w:r>
    </w:p>
    <w:p>
      <w:pPr>
        <w:spacing w:line="600" w:lineRule="exact"/>
        <w:jc w:val="center"/>
        <w:outlineLvl w:val="0"/>
        <w:rPr>
          <w:rStyle w:val="24"/>
          <w:rFonts w:ascii="黑体" w:hAnsi="黑体" w:eastAsia="黑体"/>
          <w:b w:val="0"/>
        </w:rPr>
      </w:pPr>
      <w:bookmarkStart w:id="67" w:name="_Toc15377226"/>
      <w:r>
        <w:rPr>
          <w:rFonts w:ascii="宋体"/>
          <w:b/>
          <w:color w:val="000000"/>
          <w:sz w:val="44"/>
          <w:szCs w:val="44"/>
        </w:rPr>
        <w:br w:type="page"/>
      </w:r>
      <w:bookmarkStart w:id="68" w:name="_Toc15396614"/>
      <w:bookmarkStart w:id="69" w:name="_Toc30546"/>
      <w:r>
        <w:rPr>
          <w:rFonts w:hint="eastAsia" w:ascii="黑体" w:hAnsi="黑体" w:eastAsia="黑体"/>
          <w:color w:val="000000"/>
          <w:sz w:val="44"/>
          <w:szCs w:val="44"/>
        </w:rPr>
        <w:t>第</w:t>
      </w:r>
      <w:r>
        <w:rPr>
          <w:rStyle w:val="24"/>
          <w:rFonts w:hint="eastAsia" w:ascii="黑体" w:hAnsi="黑体" w:eastAsia="黑体"/>
          <w:b w:val="0"/>
        </w:rPr>
        <w:t>四部分 附件</w:t>
      </w:r>
      <w:bookmarkEnd w:id="68"/>
      <w:bookmarkEnd w:id="69"/>
    </w:p>
    <w:p>
      <w:pPr>
        <w:spacing w:line="580" w:lineRule="exact"/>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spacing w:line="600" w:lineRule="exact"/>
        <w:jc w:val="center"/>
        <w:textAlignment w:val="auto"/>
        <w:rPr>
          <w:rFonts w:ascii="仿宋_GB2312" w:hAnsi="宋体" w:eastAsia="仿宋_GB2312" w:cs="Times New Roman"/>
          <w:color w:val="auto"/>
          <w:kern w:val="2"/>
          <w:sz w:val="32"/>
          <w:szCs w:val="32"/>
          <w:lang w:val="zh-CN" w:eastAsia="zh-CN" w:bidi="ar-SA"/>
        </w:rPr>
      </w:pPr>
      <w:r>
        <w:rPr>
          <w:rFonts w:hint="eastAsia" w:ascii="方正小标宋简体" w:hAnsi="宋体" w:eastAsia="方正小标宋简体" w:cs="Times New Roman"/>
          <w:color w:val="auto"/>
          <w:kern w:val="0"/>
          <w:sz w:val="44"/>
          <w:szCs w:val="44"/>
          <w:lang w:val="zh-CN" w:eastAsia="zh-CN" w:bidi="ar-SA"/>
        </w:rPr>
        <w:t>2020年住房城乡建设相关专业人员考试经费项目支出绩效自评报告</w:t>
      </w:r>
    </w:p>
    <w:p>
      <w:pPr>
        <w:keepNext w:val="0"/>
        <w:keepLines w:val="0"/>
        <w:pageBreakBefore w:val="0"/>
        <w:widowControl w:val="0"/>
        <w:kinsoku/>
        <w:wordWrap/>
        <w:overflowPunct/>
        <w:topLinePunct w:val="0"/>
        <w:autoSpaceDE/>
        <w:autoSpaceDN/>
        <w:bidi w:val="0"/>
        <w:spacing w:line="600" w:lineRule="exact"/>
        <w:ind w:firstLine="640"/>
        <w:jc w:val="center"/>
        <w:textAlignment w:val="auto"/>
        <w:rPr>
          <w:rFonts w:ascii="宋体" w:hAnsi="宋体" w:eastAsia="宋体" w:cs="Times New Roman"/>
          <w:color w:val="auto"/>
          <w:kern w:val="2"/>
          <w:sz w:val="32"/>
          <w:szCs w:val="32"/>
          <w:lang w:val="zh-CN" w:eastAsia="zh-CN" w:bidi="ar-SA"/>
        </w:rPr>
      </w:pPr>
    </w:p>
    <w:p>
      <w:pPr>
        <w:keepNext w:val="0"/>
        <w:keepLines w:val="0"/>
        <w:pageBreakBefore w:val="0"/>
        <w:kinsoku/>
        <w:wordWrap/>
        <w:overflowPunct/>
        <w:topLinePunct w:val="0"/>
        <w:autoSpaceDE/>
        <w:autoSpaceDN/>
        <w:bidi w:val="0"/>
        <w:adjustRightInd w:val="0"/>
        <w:snapToGrid w:val="0"/>
        <w:spacing w:line="600" w:lineRule="exact"/>
        <w:ind w:firstLine="720"/>
        <w:textAlignment w:val="auto"/>
        <w:outlineLvl w:val="1"/>
        <w:rPr>
          <w:rFonts w:ascii="黑体" w:hAnsi="宋体" w:eastAsia="黑体"/>
          <w:color w:val="auto"/>
          <w:sz w:val="32"/>
          <w:szCs w:val="32"/>
          <w:lang w:val="zh-CN"/>
        </w:rPr>
      </w:pPr>
      <w:bookmarkStart w:id="70" w:name="_Toc16423"/>
      <w:r>
        <w:rPr>
          <w:rFonts w:hint="eastAsia" w:ascii="黑体" w:hAnsi="宋体" w:eastAsia="黑体"/>
          <w:color w:val="auto"/>
          <w:sz w:val="32"/>
          <w:szCs w:val="32"/>
        </w:rPr>
        <w:t>一、</w:t>
      </w:r>
      <w:r>
        <w:rPr>
          <w:rFonts w:hint="eastAsia" w:ascii="黑体" w:hAnsi="宋体" w:eastAsia="黑体"/>
          <w:color w:val="auto"/>
          <w:sz w:val="32"/>
          <w:szCs w:val="32"/>
          <w:lang w:val="zh-CN"/>
        </w:rPr>
        <w:t>项目概况</w:t>
      </w:r>
      <w:bookmarkEnd w:id="70"/>
    </w:p>
    <w:p>
      <w:pPr>
        <w:adjustRightInd w:val="0"/>
        <w:snapToGrid w:val="0"/>
        <w:spacing w:line="600" w:lineRule="exact"/>
        <w:ind w:firstLine="720"/>
        <w:rPr>
          <w:rFonts w:hint="default" w:ascii="仿宋_GB2312" w:hAnsi="宋体" w:eastAsia="仿宋_GB2312"/>
          <w:sz w:val="32"/>
          <w:szCs w:val="32"/>
          <w:lang w:val="en-US" w:eastAsia="zh-CN"/>
        </w:rPr>
      </w:pPr>
      <w:r>
        <w:rPr>
          <w:rFonts w:hint="eastAsia" w:ascii="仿宋_GB2312" w:hAnsi="宋体" w:eastAsia="仿宋_GB2312"/>
          <w:sz w:val="32"/>
          <w:szCs w:val="32"/>
          <w:lang w:val="zh-CN"/>
        </w:rPr>
        <w:t>按照《住房城乡建设厅关于印发&lt;四川省住房城乡建设专业技术（技能）人员管理工作方案&gt;的通知》要求，单位承担了全省特殊岗位人员考试考务有关具体事务性、服务性工作，特殊岗位人员考试包括建筑施工企业“安管人员”和“特种作业人员”考试、燃气经营企业从业人员考试。项目年初预算数（一般公共预算财政拨款）</w:t>
      </w:r>
      <w:r>
        <w:rPr>
          <w:rFonts w:hint="eastAsia" w:ascii="仿宋_GB2312" w:hAnsi="宋体" w:eastAsia="仿宋_GB2312"/>
          <w:sz w:val="32"/>
          <w:szCs w:val="32"/>
          <w:lang w:val="en-US" w:eastAsia="zh-CN"/>
        </w:rPr>
        <w:t>394.75万元，实际支出671.78万元，其中：一般公共预算财政拨款支出386.8万元，其他资金支出284.98万元，主要用于机考委托业务服务、专家出题审题费、信息网络及软件购买服务，财政资金结余7.95万元于年末注销。总体完成较计划目标有较大突破，绩效评价分值为86.32分。</w:t>
      </w:r>
    </w:p>
    <w:p>
      <w:pPr>
        <w:keepNext w:val="0"/>
        <w:keepLines w:val="0"/>
        <w:pageBreakBefore w:val="0"/>
        <w:kinsoku/>
        <w:wordWrap/>
        <w:overflowPunct/>
        <w:topLinePunct w:val="0"/>
        <w:autoSpaceDE/>
        <w:autoSpaceDN/>
        <w:bidi w:val="0"/>
        <w:adjustRightInd w:val="0"/>
        <w:snapToGrid w:val="0"/>
        <w:spacing w:line="600" w:lineRule="exact"/>
        <w:ind w:firstLine="643" w:firstLineChars="200"/>
        <w:textAlignment w:val="auto"/>
        <w:rPr>
          <w:rFonts w:hint="eastAsia" w:ascii="仿宋_GB2312" w:hAnsi="宋体" w:eastAsia="仿宋_GB2312"/>
          <w:color w:val="auto"/>
          <w:sz w:val="32"/>
          <w:szCs w:val="32"/>
          <w:lang w:val="zh-CN"/>
        </w:rPr>
      </w:pPr>
      <w:r>
        <w:rPr>
          <w:rFonts w:hint="eastAsia" w:ascii="楷体_GB2312" w:hAnsi="宋体" w:eastAsia="楷体_GB2312"/>
          <w:b/>
          <w:color w:val="auto"/>
          <w:sz w:val="32"/>
          <w:szCs w:val="32"/>
          <w:lang w:val="zh-CN"/>
        </w:rPr>
        <w:t>（一）项目资金申报及批复情况。</w:t>
      </w:r>
      <w:r>
        <w:rPr>
          <w:rFonts w:hint="eastAsia" w:ascii="仿宋_GB2312" w:hAnsi="宋体" w:eastAsia="仿宋_GB2312"/>
          <w:color w:val="auto"/>
          <w:sz w:val="32"/>
          <w:szCs w:val="32"/>
          <w:lang w:val="zh-CN"/>
        </w:rPr>
        <w:t>项目年初申报一般公共预算财政拨款394.75万元，预算批复数394.75万元，年中追加其他资金</w:t>
      </w:r>
      <w:r>
        <w:rPr>
          <w:rFonts w:hint="eastAsia" w:ascii="仿宋_GB2312" w:hAnsi="宋体" w:eastAsia="仿宋_GB2312"/>
          <w:color w:val="auto"/>
          <w:sz w:val="32"/>
          <w:szCs w:val="32"/>
          <w:lang w:val="en-US" w:eastAsia="zh-CN"/>
        </w:rPr>
        <w:t>200万元</w:t>
      </w:r>
      <w:r>
        <w:rPr>
          <w:rFonts w:hint="eastAsia" w:ascii="仿宋_GB2312" w:hAnsi="宋体" w:eastAsia="仿宋_GB2312"/>
          <w:color w:val="auto"/>
          <w:sz w:val="32"/>
          <w:szCs w:val="32"/>
          <w:lang w:val="zh-CN"/>
        </w:rPr>
        <w:t>。符合资金管理办法的相关规定。</w:t>
      </w:r>
    </w:p>
    <w:p>
      <w:pPr>
        <w:keepNext w:val="0"/>
        <w:keepLines w:val="0"/>
        <w:pageBreakBefore w:val="0"/>
        <w:kinsoku/>
        <w:wordWrap/>
        <w:overflowPunct/>
        <w:topLinePunct w:val="0"/>
        <w:autoSpaceDE/>
        <w:autoSpaceDN/>
        <w:bidi w:val="0"/>
        <w:adjustRightInd w:val="0"/>
        <w:snapToGrid w:val="0"/>
        <w:spacing w:line="600" w:lineRule="exact"/>
        <w:ind w:firstLine="720"/>
        <w:textAlignment w:val="auto"/>
        <w:rPr>
          <w:rFonts w:ascii="仿宋_GB2312" w:hAnsi="宋体" w:eastAsia="仿宋_GB2312"/>
          <w:color w:val="auto"/>
          <w:sz w:val="32"/>
          <w:szCs w:val="32"/>
          <w:lang w:val="zh-CN"/>
        </w:rPr>
      </w:pPr>
      <w:r>
        <w:rPr>
          <w:rFonts w:hint="eastAsia" w:ascii="楷体_GB2312" w:hAnsi="宋体" w:eastAsia="楷体_GB2312"/>
          <w:b/>
          <w:color w:val="auto"/>
          <w:sz w:val="32"/>
          <w:szCs w:val="32"/>
          <w:lang w:val="zh-CN"/>
        </w:rPr>
        <w:t>（二）项目绩效目标。</w:t>
      </w:r>
      <w:r>
        <w:rPr>
          <w:rFonts w:hint="eastAsia" w:ascii="仿宋_GB2312" w:hAnsi="仿宋_GB2312" w:eastAsia="仿宋_GB2312" w:cs="仿宋_GB2312"/>
          <w:b w:val="0"/>
          <w:bCs/>
          <w:color w:val="auto"/>
          <w:sz w:val="32"/>
          <w:szCs w:val="32"/>
          <w:lang w:val="zh-CN"/>
        </w:rPr>
        <w:t>年初申报设置了数量指标、质量指标、时效指标、成本指标、社会效益指标等，预计</w:t>
      </w:r>
      <w:r>
        <w:rPr>
          <w:rFonts w:hint="eastAsia" w:ascii="仿宋_GB2312" w:hAnsi="宋体" w:eastAsia="仿宋_GB2312"/>
          <w:color w:val="auto"/>
          <w:sz w:val="32"/>
          <w:szCs w:val="32"/>
          <w:lang w:val="zh-CN"/>
        </w:rPr>
        <w:t>组织完成全省8万人次住房城乡建设领域相关专业人员的考试考务工作,使90%的考生能达成考试意愿，提升全省建筑业对质量、安全人员素质需求；聘请专家组建完善考试题库。计划在2020年11月前完成进度达95%。</w:t>
      </w:r>
    </w:p>
    <w:p>
      <w:pPr>
        <w:keepNext w:val="0"/>
        <w:keepLines w:val="0"/>
        <w:pageBreakBefore w:val="0"/>
        <w:kinsoku/>
        <w:wordWrap/>
        <w:overflowPunct/>
        <w:topLinePunct w:val="0"/>
        <w:autoSpaceDE/>
        <w:autoSpaceDN/>
        <w:bidi w:val="0"/>
        <w:adjustRightInd w:val="0"/>
        <w:snapToGrid w:val="0"/>
        <w:spacing w:line="600" w:lineRule="exact"/>
        <w:ind w:firstLine="720"/>
        <w:textAlignment w:val="auto"/>
        <w:rPr>
          <w:rFonts w:ascii="仿宋_GB2312" w:hAnsi="宋体" w:eastAsia="仿宋_GB2312"/>
          <w:color w:val="auto"/>
          <w:sz w:val="32"/>
          <w:szCs w:val="32"/>
          <w:lang w:val="zh-CN"/>
        </w:rPr>
      </w:pPr>
      <w:r>
        <w:rPr>
          <w:rFonts w:hint="eastAsia" w:ascii="楷体_GB2312" w:hAnsi="宋体" w:eastAsia="楷体_GB2312"/>
          <w:b/>
          <w:color w:val="auto"/>
          <w:sz w:val="32"/>
          <w:szCs w:val="32"/>
          <w:lang w:val="zh-CN"/>
        </w:rPr>
        <w:t>（三）项目资金申报相符性。</w:t>
      </w:r>
      <w:r>
        <w:rPr>
          <w:rFonts w:hint="eastAsia" w:ascii="仿宋_GB2312" w:hAnsi="宋体" w:eastAsia="仿宋_GB2312"/>
          <w:color w:val="auto"/>
          <w:sz w:val="32"/>
          <w:szCs w:val="32"/>
          <w:lang w:val="zh-CN"/>
        </w:rPr>
        <w:t>项目申报内容与具体实施内容完全相符、申报目标合理可行。</w:t>
      </w:r>
    </w:p>
    <w:p>
      <w:pPr>
        <w:keepNext w:val="0"/>
        <w:keepLines w:val="0"/>
        <w:pageBreakBefore w:val="0"/>
        <w:kinsoku/>
        <w:wordWrap/>
        <w:overflowPunct/>
        <w:topLinePunct w:val="0"/>
        <w:autoSpaceDE/>
        <w:autoSpaceDN/>
        <w:bidi w:val="0"/>
        <w:adjustRightInd w:val="0"/>
        <w:snapToGrid w:val="0"/>
        <w:spacing w:line="600" w:lineRule="exact"/>
        <w:ind w:firstLine="720"/>
        <w:textAlignment w:val="auto"/>
        <w:outlineLvl w:val="1"/>
        <w:rPr>
          <w:rFonts w:ascii="黑体" w:hAnsi="宋体" w:eastAsia="黑体"/>
          <w:color w:val="auto"/>
          <w:sz w:val="32"/>
          <w:szCs w:val="32"/>
        </w:rPr>
      </w:pPr>
      <w:bookmarkStart w:id="71" w:name="_Toc19544"/>
      <w:r>
        <w:rPr>
          <w:rFonts w:hint="eastAsia" w:ascii="黑体" w:hAnsi="宋体" w:eastAsia="黑体"/>
          <w:color w:val="auto"/>
          <w:sz w:val="32"/>
          <w:szCs w:val="32"/>
        </w:rPr>
        <w:t>二、项目实施及管理情况</w:t>
      </w:r>
      <w:bookmarkEnd w:id="71"/>
    </w:p>
    <w:p>
      <w:pPr>
        <w:keepNext w:val="0"/>
        <w:keepLines w:val="0"/>
        <w:pageBreakBefore w:val="0"/>
        <w:kinsoku/>
        <w:wordWrap/>
        <w:overflowPunct/>
        <w:topLinePunct w:val="0"/>
        <w:autoSpaceDE/>
        <w:autoSpaceDN/>
        <w:bidi w:val="0"/>
        <w:adjustRightInd w:val="0"/>
        <w:snapToGrid w:val="0"/>
        <w:spacing w:line="600" w:lineRule="exact"/>
        <w:ind w:firstLine="720"/>
        <w:textAlignment w:val="auto"/>
        <w:rPr>
          <w:rFonts w:ascii="楷体_GB2312" w:hAnsi="宋体" w:eastAsia="楷体_GB2312"/>
          <w:b/>
          <w:color w:val="auto"/>
          <w:sz w:val="32"/>
          <w:szCs w:val="32"/>
          <w:lang w:val="zh-CN"/>
        </w:rPr>
      </w:pPr>
      <w:r>
        <w:rPr>
          <w:rFonts w:hint="eastAsia" w:ascii="仿宋_GB2312" w:hAnsi="宋体" w:eastAsia="仿宋_GB2312"/>
          <w:color w:val="auto"/>
          <w:sz w:val="32"/>
          <w:szCs w:val="32"/>
          <w:lang w:val="zh-CN"/>
        </w:rPr>
        <w:tab/>
      </w:r>
      <w:r>
        <w:rPr>
          <w:rFonts w:hint="eastAsia" w:ascii="楷体_GB2312" w:hAnsi="宋体" w:eastAsia="楷体_GB2312"/>
          <w:b/>
          <w:color w:val="auto"/>
          <w:sz w:val="32"/>
          <w:szCs w:val="32"/>
          <w:lang w:val="zh-CN"/>
        </w:rPr>
        <w:t>（一）资金计划、到位及使用情况。</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sz w:val="32"/>
          <w:szCs w:val="32"/>
          <w:lang w:val="zh-CN"/>
        </w:rPr>
        <w:t>1．资金计划及到位。</w:t>
      </w:r>
      <w:r>
        <w:rPr>
          <w:rFonts w:hint="eastAsia" w:ascii="仿宋_GB2312" w:hAnsi="仿宋_GB2312" w:eastAsia="仿宋_GB2312" w:cs="仿宋_GB2312"/>
          <w:sz w:val="32"/>
          <w:szCs w:val="32"/>
          <w:lang w:val="zh-CN"/>
        </w:rPr>
        <w:t>截止</w:t>
      </w:r>
      <w:r>
        <w:rPr>
          <w:rFonts w:hint="eastAsia" w:ascii="仿宋_GB2312" w:hAnsi="仿宋_GB2312" w:eastAsia="仿宋_GB2312" w:cs="仿宋_GB2312"/>
          <w:sz w:val="32"/>
          <w:szCs w:val="32"/>
        </w:rPr>
        <w:t>2020年12月31日，</w:t>
      </w:r>
      <w:r>
        <w:rPr>
          <w:rFonts w:hint="eastAsia" w:ascii="仿宋_GB2312" w:hAnsi="仿宋_GB2312" w:eastAsia="仿宋_GB2312" w:cs="仿宋_GB2312"/>
          <w:sz w:val="32"/>
          <w:szCs w:val="32"/>
          <w:lang w:val="zh-CN"/>
        </w:rPr>
        <w:t>该项目各类资金计划全部到位，资金</w:t>
      </w:r>
      <w:r>
        <w:rPr>
          <w:rFonts w:hint="eastAsia" w:ascii="仿宋_GB2312" w:hAnsi="宋体" w:eastAsia="仿宋_GB2312"/>
          <w:sz w:val="32"/>
          <w:szCs w:val="32"/>
          <w:lang w:val="zh-CN"/>
        </w:rPr>
        <w:t>到位率</w:t>
      </w:r>
      <w:r>
        <w:rPr>
          <w:rFonts w:hint="eastAsia" w:ascii="仿宋_GB2312" w:hAnsi="宋体" w:eastAsia="仿宋_GB2312"/>
          <w:sz w:val="32"/>
          <w:szCs w:val="32"/>
        </w:rPr>
        <w:t>100%，</w:t>
      </w:r>
      <w:r>
        <w:rPr>
          <w:rFonts w:hint="eastAsia" w:ascii="仿宋_GB2312" w:hAnsi="宋体" w:eastAsia="仿宋_GB2312"/>
          <w:sz w:val="32"/>
          <w:szCs w:val="32"/>
          <w:lang w:val="zh-CN"/>
        </w:rPr>
        <w:t>到位及时。</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sz w:val="32"/>
          <w:szCs w:val="32"/>
          <w:lang w:val="zh-CN"/>
        </w:rPr>
        <w:t>2．资金使用。</w:t>
      </w:r>
      <w:r>
        <w:rPr>
          <w:rFonts w:hint="eastAsia" w:ascii="仿宋_GB2312" w:hAnsi="宋体" w:eastAsia="仿宋_GB2312"/>
          <w:sz w:val="32"/>
          <w:szCs w:val="32"/>
          <w:lang w:val="zh-CN"/>
        </w:rPr>
        <w:t>截止</w:t>
      </w:r>
      <w:r>
        <w:rPr>
          <w:rFonts w:hint="eastAsia" w:ascii="仿宋_GB2312" w:hAnsi="宋体" w:eastAsia="仿宋_GB2312"/>
          <w:sz w:val="32"/>
          <w:szCs w:val="32"/>
        </w:rPr>
        <w:t>2020年12月31日，项目财政资金实际支出386.8万元，结余注销7.95万元（差旅费），执行情况如下：委托业务费支出360万元，主要用于机考服务费，支付标准为27.6元/人，执行进度为100%；劳务费支出7万元，主要用于发放专家出题、审题费等，执行进度为100%；信息网络及软件购置更新支出19.8万元，主要用于证书电子化管理系统，执行进度为100%；受新冠肺炎疫情影响，考试采用了手机端在线方式进行，取消了</w:t>
      </w:r>
      <w:r>
        <w:rPr>
          <w:rFonts w:hint="eastAsia" w:ascii="仿宋_GB2312" w:hAnsi="宋体" w:eastAsia="仿宋_GB2312"/>
          <w:sz w:val="32"/>
          <w:szCs w:val="32"/>
          <w:lang w:eastAsia="zh-CN"/>
        </w:rPr>
        <w:t>考试</w:t>
      </w:r>
      <w:r>
        <w:rPr>
          <w:rFonts w:hint="eastAsia" w:ascii="仿宋_GB2312" w:hAnsi="宋体" w:eastAsia="仿宋_GB2312"/>
          <w:sz w:val="32"/>
          <w:szCs w:val="32"/>
        </w:rPr>
        <w:t>巡</w:t>
      </w:r>
      <w:r>
        <w:rPr>
          <w:rFonts w:hint="eastAsia" w:ascii="仿宋_GB2312" w:hAnsi="宋体" w:eastAsia="仿宋_GB2312"/>
          <w:sz w:val="32"/>
          <w:szCs w:val="32"/>
          <w:lang w:eastAsia="zh-CN"/>
        </w:rPr>
        <w:t>考</w:t>
      </w:r>
      <w:r>
        <w:rPr>
          <w:rFonts w:hint="eastAsia" w:ascii="仿宋_GB2312" w:hAnsi="宋体" w:eastAsia="仿宋_GB2312"/>
          <w:sz w:val="32"/>
          <w:szCs w:val="32"/>
        </w:rPr>
        <w:t>工作，未发生差旅费。</w:t>
      </w:r>
      <w:r>
        <w:rPr>
          <w:rFonts w:hint="eastAsia" w:ascii="仿宋_GB2312" w:hAnsi="宋体" w:eastAsia="仿宋_GB2312"/>
          <w:sz w:val="32"/>
          <w:szCs w:val="32"/>
          <w:lang w:eastAsia="zh-CN"/>
        </w:rPr>
        <w:t>一般公共预算财政拨款执行率</w:t>
      </w:r>
      <w:r>
        <w:rPr>
          <w:rFonts w:hint="eastAsia" w:ascii="仿宋_GB2312" w:hAnsi="宋体" w:eastAsia="仿宋_GB2312"/>
          <w:sz w:val="32"/>
          <w:szCs w:val="32"/>
          <w:lang w:val="en-US" w:eastAsia="zh-CN"/>
        </w:rPr>
        <w:t>97.99%。</w:t>
      </w:r>
      <w:r>
        <w:rPr>
          <w:rFonts w:hint="eastAsia" w:ascii="仿宋_GB2312" w:hAnsi="宋体" w:eastAsia="仿宋_GB2312"/>
          <w:sz w:val="32"/>
          <w:szCs w:val="32"/>
        </w:rPr>
        <w:t>项目各项费用</w:t>
      </w:r>
      <w:r>
        <w:rPr>
          <w:rFonts w:hint="eastAsia" w:ascii="仿宋_GB2312" w:hAnsi="宋体" w:eastAsia="仿宋_GB2312"/>
          <w:sz w:val="32"/>
          <w:szCs w:val="32"/>
          <w:lang w:val="zh-CN"/>
        </w:rPr>
        <w:t>支付依据、政府采购合规合法，资金支付与预算相符。</w:t>
      </w:r>
    </w:p>
    <w:p>
      <w:pPr>
        <w:keepNext w:val="0"/>
        <w:keepLines w:val="0"/>
        <w:pageBreakBefore w:val="0"/>
        <w:kinsoku/>
        <w:wordWrap/>
        <w:overflowPunct/>
        <w:topLinePunct w:val="0"/>
        <w:autoSpaceDE/>
        <w:autoSpaceDN/>
        <w:bidi w:val="0"/>
        <w:adjustRightInd w:val="0"/>
        <w:snapToGrid w:val="0"/>
        <w:spacing w:line="600" w:lineRule="exact"/>
        <w:ind w:firstLine="720"/>
        <w:textAlignment w:val="auto"/>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（二）项目财务管理情况。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对照单位资金管理办法、会计核算及账务处理等情况，该项目严格执行政府采购相关规定、财务管理制度等，账务处理及时、会计核算规范。</w:t>
      </w:r>
    </w:p>
    <w:p>
      <w:pPr>
        <w:keepNext w:val="0"/>
        <w:keepLines w:val="0"/>
        <w:pageBreakBefore w:val="0"/>
        <w:kinsoku/>
        <w:wordWrap/>
        <w:overflowPunct/>
        <w:topLinePunct w:val="0"/>
        <w:autoSpaceDE/>
        <w:autoSpaceDN/>
        <w:bidi w:val="0"/>
        <w:adjustRightInd w:val="0"/>
        <w:snapToGrid w:val="0"/>
        <w:spacing w:line="600" w:lineRule="exact"/>
        <w:ind w:firstLine="720"/>
        <w:textAlignment w:val="auto"/>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（三）项目组织实施情况。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项目从设立到执行，严格按照“三重一大”程序办理，业务科室与办公室协同完成，单位负责人全程监督管理。严格按照相关规定执行政府采购，在单位网上在线平台发布考试动态、公开考试通过情况等，全年无考试事故发生。</w:t>
      </w:r>
    </w:p>
    <w:p>
      <w:pPr>
        <w:keepNext w:val="0"/>
        <w:keepLines w:val="0"/>
        <w:pageBreakBefore w:val="0"/>
        <w:kinsoku/>
        <w:wordWrap/>
        <w:overflowPunct/>
        <w:topLinePunct w:val="0"/>
        <w:autoSpaceDE/>
        <w:autoSpaceDN/>
        <w:bidi w:val="0"/>
        <w:adjustRightInd w:val="0"/>
        <w:snapToGrid w:val="0"/>
        <w:spacing w:line="600" w:lineRule="exact"/>
        <w:ind w:firstLine="720"/>
        <w:textAlignment w:val="auto"/>
        <w:outlineLvl w:val="1"/>
        <w:rPr>
          <w:rFonts w:ascii="仿宋_GB2312" w:hAnsi="宋体" w:eastAsia="仿宋_GB2312"/>
          <w:color w:val="auto"/>
          <w:sz w:val="32"/>
          <w:szCs w:val="32"/>
          <w:lang w:val="zh-CN"/>
        </w:rPr>
      </w:pPr>
      <w:bookmarkStart w:id="72" w:name="_Toc23913"/>
      <w:r>
        <w:rPr>
          <w:rFonts w:hint="eastAsia" w:ascii="黑体" w:hAnsi="宋体" w:eastAsia="黑体"/>
          <w:color w:val="auto"/>
          <w:sz w:val="32"/>
          <w:szCs w:val="32"/>
        </w:rPr>
        <w:t>三、项目绩效情况</w:t>
      </w:r>
      <w:bookmarkEnd w:id="72"/>
      <w:r>
        <w:rPr>
          <w:rFonts w:hint="eastAsia" w:ascii="仿宋_GB2312" w:hAnsi="宋体" w:eastAsia="仿宋_GB2312"/>
          <w:color w:val="auto"/>
          <w:sz w:val="32"/>
          <w:szCs w:val="32"/>
          <w:lang w:val="zh-CN"/>
        </w:rPr>
        <w:tab/>
      </w:r>
    </w:p>
    <w:p>
      <w:pPr>
        <w:keepNext w:val="0"/>
        <w:keepLines w:val="0"/>
        <w:pageBreakBefore w:val="0"/>
        <w:kinsoku/>
        <w:wordWrap/>
        <w:overflowPunct/>
        <w:topLinePunct w:val="0"/>
        <w:autoSpaceDE/>
        <w:autoSpaceDN/>
        <w:bidi w:val="0"/>
        <w:adjustRightInd w:val="0"/>
        <w:snapToGrid w:val="0"/>
        <w:spacing w:line="600" w:lineRule="exact"/>
        <w:ind w:firstLine="720"/>
        <w:textAlignment w:val="auto"/>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（一）项目完成情况。</w:t>
      </w:r>
    </w:p>
    <w:p>
      <w:pPr>
        <w:keepNext w:val="0"/>
        <w:keepLines w:val="0"/>
        <w:pageBreakBefore w:val="0"/>
        <w:kinsoku/>
        <w:wordWrap/>
        <w:overflowPunct/>
        <w:topLinePunct w:val="0"/>
        <w:autoSpaceDE/>
        <w:autoSpaceDN/>
        <w:bidi w:val="0"/>
        <w:adjustRightInd w:val="0"/>
        <w:snapToGrid w:val="0"/>
        <w:spacing w:line="600" w:lineRule="exact"/>
        <w:ind w:firstLine="720"/>
        <w:textAlignment w:val="auto"/>
        <w:rPr>
          <w:rFonts w:hint="eastAsia" w:ascii="仿宋_GB2312" w:hAnsi="宋体" w:eastAsia="仿宋_GB2312"/>
          <w:color w:val="auto"/>
          <w:sz w:val="32"/>
          <w:szCs w:val="32"/>
          <w:lang w:val="zh-CN"/>
        </w:rPr>
      </w:pPr>
      <w:r>
        <w:rPr>
          <w:rFonts w:hint="eastAsia" w:ascii="仿宋_GB2312" w:hAnsi="宋体" w:eastAsia="仿宋_GB2312"/>
          <w:color w:val="auto"/>
          <w:sz w:val="32"/>
          <w:szCs w:val="32"/>
          <w:lang w:val="zh-CN"/>
        </w:rPr>
        <w:t>2020年度单位组织专家对“安管人员”、“特种作业人员”题库进行了修订扩充，对考试报名和证书管理系统进行了优化调整，全年共计组织建筑施工“安管人员”、“特种作业人员”和燃气经营企业从业人员考试4次，报名参加考试共计23.26万人次、实际参考21.60万人次、参考率93%，考试合格12.00万人次、合格率56%。基本完成年初计划目标。</w:t>
      </w:r>
    </w:p>
    <w:p>
      <w:pPr>
        <w:adjustRightInd w:val="0"/>
        <w:snapToGrid w:val="0"/>
        <w:spacing w:line="600" w:lineRule="exact"/>
        <w:ind w:firstLine="643" w:firstLineChars="200"/>
        <w:rPr>
          <w:rFonts w:ascii="仿宋_GB2312" w:hAnsi="宋体" w:eastAsia="仿宋_GB2312"/>
          <w:sz w:val="32"/>
          <w:szCs w:val="32"/>
          <w:lang w:val="zh-CN"/>
        </w:rPr>
      </w:pPr>
      <w:r>
        <w:rPr>
          <w:rFonts w:hint="eastAsia" w:ascii="楷体_GB2312" w:hAnsi="宋体" w:eastAsia="楷体_GB2312"/>
          <w:b/>
          <w:color w:val="auto"/>
          <w:sz w:val="32"/>
          <w:szCs w:val="32"/>
          <w:lang w:val="zh-CN"/>
        </w:rPr>
        <w:t>（二）项目效益情况。</w:t>
      </w:r>
      <w:r>
        <w:rPr>
          <w:rFonts w:hint="eastAsia" w:ascii="仿宋_GB2312" w:hAnsi="仿宋_GB2312" w:eastAsia="仿宋_GB2312" w:cs="仿宋_GB2312"/>
          <w:bCs/>
          <w:sz w:val="32"/>
          <w:szCs w:val="32"/>
          <w:lang w:val="zh-CN"/>
        </w:rPr>
        <w:t>通过项目的实施，</w:t>
      </w:r>
      <w:r>
        <w:rPr>
          <w:rFonts w:hint="eastAsia" w:ascii="仿宋_GB2312" w:hAnsi="宋体" w:eastAsia="仿宋_GB2312"/>
          <w:sz w:val="32"/>
          <w:szCs w:val="32"/>
          <w:lang w:val="zh-CN"/>
        </w:rPr>
        <w:t>提高了全省建筑行业、燃气行业从业人员的业务素质，满足了建筑企业对持证人员的需求。通过“四川政务服务”网站显示，该项目涉及群体平均满意度为</w:t>
      </w:r>
      <w:r>
        <w:rPr>
          <w:rFonts w:hint="eastAsia" w:ascii="仿宋_GB2312" w:hAnsi="宋体" w:eastAsia="仿宋_GB2312"/>
          <w:sz w:val="32"/>
          <w:szCs w:val="32"/>
        </w:rPr>
        <w:t>98.45%。</w:t>
      </w:r>
    </w:p>
    <w:p>
      <w:pPr>
        <w:keepNext w:val="0"/>
        <w:keepLines w:val="0"/>
        <w:pageBreakBefore w:val="0"/>
        <w:kinsoku/>
        <w:wordWrap/>
        <w:overflowPunct/>
        <w:topLinePunct w:val="0"/>
        <w:autoSpaceDE/>
        <w:autoSpaceDN/>
        <w:bidi w:val="0"/>
        <w:adjustRightInd w:val="0"/>
        <w:snapToGrid w:val="0"/>
        <w:spacing w:line="600" w:lineRule="exact"/>
        <w:ind w:firstLine="720"/>
        <w:textAlignment w:val="auto"/>
        <w:outlineLvl w:val="1"/>
        <w:rPr>
          <w:rFonts w:ascii="黑体" w:hAnsi="宋体" w:eastAsia="黑体"/>
          <w:color w:val="auto"/>
          <w:sz w:val="32"/>
          <w:szCs w:val="32"/>
        </w:rPr>
      </w:pPr>
      <w:bookmarkStart w:id="73" w:name="_Toc3128"/>
      <w:r>
        <w:rPr>
          <w:rFonts w:hint="eastAsia" w:ascii="黑体" w:hAnsi="宋体" w:eastAsia="黑体"/>
          <w:color w:val="auto"/>
          <w:sz w:val="32"/>
          <w:szCs w:val="32"/>
        </w:rPr>
        <w:t>四、问题及建议</w:t>
      </w:r>
      <w:bookmarkEnd w:id="73"/>
    </w:p>
    <w:p>
      <w:pPr>
        <w:adjustRightInd w:val="0"/>
        <w:snapToGrid w:val="0"/>
        <w:spacing w:line="600" w:lineRule="exact"/>
        <w:ind w:firstLine="643" w:firstLineChars="200"/>
        <w:rPr>
          <w:rFonts w:ascii="楷体_GB2312" w:hAnsi="宋体" w:eastAsia="楷体_GB2312"/>
          <w:b/>
          <w:sz w:val="32"/>
          <w:szCs w:val="32"/>
          <w:lang w:val="zh-CN"/>
        </w:rPr>
      </w:pPr>
      <w:r>
        <w:rPr>
          <w:rFonts w:hint="eastAsia" w:ascii="楷体_GB2312" w:hAnsi="宋体" w:eastAsia="楷体_GB2312"/>
          <w:b/>
          <w:color w:val="auto"/>
          <w:sz w:val="32"/>
          <w:szCs w:val="32"/>
          <w:lang w:val="zh-CN"/>
        </w:rPr>
        <w:t>（一）存在的问题。</w:t>
      </w:r>
      <w:r>
        <w:rPr>
          <w:rFonts w:hint="eastAsia" w:ascii="仿宋_GB2312" w:hAnsi="仿宋_GB2312" w:eastAsia="仿宋_GB2312" w:cs="仿宋_GB2312"/>
          <w:bCs/>
          <w:sz w:val="32"/>
          <w:szCs w:val="32"/>
          <w:lang w:val="en-US" w:eastAsia="zh-CN"/>
        </w:rPr>
        <w:t>1.项目管理制度不够完善，不利于提高管理科学性；2.预算申报不够完整，</w:t>
      </w:r>
      <w:r>
        <w:rPr>
          <w:rFonts w:hint="eastAsia" w:ascii="仿宋_GB2312" w:hAnsi="仿宋_GB2312" w:eastAsia="仿宋_GB2312" w:cs="仿宋_GB2312"/>
          <w:bCs/>
          <w:sz w:val="32"/>
          <w:szCs w:val="32"/>
          <w:lang w:val="zh-CN"/>
        </w:rPr>
        <w:t>仅根据评审结论对财政资金做申报，未对其他资金做全口径预算申报。</w:t>
      </w:r>
    </w:p>
    <w:p>
      <w:pPr>
        <w:keepNext w:val="0"/>
        <w:keepLines w:val="0"/>
        <w:pageBreakBefore w:val="0"/>
        <w:kinsoku/>
        <w:wordWrap/>
        <w:overflowPunct/>
        <w:topLinePunct w:val="0"/>
        <w:autoSpaceDE/>
        <w:autoSpaceDN/>
        <w:bidi w:val="0"/>
        <w:adjustRightInd w:val="0"/>
        <w:snapToGrid w:val="0"/>
        <w:spacing w:line="600" w:lineRule="exact"/>
        <w:ind w:firstLine="720"/>
        <w:textAlignment w:val="auto"/>
        <w:rPr>
          <w:rFonts w:ascii="楷体_GB2312" w:hAnsi="宋体" w:eastAsia="楷体_GB2312"/>
          <w:b/>
          <w:color w:val="auto"/>
          <w:sz w:val="32"/>
          <w:szCs w:val="32"/>
          <w:lang w:val="zh-CN"/>
        </w:rPr>
      </w:pPr>
    </w:p>
    <w:p>
      <w:pPr>
        <w:adjustRightInd w:val="0"/>
        <w:snapToGrid w:val="0"/>
        <w:spacing w:line="600" w:lineRule="exact"/>
        <w:ind w:firstLine="643" w:firstLineChars="200"/>
        <w:rPr>
          <w:rFonts w:hint="default" w:ascii="仿宋_GB2312" w:hAnsi="仿宋_GB2312" w:eastAsia="仿宋_GB2312" w:cs="仿宋_GB2312"/>
          <w:color w:val="FF0000"/>
          <w:sz w:val="32"/>
          <w:szCs w:val="32"/>
          <w:lang w:val="en-US"/>
        </w:rPr>
      </w:pPr>
      <w:r>
        <w:rPr>
          <w:rFonts w:hint="eastAsia" w:ascii="楷体_GB2312" w:hAnsi="宋体" w:eastAsia="楷体_GB2312"/>
          <w:b/>
          <w:color w:val="auto"/>
          <w:sz w:val="32"/>
          <w:szCs w:val="32"/>
          <w:lang w:val="zh-CN"/>
        </w:rPr>
        <w:t>相关建议。</w:t>
      </w:r>
      <w:r>
        <w:rPr>
          <w:rFonts w:hint="eastAsia" w:ascii="仿宋_GB2312" w:hAnsi="仿宋_GB2312" w:eastAsia="仿宋_GB2312" w:cs="仿宋_GB2312"/>
          <w:bCs/>
          <w:sz w:val="32"/>
          <w:szCs w:val="32"/>
          <w:lang w:val="en-US" w:eastAsia="zh-CN"/>
        </w:rPr>
        <w:t>1.完善事前绩效评估制度，实施预算项目全生命周期管理，建立项目绩效目标与责任人挂钩制度，对一定金额以上的项目建立事前绩效评估制度，开展可行性论证和评估工作，提高项目预算安排科学合理性和执行有效性；2.根据《预算法》相关法规，全口径申报及管理本部门所有预算资金，确保账表一致。</w:t>
      </w:r>
    </w:p>
    <w:p>
      <w:pPr>
        <w:pStyle w:val="2"/>
      </w:pPr>
    </w:p>
    <w:p>
      <w:pPr>
        <w:spacing w:line="580" w:lineRule="exact"/>
        <w:rPr>
          <w:rFonts w:ascii="仿宋_GB2312" w:hAnsi="仿宋_GB2312" w:eastAsia="仿宋_GB2312" w:cs="仿宋_GB2312"/>
          <w:sz w:val="32"/>
          <w:szCs w:val="32"/>
        </w:rPr>
      </w:pPr>
      <w:bookmarkStart w:id="74" w:name="_Toc15396618"/>
    </w:p>
    <w:p>
      <w:pPr>
        <w:pStyle w:val="2"/>
        <w:rPr>
          <w:rFonts w:ascii="仿宋_GB2312" w:hAnsi="仿宋_GB2312" w:eastAsia="仿宋_GB2312" w:cs="仿宋_GB2312"/>
          <w:sz w:val="32"/>
          <w:szCs w:val="32"/>
        </w:rPr>
      </w:pPr>
    </w:p>
    <w:p>
      <w:pPr>
        <w:pStyle w:val="2"/>
        <w:rPr>
          <w:rFonts w:ascii="仿宋_GB2312" w:hAnsi="仿宋_GB2312" w:eastAsia="仿宋_GB2312" w:cs="仿宋_GB2312"/>
          <w:sz w:val="32"/>
          <w:szCs w:val="32"/>
        </w:rPr>
      </w:pPr>
    </w:p>
    <w:p>
      <w:pPr>
        <w:pStyle w:val="2"/>
        <w:rPr>
          <w:rFonts w:ascii="仿宋_GB2312" w:hAnsi="仿宋_GB2312" w:eastAsia="仿宋_GB2312" w:cs="仿宋_GB2312"/>
          <w:sz w:val="32"/>
          <w:szCs w:val="32"/>
        </w:rPr>
      </w:pPr>
    </w:p>
    <w:p>
      <w:pPr>
        <w:pStyle w:val="2"/>
        <w:rPr>
          <w:rFonts w:ascii="仿宋_GB2312" w:hAnsi="仿宋_GB2312" w:eastAsia="仿宋_GB2312" w:cs="仿宋_GB2312"/>
          <w:sz w:val="32"/>
          <w:szCs w:val="32"/>
        </w:rPr>
      </w:pPr>
    </w:p>
    <w:p>
      <w:pPr>
        <w:pStyle w:val="2"/>
        <w:rPr>
          <w:rFonts w:ascii="仿宋_GB2312" w:hAnsi="仿宋_GB2312" w:eastAsia="仿宋_GB2312" w:cs="仿宋_GB2312"/>
          <w:sz w:val="32"/>
          <w:szCs w:val="32"/>
        </w:rPr>
      </w:pPr>
    </w:p>
    <w:p>
      <w:pPr>
        <w:pStyle w:val="2"/>
        <w:rPr>
          <w:rFonts w:ascii="仿宋_GB2312" w:hAnsi="仿宋_GB2312" w:eastAsia="仿宋_GB2312" w:cs="仿宋_GB2312"/>
          <w:sz w:val="32"/>
          <w:szCs w:val="32"/>
        </w:rPr>
      </w:pPr>
    </w:p>
    <w:p>
      <w:pPr>
        <w:pStyle w:val="2"/>
        <w:rPr>
          <w:rFonts w:ascii="仿宋_GB2312" w:hAnsi="仿宋_GB2312" w:eastAsia="仿宋_GB2312" w:cs="仿宋_GB2312"/>
          <w:sz w:val="32"/>
          <w:szCs w:val="32"/>
        </w:rPr>
      </w:pPr>
    </w:p>
    <w:p>
      <w:pPr>
        <w:pStyle w:val="2"/>
        <w:rPr>
          <w:rFonts w:ascii="仿宋_GB2312" w:hAnsi="仿宋_GB2312" w:eastAsia="仿宋_GB2312" w:cs="仿宋_GB2312"/>
          <w:sz w:val="32"/>
          <w:szCs w:val="32"/>
        </w:rPr>
      </w:pPr>
    </w:p>
    <w:p>
      <w:pPr>
        <w:pStyle w:val="2"/>
        <w:rPr>
          <w:rFonts w:ascii="仿宋_GB2312" w:hAnsi="仿宋_GB2312" w:eastAsia="仿宋_GB2312" w:cs="仿宋_GB2312"/>
          <w:sz w:val="32"/>
          <w:szCs w:val="32"/>
        </w:rPr>
      </w:pPr>
    </w:p>
    <w:p>
      <w:pPr>
        <w:pStyle w:val="2"/>
        <w:rPr>
          <w:rFonts w:ascii="仿宋_GB2312" w:hAnsi="仿宋_GB2312" w:eastAsia="仿宋_GB2312" w:cs="仿宋_GB2312"/>
          <w:sz w:val="32"/>
          <w:szCs w:val="32"/>
        </w:rPr>
      </w:pPr>
    </w:p>
    <w:p>
      <w:pPr>
        <w:pStyle w:val="2"/>
        <w:rPr>
          <w:rFonts w:ascii="仿宋_GB2312" w:hAnsi="仿宋_GB2312" w:eastAsia="仿宋_GB2312" w:cs="仿宋_GB2312"/>
          <w:sz w:val="32"/>
          <w:szCs w:val="32"/>
        </w:rPr>
      </w:pPr>
    </w:p>
    <w:p>
      <w:pPr>
        <w:pStyle w:val="2"/>
        <w:rPr>
          <w:rFonts w:ascii="仿宋_GB2312" w:hAnsi="仿宋_GB2312" w:eastAsia="仿宋_GB2312" w:cs="仿宋_GB2312"/>
          <w:sz w:val="32"/>
          <w:szCs w:val="32"/>
        </w:rPr>
      </w:pPr>
    </w:p>
    <w:p>
      <w:pPr>
        <w:spacing w:line="600" w:lineRule="exact"/>
        <w:jc w:val="center"/>
        <w:rPr>
          <w:rFonts w:ascii="方正小标宋简体" w:hAnsi="宋体" w:eastAsia="方正小标宋简体"/>
          <w:kern w:val="0"/>
          <w:sz w:val="44"/>
          <w:szCs w:val="44"/>
          <w:lang w:val="zh-CN"/>
        </w:rPr>
      </w:pPr>
      <w:r>
        <w:rPr>
          <w:rFonts w:hint="eastAsia" w:ascii="方正小标宋简体" w:hAnsi="宋体" w:eastAsia="方正小标宋简体"/>
          <w:kern w:val="0"/>
          <w:sz w:val="44"/>
          <w:szCs w:val="44"/>
          <w:lang w:val="zh-CN"/>
        </w:rPr>
        <w:t>202</w:t>
      </w:r>
      <w:r>
        <w:rPr>
          <w:rFonts w:hint="eastAsia" w:ascii="方正小标宋简体" w:hAnsi="宋体" w:eastAsia="方正小标宋简体"/>
          <w:kern w:val="0"/>
          <w:sz w:val="44"/>
          <w:szCs w:val="44"/>
        </w:rPr>
        <w:t>0</w:t>
      </w:r>
      <w:r>
        <w:rPr>
          <w:rFonts w:hint="eastAsia" w:ascii="方正小标宋简体" w:hAnsi="宋体" w:eastAsia="方正小标宋简体"/>
          <w:kern w:val="0"/>
          <w:sz w:val="44"/>
          <w:szCs w:val="44"/>
          <w:lang w:val="zh-CN"/>
        </w:rPr>
        <w:t>年住建领域岗位培训与执业资格注册管理经费项目支出绩效自评报告</w:t>
      </w:r>
    </w:p>
    <w:p>
      <w:pPr>
        <w:keepNext w:val="0"/>
        <w:keepLines w:val="0"/>
        <w:pageBreakBefore w:val="0"/>
        <w:widowControl w:val="0"/>
        <w:kinsoku/>
        <w:wordWrap/>
        <w:overflowPunct/>
        <w:topLinePunct w:val="0"/>
        <w:autoSpaceDE/>
        <w:autoSpaceDN/>
        <w:bidi w:val="0"/>
        <w:spacing w:line="600" w:lineRule="exact"/>
        <w:ind w:firstLine="640"/>
        <w:jc w:val="center"/>
        <w:textAlignment w:val="auto"/>
        <w:rPr>
          <w:rFonts w:ascii="宋体" w:hAnsi="宋体" w:eastAsia="宋体" w:cs="Times New Roman"/>
          <w:color w:val="auto"/>
          <w:kern w:val="2"/>
          <w:sz w:val="32"/>
          <w:szCs w:val="32"/>
          <w:lang w:val="zh-CN" w:eastAsia="zh-CN" w:bidi="ar-SA"/>
        </w:rPr>
      </w:pPr>
    </w:p>
    <w:p>
      <w:pPr>
        <w:keepNext w:val="0"/>
        <w:keepLines w:val="0"/>
        <w:pageBreakBefore w:val="0"/>
        <w:kinsoku/>
        <w:wordWrap/>
        <w:overflowPunct/>
        <w:topLinePunct w:val="0"/>
        <w:autoSpaceDE/>
        <w:autoSpaceDN/>
        <w:bidi w:val="0"/>
        <w:adjustRightInd w:val="0"/>
        <w:snapToGrid w:val="0"/>
        <w:spacing w:line="600" w:lineRule="exact"/>
        <w:ind w:firstLine="720"/>
        <w:textAlignment w:val="auto"/>
        <w:outlineLvl w:val="1"/>
        <w:rPr>
          <w:rFonts w:ascii="黑体" w:hAnsi="宋体" w:eastAsia="黑体"/>
          <w:color w:val="auto"/>
          <w:sz w:val="32"/>
          <w:szCs w:val="32"/>
          <w:lang w:val="zh-CN"/>
        </w:rPr>
      </w:pPr>
      <w:bookmarkStart w:id="75" w:name="_Toc4336"/>
      <w:r>
        <w:rPr>
          <w:rFonts w:hint="eastAsia" w:ascii="黑体" w:hAnsi="宋体" w:eastAsia="黑体"/>
          <w:color w:val="auto"/>
          <w:sz w:val="32"/>
          <w:szCs w:val="32"/>
        </w:rPr>
        <w:t>一、</w:t>
      </w:r>
      <w:r>
        <w:rPr>
          <w:rFonts w:hint="eastAsia" w:ascii="黑体" w:hAnsi="宋体" w:eastAsia="黑体"/>
          <w:color w:val="auto"/>
          <w:sz w:val="32"/>
          <w:szCs w:val="32"/>
          <w:lang w:val="zh-CN"/>
        </w:rPr>
        <w:t>项目概况</w:t>
      </w:r>
      <w:bookmarkEnd w:id="75"/>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宋体" w:eastAsia="仿宋_GB2312"/>
          <w:sz w:val="32"/>
          <w:szCs w:val="32"/>
          <w:lang w:val="zh-CN" w:eastAsia="zh-CN"/>
        </w:rPr>
      </w:pPr>
      <w:r>
        <w:rPr>
          <w:rFonts w:hint="eastAsia" w:ascii="仿宋_GB2312" w:hAnsi="宋体" w:eastAsia="仿宋_GB2312"/>
          <w:sz w:val="32"/>
          <w:szCs w:val="32"/>
          <w:lang w:val="zh-CN"/>
        </w:rPr>
        <w:t>按照省编办批准，省建岗培注册中心职能包括：负责全省建设系统专业管理人员、企业操作技术工人的资格培训和岗位培训、考核、鉴定、发证及建设类培训机构资质审查；负责建设行业各类执业资格的考试报名资格审查、考前培训、考试合格人员的注册管理服务工作；提供人才供求信息和咨询服务，开展建设人才交流活动。项目年初预算数</w:t>
      </w:r>
      <w:r>
        <w:rPr>
          <w:rFonts w:hint="eastAsia" w:ascii="仿宋_GB2312" w:hAnsi="宋体" w:eastAsia="仿宋_GB2312"/>
          <w:sz w:val="32"/>
          <w:szCs w:val="32"/>
        </w:rPr>
        <w:t>300万元，</w:t>
      </w:r>
      <w:r>
        <w:rPr>
          <w:rFonts w:hint="eastAsia" w:ascii="仿宋_GB2312" w:hAnsi="宋体" w:eastAsia="仿宋_GB2312"/>
          <w:sz w:val="32"/>
          <w:szCs w:val="32"/>
          <w:lang w:eastAsia="zh-CN"/>
        </w:rPr>
        <w:t>实际支出</w:t>
      </w:r>
      <w:r>
        <w:rPr>
          <w:rFonts w:hint="eastAsia" w:ascii="仿宋_GB2312" w:hAnsi="宋体" w:eastAsia="仿宋_GB2312"/>
          <w:sz w:val="32"/>
          <w:szCs w:val="32"/>
          <w:lang w:val="en-US" w:eastAsia="zh-CN"/>
        </w:rPr>
        <w:t>300万元，</w:t>
      </w:r>
      <w:r>
        <w:rPr>
          <w:rFonts w:hint="eastAsia" w:ascii="仿宋_GB2312" w:hAnsi="宋体" w:eastAsia="仿宋_GB2312"/>
          <w:sz w:val="32"/>
          <w:szCs w:val="32"/>
        </w:rPr>
        <w:t>主要用于相关业务工作人员成本支出</w:t>
      </w:r>
      <w:r>
        <w:rPr>
          <w:rFonts w:hint="eastAsia" w:ascii="仿宋_GB2312" w:hAnsi="宋体" w:eastAsia="仿宋_GB2312"/>
          <w:sz w:val="32"/>
          <w:szCs w:val="32"/>
          <w:lang w:eastAsia="zh-CN"/>
        </w:rPr>
        <w:t>。</w:t>
      </w:r>
    </w:p>
    <w:p>
      <w:pPr>
        <w:keepNext w:val="0"/>
        <w:keepLines w:val="0"/>
        <w:pageBreakBefore w:val="0"/>
        <w:kinsoku/>
        <w:wordWrap/>
        <w:overflowPunct/>
        <w:topLinePunct w:val="0"/>
        <w:autoSpaceDE/>
        <w:autoSpaceDN/>
        <w:bidi w:val="0"/>
        <w:adjustRightInd w:val="0"/>
        <w:snapToGrid w:val="0"/>
        <w:spacing w:line="600" w:lineRule="exact"/>
        <w:ind w:firstLine="643" w:firstLineChars="200"/>
        <w:textAlignment w:val="auto"/>
        <w:rPr>
          <w:rFonts w:hint="eastAsia" w:ascii="仿宋_GB2312" w:hAnsi="宋体" w:eastAsia="仿宋_GB2312"/>
          <w:color w:val="auto"/>
          <w:sz w:val="32"/>
          <w:szCs w:val="32"/>
          <w:lang w:val="zh-CN"/>
        </w:rPr>
      </w:pPr>
      <w:r>
        <w:rPr>
          <w:rFonts w:hint="eastAsia" w:ascii="楷体_GB2312" w:hAnsi="宋体" w:eastAsia="楷体_GB2312"/>
          <w:b/>
          <w:color w:val="auto"/>
          <w:sz w:val="32"/>
          <w:szCs w:val="32"/>
          <w:lang w:val="zh-CN"/>
        </w:rPr>
        <w:t>（一）项目资金申报及批复情况。</w:t>
      </w:r>
      <w:r>
        <w:rPr>
          <w:rFonts w:hint="eastAsia" w:ascii="仿宋_GB2312" w:hAnsi="宋体" w:eastAsia="仿宋_GB2312"/>
          <w:color w:val="auto"/>
          <w:sz w:val="32"/>
          <w:szCs w:val="32"/>
          <w:lang w:val="zh-CN"/>
        </w:rPr>
        <w:t>项目年初申报一般公共预算财政拨款</w:t>
      </w:r>
      <w:r>
        <w:rPr>
          <w:rFonts w:hint="eastAsia" w:ascii="仿宋_GB2312" w:hAnsi="宋体" w:eastAsia="仿宋_GB2312"/>
          <w:color w:val="auto"/>
          <w:sz w:val="32"/>
          <w:szCs w:val="32"/>
          <w:lang w:val="en-US" w:eastAsia="zh-CN"/>
        </w:rPr>
        <w:t>300</w:t>
      </w:r>
      <w:r>
        <w:rPr>
          <w:rFonts w:hint="eastAsia" w:ascii="仿宋_GB2312" w:hAnsi="宋体" w:eastAsia="仿宋_GB2312"/>
          <w:color w:val="auto"/>
          <w:sz w:val="32"/>
          <w:szCs w:val="32"/>
          <w:lang w:val="zh-CN"/>
        </w:rPr>
        <w:t>万元，预算批复数</w:t>
      </w:r>
      <w:r>
        <w:rPr>
          <w:rFonts w:hint="eastAsia" w:ascii="仿宋_GB2312" w:hAnsi="宋体" w:eastAsia="仿宋_GB2312"/>
          <w:color w:val="auto"/>
          <w:sz w:val="32"/>
          <w:szCs w:val="32"/>
          <w:lang w:val="en-US" w:eastAsia="zh-CN"/>
        </w:rPr>
        <w:t>300</w:t>
      </w:r>
      <w:r>
        <w:rPr>
          <w:rFonts w:hint="eastAsia" w:ascii="仿宋_GB2312" w:hAnsi="宋体" w:eastAsia="仿宋_GB2312"/>
          <w:color w:val="auto"/>
          <w:sz w:val="32"/>
          <w:szCs w:val="32"/>
          <w:lang w:val="zh-CN"/>
        </w:rPr>
        <w:t>万元，年中无资金调整。符合资金管理办法的相关规定。</w:t>
      </w:r>
    </w:p>
    <w:p>
      <w:pPr>
        <w:adjustRightInd w:val="0"/>
        <w:snapToGrid w:val="0"/>
        <w:spacing w:line="600" w:lineRule="exact"/>
        <w:ind w:firstLine="643" w:firstLineChars="200"/>
        <w:rPr>
          <w:rFonts w:ascii="仿宋_GB2312" w:hAnsi="宋体" w:eastAsia="仿宋_GB2312"/>
          <w:sz w:val="32"/>
          <w:szCs w:val="32"/>
        </w:rPr>
      </w:pPr>
      <w:r>
        <w:rPr>
          <w:rFonts w:hint="eastAsia" w:ascii="楷体_GB2312" w:hAnsi="宋体" w:eastAsia="楷体_GB2312"/>
          <w:b/>
          <w:color w:val="auto"/>
          <w:sz w:val="32"/>
          <w:szCs w:val="32"/>
          <w:lang w:val="zh-CN"/>
        </w:rPr>
        <w:t>（二）项目绩效目标。</w:t>
      </w:r>
      <w:r>
        <w:rPr>
          <w:rFonts w:hint="eastAsia" w:ascii="仿宋_GB2312" w:hAnsi="仿宋_GB2312" w:eastAsia="仿宋_GB2312" w:cs="仿宋_GB2312"/>
          <w:bCs/>
          <w:sz w:val="32"/>
          <w:szCs w:val="32"/>
          <w:lang w:val="zh-CN"/>
        </w:rPr>
        <w:t>预计</w:t>
      </w:r>
      <w:r>
        <w:rPr>
          <w:rFonts w:hint="eastAsia" w:ascii="仿宋_GB2312" w:hAnsi="宋体" w:eastAsia="仿宋_GB2312"/>
          <w:sz w:val="32"/>
          <w:szCs w:val="32"/>
          <w:lang w:val="zh-CN"/>
        </w:rPr>
        <w:t>开展全省建筑工人职业培训和技能鉴定</w:t>
      </w:r>
      <w:r>
        <w:rPr>
          <w:rFonts w:hint="eastAsia" w:ascii="仿宋_GB2312" w:hAnsi="宋体" w:eastAsia="仿宋_GB2312"/>
          <w:sz w:val="32"/>
          <w:szCs w:val="32"/>
        </w:rPr>
        <w:t>5万人次、受理审查执业资格人员各项注册申请18万件次，</w:t>
      </w:r>
      <w:r>
        <w:rPr>
          <w:rFonts w:hint="eastAsia" w:ascii="仿宋_GB2312" w:hAnsi="宋体" w:eastAsia="仿宋_GB2312"/>
          <w:sz w:val="32"/>
          <w:szCs w:val="32"/>
          <w:lang w:val="zh-CN"/>
        </w:rPr>
        <w:t>计划在</w:t>
      </w:r>
      <w:r>
        <w:rPr>
          <w:rFonts w:hint="eastAsia" w:ascii="仿宋_GB2312" w:hAnsi="宋体" w:eastAsia="仿宋_GB2312"/>
          <w:sz w:val="32"/>
          <w:szCs w:val="32"/>
        </w:rPr>
        <w:t>2020年12月底前完成进度达100%。</w:t>
      </w:r>
    </w:p>
    <w:p>
      <w:pPr>
        <w:keepNext w:val="0"/>
        <w:keepLines w:val="0"/>
        <w:pageBreakBefore w:val="0"/>
        <w:kinsoku/>
        <w:wordWrap/>
        <w:overflowPunct/>
        <w:topLinePunct w:val="0"/>
        <w:autoSpaceDE/>
        <w:autoSpaceDN/>
        <w:bidi w:val="0"/>
        <w:adjustRightInd w:val="0"/>
        <w:snapToGrid w:val="0"/>
        <w:spacing w:line="600" w:lineRule="exact"/>
        <w:ind w:firstLine="720"/>
        <w:textAlignment w:val="auto"/>
        <w:rPr>
          <w:rFonts w:ascii="仿宋_GB2312" w:hAnsi="宋体" w:eastAsia="仿宋_GB2312"/>
          <w:color w:val="auto"/>
          <w:sz w:val="32"/>
          <w:szCs w:val="32"/>
          <w:lang w:val="zh-CN"/>
        </w:rPr>
      </w:pPr>
      <w:r>
        <w:rPr>
          <w:rFonts w:hint="eastAsia" w:ascii="楷体_GB2312" w:hAnsi="宋体" w:eastAsia="楷体_GB2312"/>
          <w:b/>
          <w:color w:val="auto"/>
          <w:sz w:val="32"/>
          <w:szCs w:val="32"/>
          <w:lang w:val="zh-CN"/>
        </w:rPr>
        <w:t>（三）项目资金申报相符性。</w:t>
      </w:r>
      <w:r>
        <w:rPr>
          <w:rFonts w:hint="eastAsia" w:ascii="仿宋_GB2312" w:hAnsi="宋体" w:eastAsia="仿宋_GB2312"/>
          <w:sz w:val="32"/>
          <w:szCs w:val="32"/>
          <w:lang w:val="zh-CN"/>
        </w:rPr>
        <w:t>项目申报内容与具体实施内容完全相符、申报目标合理可行。</w:t>
      </w:r>
    </w:p>
    <w:p>
      <w:pPr>
        <w:keepNext w:val="0"/>
        <w:keepLines w:val="0"/>
        <w:pageBreakBefore w:val="0"/>
        <w:kinsoku/>
        <w:wordWrap/>
        <w:overflowPunct/>
        <w:topLinePunct w:val="0"/>
        <w:autoSpaceDE/>
        <w:autoSpaceDN/>
        <w:bidi w:val="0"/>
        <w:adjustRightInd w:val="0"/>
        <w:snapToGrid w:val="0"/>
        <w:spacing w:line="600" w:lineRule="exact"/>
        <w:ind w:firstLine="720"/>
        <w:textAlignment w:val="auto"/>
        <w:outlineLvl w:val="1"/>
        <w:rPr>
          <w:rFonts w:ascii="黑体" w:hAnsi="宋体" w:eastAsia="黑体"/>
          <w:color w:val="auto"/>
          <w:sz w:val="32"/>
          <w:szCs w:val="32"/>
        </w:rPr>
      </w:pPr>
      <w:bookmarkStart w:id="76" w:name="_Toc27086"/>
      <w:r>
        <w:rPr>
          <w:rFonts w:hint="eastAsia" w:ascii="黑体" w:hAnsi="宋体" w:eastAsia="黑体"/>
          <w:color w:val="auto"/>
          <w:sz w:val="32"/>
          <w:szCs w:val="32"/>
        </w:rPr>
        <w:t>二、项目实施及管理情况</w:t>
      </w:r>
      <w:bookmarkEnd w:id="76"/>
    </w:p>
    <w:p>
      <w:pPr>
        <w:keepNext w:val="0"/>
        <w:keepLines w:val="0"/>
        <w:pageBreakBefore w:val="0"/>
        <w:kinsoku/>
        <w:wordWrap/>
        <w:overflowPunct/>
        <w:topLinePunct w:val="0"/>
        <w:autoSpaceDE/>
        <w:autoSpaceDN/>
        <w:bidi w:val="0"/>
        <w:adjustRightInd w:val="0"/>
        <w:snapToGrid w:val="0"/>
        <w:spacing w:line="600" w:lineRule="exact"/>
        <w:ind w:firstLine="720"/>
        <w:textAlignment w:val="auto"/>
        <w:rPr>
          <w:rFonts w:ascii="楷体_GB2312" w:hAnsi="宋体" w:eastAsia="楷体_GB2312"/>
          <w:b/>
          <w:color w:val="auto"/>
          <w:sz w:val="32"/>
          <w:szCs w:val="32"/>
          <w:lang w:val="zh-CN"/>
        </w:rPr>
      </w:pPr>
      <w:r>
        <w:rPr>
          <w:rFonts w:hint="eastAsia" w:ascii="仿宋_GB2312" w:hAnsi="宋体" w:eastAsia="仿宋_GB2312"/>
          <w:color w:val="auto"/>
          <w:sz w:val="32"/>
          <w:szCs w:val="32"/>
          <w:lang w:val="zh-CN"/>
        </w:rPr>
        <w:tab/>
      </w:r>
      <w:r>
        <w:rPr>
          <w:rFonts w:hint="eastAsia" w:ascii="楷体_GB2312" w:hAnsi="宋体" w:eastAsia="楷体_GB2312"/>
          <w:b/>
          <w:color w:val="auto"/>
          <w:sz w:val="32"/>
          <w:szCs w:val="32"/>
          <w:lang w:val="zh-CN"/>
        </w:rPr>
        <w:t>（一）资金计划、到位及使用情况。</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sz w:val="32"/>
          <w:szCs w:val="32"/>
          <w:lang w:val="zh-CN"/>
        </w:rPr>
        <w:t>1．资金计划及到位。</w:t>
      </w:r>
      <w:r>
        <w:rPr>
          <w:rFonts w:hint="eastAsia" w:ascii="仿宋_GB2312" w:hAnsi="仿宋_GB2312" w:eastAsia="仿宋_GB2312" w:cs="仿宋_GB2312"/>
          <w:sz w:val="32"/>
          <w:szCs w:val="32"/>
          <w:lang w:val="zh-CN"/>
        </w:rPr>
        <w:t>截止</w:t>
      </w:r>
      <w:r>
        <w:rPr>
          <w:rFonts w:hint="eastAsia" w:ascii="仿宋_GB2312" w:hAnsi="仿宋_GB2312" w:eastAsia="仿宋_GB2312" w:cs="仿宋_GB2312"/>
          <w:sz w:val="32"/>
          <w:szCs w:val="32"/>
        </w:rPr>
        <w:t>2020年12月31日，</w:t>
      </w:r>
      <w:r>
        <w:rPr>
          <w:rFonts w:hint="eastAsia" w:ascii="仿宋_GB2312" w:hAnsi="仿宋_GB2312" w:eastAsia="仿宋_GB2312" w:cs="仿宋_GB2312"/>
          <w:sz w:val="32"/>
          <w:szCs w:val="32"/>
          <w:lang w:val="zh-CN"/>
        </w:rPr>
        <w:t>该项目各类资金计划全部到位，资金</w:t>
      </w:r>
      <w:r>
        <w:rPr>
          <w:rFonts w:hint="eastAsia" w:ascii="仿宋_GB2312" w:hAnsi="宋体" w:eastAsia="仿宋_GB2312"/>
          <w:sz w:val="32"/>
          <w:szCs w:val="32"/>
          <w:lang w:val="zh-CN"/>
        </w:rPr>
        <w:t>到位率</w:t>
      </w:r>
      <w:r>
        <w:rPr>
          <w:rFonts w:hint="eastAsia" w:ascii="仿宋_GB2312" w:hAnsi="宋体" w:eastAsia="仿宋_GB2312"/>
          <w:sz w:val="32"/>
          <w:szCs w:val="32"/>
        </w:rPr>
        <w:t>100%，</w:t>
      </w:r>
      <w:r>
        <w:rPr>
          <w:rFonts w:hint="eastAsia" w:ascii="仿宋_GB2312" w:hAnsi="宋体" w:eastAsia="仿宋_GB2312"/>
          <w:sz w:val="32"/>
          <w:szCs w:val="32"/>
          <w:lang w:val="zh-CN"/>
        </w:rPr>
        <w:t>到位及时。</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sz w:val="32"/>
          <w:szCs w:val="32"/>
          <w:lang w:val="zh-CN"/>
        </w:rPr>
        <w:t>2．资金使用。</w:t>
      </w:r>
      <w:r>
        <w:rPr>
          <w:rFonts w:hint="eastAsia" w:ascii="仿宋_GB2312" w:hAnsi="宋体" w:eastAsia="仿宋_GB2312"/>
          <w:sz w:val="32"/>
          <w:szCs w:val="32"/>
          <w:lang w:val="zh-CN"/>
        </w:rPr>
        <w:t>截止</w:t>
      </w:r>
      <w:r>
        <w:rPr>
          <w:rFonts w:hint="eastAsia" w:ascii="仿宋_GB2312" w:hAnsi="宋体" w:eastAsia="仿宋_GB2312"/>
          <w:sz w:val="32"/>
          <w:szCs w:val="32"/>
        </w:rPr>
        <w:t>2020年12月31日，项目财政资金实际支出300万元，执行情况如下：劳务费支出300万元，主要用于相关业务工作人员成本支出。项目各项费用</w:t>
      </w:r>
      <w:r>
        <w:rPr>
          <w:rFonts w:hint="eastAsia" w:ascii="仿宋_GB2312" w:hAnsi="宋体" w:eastAsia="仿宋_GB2312"/>
          <w:sz w:val="32"/>
          <w:szCs w:val="32"/>
          <w:lang w:val="zh-CN"/>
        </w:rPr>
        <w:t>支付依据合规合法，资金支付与预算相符。</w:t>
      </w:r>
    </w:p>
    <w:p>
      <w:pPr>
        <w:keepNext w:val="0"/>
        <w:keepLines w:val="0"/>
        <w:pageBreakBefore w:val="0"/>
        <w:kinsoku/>
        <w:wordWrap/>
        <w:overflowPunct/>
        <w:topLinePunct w:val="0"/>
        <w:autoSpaceDE/>
        <w:autoSpaceDN/>
        <w:bidi w:val="0"/>
        <w:adjustRightInd w:val="0"/>
        <w:snapToGrid w:val="0"/>
        <w:spacing w:line="600" w:lineRule="exact"/>
        <w:ind w:firstLine="720"/>
        <w:textAlignment w:val="auto"/>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（二）项目财务管理情况。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对照单位资金管理办法、会计核算及账务处理等情况，该项目严格执行财务管理制度等，账务处理及时、会计核算规范。</w:t>
      </w:r>
    </w:p>
    <w:p>
      <w:pPr>
        <w:keepNext w:val="0"/>
        <w:keepLines w:val="0"/>
        <w:pageBreakBefore w:val="0"/>
        <w:kinsoku/>
        <w:wordWrap/>
        <w:overflowPunct/>
        <w:topLinePunct w:val="0"/>
        <w:autoSpaceDE/>
        <w:autoSpaceDN/>
        <w:bidi w:val="0"/>
        <w:adjustRightInd w:val="0"/>
        <w:snapToGrid w:val="0"/>
        <w:spacing w:line="600" w:lineRule="exact"/>
        <w:ind w:firstLine="720"/>
        <w:textAlignment w:val="auto"/>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（三）项目组织实施情况。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项目从设立到执行，单位严格按照“三重一大”程序办理，业务科室与办公室协同完成，单位负责人全程监督管理。严格按照相关规定使用资金。</w:t>
      </w:r>
    </w:p>
    <w:p>
      <w:pPr>
        <w:keepNext w:val="0"/>
        <w:keepLines w:val="0"/>
        <w:pageBreakBefore w:val="0"/>
        <w:kinsoku/>
        <w:wordWrap/>
        <w:overflowPunct/>
        <w:topLinePunct w:val="0"/>
        <w:autoSpaceDE/>
        <w:autoSpaceDN/>
        <w:bidi w:val="0"/>
        <w:adjustRightInd w:val="0"/>
        <w:snapToGrid w:val="0"/>
        <w:spacing w:line="600" w:lineRule="exact"/>
        <w:ind w:firstLine="720"/>
        <w:textAlignment w:val="auto"/>
        <w:outlineLvl w:val="1"/>
        <w:rPr>
          <w:rFonts w:ascii="仿宋_GB2312" w:hAnsi="宋体" w:eastAsia="仿宋_GB2312"/>
          <w:color w:val="auto"/>
          <w:sz w:val="32"/>
          <w:szCs w:val="32"/>
          <w:lang w:val="zh-CN"/>
        </w:rPr>
      </w:pPr>
      <w:bookmarkStart w:id="77" w:name="_Toc6869"/>
      <w:r>
        <w:rPr>
          <w:rFonts w:hint="eastAsia" w:ascii="黑体" w:hAnsi="宋体" w:eastAsia="黑体"/>
          <w:color w:val="auto"/>
          <w:sz w:val="32"/>
          <w:szCs w:val="32"/>
        </w:rPr>
        <w:t>三、项目绩效情况</w:t>
      </w:r>
      <w:bookmarkEnd w:id="77"/>
      <w:r>
        <w:rPr>
          <w:rFonts w:hint="eastAsia" w:ascii="仿宋_GB2312" w:hAnsi="宋体" w:eastAsia="仿宋_GB2312"/>
          <w:color w:val="auto"/>
          <w:sz w:val="32"/>
          <w:szCs w:val="32"/>
          <w:lang w:val="zh-CN"/>
        </w:rPr>
        <w:tab/>
      </w:r>
    </w:p>
    <w:p>
      <w:pPr>
        <w:keepNext w:val="0"/>
        <w:keepLines w:val="0"/>
        <w:pageBreakBefore w:val="0"/>
        <w:kinsoku/>
        <w:wordWrap/>
        <w:overflowPunct/>
        <w:topLinePunct w:val="0"/>
        <w:autoSpaceDE/>
        <w:autoSpaceDN/>
        <w:bidi w:val="0"/>
        <w:adjustRightInd w:val="0"/>
        <w:snapToGrid w:val="0"/>
        <w:spacing w:line="600" w:lineRule="exact"/>
        <w:ind w:firstLine="720"/>
        <w:textAlignment w:val="auto"/>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（一）项目完成情况。</w:t>
      </w:r>
    </w:p>
    <w:p>
      <w:pPr>
        <w:adjustRightInd w:val="0"/>
        <w:snapToGrid w:val="0"/>
        <w:spacing w:line="600" w:lineRule="exact"/>
        <w:ind w:firstLine="640" w:firstLineChars="200"/>
        <w:rPr>
          <w:rFonts w:ascii="楷体_GB2312" w:hAnsi="宋体" w:eastAsia="楷体_GB2312"/>
          <w:b/>
          <w:sz w:val="32"/>
          <w:szCs w:val="32"/>
          <w:lang w:val="zh-CN"/>
        </w:rPr>
      </w:pPr>
      <w:r>
        <w:rPr>
          <w:rFonts w:hint="eastAsia" w:ascii="仿宋_GB2312" w:hAnsi="宋体" w:eastAsia="仿宋_GB2312"/>
          <w:sz w:val="32"/>
          <w:szCs w:val="32"/>
          <w:lang w:val="zh-CN"/>
        </w:rPr>
        <w:t>省建岗培注册中心积极指导建筑工人培训和行业职业技能鉴定，认真对职业技能鉴定机构实施动态监管，新增建筑工人培训机构1家、注销2家，共计103家，核发建筑工人职业培训合格证书17.64万本、国家职业技能鉴定合格证书0.35万本；认真组织开展施工现场专业人员职业培训试点工作；优化执业资格注册服务，全年共办理人员执业资格注册事项审查36.74万件，发放注册证书20.98万本，新增各类执业注册人员1.62万人；扎实开展安管人员和专业技术职称人员继续教育培训工作；回复各项咨询近10万人次。完成年初计划目标。</w:t>
      </w:r>
    </w:p>
    <w:p>
      <w:pPr>
        <w:adjustRightInd w:val="0"/>
        <w:snapToGrid w:val="0"/>
        <w:spacing w:line="600" w:lineRule="exact"/>
        <w:ind w:firstLine="643" w:firstLineChars="200"/>
        <w:rPr>
          <w:rFonts w:ascii="仿宋_GB2312" w:hAnsi="宋体" w:eastAsia="仿宋_GB2312"/>
          <w:sz w:val="32"/>
          <w:szCs w:val="32"/>
          <w:lang w:val="zh-CN"/>
        </w:rPr>
      </w:pPr>
      <w:r>
        <w:rPr>
          <w:rFonts w:hint="eastAsia" w:ascii="楷体_GB2312" w:hAnsi="宋体" w:eastAsia="楷体_GB2312"/>
          <w:b/>
          <w:color w:val="auto"/>
          <w:sz w:val="32"/>
          <w:szCs w:val="32"/>
          <w:lang w:val="zh-CN"/>
        </w:rPr>
        <w:t>（二）项目效益情况。</w:t>
      </w:r>
      <w:r>
        <w:rPr>
          <w:rFonts w:hint="eastAsia" w:ascii="仿宋_GB2312" w:hAnsi="仿宋_GB2312" w:eastAsia="仿宋_GB2312" w:cs="仿宋_GB2312"/>
          <w:bCs/>
          <w:sz w:val="32"/>
          <w:szCs w:val="32"/>
          <w:lang w:val="zh-CN"/>
        </w:rPr>
        <w:t>通过项目实施，推进了全省住建行业技术人员执业，提高了从业人员劳动生产率，促进了建筑行业总产值提升。</w:t>
      </w:r>
    </w:p>
    <w:p>
      <w:pPr>
        <w:keepNext w:val="0"/>
        <w:keepLines w:val="0"/>
        <w:pageBreakBefore w:val="0"/>
        <w:kinsoku/>
        <w:wordWrap/>
        <w:overflowPunct/>
        <w:topLinePunct w:val="0"/>
        <w:autoSpaceDE/>
        <w:autoSpaceDN/>
        <w:bidi w:val="0"/>
        <w:adjustRightInd w:val="0"/>
        <w:snapToGrid w:val="0"/>
        <w:spacing w:line="600" w:lineRule="exact"/>
        <w:ind w:firstLine="720"/>
        <w:textAlignment w:val="auto"/>
        <w:outlineLvl w:val="1"/>
        <w:rPr>
          <w:rFonts w:ascii="黑体" w:hAnsi="宋体" w:eastAsia="黑体"/>
          <w:color w:val="auto"/>
          <w:sz w:val="32"/>
          <w:szCs w:val="32"/>
        </w:rPr>
      </w:pPr>
      <w:bookmarkStart w:id="78" w:name="_Toc17097"/>
      <w:r>
        <w:rPr>
          <w:rFonts w:hint="eastAsia" w:ascii="黑体" w:hAnsi="宋体" w:eastAsia="黑体"/>
          <w:color w:val="auto"/>
          <w:sz w:val="32"/>
          <w:szCs w:val="32"/>
        </w:rPr>
        <w:t>四、问题及建议</w:t>
      </w:r>
      <w:bookmarkEnd w:id="78"/>
    </w:p>
    <w:p>
      <w:pPr>
        <w:adjustRightInd w:val="0"/>
        <w:snapToGrid w:val="0"/>
        <w:spacing w:line="600" w:lineRule="exact"/>
        <w:ind w:firstLine="720"/>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（一）存在的问题。</w:t>
      </w:r>
      <w:r>
        <w:rPr>
          <w:rFonts w:hint="eastAsia" w:ascii="仿宋_GB2312" w:hAnsi="仿宋_GB2312" w:eastAsia="仿宋_GB2312" w:cs="仿宋_GB2312"/>
          <w:bCs/>
          <w:sz w:val="32"/>
          <w:szCs w:val="32"/>
          <w:lang w:val="zh-CN"/>
        </w:rPr>
        <w:t>还需进一步加强信息化管理，优化完善办事流程，进一步提高办事效率。</w:t>
      </w:r>
    </w:p>
    <w:p>
      <w:pPr>
        <w:numPr>
          <w:ilvl w:val="0"/>
          <w:numId w:val="4"/>
        </w:numPr>
        <w:adjustRightInd w:val="0"/>
        <w:snapToGrid w:val="0"/>
        <w:spacing w:line="600" w:lineRule="exact"/>
        <w:ind w:firstLine="643" w:firstLineChars="200"/>
        <w:rPr>
          <w:rFonts w:hint="eastAsia" w:ascii="仿宋_GB2312" w:hAnsi="宋体" w:eastAsia="仿宋_GB2312"/>
          <w:sz w:val="32"/>
          <w:szCs w:val="32"/>
          <w:lang w:val="zh-CN"/>
        </w:rPr>
      </w:pPr>
      <w:r>
        <w:rPr>
          <w:rFonts w:hint="eastAsia" w:ascii="楷体_GB2312" w:hAnsi="宋体" w:eastAsia="楷体_GB2312"/>
          <w:b/>
          <w:color w:val="auto"/>
          <w:sz w:val="32"/>
          <w:szCs w:val="32"/>
          <w:lang w:val="zh-CN"/>
        </w:rPr>
        <w:t>相关建议。</w:t>
      </w:r>
      <w:r>
        <w:rPr>
          <w:rFonts w:hint="eastAsia" w:ascii="仿宋_GB2312" w:hAnsi="宋体" w:eastAsia="仿宋_GB2312"/>
          <w:sz w:val="32"/>
          <w:szCs w:val="32"/>
          <w:lang w:val="zh-CN"/>
        </w:rPr>
        <w:t>将进一步积极落实相关“放管服”要求。</w:t>
      </w:r>
    </w:p>
    <w:p>
      <w:pPr>
        <w:spacing w:line="600" w:lineRule="exact"/>
        <w:jc w:val="center"/>
        <w:outlineLvl w:val="9"/>
        <w:rPr>
          <w:rFonts w:hint="eastAsia" w:ascii="黑体" w:hAnsi="黑体" w:eastAsia="黑体"/>
          <w:color w:val="000000"/>
          <w:sz w:val="44"/>
          <w:szCs w:val="44"/>
        </w:rPr>
      </w:pPr>
    </w:p>
    <w:p>
      <w:pPr>
        <w:spacing w:line="600" w:lineRule="exact"/>
        <w:jc w:val="center"/>
        <w:outlineLvl w:val="9"/>
        <w:rPr>
          <w:rFonts w:hint="eastAsia" w:ascii="黑体" w:hAnsi="黑体" w:eastAsia="黑体"/>
          <w:color w:val="000000"/>
          <w:sz w:val="44"/>
          <w:szCs w:val="44"/>
        </w:rPr>
      </w:pPr>
    </w:p>
    <w:p>
      <w:pPr>
        <w:spacing w:line="600" w:lineRule="exact"/>
        <w:jc w:val="center"/>
        <w:outlineLvl w:val="9"/>
        <w:rPr>
          <w:rFonts w:hint="eastAsia" w:ascii="黑体" w:hAnsi="黑体" w:eastAsia="黑体"/>
          <w:color w:val="000000"/>
          <w:sz w:val="44"/>
          <w:szCs w:val="44"/>
        </w:rPr>
      </w:pPr>
    </w:p>
    <w:p>
      <w:pPr>
        <w:pStyle w:val="2"/>
        <w:rPr>
          <w:rFonts w:hint="eastAsia" w:ascii="黑体" w:hAnsi="黑体" w:eastAsia="黑体"/>
          <w:color w:val="000000"/>
          <w:sz w:val="44"/>
          <w:szCs w:val="44"/>
        </w:rPr>
      </w:pPr>
    </w:p>
    <w:p>
      <w:pPr>
        <w:pStyle w:val="2"/>
        <w:rPr>
          <w:rFonts w:hint="eastAsia" w:ascii="黑体" w:hAnsi="黑体" w:eastAsia="黑体"/>
          <w:color w:val="000000"/>
          <w:sz w:val="44"/>
          <w:szCs w:val="44"/>
        </w:rPr>
      </w:pPr>
    </w:p>
    <w:p>
      <w:pPr>
        <w:pStyle w:val="2"/>
        <w:rPr>
          <w:rFonts w:hint="eastAsia" w:ascii="黑体" w:hAnsi="黑体" w:eastAsia="黑体"/>
          <w:color w:val="000000"/>
          <w:sz w:val="44"/>
          <w:szCs w:val="44"/>
        </w:rPr>
      </w:pPr>
    </w:p>
    <w:p>
      <w:pPr>
        <w:pStyle w:val="2"/>
        <w:rPr>
          <w:rFonts w:hint="eastAsia" w:ascii="黑体" w:hAnsi="黑体" w:eastAsia="黑体"/>
          <w:color w:val="000000"/>
          <w:sz w:val="44"/>
          <w:szCs w:val="44"/>
        </w:rPr>
      </w:pPr>
    </w:p>
    <w:p>
      <w:pPr>
        <w:pStyle w:val="2"/>
        <w:rPr>
          <w:rFonts w:hint="eastAsia" w:ascii="黑体" w:hAnsi="黑体" w:eastAsia="黑体"/>
          <w:color w:val="000000"/>
          <w:sz w:val="44"/>
          <w:szCs w:val="44"/>
        </w:rPr>
      </w:pPr>
    </w:p>
    <w:p>
      <w:pPr>
        <w:pStyle w:val="2"/>
        <w:rPr>
          <w:rFonts w:hint="eastAsia" w:ascii="黑体" w:hAnsi="黑体" w:eastAsia="黑体"/>
          <w:color w:val="000000"/>
          <w:sz w:val="44"/>
          <w:szCs w:val="44"/>
        </w:rPr>
      </w:pPr>
    </w:p>
    <w:p>
      <w:pPr>
        <w:pStyle w:val="2"/>
        <w:rPr>
          <w:rFonts w:hint="eastAsia" w:ascii="黑体" w:hAnsi="黑体" w:eastAsia="黑体"/>
          <w:color w:val="000000"/>
          <w:sz w:val="44"/>
          <w:szCs w:val="44"/>
        </w:rPr>
      </w:pPr>
    </w:p>
    <w:p>
      <w:pPr>
        <w:pStyle w:val="2"/>
        <w:rPr>
          <w:rFonts w:hint="eastAsia" w:ascii="黑体" w:hAnsi="黑体" w:eastAsia="黑体"/>
          <w:color w:val="000000"/>
          <w:sz w:val="44"/>
          <w:szCs w:val="44"/>
        </w:rPr>
      </w:pPr>
    </w:p>
    <w:p>
      <w:pPr>
        <w:pStyle w:val="2"/>
        <w:rPr>
          <w:rFonts w:hint="eastAsia" w:ascii="黑体" w:hAnsi="黑体" w:eastAsia="黑体"/>
          <w:color w:val="000000"/>
          <w:sz w:val="44"/>
          <w:szCs w:val="44"/>
        </w:rPr>
      </w:pPr>
    </w:p>
    <w:p>
      <w:pPr>
        <w:spacing w:line="600" w:lineRule="exact"/>
        <w:jc w:val="center"/>
        <w:outlineLvl w:val="9"/>
        <w:rPr>
          <w:rFonts w:hint="eastAsia" w:ascii="黑体" w:hAnsi="黑体" w:eastAsia="黑体"/>
          <w:color w:val="000000"/>
          <w:sz w:val="44"/>
          <w:szCs w:val="44"/>
        </w:rPr>
      </w:pPr>
    </w:p>
    <w:p>
      <w:pPr>
        <w:spacing w:line="600" w:lineRule="exact"/>
        <w:jc w:val="center"/>
        <w:outlineLvl w:val="0"/>
        <w:rPr>
          <w:rFonts w:hint="eastAsia" w:ascii="仿宋" w:hAnsi="仿宋" w:eastAsia="仿宋"/>
          <w:b w:val="0"/>
          <w:color w:val="000000"/>
        </w:rPr>
      </w:pPr>
      <w:bookmarkStart w:id="79" w:name="_Toc4102"/>
      <w:r>
        <w:rPr>
          <w:rFonts w:hint="eastAsia" w:ascii="黑体" w:hAnsi="黑体" w:eastAsia="黑体"/>
          <w:color w:val="000000"/>
          <w:sz w:val="44"/>
          <w:szCs w:val="44"/>
        </w:rPr>
        <w:t>第</w:t>
      </w:r>
      <w:r>
        <w:rPr>
          <w:rStyle w:val="24"/>
          <w:rFonts w:hint="eastAsia" w:ascii="黑体" w:hAnsi="黑体" w:eastAsia="黑体"/>
          <w:b w:val="0"/>
        </w:rPr>
        <w:t>五部分 附表</w:t>
      </w:r>
      <w:bookmarkEnd w:id="67"/>
      <w:bookmarkEnd w:id="74"/>
      <w:bookmarkEnd w:id="79"/>
      <w:bookmarkStart w:id="80" w:name="_Toc15396619"/>
    </w:p>
    <w:p>
      <w:pPr>
        <w:pStyle w:val="4"/>
        <w:rPr>
          <w:rFonts w:ascii="仿宋" w:hAnsi="仿宋" w:eastAsia="仿宋"/>
          <w:color w:val="000000"/>
        </w:rPr>
      </w:pPr>
      <w:bookmarkStart w:id="81" w:name="_Toc13941"/>
      <w:r>
        <w:rPr>
          <w:rFonts w:hint="eastAsia" w:ascii="仿宋" w:hAnsi="仿宋" w:eastAsia="仿宋"/>
          <w:b w:val="0"/>
          <w:color w:val="000000"/>
        </w:rPr>
        <w:t>一、收</w:t>
      </w:r>
      <w:r>
        <w:rPr>
          <w:rStyle w:val="25"/>
          <w:rFonts w:hint="eastAsia" w:ascii="仿宋" w:hAnsi="仿宋" w:eastAsia="仿宋"/>
          <w:b w:val="0"/>
          <w:bCs w:val="0"/>
        </w:rPr>
        <w:t>入支出决算总表</w:t>
      </w:r>
      <w:bookmarkEnd w:id="80"/>
      <w:bookmarkEnd w:id="81"/>
    </w:p>
    <w:p>
      <w:pPr>
        <w:pStyle w:val="4"/>
        <w:rPr>
          <w:rFonts w:ascii="仿宋" w:hAnsi="仿宋" w:eastAsia="仿宋"/>
          <w:color w:val="000000"/>
        </w:rPr>
      </w:pPr>
      <w:bookmarkStart w:id="82" w:name="_Toc15396620"/>
      <w:bookmarkStart w:id="83" w:name="_Toc16486"/>
      <w:r>
        <w:rPr>
          <w:rFonts w:hint="eastAsia" w:ascii="仿宋" w:hAnsi="仿宋" w:eastAsia="仿宋"/>
          <w:b w:val="0"/>
          <w:color w:val="000000"/>
        </w:rPr>
        <w:t>二、收</w:t>
      </w:r>
      <w:r>
        <w:rPr>
          <w:rStyle w:val="25"/>
          <w:rFonts w:hint="eastAsia" w:ascii="仿宋" w:hAnsi="仿宋" w:eastAsia="仿宋"/>
          <w:b w:val="0"/>
          <w:bCs w:val="0"/>
        </w:rPr>
        <w:t>入决算表</w:t>
      </w:r>
      <w:bookmarkEnd w:id="82"/>
      <w:bookmarkEnd w:id="83"/>
    </w:p>
    <w:p>
      <w:pPr>
        <w:pStyle w:val="4"/>
        <w:rPr>
          <w:rFonts w:ascii="仿宋" w:hAnsi="仿宋" w:eastAsia="仿宋"/>
          <w:color w:val="000000"/>
        </w:rPr>
      </w:pPr>
      <w:bookmarkStart w:id="84" w:name="_Toc15396621"/>
      <w:bookmarkStart w:id="85" w:name="_Toc29642"/>
      <w:r>
        <w:rPr>
          <w:rStyle w:val="25"/>
          <w:rFonts w:hint="eastAsia" w:ascii="仿宋" w:hAnsi="仿宋" w:eastAsia="仿宋"/>
          <w:b w:val="0"/>
          <w:bCs w:val="0"/>
        </w:rPr>
        <w:t>三、</w:t>
      </w:r>
      <w:r>
        <w:rPr>
          <w:rFonts w:hint="eastAsia" w:ascii="仿宋" w:hAnsi="仿宋" w:eastAsia="仿宋"/>
          <w:b w:val="0"/>
          <w:color w:val="000000"/>
        </w:rPr>
        <w:t>支</w:t>
      </w:r>
      <w:r>
        <w:rPr>
          <w:rStyle w:val="25"/>
          <w:rFonts w:hint="eastAsia" w:ascii="仿宋" w:hAnsi="仿宋" w:eastAsia="仿宋"/>
          <w:b w:val="0"/>
          <w:bCs w:val="0"/>
        </w:rPr>
        <w:t>出决算表</w:t>
      </w:r>
      <w:bookmarkEnd w:id="84"/>
      <w:bookmarkEnd w:id="85"/>
    </w:p>
    <w:p>
      <w:pPr>
        <w:pStyle w:val="4"/>
        <w:rPr>
          <w:rFonts w:ascii="仿宋" w:hAnsi="仿宋" w:eastAsia="仿宋"/>
          <w:b w:val="0"/>
          <w:color w:val="000000"/>
        </w:rPr>
      </w:pPr>
      <w:bookmarkStart w:id="86" w:name="_Toc15396622"/>
      <w:bookmarkStart w:id="87" w:name="_Toc19238"/>
      <w:r>
        <w:rPr>
          <w:rStyle w:val="25"/>
          <w:rFonts w:hint="eastAsia" w:ascii="仿宋" w:hAnsi="仿宋" w:eastAsia="仿宋"/>
          <w:b w:val="0"/>
          <w:bCs w:val="0"/>
        </w:rPr>
        <w:t>四、</w:t>
      </w:r>
      <w:r>
        <w:rPr>
          <w:rFonts w:hint="eastAsia" w:ascii="仿宋" w:hAnsi="仿宋" w:eastAsia="仿宋"/>
          <w:b w:val="0"/>
          <w:color w:val="000000"/>
        </w:rPr>
        <w:t>财</w:t>
      </w:r>
      <w:r>
        <w:rPr>
          <w:rStyle w:val="25"/>
          <w:rFonts w:hint="eastAsia" w:ascii="仿宋" w:hAnsi="仿宋" w:eastAsia="仿宋"/>
          <w:b w:val="0"/>
          <w:bCs w:val="0"/>
        </w:rPr>
        <w:t>政拨款收入支出决算总表</w:t>
      </w:r>
      <w:bookmarkEnd w:id="86"/>
      <w:bookmarkEnd w:id="87"/>
    </w:p>
    <w:p>
      <w:pPr>
        <w:pStyle w:val="4"/>
        <w:rPr>
          <w:rStyle w:val="25"/>
          <w:rFonts w:ascii="仿宋" w:hAnsi="仿宋" w:eastAsia="仿宋"/>
          <w:b w:val="0"/>
          <w:bCs w:val="0"/>
        </w:rPr>
      </w:pPr>
      <w:bookmarkStart w:id="88" w:name="_Toc15396623"/>
      <w:bookmarkStart w:id="89" w:name="_Toc232"/>
      <w:r>
        <w:rPr>
          <w:rStyle w:val="25"/>
          <w:rFonts w:hint="eastAsia" w:ascii="仿宋" w:hAnsi="仿宋" w:eastAsia="仿宋"/>
          <w:b w:val="0"/>
          <w:bCs w:val="0"/>
        </w:rPr>
        <w:t>五、</w:t>
      </w:r>
      <w:r>
        <w:rPr>
          <w:rFonts w:hint="eastAsia" w:ascii="仿宋" w:hAnsi="仿宋" w:eastAsia="仿宋"/>
          <w:b w:val="0"/>
          <w:color w:val="000000"/>
        </w:rPr>
        <w:t>财</w:t>
      </w:r>
      <w:r>
        <w:rPr>
          <w:rStyle w:val="25"/>
          <w:rFonts w:hint="eastAsia" w:ascii="仿宋" w:hAnsi="仿宋" w:eastAsia="仿宋"/>
          <w:b w:val="0"/>
          <w:bCs w:val="0"/>
        </w:rPr>
        <w:t>政拨款支出决算明细表</w:t>
      </w:r>
      <w:bookmarkEnd w:id="88"/>
      <w:bookmarkEnd w:id="89"/>
      <w:bookmarkStart w:id="90" w:name="_Toc15396624"/>
    </w:p>
    <w:p>
      <w:pPr>
        <w:pStyle w:val="4"/>
        <w:rPr>
          <w:rFonts w:ascii="仿宋" w:hAnsi="仿宋" w:eastAsia="仿宋"/>
          <w:color w:val="000000"/>
        </w:rPr>
      </w:pPr>
      <w:bookmarkStart w:id="91" w:name="_Toc15061"/>
      <w:r>
        <w:rPr>
          <w:rStyle w:val="25"/>
          <w:rFonts w:hint="eastAsia" w:ascii="仿宋" w:hAnsi="仿宋" w:eastAsia="仿宋"/>
          <w:b w:val="0"/>
          <w:bCs w:val="0"/>
        </w:rPr>
        <w:t>六、</w:t>
      </w:r>
      <w:r>
        <w:rPr>
          <w:rFonts w:hint="eastAsia" w:ascii="仿宋" w:hAnsi="仿宋" w:eastAsia="仿宋"/>
          <w:b w:val="0"/>
          <w:color w:val="000000"/>
        </w:rPr>
        <w:t>一</w:t>
      </w:r>
      <w:r>
        <w:rPr>
          <w:rStyle w:val="25"/>
          <w:rFonts w:hint="eastAsia" w:ascii="仿宋" w:hAnsi="仿宋" w:eastAsia="仿宋"/>
          <w:b w:val="0"/>
          <w:bCs w:val="0"/>
        </w:rPr>
        <w:t>般公共预算财政拨款支出决算表</w:t>
      </w:r>
      <w:bookmarkEnd w:id="90"/>
      <w:bookmarkEnd w:id="91"/>
    </w:p>
    <w:p>
      <w:pPr>
        <w:pStyle w:val="4"/>
        <w:rPr>
          <w:rFonts w:ascii="仿宋" w:hAnsi="仿宋" w:eastAsia="仿宋"/>
          <w:color w:val="000000"/>
        </w:rPr>
      </w:pPr>
      <w:bookmarkStart w:id="92" w:name="_Toc15396625"/>
      <w:bookmarkStart w:id="93" w:name="_Toc3937"/>
      <w:r>
        <w:rPr>
          <w:rStyle w:val="25"/>
          <w:rFonts w:hint="eastAsia" w:ascii="仿宋" w:hAnsi="仿宋" w:eastAsia="仿宋"/>
          <w:b w:val="0"/>
          <w:bCs w:val="0"/>
        </w:rPr>
        <w:t>七、</w:t>
      </w:r>
      <w:r>
        <w:rPr>
          <w:rFonts w:hint="eastAsia" w:ascii="仿宋" w:hAnsi="仿宋" w:eastAsia="仿宋"/>
          <w:b w:val="0"/>
          <w:color w:val="000000"/>
        </w:rPr>
        <w:t>一</w:t>
      </w:r>
      <w:r>
        <w:rPr>
          <w:rStyle w:val="25"/>
          <w:rFonts w:hint="eastAsia" w:ascii="仿宋" w:hAnsi="仿宋" w:eastAsia="仿宋"/>
          <w:b w:val="0"/>
          <w:bCs w:val="0"/>
        </w:rPr>
        <w:t>般公共预算财政拨款支出决算明细表</w:t>
      </w:r>
      <w:bookmarkEnd w:id="92"/>
      <w:bookmarkEnd w:id="93"/>
    </w:p>
    <w:p>
      <w:pPr>
        <w:pStyle w:val="4"/>
        <w:rPr>
          <w:rFonts w:ascii="仿宋" w:hAnsi="仿宋" w:eastAsia="仿宋"/>
          <w:color w:val="000000"/>
        </w:rPr>
      </w:pPr>
      <w:bookmarkStart w:id="94" w:name="_Toc15396626"/>
      <w:bookmarkStart w:id="95" w:name="_Toc3827"/>
      <w:r>
        <w:rPr>
          <w:rStyle w:val="25"/>
          <w:rFonts w:hint="eastAsia" w:ascii="仿宋" w:hAnsi="仿宋" w:eastAsia="仿宋"/>
          <w:b w:val="0"/>
          <w:bCs w:val="0"/>
        </w:rPr>
        <w:t>八、</w:t>
      </w:r>
      <w:r>
        <w:rPr>
          <w:rFonts w:hint="eastAsia" w:ascii="仿宋" w:hAnsi="仿宋" w:eastAsia="仿宋"/>
          <w:b w:val="0"/>
          <w:color w:val="000000"/>
        </w:rPr>
        <w:t>一</w:t>
      </w:r>
      <w:r>
        <w:rPr>
          <w:rStyle w:val="25"/>
          <w:rFonts w:hint="eastAsia" w:ascii="仿宋" w:hAnsi="仿宋" w:eastAsia="仿宋"/>
          <w:b w:val="0"/>
          <w:bCs w:val="0"/>
        </w:rPr>
        <w:t>般公共预算财政拨款基本支出决算表</w:t>
      </w:r>
      <w:bookmarkEnd w:id="94"/>
      <w:bookmarkEnd w:id="95"/>
    </w:p>
    <w:p>
      <w:pPr>
        <w:pStyle w:val="4"/>
        <w:rPr>
          <w:rFonts w:ascii="仿宋" w:hAnsi="仿宋" w:eastAsia="仿宋"/>
          <w:color w:val="000000"/>
        </w:rPr>
      </w:pPr>
      <w:bookmarkStart w:id="96" w:name="_Toc15396627"/>
      <w:bookmarkStart w:id="97" w:name="_Toc19468"/>
      <w:r>
        <w:rPr>
          <w:rStyle w:val="25"/>
          <w:rFonts w:hint="eastAsia" w:ascii="仿宋" w:hAnsi="仿宋" w:eastAsia="仿宋"/>
          <w:b w:val="0"/>
          <w:bCs w:val="0"/>
        </w:rPr>
        <w:t>九、</w:t>
      </w:r>
      <w:r>
        <w:rPr>
          <w:rFonts w:hint="eastAsia" w:ascii="仿宋" w:hAnsi="仿宋" w:eastAsia="仿宋"/>
          <w:b w:val="0"/>
          <w:color w:val="000000"/>
        </w:rPr>
        <w:t>一</w:t>
      </w:r>
      <w:r>
        <w:rPr>
          <w:rStyle w:val="25"/>
          <w:rFonts w:hint="eastAsia" w:ascii="仿宋" w:hAnsi="仿宋" w:eastAsia="仿宋"/>
          <w:b w:val="0"/>
          <w:bCs w:val="0"/>
        </w:rPr>
        <w:t>般公共预算财政拨款项目支出决算表</w:t>
      </w:r>
      <w:bookmarkEnd w:id="96"/>
      <w:bookmarkEnd w:id="97"/>
    </w:p>
    <w:p>
      <w:pPr>
        <w:pStyle w:val="4"/>
        <w:rPr>
          <w:rFonts w:ascii="仿宋" w:hAnsi="仿宋" w:eastAsia="仿宋"/>
          <w:color w:val="000000"/>
        </w:rPr>
      </w:pPr>
      <w:bookmarkStart w:id="98" w:name="_Toc15396628"/>
      <w:bookmarkStart w:id="99" w:name="_Toc1799"/>
      <w:r>
        <w:rPr>
          <w:rStyle w:val="25"/>
          <w:rFonts w:hint="eastAsia" w:ascii="仿宋" w:hAnsi="仿宋" w:eastAsia="仿宋"/>
          <w:b w:val="0"/>
          <w:bCs w:val="0"/>
        </w:rPr>
        <w:t>十、</w:t>
      </w:r>
      <w:r>
        <w:rPr>
          <w:rFonts w:hint="eastAsia" w:ascii="仿宋" w:hAnsi="仿宋" w:eastAsia="仿宋"/>
          <w:b w:val="0"/>
          <w:color w:val="000000"/>
        </w:rPr>
        <w:t>一</w:t>
      </w:r>
      <w:r>
        <w:rPr>
          <w:rStyle w:val="25"/>
          <w:rFonts w:hint="eastAsia" w:ascii="仿宋" w:hAnsi="仿宋" w:eastAsia="仿宋"/>
          <w:b w:val="0"/>
          <w:bCs w:val="0"/>
        </w:rPr>
        <w:t>般公共预算财政拨款“三公”经费支出决算表</w:t>
      </w:r>
      <w:bookmarkEnd w:id="98"/>
      <w:bookmarkEnd w:id="99"/>
    </w:p>
    <w:p>
      <w:pPr>
        <w:pStyle w:val="4"/>
        <w:rPr>
          <w:rFonts w:ascii="仿宋" w:hAnsi="仿宋" w:eastAsia="仿宋"/>
          <w:color w:val="000000"/>
        </w:rPr>
      </w:pPr>
      <w:bookmarkStart w:id="100" w:name="_Toc15396629"/>
      <w:bookmarkStart w:id="101" w:name="_Toc20019"/>
      <w:r>
        <w:rPr>
          <w:rStyle w:val="25"/>
          <w:rFonts w:hint="eastAsia" w:ascii="仿宋" w:hAnsi="仿宋" w:eastAsia="仿宋"/>
          <w:b w:val="0"/>
          <w:bCs w:val="0"/>
        </w:rPr>
        <w:t>十一、</w:t>
      </w:r>
      <w:r>
        <w:rPr>
          <w:rFonts w:hint="eastAsia" w:ascii="仿宋" w:hAnsi="仿宋" w:eastAsia="仿宋"/>
          <w:b w:val="0"/>
          <w:color w:val="000000"/>
        </w:rPr>
        <w:t>政</w:t>
      </w:r>
      <w:r>
        <w:rPr>
          <w:rStyle w:val="25"/>
          <w:rFonts w:hint="eastAsia" w:ascii="仿宋" w:hAnsi="仿宋" w:eastAsia="仿宋"/>
          <w:b w:val="0"/>
          <w:bCs w:val="0"/>
        </w:rPr>
        <w:t>府性基金预算财政拨款收入支出决算表</w:t>
      </w:r>
      <w:bookmarkEnd w:id="100"/>
      <w:bookmarkEnd w:id="101"/>
    </w:p>
    <w:p>
      <w:pPr>
        <w:pStyle w:val="4"/>
        <w:rPr>
          <w:rFonts w:ascii="仿宋" w:hAnsi="仿宋" w:eastAsia="仿宋"/>
          <w:color w:val="000000"/>
        </w:rPr>
      </w:pPr>
      <w:bookmarkStart w:id="102" w:name="_Toc15396630"/>
      <w:bookmarkStart w:id="103" w:name="_Toc25485"/>
      <w:r>
        <w:rPr>
          <w:rStyle w:val="25"/>
          <w:rFonts w:hint="eastAsia" w:ascii="仿宋" w:hAnsi="仿宋" w:eastAsia="仿宋"/>
          <w:b w:val="0"/>
          <w:bCs w:val="0"/>
        </w:rPr>
        <w:t>十二、</w:t>
      </w:r>
      <w:r>
        <w:rPr>
          <w:rFonts w:hint="eastAsia" w:ascii="仿宋" w:hAnsi="仿宋" w:eastAsia="仿宋"/>
          <w:b w:val="0"/>
          <w:color w:val="000000"/>
        </w:rPr>
        <w:t>政</w:t>
      </w:r>
      <w:r>
        <w:rPr>
          <w:rStyle w:val="25"/>
          <w:rFonts w:hint="eastAsia" w:ascii="仿宋" w:hAnsi="仿宋" w:eastAsia="仿宋"/>
          <w:b w:val="0"/>
          <w:bCs w:val="0"/>
        </w:rPr>
        <w:t>府性基金预算财政拨款“三公”经费支出决算表</w:t>
      </w:r>
      <w:bookmarkEnd w:id="102"/>
      <w:bookmarkEnd w:id="103"/>
    </w:p>
    <w:p>
      <w:pPr>
        <w:pStyle w:val="4"/>
        <w:rPr>
          <w:rStyle w:val="25"/>
          <w:rFonts w:hint="eastAsia" w:ascii="仿宋" w:hAnsi="仿宋" w:eastAsia="仿宋"/>
          <w:b w:val="0"/>
          <w:bCs w:val="0"/>
        </w:rPr>
      </w:pPr>
      <w:bookmarkStart w:id="104" w:name="_Toc15396631"/>
      <w:bookmarkStart w:id="105" w:name="_Toc10577"/>
      <w:r>
        <w:rPr>
          <w:rStyle w:val="25"/>
          <w:rFonts w:hint="eastAsia" w:ascii="仿宋" w:hAnsi="仿宋" w:eastAsia="仿宋"/>
          <w:b w:val="0"/>
          <w:bCs w:val="0"/>
        </w:rPr>
        <w:t>十三、</w:t>
      </w:r>
      <w:r>
        <w:rPr>
          <w:rFonts w:hint="eastAsia" w:ascii="仿宋" w:hAnsi="仿宋" w:eastAsia="仿宋"/>
          <w:b w:val="0"/>
          <w:color w:val="000000"/>
        </w:rPr>
        <w:t>国</w:t>
      </w:r>
      <w:r>
        <w:rPr>
          <w:rStyle w:val="25"/>
          <w:rFonts w:hint="eastAsia" w:ascii="仿宋" w:hAnsi="仿宋" w:eastAsia="仿宋"/>
          <w:b w:val="0"/>
          <w:bCs w:val="0"/>
        </w:rPr>
        <w:t>有资本经营预算</w:t>
      </w:r>
      <w:r>
        <w:rPr>
          <w:rStyle w:val="25"/>
          <w:rFonts w:hint="eastAsia" w:ascii="仿宋" w:hAnsi="仿宋" w:eastAsia="仿宋"/>
          <w:b w:val="0"/>
          <w:bCs w:val="0"/>
          <w:lang w:eastAsia="zh-CN"/>
        </w:rPr>
        <w:t>财政拨款收入</w:t>
      </w:r>
      <w:r>
        <w:rPr>
          <w:rStyle w:val="25"/>
          <w:rFonts w:hint="eastAsia" w:ascii="仿宋" w:hAnsi="仿宋" w:eastAsia="仿宋"/>
          <w:b w:val="0"/>
          <w:bCs w:val="0"/>
        </w:rPr>
        <w:t>支出决算表</w:t>
      </w:r>
      <w:bookmarkEnd w:id="104"/>
      <w:bookmarkEnd w:id="105"/>
    </w:p>
    <w:p>
      <w:pPr>
        <w:rPr>
          <w:rFonts w:hint="eastAsia" w:eastAsia="仿宋"/>
          <w:lang w:eastAsia="zh-CN"/>
        </w:rPr>
      </w:pPr>
      <w:bookmarkStart w:id="106" w:name="_Toc13116"/>
      <w:r>
        <w:rPr>
          <w:rStyle w:val="25"/>
          <w:rFonts w:hint="eastAsia" w:ascii="仿宋" w:hAnsi="仿宋" w:eastAsia="仿宋"/>
          <w:b w:val="0"/>
          <w:bCs w:val="0"/>
          <w:lang w:eastAsia="zh-CN"/>
        </w:rPr>
        <w:t>十四、国有资本经营预算财政拨款支出决算表</w:t>
      </w:r>
      <w:bookmarkEnd w:id="106"/>
    </w:p>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781956"/>
    </w:sdtPr>
    <w:sdtContent>
      <w:p>
        <w:pPr>
          <w:pStyle w:val="8"/>
          <w:jc w:val="center"/>
        </w:pPr>
        <w:r>
          <w:fldChar w:fldCharType="begin"/>
        </w:r>
        <w:r>
          <w:instrText xml:space="preserve">PAGE   \* MERGEFORMAT</w:instrText>
        </w:r>
        <w:r>
          <w:fldChar w:fldCharType="separate"/>
        </w:r>
        <w:r>
          <w:rPr>
            <w:lang w:val="zh-CN"/>
          </w:rPr>
          <w:t>8</w:t>
        </w:r>
        <w:r>
          <w:fldChar w:fldCharType="end"/>
        </w:r>
      </w:p>
    </w:sdtContent>
  </w:sdt>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rPr>
    </w:lvl>
  </w:abstractNum>
  <w:abstractNum w:abstractNumId="1">
    <w:nsid w:val="E2FA047D"/>
    <w:multiLevelType w:val="singleLevel"/>
    <w:tmpl w:val="E2FA047D"/>
    <w:lvl w:ilvl="0" w:tentative="0">
      <w:start w:val="3"/>
      <w:numFmt w:val="chineseCounting"/>
      <w:suff w:val="space"/>
      <w:lvlText w:val="第%1部分"/>
      <w:lvlJc w:val="left"/>
      <w:rPr>
        <w:rFonts w:hint="eastAsia" w:ascii="黑体" w:hAnsi="黑体" w:eastAsia="黑体" w:cs="黑体"/>
        <w:sz w:val="44"/>
        <w:szCs w:val="44"/>
      </w:rPr>
    </w:lvl>
  </w:abstractNum>
  <w:abstractNum w:abstractNumId="2">
    <w:nsid w:val="0458C087"/>
    <w:multiLevelType w:val="singleLevel"/>
    <w:tmpl w:val="0458C087"/>
    <w:lvl w:ilvl="0" w:tentative="0">
      <w:start w:val="2"/>
      <w:numFmt w:val="chineseCounting"/>
      <w:suff w:val="nothing"/>
      <w:lvlText w:val="（%1）"/>
      <w:lvlJc w:val="left"/>
      <w:rPr>
        <w:rFonts w:hint="eastAsia"/>
      </w:rPr>
    </w:lvl>
  </w:abstractNum>
  <w:abstractNum w:abstractNumId="3">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4YzY1MTk3NmZiYjM4NmNmZDFkMDNmN2ZkZGI4NGMifQ=="/>
    <w:docVar w:name="KSO_WPS_MARK_KEY" w:val="9c6ea0ef-16ac-475d-a622-a9437c68114b"/>
  </w:docVars>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80496"/>
    <w:rsid w:val="00294DC9"/>
    <w:rsid w:val="00295495"/>
    <w:rsid w:val="002A31DE"/>
    <w:rsid w:val="002B2613"/>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34489"/>
    <w:rsid w:val="00437085"/>
    <w:rsid w:val="00443880"/>
    <w:rsid w:val="004464F4"/>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664BB"/>
    <w:rsid w:val="00566FFA"/>
    <w:rsid w:val="0057481D"/>
    <w:rsid w:val="0058486E"/>
    <w:rsid w:val="00585B33"/>
    <w:rsid w:val="0059014D"/>
    <w:rsid w:val="005B5C64"/>
    <w:rsid w:val="005C5337"/>
    <w:rsid w:val="005C6BD0"/>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4947881"/>
    <w:rsid w:val="07820093"/>
    <w:rsid w:val="0A2032A3"/>
    <w:rsid w:val="0CA57BF5"/>
    <w:rsid w:val="0F4378B9"/>
    <w:rsid w:val="10C055FF"/>
    <w:rsid w:val="118107EC"/>
    <w:rsid w:val="16844D1F"/>
    <w:rsid w:val="16BB723D"/>
    <w:rsid w:val="18015F3F"/>
    <w:rsid w:val="1BE8440E"/>
    <w:rsid w:val="1D155CEE"/>
    <w:rsid w:val="1EBF0217"/>
    <w:rsid w:val="20F57F95"/>
    <w:rsid w:val="240371BF"/>
    <w:rsid w:val="27842671"/>
    <w:rsid w:val="294026B0"/>
    <w:rsid w:val="2999429D"/>
    <w:rsid w:val="29FD04D3"/>
    <w:rsid w:val="2ABE410C"/>
    <w:rsid w:val="2ABE7A3E"/>
    <w:rsid w:val="2FD34C12"/>
    <w:rsid w:val="319F7F4E"/>
    <w:rsid w:val="394C364E"/>
    <w:rsid w:val="3BF07005"/>
    <w:rsid w:val="3C0C0783"/>
    <w:rsid w:val="44E07DBF"/>
    <w:rsid w:val="485203BF"/>
    <w:rsid w:val="493C27E9"/>
    <w:rsid w:val="496F39ED"/>
    <w:rsid w:val="49FF41D3"/>
    <w:rsid w:val="4BE068DB"/>
    <w:rsid w:val="4BF6002B"/>
    <w:rsid w:val="4ECE2238"/>
    <w:rsid w:val="51EE7598"/>
    <w:rsid w:val="55E6482E"/>
    <w:rsid w:val="56424F0B"/>
    <w:rsid w:val="56FA2686"/>
    <w:rsid w:val="57A7343F"/>
    <w:rsid w:val="640B3826"/>
    <w:rsid w:val="64CA39A1"/>
    <w:rsid w:val="6A5813F8"/>
    <w:rsid w:val="6C4A05C8"/>
    <w:rsid w:val="72734D90"/>
    <w:rsid w:val="7366641E"/>
    <w:rsid w:val="7A0167C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28"/>
    <w:unhideWhenUsed/>
    <w:qFormat/>
    <w:uiPriority w:val="9"/>
    <w:pPr>
      <w:keepNext/>
      <w:keepLines/>
      <w:spacing w:before="260" w:after="260" w:line="416" w:lineRule="auto"/>
      <w:outlineLvl w:val="2"/>
    </w:pPr>
    <w:rPr>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21"/>
    <w:qFormat/>
    <w:uiPriority w:val="99"/>
    <w:pPr>
      <w:spacing w:beforeLines="30"/>
    </w:pPr>
    <w:rPr>
      <w:rFonts w:ascii="仿宋_GB2312" w:eastAsia="仿宋_GB2312"/>
      <w:kern w:val="0"/>
      <w:sz w:val="30"/>
    </w:rPr>
  </w:style>
  <w:style w:type="paragraph" w:styleId="6">
    <w:name w:val="toc 3"/>
    <w:basedOn w:val="1"/>
    <w:next w:val="1"/>
    <w:unhideWhenUsed/>
    <w:qFormat/>
    <w:uiPriority w:val="39"/>
    <w:pPr>
      <w:tabs>
        <w:tab w:val="right" w:leader="dot" w:pos="8296"/>
      </w:tabs>
      <w:ind w:left="840" w:leftChars="400"/>
    </w:pPr>
  </w:style>
  <w:style w:type="paragraph" w:styleId="7">
    <w:name w:val="Balloon Text"/>
    <w:basedOn w:val="1"/>
    <w:link w:val="27"/>
    <w:semiHidden/>
    <w:unhideWhenUsed/>
    <w:qFormat/>
    <w:uiPriority w:val="99"/>
    <w:rPr>
      <w:sz w:val="18"/>
      <w:szCs w:val="18"/>
    </w:rPr>
  </w:style>
  <w:style w:type="paragraph" w:styleId="8">
    <w:name w:val="footer"/>
    <w:basedOn w:val="1"/>
    <w:link w:val="19"/>
    <w:qFormat/>
    <w:uiPriority w:val="99"/>
    <w:pPr>
      <w:tabs>
        <w:tab w:val="center" w:pos="4153"/>
        <w:tab w:val="right" w:pos="8306"/>
      </w:tabs>
      <w:snapToGrid w:val="0"/>
      <w:jc w:val="left"/>
    </w:pPr>
    <w:rPr>
      <w:rFonts w:ascii="Calibri" w:hAnsi="Calibri"/>
      <w:kern w:val="0"/>
      <w:sz w:val="18"/>
      <w:szCs w:val="18"/>
    </w:rPr>
  </w:style>
  <w:style w:type="paragraph" w:styleId="9">
    <w:name w:val="header"/>
    <w:basedOn w:val="1"/>
    <w:link w:val="17"/>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0">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1">
    <w:name w:val="toc 2"/>
    <w:basedOn w:val="1"/>
    <w:next w:val="1"/>
    <w:unhideWhenUsed/>
    <w:qFormat/>
    <w:uiPriority w:val="39"/>
    <w:pPr>
      <w:tabs>
        <w:tab w:val="right" w:leader="dot" w:pos="8296"/>
      </w:tabs>
      <w:ind w:left="420" w:leftChars="200"/>
    </w:pPr>
  </w:style>
  <w:style w:type="character" w:styleId="14">
    <w:name w:val="Strong"/>
    <w:basedOn w:val="13"/>
    <w:qFormat/>
    <w:uiPriority w:val="99"/>
    <w:rPr>
      <w:b/>
    </w:rPr>
  </w:style>
  <w:style w:type="character" w:styleId="15">
    <w:name w:val="Hyperlink"/>
    <w:basedOn w:val="13"/>
    <w:unhideWhenUsed/>
    <w:qFormat/>
    <w:uiPriority w:val="99"/>
    <w:rPr>
      <w:color w:val="0000FF" w:themeColor="hyperlink"/>
      <w:u w:val="single"/>
      <w14:textFill>
        <w14:solidFill>
          <w14:schemeClr w14:val="hlink"/>
        </w14:solidFill>
      </w14:textFill>
    </w:rPr>
  </w:style>
  <w:style w:type="character" w:customStyle="1" w:styleId="16">
    <w:name w:val="Header Char"/>
    <w:basedOn w:val="13"/>
    <w:semiHidden/>
    <w:qFormat/>
    <w:uiPriority w:val="99"/>
    <w:rPr>
      <w:rFonts w:ascii="Times New Roman" w:hAnsi="Times New Roman"/>
      <w:sz w:val="18"/>
      <w:szCs w:val="18"/>
    </w:rPr>
  </w:style>
  <w:style w:type="character" w:customStyle="1" w:styleId="17">
    <w:name w:val="页眉 Char"/>
    <w:link w:val="9"/>
    <w:semiHidden/>
    <w:qFormat/>
    <w:locked/>
    <w:uiPriority w:val="99"/>
    <w:rPr>
      <w:sz w:val="18"/>
    </w:rPr>
  </w:style>
  <w:style w:type="character" w:customStyle="1" w:styleId="18">
    <w:name w:val="Footer Char"/>
    <w:basedOn w:val="13"/>
    <w:semiHidden/>
    <w:qFormat/>
    <w:uiPriority w:val="99"/>
    <w:rPr>
      <w:rFonts w:ascii="Times New Roman" w:hAnsi="Times New Roman"/>
      <w:sz w:val="18"/>
      <w:szCs w:val="18"/>
    </w:rPr>
  </w:style>
  <w:style w:type="character" w:customStyle="1" w:styleId="19">
    <w:name w:val="页脚 Char"/>
    <w:link w:val="8"/>
    <w:qFormat/>
    <w:locked/>
    <w:uiPriority w:val="99"/>
    <w:rPr>
      <w:sz w:val="18"/>
    </w:rPr>
  </w:style>
  <w:style w:type="character" w:customStyle="1" w:styleId="20">
    <w:name w:val="Body Text Char"/>
    <w:basedOn w:val="13"/>
    <w:semiHidden/>
    <w:qFormat/>
    <w:uiPriority w:val="99"/>
    <w:rPr>
      <w:rFonts w:ascii="Times New Roman" w:hAnsi="Times New Roman"/>
      <w:szCs w:val="24"/>
    </w:rPr>
  </w:style>
  <w:style w:type="character" w:customStyle="1" w:styleId="21">
    <w:name w:val="正文文本 Char"/>
    <w:link w:val="2"/>
    <w:qFormat/>
    <w:locked/>
    <w:uiPriority w:val="99"/>
    <w:rPr>
      <w:rFonts w:ascii="仿宋_GB2312" w:hAnsi="Times New Roman" w:eastAsia="仿宋_GB2312"/>
      <w:sz w:val="24"/>
    </w:rPr>
  </w:style>
  <w:style w:type="paragraph" w:customStyle="1" w:styleId="22">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3">
    <w:name w:val="List Paragraph"/>
    <w:basedOn w:val="1"/>
    <w:qFormat/>
    <w:uiPriority w:val="34"/>
    <w:pPr>
      <w:ind w:firstLine="420" w:firstLineChars="200"/>
    </w:pPr>
  </w:style>
  <w:style w:type="character" w:customStyle="1" w:styleId="24">
    <w:name w:val="标题 1 Char"/>
    <w:basedOn w:val="13"/>
    <w:link w:val="3"/>
    <w:qFormat/>
    <w:uiPriority w:val="9"/>
    <w:rPr>
      <w:rFonts w:ascii="Times New Roman" w:hAnsi="Times New Roman"/>
      <w:b/>
      <w:bCs/>
      <w:kern w:val="44"/>
      <w:sz w:val="44"/>
      <w:szCs w:val="44"/>
    </w:rPr>
  </w:style>
  <w:style w:type="character" w:customStyle="1" w:styleId="25">
    <w:name w:val="标题 2 Char"/>
    <w:basedOn w:val="13"/>
    <w:link w:val="4"/>
    <w:qFormat/>
    <w:uiPriority w:val="9"/>
    <w:rPr>
      <w:rFonts w:asciiTheme="majorHAnsi" w:hAnsiTheme="majorHAnsi" w:eastAsiaTheme="majorEastAsia" w:cstheme="majorBidi"/>
      <w:b/>
      <w:bCs/>
      <w:kern w:val="2"/>
      <w:sz w:val="32"/>
      <w:szCs w:val="32"/>
    </w:rPr>
  </w:style>
  <w:style w:type="paragraph" w:customStyle="1" w:styleId="26">
    <w:name w:val="TOC 标题1"/>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27">
    <w:name w:val="批注框文本 Char"/>
    <w:basedOn w:val="13"/>
    <w:link w:val="7"/>
    <w:semiHidden/>
    <w:qFormat/>
    <w:uiPriority w:val="99"/>
    <w:rPr>
      <w:rFonts w:ascii="Times New Roman" w:hAnsi="Times New Roman"/>
      <w:kern w:val="2"/>
      <w:sz w:val="18"/>
      <w:szCs w:val="18"/>
    </w:rPr>
  </w:style>
  <w:style w:type="character" w:customStyle="1" w:styleId="28">
    <w:name w:val="标题 3 Char"/>
    <w:basedOn w:val="13"/>
    <w:link w:val="5"/>
    <w:qFormat/>
    <w:uiPriority w:val="9"/>
    <w:rPr>
      <w:rFonts w:ascii="Times New Roman" w:hAnsi="Times New Roman"/>
      <w:b/>
      <w:bCs/>
      <w:kern w:val="2"/>
      <w:sz w:val="32"/>
      <w:szCs w:val="32"/>
    </w:rPr>
  </w:style>
  <w:style w:type="paragraph" w:customStyle="1" w:styleId="29">
    <w:name w:val="TOC Heading"/>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30">
    <w:name w:val="WPSOffice手动目录 1"/>
    <w:qFormat/>
    <w:uiPriority w:val="0"/>
    <w:pPr>
      <w:ind w:leftChars="0"/>
    </w:pPr>
    <w:rPr>
      <w:rFonts w:asciiTheme="minorHAnsi" w:hAnsiTheme="minorHAnsi" w:eastAsiaTheme="minorEastAsia" w:cstheme="minorBidi"/>
      <w:sz w:val="20"/>
      <w:szCs w:val="20"/>
    </w:rPr>
  </w:style>
  <w:style w:type="paragraph" w:customStyle="1" w:styleId="31">
    <w:name w:val="WPSOffice手动目录 2"/>
    <w:qFormat/>
    <w:uiPriority w:val="0"/>
    <w:pPr>
      <w:ind w:leftChars="20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chart" Target="charts/chart4.xml"/><Relationship Id="rId8" Type="http://schemas.openxmlformats.org/officeDocument/2006/relationships/chart" Target="charts/chart3.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chart" Target="charts/chart6.xml"/><Relationship Id="rId10" Type="http://schemas.openxmlformats.org/officeDocument/2006/relationships/chart" Target="charts/chart5.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dmin\Desktop\&#20915;&#31639;&#25253;&#34920;&#34920;&#22270;&#24037;&#20855;.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dmin\Desktop\&#20915;&#31639;&#25253;&#34920;&#34920;&#22270;&#24037;&#20855;.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admin\Desktop\&#20915;&#31639;&#25253;&#34920;&#34920;&#22270;&#24037;&#20855;.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admin\Desktop\&#20915;&#31639;&#25253;&#34920;&#34920;&#22270;&#24037;&#20855;.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admin\Desktop\&#20915;&#31639;&#25253;&#34920;&#34920;&#22270;&#24037;&#20855;.xls" TargetMode="External"/></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admin\Desktop\&#20915;&#31639;&#25253;&#34920;&#34920;&#22270;&#24037;&#20855;.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zh-CN" altLang="en-US" b="1"/>
              <a:t>收、支决算总计变动情况图（万元）</a:t>
            </a:r>
            <a:endParaRPr lang="zh-CN" altLang="en-US" b="1"/>
          </a:p>
        </c:rich>
      </c:tx>
      <c:layout/>
      <c:overlay val="0"/>
      <c:spPr>
        <a:noFill/>
        <a:ln>
          <a:noFill/>
        </a:ln>
        <a:effectLst/>
      </c:spPr>
    </c:title>
    <c:autoTitleDeleted val="0"/>
    <c:plotArea>
      <c:layout/>
      <c:barChart>
        <c:barDir val="col"/>
        <c:grouping val="clustered"/>
        <c:varyColors val="0"/>
        <c:ser>
          <c:idx val="0"/>
          <c:order val="0"/>
          <c:spPr>
            <a:solidFill>
              <a:schemeClr val="tx2">
                <a:lumMod val="60000"/>
                <a:lumOff val="40000"/>
              </a:schemeClr>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1200" b="0" i="0" u="none" strike="noStrike" kern="1200" baseline="0">
                    <a:solidFill>
                      <a:schemeClr val="tx1">
                        <a:lumMod val="75000"/>
                        <a:lumOff val="25000"/>
                      </a:schemeClr>
                    </a:solidFill>
                    <a:latin typeface="+mn-lt"/>
                    <a:ea typeface="+mn-ea"/>
                    <a:cs typeface="+mn-cs"/>
                  </a:defRPr>
                </a:pPr>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[决算报表表图工具.xls]Sheet1!$A$1:$A$2</c:f>
              <c:strCache>
                <c:ptCount val="2"/>
                <c:pt idx="0">
                  <c:v>2019年度</c:v>
                </c:pt>
                <c:pt idx="1">
                  <c:v>2020年度</c:v>
                </c:pt>
              </c:strCache>
            </c:strRef>
          </c:cat>
          <c:val>
            <c:numRef>
              <c:f>[决算报表表图工具.xls]Sheet1!$B$1:$B$2</c:f>
              <c:numCache>
                <c:formatCode>General</c:formatCode>
                <c:ptCount val="2"/>
                <c:pt idx="0">
                  <c:v>1454.46</c:v>
                </c:pt>
                <c:pt idx="1">
                  <c:v>1887.81</c:v>
                </c:pt>
              </c:numCache>
            </c:numRef>
          </c:val>
        </c:ser>
        <c:dLbls>
          <c:showLegendKey val="0"/>
          <c:showVal val="1"/>
          <c:showCatName val="0"/>
          <c:showSerName val="0"/>
          <c:showPercent val="0"/>
          <c:showBubbleSize val="0"/>
        </c:dLbls>
        <c:gapWidth val="75"/>
        <c:overlap val="40"/>
        <c:axId val="121847808"/>
        <c:axId val="121850496"/>
      </c:barChart>
      <c:catAx>
        <c:axId val="121847808"/>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0" vertOverflow="ellipsis" vert="horz" wrap="square" anchor="ctr" anchorCtr="1"/>
          <a:lstStyle/>
          <a:p>
            <a:pPr>
              <a:defRPr lang="zh-CN" sz="1200" b="1" i="0" u="none" strike="noStrike" kern="1200" baseline="0">
                <a:solidFill>
                  <a:schemeClr val="tx1">
                    <a:lumMod val="65000"/>
                    <a:lumOff val="35000"/>
                  </a:schemeClr>
                </a:solidFill>
                <a:latin typeface="+mn-lt"/>
                <a:ea typeface="+mn-ea"/>
                <a:cs typeface="+mn-cs"/>
              </a:defRPr>
            </a:pPr>
          </a:p>
        </c:txPr>
        <c:crossAx val="121850496"/>
        <c:crosses val="autoZero"/>
        <c:auto val="1"/>
        <c:lblAlgn val="ctr"/>
        <c:lblOffset val="100"/>
        <c:noMultiLvlLbl val="0"/>
      </c:catAx>
      <c:valAx>
        <c:axId val="121850496"/>
        <c:scaling>
          <c:orientation val="minMax"/>
        </c:scaling>
        <c:delete val="0"/>
        <c:axPos val="l"/>
        <c:majorGridlines>
          <c:spPr>
            <a:ln w="9525"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9525" cap="flat" cmpd="sng" algn="ctr">
            <a:noFill/>
            <a:prstDash val="solid"/>
            <a:round/>
          </a:ln>
          <a:effectLst/>
        </c:spPr>
        <c:txPr>
          <a:bodyPr rot="-60000000" spcFirstLastPara="0" vertOverflow="ellipsis" vert="horz" wrap="square" anchor="ctr" anchorCtr="1"/>
          <a:lstStyle/>
          <a:p>
            <a:pPr>
              <a:defRPr lang="zh-CN" sz="1200" b="1" i="0" u="none" strike="noStrike" kern="1200" baseline="0">
                <a:solidFill>
                  <a:schemeClr val="tx1">
                    <a:lumMod val="65000"/>
                    <a:lumOff val="35000"/>
                  </a:schemeClr>
                </a:solidFill>
                <a:latin typeface="+mn-lt"/>
                <a:ea typeface="+mn-ea"/>
                <a:cs typeface="+mn-cs"/>
              </a:defRPr>
            </a:pPr>
          </a:p>
        </c:txPr>
        <c:crossAx val="121847808"/>
        <c:crosses val="autoZero"/>
        <c:crossBetween val="between"/>
      </c:valAx>
      <c:spPr>
        <a:noFill/>
        <a:ln w="6350">
          <a:solidFill>
            <a:schemeClr val="tx1"/>
          </a:solidFill>
        </a:ln>
        <a:effectLst/>
      </c:spPr>
    </c:plotArea>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spc="0" baseline="0">
                <a:solidFill>
                  <a:schemeClr val="tx1">
                    <a:lumMod val="65000"/>
                    <a:lumOff val="35000"/>
                  </a:schemeClr>
                </a:solidFill>
                <a:latin typeface="+mn-lt"/>
                <a:ea typeface="+mn-ea"/>
                <a:cs typeface="+mn-cs"/>
              </a:defRPr>
            </a:pPr>
            <a:r>
              <a:rPr lang="zh-CN" altLang="en-US" b="1"/>
              <a:t>收入决算结构图</a:t>
            </a:r>
            <a:endParaRPr lang="zh-CN" altLang="en-US" b="1"/>
          </a:p>
        </c:rich>
      </c:tx>
      <c:layout>
        <c:manualLayout>
          <c:xMode val="edge"/>
          <c:yMode val="edge"/>
          <c:x val="0.39932516182344"/>
          <c:y val="0.0164383561643836"/>
        </c:manualLayout>
      </c:layout>
      <c:overlay val="0"/>
      <c:spPr>
        <a:noFill/>
        <a:ln>
          <a:noFill/>
        </a:ln>
        <a:effectLst/>
      </c:spPr>
    </c:title>
    <c:autoTitleDeleted val="0"/>
    <c:plotArea>
      <c:layout/>
      <c:pieChart>
        <c:varyColors val="1"/>
        <c:ser>
          <c:idx val="0"/>
          <c:order val="0"/>
          <c:explosion val="0"/>
          <c:dPt>
            <c:idx val="0"/>
            <c:bubble3D val="0"/>
            <c:spPr>
              <a:solidFill>
                <a:schemeClr val="accent1"/>
              </a:solidFill>
              <a:ln w="19050">
                <a:solidFill>
                  <a:schemeClr val="lt1"/>
                </a:solidFill>
              </a:ln>
              <a:effectLst/>
            </c:spPr>
          </c:dPt>
          <c:dPt>
            <c:idx val="1"/>
            <c:bubble3D val="0"/>
            <c:spPr>
              <a:solidFill>
                <a:schemeClr val="accent6"/>
              </a:solidFill>
              <a:ln w="19050">
                <a:solidFill>
                  <a:schemeClr val="lt1"/>
                </a:solidFill>
              </a:ln>
              <a:effectLst/>
            </c:spPr>
          </c:dPt>
          <c:dPt>
            <c:idx val="2"/>
            <c:bubble3D val="0"/>
            <c:spPr>
              <a:solidFill>
                <a:schemeClr val="tx2">
                  <a:lumMod val="60000"/>
                  <a:lumOff val="40000"/>
                </a:schemeClr>
              </a:solidFill>
              <a:ln w="19050">
                <a:solidFill>
                  <a:schemeClr val="lt1"/>
                </a:solidFill>
              </a:ln>
              <a:effectLst/>
            </c:spPr>
          </c:dPt>
          <c:dPt>
            <c:idx val="3"/>
            <c:bubble3D val="0"/>
            <c:spPr>
              <a:solidFill>
                <a:schemeClr val="accent3"/>
              </a:solidFill>
              <a:ln w="19050">
                <a:solidFill>
                  <a:schemeClr val="lt1"/>
                </a:solidFill>
              </a:ln>
              <a:effectLst/>
            </c:spPr>
          </c:dPt>
          <c:dLbls>
            <c:dLbl>
              <c:idx val="1"/>
              <c:layout>
                <c:manualLayout>
                  <c:x val="0.0274959288735247"/>
                  <c:y val="0.335160949755464"/>
                </c:manualLayout>
              </c:layout>
              <c:tx>
                <c:rich>
                  <a:bodyPr rot="0" spcFirstLastPara="0" vertOverflow="ellipsis" vert="horz" wrap="square" lIns="38100" tIns="19050" rIns="38100" bIns="19050" anchor="ctr" anchorCtr="1"/>
                  <a:lstStyle/>
                  <a:p>
                    <a:pPr>
                      <a:defRPr lang="zh-CN" sz="1050" b="0" i="0" u="none" strike="noStrike" kern="1200" baseline="0">
                        <a:solidFill>
                          <a:schemeClr val="tx1">
                            <a:lumMod val="75000"/>
                            <a:lumOff val="25000"/>
                          </a:schemeClr>
                        </a:solidFill>
                        <a:latin typeface="+mn-lt"/>
                        <a:ea typeface="+mn-ea"/>
                        <a:cs typeface="+mn-cs"/>
                      </a:defRPr>
                    </a:pPr>
                    <a:r>
                      <a:rPr lang="zh-CN" altLang="en-US" sz="1050" b="0"/>
                      <a:t>一般公共预算财政拨款收入</a:t>
                    </a:r>
                    <a:endParaRPr lang="zh-CN" altLang="en-US" sz="1050" b="0"/>
                  </a:p>
                  <a:p>
                    <a:pPr>
                      <a:defRPr lang="zh-CN" sz="1050" b="0" i="0" u="none" strike="noStrike" kern="1200" baseline="0">
                        <a:solidFill>
                          <a:schemeClr val="tx1">
                            <a:lumMod val="75000"/>
                            <a:lumOff val="25000"/>
                          </a:schemeClr>
                        </a:solidFill>
                        <a:latin typeface="+mn-lt"/>
                        <a:ea typeface="+mn-ea"/>
                        <a:cs typeface="+mn-cs"/>
                      </a:defRPr>
                    </a:pPr>
                    <a:r>
                      <a:rPr lang="en-US" altLang="zh-CN" sz="1050" b="0"/>
                      <a:t>46.37%</a:t>
                    </a:r>
                    <a:endParaRPr lang="en-US" altLang="zh-CN" sz="1050" b="0"/>
                  </a:p>
                </c:rich>
              </c:tx>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2"/>
              <c:layout>
                <c:manualLayout>
                  <c:x val="-0.0205914522610874"/>
                  <c:y val="-0.060582392639886"/>
                </c:manualLayout>
              </c:layout>
              <c:tx>
                <c:rich>
                  <a:bodyPr rot="0" spcFirstLastPara="0" vertOverflow="ellipsis" vert="horz" wrap="square" lIns="38100" tIns="19050" rIns="38100" bIns="19050" anchor="ctr" anchorCtr="1"/>
                  <a:lstStyle/>
                  <a:p>
                    <a:pPr>
                      <a:defRPr lang="zh-CN" sz="1050" b="0" i="0" u="none" strike="noStrike" kern="1200" baseline="0">
                        <a:solidFill>
                          <a:schemeClr val="tx1">
                            <a:lumMod val="75000"/>
                            <a:lumOff val="25000"/>
                          </a:schemeClr>
                        </a:solidFill>
                        <a:latin typeface="+mn-lt"/>
                        <a:ea typeface="+mn-ea"/>
                        <a:cs typeface="+mn-cs"/>
                      </a:defRPr>
                    </a:pPr>
                    <a:r>
                      <a:rPr lang="zh-CN" altLang="en-US" sz="1050" b="0"/>
                      <a:t>事业收入</a:t>
                    </a:r>
                    <a:endParaRPr lang="zh-CN" altLang="en-US" sz="1050" b="0"/>
                  </a:p>
                  <a:p>
                    <a:pPr>
                      <a:defRPr lang="zh-CN" sz="1050" b="0" i="0" u="none" strike="noStrike" kern="1200" baseline="0">
                        <a:solidFill>
                          <a:schemeClr val="tx1">
                            <a:lumMod val="75000"/>
                            <a:lumOff val="25000"/>
                          </a:schemeClr>
                        </a:solidFill>
                        <a:latin typeface="+mn-lt"/>
                        <a:ea typeface="+mn-ea"/>
                        <a:cs typeface="+mn-cs"/>
                      </a:defRPr>
                    </a:pPr>
                    <a:r>
                      <a:rPr lang="en-US" altLang="zh-CN" sz="1050" b="0"/>
                      <a:t>48.36%</a:t>
                    </a:r>
                    <a:endParaRPr lang="en-US" altLang="zh-CN" sz="1050" b="0"/>
                  </a:p>
                </c:rich>
              </c:tx>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3"/>
              <c:layout>
                <c:manualLayout>
                  <c:x val="-0.147126885818748"/>
                  <c:y val="0.060326495356899"/>
                </c:manualLayout>
              </c:layout>
              <c:tx>
                <c:rich>
                  <a:bodyPr rot="0" spcFirstLastPara="0" vertOverflow="ellipsis" vert="horz" wrap="square" lIns="38100" tIns="19050" rIns="38100" bIns="19050" anchor="ctr" anchorCtr="1"/>
                  <a:lstStyle/>
                  <a:p>
                    <a:pPr>
                      <a:defRPr lang="zh-CN" sz="1050" b="0" i="0" u="none" strike="noStrike" kern="1200" baseline="0">
                        <a:solidFill>
                          <a:schemeClr val="tx1">
                            <a:lumMod val="75000"/>
                            <a:lumOff val="25000"/>
                          </a:schemeClr>
                        </a:solidFill>
                        <a:latin typeface="+mn-lt"/>
                        <a:ea typeface="+mn-ea"/>
                        <a:cs typeface="+mn-cs"/>
                      </a:defRPr>
                    </a:pPr>
                    <a:r>
                      <a:rPr lang="zh-CN" altLang="en-US" sz="1050" b="0"/>
                      <a:t>其他收入</a:t>
                    </a:r>
                    <a:endParaRPr lang="zh-CN" altLang="en-US" sz="1050" b="0"/>
                  </a:p>
                  <a:p>
                    <a:pPr>
                      <a:defRPr lang="zh-CN" sz="1050" b="0" i="0" u="none" strike="noStrike" kern="1200" baseline="0">
                        <a:solidFill>
                          <a:schemeClr val="tx1">
                            <a:lumMod val="75000"/>
                            <a:lumOff val="25000"/>
                          </a:schemeClr>
                        </a:solidFill>
                        <a:latin typeface="+mn-lt"/>
                        <a:ea typeface="+mn-ea"/>
                        <a:cs typeface="+mn-cs"/>
                      </a:defRPr>
                    </a:pPr>
                    <a:r>
                      <a:rPr lang="en-US" altLang="zh-CN" sz="1050" b="0"/>
                      <a:t>5.27%</a:t>
                    </a:r>
                    <a:endParaRPr lang="en-US" altLang="zh-CN" sz="1050" b="0"/>
                  </a:p>
                </c:rich>
              </c:tx>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050" b="0" i="0" u="none" strike="noStrike" kern="1200" baseline="0">
                    <a:solidFill>
                      <a:schemeClr val="tx1">
                        <a:lumMod val="75000"/>
                        <a:lumOff val="25000"/>
                      </a:schemeClr>
                    </a:solidFill>
                    <a:latin typeface="+mn-lt"/>
                    <a:ea typeface="+mn-ea"/>
                    <a:cs typeface="+mn-cs"/>
                  </a:defRPr>
                </a:pPr>
              </a:p>
            </c:txPr>
            <c:dLblPos val="inEnd"/>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[决算报表表图工具.xls]Sheet1!$A$28:$A$31</c:f>
              <c:strCache>
                <c:ptCount val="4"/>
                <c:pt idx="0">
                  <c:v>收入决算结构图（万元）</c:v>
                </c:pt>
                <c:pt idx="1">
                  <c:v>一般公共预算财政拨款收入</c:v>
                </c:pt>
                <c:pt idx="2">
                  <c:v>事业收入</c:v>
                </c:pt>
                <c:pt idx="3">
                  <c:v>其他收入</c:v>
                </c:pt>
              </c:strCache>
            </c:strRef>
          </c:cat>
          <c:val>
            <c:numRef>
              <c:f>[决算报表表图工具.xls]Sheet1!$B$28:$B$31</c:f>
              <c:numCache>
                <c:formatCode>General</c:formatCode>
                <c:ptCount val="4"/>
                <c:pt idx="1">
                  <c:v>875.36</c:v>
                </c:pt>
                <c:pt idx="2">
                  <c:v>913</c:v>
                </c:pt>
                <c:pt idx="3">
                  <c:v>99.45</c:v>
                </c:pt>
              </c:numCache>
            </c:numRef>
          </c:val>
        </c:ser>
        <c:dLbls>
          <c:showLegendKey val="0"/>
          <c:showVal val="1"/>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zh-CN" altLang="en-US" b="1"/>
              <a:t>支出决算结构图</a:t>
            </a:r>
            <a:endParaRPr lang="zh-CN" altLang="en-US" b="1"/>
          </a:p>
        </c:rich>
      </c:tx>
      <c:layout/>
      <c:overlay val="0"/>
      <c:spPr>
        <a:noFill/>
        <a:ln>
          <a:noFill/>
        </a:ln>
        <a:effectLst/>
      </c:spPr>
    </c:title>
    <c:autoTitleDeleted val="0"/>
    <c:plotArea>
      <c:layout/>
      <c:pieChart>
        <c:varyColors val="1"/>
        <c:ser>
          <c:idx val="0"/>
          <c:order val="0"/>
          <c:spPr>
            <a:solidFill>
              <a:schemeClr val="accent6"/>
            </a:solidFill>
          </c:spPr>
          <c:explosion val="0"/>
          <c:dPt>
            <c:idx val="0"/>
            <c:bubble3D val="0"/>
            <c:spPr>
              <a:solidFill>
                <a:schemeClr val="accent6"/>
              </a:solidFill>
              <a:ln w="19050">
                <a:solidFill>
                  <a:schemeClr val="lt1"/>
                </a:solidFill>
              </a:ln>
              <a:effectLst/>
            </c:spPr>
          </c:dPt>
          <c:dPt>
            <c:idx val="1"/>
            <c:bubble3D val="0"/>
            <c:spPr>
              <a:solidFill>
                <a:schemeClr val="tx2">
                  <a:lumMod val="60000"/>
                  <a:lumOff val="40000"/>
                </a:schemeClr>
              </a:solidFill>
              <a:ln w="19050">
                <a:solidFill>
                  <a:schemeClr val="lt1"/>
                </a:solidFill>
              </a:ln>
              <a:effectLst/>
            </c:spPr>
          </c:dPt>
          <c:dLbls>
            <c:dLbl>
              <c:idx val="0"/>
              <c:layout>
                <c:manualLayout>
                  <c:x val="-0.149002254645228"/>
                  <c:y val="0.144685937360397"/>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1"/>
              <c:layout>
                <c:manualLayout>
                  <c:x val="0.175668939668435"/>
                  <c:y val="-0.103019236345974"/>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000" b="1" i="0" u="none" strike="noStrike" kern="1200" cap="none" spc="0" normalizeH="0" baseline="0">
                    <a:solidFill>
                      <a:schemeClr val="tx1">
                        <a:lumMod val="75000"/>
                        <a:lumOff val="25000"/>
                      </a:schemeClr>
                    </a:solidFill>
                    <a:uFill>
                      <a:solidFill>
                        <a:schemeClr val="tx1">
                          <a:lumMod val="75000"/>
                          <a:lumOff val="25000"/>
                        </a:schemeClr>
                      </a:solidFill>
                    </a:uFill>
                    <a:latin typeface="+mn-lt"/>
                    <a:ea typeface="+mn-ea"/>
                    <a:cs typeface="+mn-cs"/>
                  </a:defRPr>
                </a:pPr>
              </a:p>
            </c:txPr>
            <c:dLblPos val="inEnd"/>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[决算报表表图工具.xls]Sheet1!$A$43:$A$44</c:f>
              <c:strCache>
                <c:ptCount val="2"/>
                <c:pt idx="0">
                  <c:v>基本支出</c:v>
                </c:pt>
                <c:pt idx="1">
                  <c:v>项目支出</c:v>
                </c:pt>
              </c:strCache>
            </c:strRef>
          </c:cat>
          <c:val>
            <c:numRef>
              <c:f>[决算报表表图工具.xls]Sheet1!$B$43:$B$44</c:f>
              <c:numCache>
                <c:formatCode>0.00%</c:formatCode>
                <c:ptCount val="2"/>
                <c:pt idx="0">
                  <c:v>0.3348</c:v>
                </c:pt>
                <c:pt idx="1">
                  <c:v>0.6652</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spc="0" baseline="0">
                <a:solidFill>
                  <a:schemeClr val="tx1">
                    <a:lumMod val="65000"/>
                    <a:lumOff val="35000"/>
                  </a:schemeClr>
                </a:solidFill>
                <a:latin typeface="+mn-lt"/>
                <a:ea typeface="+mn-ea"/>
                <a:cs typeface="+mn-cs"/>
              </a:defRPr>
            </a:pPr>
            <a:r>
              <a:rPr lang="zh-CN" altLang="en-US" b="1"/>
              <a:t>     财政拨款收、支决算总计变动情况（万元）</a:t>
            </a:r>
            <a:endParaRPr lang="zh-CN" altLang="en-US" b="1"/>
          </a:p>
        </c:rich>
      </c:tx>
      <c:layout/>
      <c:overlay val="0"/>
      <c:spPr>
        <a:noFill/>
        <a:ln>
          <a:noFill/>
        </a:ln>
        <a:effectLst/>
      </c:spPr>
    </c:title>
    <c:autoTitleDeleted val="0"/>
    <c:plotArea>
      <c:layout/>
      <c:barChart>
        <c:barDir val="col"/>
        <c:grouping val="clustered"/>
        <c:varyColors val="0"/>
        <c:ser>
          <c:idx val="0"/>
          <c:order val="0"/>
          <c:spPr>
            <a:solidFill>
              <a:schemeClr val="accent1"/>
            </a:solidFill>
            <a:ln>
              <a:noFill/>
            </a:ln>
            <a:effectLst/>
          </c:spPr>
          <c:invertIfNegative val="0"/>
          <c:dPt>
            <c:idx val="0"/>
            <c:invertIfNegative val="0"/>
            <c:bubble3D val="0"/>
            <c:spPr>
              <a:solidFill>
                <a:schemeClr val="tx2">
                  <a:lumMod val="60000"/>
                  <a:lumOff val="40000"/>
                </a:schemeClr>
              </a:solidFill>
              <a:ln>
                <a:noFill/>
              </a:ln>
              <a:effectLst/>
            </c:spPr>
          </c:dPt>
          <c:dPt>
            <c:idx val="1"/>
            <c:invertIfNegative val="0"/>
            <c:bubble3D val="0"/>
            <c:spPr>
              <a:solidFill>
                <a:schemeClr val="tx2">
                  <a:lumMod val="60000"/>
                  <a:lumOff val="40000"/>
                </a:schemeClr>
              </a:solidFill>
              <a:ln>
                <a:noFill/>
              </a:ln>
              <a:effectLst/>
            </c:spPr>
          </c:dPt>
          <c:dLbls>
            <c:dLbl>
              <c:idx val="1"/>
              <c:layout>
                <c:manualLayout>
                  <c:x val="-0.00305888350751976"/>
                  <c:y val="-0.00274160383824537"/>
                </c:manualLayout>
              </c:layout>
              <c:dLblPos val="in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200" b="0" i="0" u="none" strike="noStrike" kern="1200" baseline="0">
                    <a:solidFill>
                      <a:schemeClr val="tx1">
                        <a:lumMod val="75000"/>
                        <a:lumOff val="25000"/>
                      </a:schemeClr>
                    </a:solidFill>
                    <a:latin typeface="+mn-lt"/>
                    <a:ea typeface="+mn-ea"/>
                    <a:cs typeface="+mn-cs"/>
                  </a:defRPr>
                </a:pPr>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[决算报表表图工具.xls]Sheet1!$A$58:$A$59</c:f>
              <c:strCache>
                <c:ptCount val="2"/>
                <c:pt idx="0">
                  <c:v>2019年度</c:v>
                </c:pt>
                <c:pt idx="1">
                  <c:v>2020年度</c:v>
                </c:pt>
              </c:strCache>
            </c:strRef>
          </c:cat>
          <c:val>
            <c:numRef>
              <c:f>[决算报表表图工具.xls]Sheet1!$B$58:$B$59</c:f>
              <c:numCache>
                <c:formatCode>General</c:formatCode>
                <c:ptCount val="2"/>
                <c:pt idx="0">
                  <c:v>405.28</c:v>
                </c:pt>
                <c:pt idx="1">
                  <c:v>875.36</c:v>
                </c:pt>
              </c:numCache>
            </c:numRef>
          </c:val>
        </c:ser>
        <c:dLbls>
          <c:showLegendKey val="0"/>
          <c:showVal val="1"/>
          <c:showCatName val="0"/>
          <c:showSerName val="0"/>
          <c:showPercent val="0"/>
          <c:showBubbleSize val="0"/>
        </c:dLbls>
        <c:gapWidth val="75"/>
        <c:overlap val="40"/>
        <c:axId val="122031488"/>
        <c:axId val="122051584"/>
      </c:barChart>
      <c:catAx>
        <c:axId val="122031488"/>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0" vertOverflow="ellipsis" vert="horz" wrap="square" anchor="ctr" anchorCtr="1"/>
          <a:lstStyle/>
          <a:p>
            <a:pPr>
              <a:defRPr lang="zh-CN" sz="1200" b="1" i="0" u="none" strike="noStrike" kern="1200" baseline="0">
                <a:solidFill>
                  <a:schemeClr val="tx1">
                    <a:lumMod val="65000"/>
                    <a:lumOff val="35000"/>
                  </a:schemeClr>
                </a:solidFill>
                <a:latin typeface="+mn-lt"/>
                <a:ea typeface="+mn-ea"/>
                <a:cs typeface="+mn-cs"/>
              </a:defRPr>
            </a:pPr>
          </a:p>
        </c:txPr>
        <c:crossAx val="122051584"/>
        <c:crosses val="autoZero"/>
        <c:auto val="1"/>
        <c:lblAlgn val="ctr"/>
        <c:lblOffset val="100"/>
        <c:noMultiLvlLbl val="0"/>
      </c:catAx>
      <c:valAx>
        <c:axId val="122051584"/>
        <c:scaling>
          <c:orientation val="minMax"/>
        </c:scaling>
        <c:delete val="0"/>
        <c:axPos val="l"/>
        <c:majorGridlines>
          <c:spPr>
            <a:ln w="9525"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9525" cap="flat" cmpd="sng" algn="ctr">
            <a:noFill/>
            <a:prstDash val="solid"/>
            <a:round/>
          </a:ln>
          <a:effectLst/>
        </c:spPr>
        <c:txPr>
          <a:bodyPr rot="-60000000" spcFirstLastPara="0" vertOverflow="ellipsis" vert="horz" wrap="square" anchor="ctr" anchorCtr="1"/>
          <a:lstStyle/>
          <a:p>
            <a:pPr>
              <a:defRPr lang="zh-CN" sz="1200" b="1" i="0" u="none" strike="noStrike" kern="1200" baseline="0">
                <a:solidFill>
                  <a:schemeClr val="tx1">
                    <a:lumMod val="65000"/>
                    <a:lumOff val="35000"/>
                  </a:schemeClr>
                </a:solidFill>
                <a:latin typeface="+mn-lt"/>
                <a:ea typeface="+mn-ea"/>
                <a:cs typeface="+mn-cs"/>
              </a:defRPr>
            </a:pPr>
          </a:p>
        </c:txPr>
        <c:crossAx val="122031488"/>
        <c:crosses val="autoZero"/>
        <c:crossBetween val="between"/>
      </c:valAx>
      <c:spPr>
        <a:noFill/>
        <a:ln w="9525" cmpd="sng">
          <a:solidFill>
            <a:schemeClr val="tx1"/>
          </a:solidFill>
          <a:prstDash val="solid"/>
        </a:ln>
        <a:effectLst/>
      </c:spPr>
    </c:plotArea>
    <c:plotVisOnly val="1"/>
    <c:dispBlanksAs val="gap"/>
    <c:showDLblsOverMax val="0"/>
  </c:chart>
  <c:spPr>
    <a:solidFill>
      <a:schemeClr val="bg1"/>
    </a:solidFill>
    <a:ln w="6350" cap="flat" cmpd="sng" algn="ctr">
      <a:solidFill>
        <a:schemeClr val="accent1"/>
      </a:solidFill>
      <a:prstDash val="solid"/>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spc="0" baseline="0">
                <a:solidFill>
                  <a:schemeClr val="tx1">
                    <a:lumMod val="65000"/>
                    <a:lumOff val="35000"/>
                  </a:schemeClr>
                </a:solidFill>
                <a:latin typeface="+mn-lt"/>
                <a:ea typeface="+mn-ea"/>
                <a:cs typeface="+mn-cs"/>
              </a:defRPr>
            </a:pPr>
            <a:r>
              <a:rPr lang="zh-CN" altLang="en-US" b="1"/>
              <a:t>    一般公共预算财政拨款支出决算变动情况（万元）</a:t>
            </a:r>
            <a:endParaRPr lang="zh-CN" altLang="en-US" b="1"/>
          </a:p>
        </c:rich>
      </c:tx>
      <c:layout/>
      <c:overlay val="0"/>
      <c:spPr>
        <a:noFill/>
        <a:ln>
          <a:noFill/>
        </a:ln>
        <a:effectLst/>
      </c:spPr>
    </c:title>
    <c:autoTitleDeleted val="0"/>
    <c:plotArea>
      <c:layout/>
      <c:barChart>
        <c:barDir val="col"/>
        <c:grouping val="clustered"/>
        <c:varyColors val="0"/>
        <c:ser>
          <c:idx val="0"/>
          <c:order val="0"/>
          <c:spPr>
            <a:solidFill>
              <a:schemeClr val="tx2">
                <a:lumMod val="60000"/>
                <a:lumOff val="40000"/>
              </a:schemeClr>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1200" b="0" i="0" u="none" strike="noStrike" kern="1200" baseline="0">
                    <a:solidFill>
                      <a:schemeClr val="tx1">
                        <a:lumMod val="75000"/>
                        <a:lumOff val="25000"/>
                      </a:schemeClr>
                    </a:solidFill>
                    <a:latin typeface="+mn-lt"/>
                    <a:ea typeface="+mn-ea"/>
                    <a:cs typeface="+mn-cs"/>
                  </a:defRPr>
                </a:pPr>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[决算报表表图工具.xls]Sheet1!$A$58:$A$59</c:f>
              <c:strCache>
                <c:ptCount val="2"/>
                <c:pt idx="0">
                  <c:v>2019年度</c:v>
                </c:pt>
                <c:pt idx="1">
                  <c:v>2020年度</c:v>
                </c:pt>
              </c:strCache>
            </c:strRef>
          </c:cat>
          <c:val>
            <c:numRef>
              <c:f>[决算报表表图工具.xls]Sheet1!$B$58:$B$59</c:f>
              <c:numCache>
                <c:formatCode>General</c:formatCode>
                <c:ptCount val="2"/>
                <c:pt idx="0">
                  <c:v>405.28</c:v>
                </c:pt>
                <c:pt idx="1">
                  <c:v>875.36</c:v>
                </c:pt>
              </c:numCache>
            </c:numRef>
          </c:val>
        </c:ser>
        <c:dLbls>
          <c:showLegendKey val="0"/>
          <c:showVal val="1"/>
          <c:showCatName val="0"/>
          <c:showSerName val="0"/>
          <c:showPercent val="0"/>
          <c:showBubbleSize val="0"/>
        </c:dLbls>
        <c:gapWidth val="75"/>
        <c:overlap val="40"/>
        <c:axId val="122066816"/>
        <c:axId val="122082048"/>
      </c:barChart>
      <c:catAx>
        <c:axId val="122066816"/>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0" vertOverflow="ellipsis" vert="horz" wrap="square" anchor="ctr" anchorCtr="1"/>
          <a:lstStyle/>
          <a:p>
            <a:pPr>
              <a:defRPr lang="zh-CN" sz="1200" b="1" i="0" u="none" strike="noStrike" kern="1200" baseline="0">
                <a:solidFill>
                  <a:schemeClr val="tx1">
                    <a:lumMod val="65000"/>
                    <a:lumOff val="35000"/>
                  </a:schemeClr>
                </a:solidFill>
                <a:latin typeface="+mn-lt"/>
                <a:ea typeface="+mn-ea"/>
                <a:cs typeface="+mn-cs"/>
              </a:defRPr>
            </a:pPr>
          </a:p>
        </c:txPr>
        <c:crossAx val="122082048"/>
        <c:crosses val="autoZero"/>
        <c:auto val="1"/>
        <c:lblAlgn val="ctr"/>
        <c:lblOffset val="100"/>
        <c:noMultiLvlLbl val="0"/>
      </c:catAx>
      <c:valAx>
        <c:axId val="122082048"/>
        <c:scaling>
          <c:orientation val="minMax"/>
        </c:scaling>
        <c:delete val="0"/>
        <c:axPos val="l"/>
        <c:majorGridlines>
          <c:spPr>
            <a:ln w="9525"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9525" cap="flat" cmpd="sng" algn="ctr">
            <a:noFill/>
            <a:prstDash val="solid"/>
            <a:round/>
          </a:ln>
          <a:effectLst/>
        </c:spPr>
        <c:txPr>
          <a:bodyPr rot="-60000000" spcFirstLastPara="0" vertOverflow="ellipsis" vert="horz" wrap="square" anchor="ctr" anchorCtr="1"/>
          <a:lstStyle/>
          <a:p>
            <a:pPr>
              <a:defRPr lang="zh-CN" sz="1200" b="1" i="0" u="none" strike="noStrike" kern="1200" baseline="0">
                <a:solidFill>
                  <a:schemeClr val="tx1">
                    <a:lumMod val="65000"/>
                    <a:lumOff val="35000"/>
                  </a:schemeClr>
                </a:solidFill>
                <a:latin typeface="+mn-lt"/>
                <a:ea typeface="+mn-ea"/>
                <a:cs typeface="+mn-cs"/>
              </a:defRPr>
            </a:pPr>
          </a:p>
        </c:txPr>
        <c:crossAx val="122066816"/>
        <c:crosses val="autoZero"/>
        <c:crossBetween val="between"/>
      </c:valAx>
      <c:spPr>
        <a:noFill/>
        <a:ln w="9525" cmpd="sng">
          <a:solidFill>
            <a:schemeClr val="tx1"/>
          </a:solidFill>
          <a:prstDash val="solid"/>
        </a:ln>
        <a:effectLst/>
      </c:spPr>
    </c:plotArea>
    <c:plotVisOnly val="1"/>
    <c:dispBlanksAs val="gap"/>
    <c:showDLblsOverMax val="0"/>
  </c:chart>
  <c:spPr>
    <a:solidFill>
      <a:schemeClr val="bg1"/>
    </a:solidFill>
    <a:ln w="6350" cap="flat" cmpd="sng" algn="ctr">
      <a:solidFill>
        <a:schemeClr val="accent1"/>
      </a:solidFill>
      <a:prstDash val="solid"/>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zh-CN" altLang="en-US" b="1"/>
              <a:t>一般公共预算财政拨款支出决算结构图</a:t>
            </a:r>
            <a:endParaRPr lang="zh-CN" altLang="en-US" sz="1400" b="1" i="0" u="none" strike="noStrike" baseline="0">
              <a:solidFill>
                <a:srgbClr val="595959">
                  <a:alpha val="100000"/>
                </a:srgbClr>
              </a:solidFill>
              <a:latin typeface="宋体" panose="02010600030101010101" charset="-122"/>
              <a:ea typeface="宋体" panose="02010600030101010101" charset="-122"/>
              <a:cs typeface="宋体" panose="02010600030101010101" charset="-122"/>
            </a:endParaRPr>
          </a:p>
        </c:rich>
      </c:tx>
      <c:layout/>
      <c:overlay val="0"/>
      <c:spPr>
        <a:noFill/>
        <a:ln>
          <a:noFill/>
        </a:ln>
        <a:effectLst/>
      </c:spPr>
    </c:title>
    <c:autoTitleDeleted val="0"/>
    <c:plotArea>
      <c:layout/>
      <c:pieChart>
        <c:varyColors val="1"/>
        <c:ser>
          <c:idx val="0"/>
          <c:order val="0"/>
          <c:spPr>
            <a:solidFill>
              <a:schemeClr val="accent6"/>
            </a:solidFill>
          </c:spPr>
          <c:explosion val="0"/>
          <c:dPt>
            <c:idx val="0"/>
            <c:bubble3D val="0"/>
            <c:spPr>
              <a:solidFill>
                <a:schemeClr val="accent6"/>
              </a:solidFill>
              <a:ln w="19050">
                <a:solidFill>
                  <a:schemeClr val="lt1"/>
                </a:solidFill>
              </a:ln>
              <a:effectLst/>
            </c:spPr>
          </c:dPt>
          <c:dPt>
            <c:idx val="1"/>
            <c:bubble3D val="0"/>
            <c:spPr>
              <a:solidFill>
                <a:schemeClr val="bg1">
                  <a:lumMod val="65000"/>
                </a:schemeClr>
              </a:solidFill>
              <a:ln w="19050">
                <a:solidFill>
                  <a:schemeClr val="lt1"/>
                </a:solidFill>
              </a:ln>
              <a:effectLst/>
            </c:spPr>
          </c:dPt>
          <c:dPt>
            <c:idx val="2"/>
            <c:bubble3D val="0"/>
            <c:spPr>
              <a:solidFill>
                <a:schemeClr val="accent6"/>
              </a:solidFill>
              <a:ln w="19050">
                <a:solidFill>
                  <a:schemeClr val="lt1"/>
                </a:solidFill>
              </a:ln>
              <a:effectLst/>
            </c:spPr>
          </c:dPt>
          <c:dPt>
            <c:idx val="3"/>
            <c:bubble3D val="0"/>
            <c:spPr>
              <a:solidFill>
                <a:schemeClr val="tx2">
                  <a:lumMod val="40000"/>
                  <a:lumOff val="60000"/>
                </a:schemeClr>
              </a:solidFill>
              <a:ln w="19050">
                <a:solidFill>
                  <a:schemeClr val="lt1"/>
                </a:solidFill>
              </a:ln>
              <a:effectLst/>
            </c:spPr>
          </c:dPt>
          <c:dLbls>
            <c:dLbl>
              <c:idx val="0"/>
              <c:layout>
                <c:manualLayout>
                  <c:x val="-0.29228112599964"/>
                  <c:y val="0.0995646799671583"/>
                </c:manualLayout>
              </c:layout>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1"/>
              <c:layout>
                <c:manualLayout>
                  <c:x val="0.325376448019679"/>
                  <c:y val="0.081483933074694"/>
                </c:manualLayout>
              </c:layout>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2"/>
              <c:layout>
                <c:manualLayout>
                  <c:x val="0.293292104151839"/>
                  <c:y val="0.249026555039821"/>
                </c:manualLayout>
              </c:layout>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3"/>
              <c:layout>
                <c:manualLayout>
                  <c:x val="0.038500431066694"/>
                  <c:y val="-0.218658370215349"/>
                </c:manualLayout>
              </c:layout>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1"/>
            <c:showSerName val="0"/>
            <c:showPercent val="1"/>
            <c:showBubbleSize val="0"/>
            <c:separator>
</c:separator>
            <c:showLeaderLines val="1"/>
            <c:extLst>
              <c:ext xmlns:c15="http://schemas.microsoft.com/office/drawing/2012/chart" uri="{CE6537A1-D6FC-4f65-9D91-7224C49458BB}">
                <c15:layout/>
                <c15:showLeaderLines val="1"/>
                <c15:leaderLines>
                  <c:spPr>
                    <a:ln w="9525" cap="flat" cmpd="sng" algn="ctr">
                      <a:solidFill>
                        <a:srgbClr val="969696">
                          <a:alpha val="100000"/>
                        </a:srgbClr>
                      </a:solidFill>
                      <a:prstDash val="solid"/>
                      <a:round/>
                    </a:ln>
                  </c:spPr>
                </c15:leaderLines>
              </c:ext>
            </c:extLst>
          </c:dLbls>
          <c:cat>
            <c:strRef>
              <c:f>[决算报表表图工具.xls]Sheet1!$A$105:$A$108</c:f>
              <c:strCache>
                <c:ptCount val="4"/>
                <c:pt idx="0">
                  <c:v>社会保障和就业支出</c:v>
                </c:pt>
                <c:pt idx="1">
                  <c:v>卫生健康支出</c:v>
                </c:pt>
                <c:pt idx="2">
                  <c:v>住房保障支出</c:v>
                </c:pt>
                <c:pt idx="3">
                  <c:v>城乡社区支出</c:v>
                </c:pt>
              </c:strCache>
            </c:strRef>
          </c:cat>
          <c:val>
            <c:numRef>
              <c:f>[决算报表表图工具.xls]Sheet1!$B$105:$B$108</c:f>
              <c:numCache>
                <c:formatCode>0.00%</c:formatCode>
                <c:ptCount val="4"/>
                <c:pt idx="0">
                  <c:v>0.0009</c:v>
                </c:pt>
                <c:pt idx="1">
                  <c:v>0.0114</c:v>
                </c:pt>
                <c:pt idx="2">
                  <c:v>0.0171</c:v>
                </c:pt>
                <c:pt idx="3">
                  <c:v>0.9706</c:v>
                </c:pt>
              </c:numCache>
            </c:numRef>
          </c:val>
        </c:ser>
        <c:dLbls>
          <c:showLegendKey val="0"/>
          <c:showVal val="0"/>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wrap="square"/>
    <a:lstStyle/>
    <a:p>
      <a:pPr>
        <a:defRPr lang="zh-CN"/>
      </a:pPr>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0.30564</cdr:x>
      <cdr:y>0.14548</cdr:y>
    </cdr:from>
    <cdr:to>
      <cdr:x>0.50069</cdr:x>
      <cdr:y>0.14773</cdr:y>
    </cdr:to>
    <cdr:sp>
      <cdr:nvSpPr>
        <cdr:cNvPr id="2" name="直接连接符 1"/>
        <cdr:cNvSpPr/>
      </cdr:nvSpPr>
      <cdr:spPr xmlns:a="http://schemas.openxmlformats.org/drawingml/2006/main">
        <a:xfrm xmlns:a="http://schemas.openxmlformats.org/drawingml/2006/main">
          <a:off x="1397000" y="493395"/>
          <a:ext cx="891540" cy="7620"/>
        </a:xfrm>
        <a:prstGeom xmlns:a="http://schemas.openxmlformats.org/drawingml/2006/main" prst="line">
          <a:avLst/>
        </a:prstGeom>
        <a:ln>
          <a:solidFill>
            <a:schemeClr val="tx1">
              <a:lumMod val="50000"/>
              <a:lumOff val="50000"/>
            </a:schemeClr>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sp>
  </cdr:relSizeAnchor>
  <cdr:relSizeAnchor xmlns:cdr="http://schemas.openxmlformats.org/drawingml/2006/chartDrawing">
    <cdr:from>
      <cdr:x>0.53737</cdr:x>
      <cdr:y>0.17019</cdr:y>
    </cdr:from>
    <cdr:to>
      <cdr:x>0.79078</cdr:x>
      <cdr:y>0.2713</cdr:y>
    </cdr:to>
    <cdr:sp>
      <cdr:nvSpPr>
        <cdr:cNvPr id="3" name="直接连接符 2"/>
        <cdr:cNvSpPr/>
      </cdr:nvSpPr>
      <cdr:spPr xmlns:a="http://schemas.openxmlformats.org/drawingml/2006/main">
        <a:xfrm xmlns:a="http://schemas.openxmlformats.org/drawingml/2006/main">
          <a:off x="2456180" y="577215"/>
          <a:ext cx="1158240" cy="342900"/>
        </a:xfrm>
        <a:prstGeom xmlns:a="http://schemas.openxmlformats.org/drawingml/2006/main" prst="line">
          <a:avLst/>
        </a:prstGeom>
        <a:ln>
          <a:solidFill>
            <a:schemeClr val="bg2">
              <a:lumMod val="75000"/>
            </a:schemeClr>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C7602-F64C-4C8E-92A1-821E23A4E59B}">
  <ds:schemaRefs/>
</ds:datastoreItem>
</file>

<file path=docProps/app.xml><?xml version="1.0" encoding="utf-8"?>
<Properties xmlns="http://schemas.openxmlformats.org/officeDocument/2006/extended-properties" xmlns:vt="http://schemas.openxmlformats.org/officeDocument/2006/docPropsVTypes">
  <Template>Normal.dotm</Template>
  <Company>四川省财政厅</Company>
  <Pages>29</Pages>
  <Words>8912</Words>
  <Characters>9650</Characters>
  <Lines>61</Lines>
  <Paragraphs>17</Paragraphs>
  <TotalTime>12</TotalTime>
  <ScaleCrop>false</ScaleCrop>
  <LinksUpToDate>false</LinksUpToDate>
  <CharactersWithSpaces>9773</CharactersWithSpaces>
  <Application>WPS Office_11.1.0.12651_F1E327BC-269C-435d-A152-05C5408002CA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2020-08-04T01:49:00Z</dcterms:created>
  <dc:creator>曹颖</dc:creator>
  <cp:lastModifiedBy> 言西早、</cp:lastModifiedBy>
  <cp:lastPrinted>2021-08-17T08:06:00Z</cp:lastPrinted>
  <dcterms:modified xsi:type="dcterms:W3CDTF">2022-11-11T07:20:24Z</dcterms:modified>
  <dc:title>四川省***</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2052-11.1.0.12651</vt:lpwstr>
  </property>
  <property fmtid="{D5CDD505-2E9C-101B-9397-08002B2CF9AE}" pid="3" name="ICV">
    <vt:lpwstr>D42AE8FC526149D5B7A9252EA56BF366</vt:lpwstr>
  </property>
</Properties>
</file>