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方正小标宋简体" w:hAnsi="宋体" w:eastAsia="方正小标宋简体"/>
          <w:color w:val="000000"/>
          <w:sz w:val="30"/>
          <w:szCs w:val="30"/>
        </w:rPr>
      </w:pPr>
      <w:bookmarkStart w:id="0" w:name="_Toc15306267"/>
    </w:p>
    <w:p>
      <w:pPr>
        <w:spacing w:line="600" w:lineRule="exact"/>
        <w:jc w:val="center"/>
        <w:rPr>
          <w:rFonts w:ascii="方正小标宋简体" w:hAnsi="宋体" w:eastAsia="方正小标宋简体"/>
          <w:color w:val="000000"/>
          <w:sz w:val="72"/>
          <w:szCs w:val="72"/>
        </w:rPr>
      </w:pPr>
    </w:p>
    <w:p>
      <w:pPr>
        <w:spacing w:line="600" w:lineRule="exact"/>
        <w:jc w:val="center"/>
        <w:rPr>
          <w:rFonts w:ascii="方正小标宋简体" w:hAnsi="宋体" w:eastAsia="方正小标宋简体"/>
          <w:color w:val="000000"/>
          <w:sz w:val="72"/>
          <w:szCs w:val="72"/>
        </w:rPr>
      </w:pPr>
    </w:p>
    <w:p>
      <w:pPr>
        <w:spacing w:line="600" w:lineRule="exact"/>
        <w:jc w:val="center"/>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sz w:val="72"/>
          <w:szCs w:val="72"/>
        </w:rPr>
      </w:pPr>
      <w:bookmarkStart w:id="1" w:name="_Toc15377425"/>
      <w:bookmarkStart w:id="2" w:name="_Toc15396597"/>
      <w:bookmarkStart w:id="3" w:name="_Toc15396475"/>
      <w:bookmarkStart w:id="4" w:name="_Toc25077"/>
      <w:bookmarkStart w:id="5" w:name="_Toc16080"/>
      <w:bookmarkStart w:id="6" w:name="_Toc15378441"/>
      <w:bookmarkStart w:id="7" w:name="_Toc15377193"/>
      <w:bookmarkStart w:id="8" w:name="_Toc2141"/>
      <w:bookmarkStart w:id="9" w:name="_Toc8045"/>
      <w:r>
        <w:rPr>
          <w:rFonts w:ascii="黑体" w:hAnsi="黑体" w:eastAsia="黑体"/>
          <w:sz w:val="72"/>
          <w:szCs w:val="72"/>
        </w:rPr>
        <w:t>20</w:t>
      </w:r>
      <w:r>
        <w:rPr>
          <w:rFonts w:hint="eastAsia" w:ascii="黑体" w:hAnsi="黑体" w:eastAsia="黑体"/>
          <w:sz w:val="72"/>
          <w:szCs w:val="72"/>
        </w:rPr>
        <w:t>20</w:t>
      </w:r>
      <w:r>
        <w:rPr>
          <w:rFonts w:hint="eastAsia" w:ascii="方正小标宋简体" w:hAnsi="宋体" w:eastAsia="方正小标宋简体"/>
          <w:sz w:val="72"/>
          <w:szCs w:val="72"/>
        </w:rPr>
        <w:t>年度</w:t>
      </w:r>
      <w:bookmarkEnd w:id="1"/>
      <w:bookmarkEnd w:id="2"/>
      <w:bookmarkEnd w:id="3"/>
      <w:bookmarkEnd w:id="4"/>
      <w:bookmarkEnd w:id="5"/>
      <w:bookmarkEnd w:id="6"/>
      <w:bookmarkEnd w:id="7"/>
      <w:bookmarkEnd w:id="8"/>
      <w:bookmarkEnd w:id="9"/>
    </w:p>
    <w:bookmarkEnd w:id="0"/>
    <w:p>
      <w:pPr>
        <w:adjustRightInd w:val="0"/>
        <w:snapToGrid w:val="0"/>
        <w:spacing w:line="360" w:lineRule="auto"/>
        <w:jc w:val="center"/>
        <w:outlineLvl w:val="0"/>
        <w:rPr>
          <w:rFonts w:ascii="方正小标宋简体" w:hAnsi="宋体" w:eastAsia="方正小标宋简体"/>
          <w:sz w:val="72"/>
          <w:szCs w:val="72"/>
        </w:rPr>
      </w:pPr>
      <w:bookmarkStart w:id="10" w:name="_Toc1936"/>
      <w:bookmarkStart w:id="11" w:name="_Toc8253"/>
      <w:bookmarkStart w:id="12" w:name="_Toc2920"/>
      <w:bookmarkStart w:id="13" w:name="_Toc25671"/>
      <w:bookmarkStart w:id="14" w:name="_Toc15396598"/>
      <w:bookmarkStart w:id="15" w:name="_Toc15377194"/>
      <w:bookmarkStart w:id="16" w:name="_Toc15306268"/>
      <w:bookmarkStart w:id="17" w:name="_Toc15396476"/>
      <w:bookmarkStart w:id="18" w:name="_Toc15378442"/>
      <w:bookmarkStart w:id="19" w:name="_Toc15377426"/>
      <w:r>
        <w:rPr>
          <w:rFonts w:hint="eastAsia" w:ascii="方正小标宋简体" w:hAnsi="宋体" w:eastAsia="方正小标宋简体"/>
          <w:sz w:val="72"/>
          <w:szCs w:val="72"/>
        </w:rPr>
        <w:t>四川省电大住房和城乡</w:t>
      </w:r>
      <w:bookmarkEnd w:id="10"/>
      <w:bookmarkEnd w:id="11"/>
      <w:bookmarkEnd w:id="12"/>
      <w:bookmarkEnd w:id="13"/>
    </w:p>
    <w:p>
      <w:pPr>
        <w:adjustRightInd w:val="0"/>
        <w:snapToGrid w:val="0"/>
        <w:spacing w:line="360" w:lineRule="auto"/>
        <w:jc w:val="center"/>
        <w:outlineLvl w:val="0"/>
        <w:rPr>
          <w:rFonts w:ascii="方正小标宋简体" w:hAnsi="宋体" w:eastAsia="方正小标宋简体"/>
          <w:sz w:val="72"/>
          <w:szCs w:val="72"/>
        </w:rPr>
      </w:pPr>
      <w:bookmarkStart w:id="20" w:name="_Toc11173"/>
      <w:bookmarkStart w:id="21" w:name="_Toc1116"/>
      <w:bookmarkStart w:id="22" w:name="_Toc14406"/>
      <w:bookmarkStart w:id="23" w:name="_Toc8249"/>
      <w:r>
        <w:rPr>
          <w:rFonts w:hint="eastAsia" w:ascii="方正小标宋简体" w:hAnsi="宋体" w:eastAsia="方正小标宋简体"/>
          <w:sz w:val="72"/>
          <w:szCs w:val="72"/>
        </w:rPr>
        <w:t>建设厅分校部门决算</w:t>
      </w:r>
      <w:bookmarkEnd w:id="14"/>
      <w:bookmarkEnd w:id="15"/>
      <w:bookmarkEnd w:id="16"/>
      <w:bookmarkEnd w:id="17"/>
      <w:bookmarkEnd w:id="18"/>
      <w:bookmarkEnd w:id="19"/>
      <w:bookmarkEnd w:id="20"/>
      <w:bookmarkEnd w:id="21"/>
      <w:bookmarkEnd w:id="22"/>
      <w:bookmarkEnd w:id="23"/>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0"/>
      </w:pPr>
      <w:r>
        <w:rPr>
          <w:rFonts w:hint="eastAsia"/>
        </w:rPr>
        <w:t>公开时间：2021年9月10日</w:t>
      </w:r>
    </w:p>
    <w:p/>
    <w:sdt>
      <w:sdtPr>
        <w:rPr>
          <w:rFonts w:ascii="宋体" w:hAnsi="宋体"/>
        </w:rPr>
        <w:id w:val="147458978"/>
        <w:docPartObj>
          <w:docPartGallery w:val="Table of Contents"/>
          <w:docPartUnique/>
        </w:docPartObj>
      </w:sdtPr>
      <w:sdtEndPr>
        <w:rPr>
          <w:rFonts w:ascii="宋体" w:hAnsi="宋体"/>
          <w:b/>
        </w:rPr>
      </w:sdtEndPr>
      <w:sdtContent>
        <w:p>
          <w:pPr>
            <w:jc w:val="center"/>
            <w:rPr>
              <w:rFonts w:ascii="Times New Roman" w:hAnsi="Times New Roman" w:eastAsia="宋体" w:cs="Times New Roman"/>
              <w:b/>
              <w:kern w:val="2"/>
              <w:sz w:val="21"/>
              <w:szCs w:val="24"/>
              <w:lang w:val="en-US" w:eastAsia="zh-CN" w:bidi="ar-SA"/>
            </w:rPr>
          </w:pPr>
          <w:r>
            <w:fldChar w:fldCharType="begin"/>
          </w:r>
          <w:r>
            <w:instrText xml:space="preserve">TOC \o "1-2" \h \u </w:instrText>
          </w:r>
          <w:r>
            <w:fldChar w:fldCharType="separate"/>
          </w:r>
        </w:p>
        <w:p>
          <w:pPr>
            <w:pStyle w:val="10"/>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_Toc22803 </w:instrText>
          </w:r>
          <w:r>
            <w:rPr>
              <w:rFonts w:hint="eastAsia" w:ascii="仿宋" w:hAnsi="仿宋" w:eastAsia="仿宋" w:cs="仿宋"/>
              <w:sz w:val="24"/>
              <w:szCs w:val="24"/>
            </w:rPr>
            <w:fldChar w:fldCharType="separate"/>
          </w:r>
          <w:r>
            <w:rPr>
              <w:rFonts w:hint="eastAsia" w:ascii="仿宋" w:hAnsi="仿宋" w:eastAsia="仿宋" w:cs="仿宋"/>
              <w:sz w:val="24"/>
              <w:szCs w:val="24"/>
            </w:rPr>
            <w:t>第一部分 单位</w:t>
          </w:r>
          <w:r>
            <w:rPr>
              <w:rFonts w:hint="eastAsia" w:ascii="仿宋" w:hAnsi="仿宋" w:eastAsia="仿宋" w:cs="仿宋"/>
              <w:bCs w:val="0"/>
              <w:sz w:val="24"/>
              <w:szCs w:val="24"/>
            </w:rPr>
            <w:t>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_Toc22803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_Toc13902 </w:instrText>
          </w:r>
          <w:r>
            <w:rPr>
              <w:rFonts w:hint="eastAsia" w:ascii="仿宋" w:hAnsi="仿宋" w:eastAsia="仿宋" w:cs="仿宋"/>
              <w:sz w:val="24"/>
              <w:szCs w:val="24"/>
            </w:rPr>
            <w:fldChar w:fldCharType="separate"/>
          </w:r>
          <w:r>
            <w:rPr>
              <w:rFonts w:hint="eastAsia" w:ascii="仿宋" w:hAnsi="仿宋" w:eastAsia="仿宋" w:cs="仿宋"/>
              <w:sz w:val="24"/>
              <w:szCs w:val="24"/>
            </w:rPr>
            <w:t xml:space="preserve">一、 </w:t>
          </w:r>
          <w:r>
            <w:rPr>
              <w:rFonts w:hint="eastAsia" w:ascii="仿宋" w:hAnsi="仿宋" w:eastAsia="仿宋" w:cs="仿宋"/>
              <w:bCs w:val="0"/>
              <w:sz w:val="24"/>
              <w:szCs w:val="24"/>
            </w:rPr>
            <w:t>职能简介</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_Toc13902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_Toc32312 </w:instrText>
          </w:r>
          <w:r>
            <w:rPr>
              <w:rFonts w:hint="eastAsia" w:ascii="仿宋" w:hAnsi="仿宋" w:eastAsia="仿宋" w:cs="仿宋"/>
              <w:sz w:val="24"/>
              <w:szCs w:val="24"/>
            </w:rPr>
            <w:fldChar w:fldCharType="separate"/>
          </w:r>
          <w:r>
            <w:rPr>
              <w:rFonts w:hint="eastAsia" w:ascii="仿宋" w:hAnsi="仿宋" w:eastAsia="仿宋" w:cs="仿宋"/>
              <w:sz w:val="24"/>
              <w:szCs w:val="24"/>
            </w:rPr>
            <w:t>二、 2020年重点工作完成情况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_Toc32312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_Toc5907 </w:instrText>
          </w:r>
          <w:r>
            <w:rPr>
              <w:rFonts w:hint="eastAsia" w:ascii="仿宋" w:hAnsi="仿宋" w:eastAsia="仿宋" w:cs="仿宋"/>
              <w:sz w:val="24"/>
              <w:szCs w:val="24"/>
            </w:rPr>
            <w:fldChar w:fldCharType="separate"/>
          </w:r>
          <w:r>
            <w:rPr>
              <w:rFonts w:hint="eastAsia" w:ascii="仿宋" w:hAnsi="仿宋" w:eastAsia="仿宋" w:cs="仿宋"/>
              <w:sz w:val="24"/>
              <w:szCs w:val="24"/>
              <w:highlight w:val="none"/>
              <w:lang w:val="en-US" w:eastAsia="zh-CN"/>
            </w:rPr>
            <w:t>三、机构设置情况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_Toc5907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0"/>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_Toc3178 </w:instrText>
          </w:r>
          <w:r>
            <w:rPr>
              <w:rFonts w:hint="eastAsia" w:ascii="仿宋" w:hAnsi="仿宋" w:eastAsia="仿宋" w:cs="仿宋"/>
              <w:sz w:val="24"/>
              <w:szCs w:val="24"/>
            </w:rPr>
            <w:fldChar w:fldCharType="separate"/>
          </w:r>
          <w:r>
            <w:rPr>
              <w:rFonts w:hint="eastAsia" w:ascii="仿宋" w:hAnsi="仿宋" w:eastAsia="仿宋" w:cs="仿宋"/>
              <w:sz w:val="24"/>
              <w:szCs w:val="24"/>
            </w:rPr>
            <w:t>第二部分 2020年度</w:t>
          </w:r>
          <w:r>
            <w:rPr>
              <w:rFonts w:hint="eastAsia" w:ascii="仿宋" w:hAnsi="仿宋" w:eastAsia="仿宋" w:cs="仿宋"/>
              <w:bCs/>
              <w:sz w:val="24"/>
              <w:szCs w:val="24"/>
            </w:rPr>
            <w:t>部门决算情况说明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_Toc3178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_Toc30627 </w:instrText>
          </w:r>
          <w:r>
            <w:rPr>
              <w:rFonts w:hint="eastAsia" w:ascii="仿宋" w:hAnsi="仿宋" w:eastAsia="仿宋" w:cs="仿宋"/>
              <w:sz w:val="24"/>
              <w:szCs w:val="24"/>
            </w:rPr>
            <w:fldChar w:fldCharType="separate"/>
          </w:r>
          <w:r>
            <w:rPr>
              <w:rFonts w:hint="eastAsia" w:ascii="仿宋" w:hAnsi="仿宋" w:eastAsia="仿宋" w:cs="仿宋"/>
              <w:sz w:val="24"/>
              <w:szCs w:val="24"/>
            </w:rPr>
            <w:t>一、 收入支出决算总体情况说明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_Toc30627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_Toc29548 </w:instrText>
          </w:r>
          <w:r>
            <w:rPr>
              <w:rFonts w:hint="eastAsia" w:ascii="仿宋" w:hAnsi="仿宋" w:eastAsia="仿宋" w:cs="仿宋"/>
              <w:sz w:val="24"/>
              <w:szCs w:val="24"/>
            </w:rPr>
            <w:fldChar w:fldCharType="separate"/>
          </w:r>
          <w:r>
            <w:rPr>
              <w:rFonts w:hint="eastAsia" w:ascii="仿宋" w:hAnsi="仿宋" w:eastAsia="仿宋" w:cs="仿宋"/>
              <w:sz w:val="24"/>
              <w:szCs w:val="24"/>
            </w:rPr>
            <w:t>二、 收入决算情况说明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_Toc29548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_Toc8327 </w:instrText>
          </w:r>
          <w:r>
            <w:rPr>
              <w:rFonts w:hint="eastAsia" w:ascii="仿宋" w:hAnsi="仿宋" w:eastAsia="仿宋" w:cs="仿宋"/>
              <w:sz w:val="24"/>
              <w:szCs w:val="24"/>
            </w:rPr>
            <w:fldChar w:fldCharType="separate"/>
          </w:r>
          <w:r>
            <w:rPr>
              <w:rFonts w:hint="eastAsia" w:ascii="仿宋" w:hAnsi="仿宋" w:eastAsia="仿宋" w:cs="仿宋"/>
              <w:sz w:val="24"/>
              <w:szCs w:val="24"/>
            </w:rPr>
            <w:t>三、 支出决算情况说明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_Toc8327 \h </w:instrText>
          </w:r>
          <w:r>
            <w:rPr>
              <w:rFonts w:hint="eastAsia" w:ascii="仿宋" w:hAnsi="仿宋" w:eastAsia="仿宋" w:cs="仿宋"/>
              <w:sz w:val="24"/>
              <w:szCs w:val="24"/>
            </w:rPr>
            <w:fldChar w:fldCharType="separate"/>
          </w:r>
          <w:r>
            <w:rPr>
              <w:rFonts w:hint="eastAsia" w:ascii="仿宋" w:hAnsi="仿宋" w:eastAsia="仿宋" w:cs="仿宋"/>
              <w:sz w:val="24"/>
              <w:szCs w:val="24"/>
            </w:rPr>
            <w:t>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_Toc1328 </w:instrText>
          </w:r>
          <w:r>
            <w:rPr>
              <w:rFonts w:hint="eastAsia" w:ascii="仿宋" w:hAnsi="仿宋" w:eastAsia="仿宋" w:cs="仿宋"/>
              <w:sz w:val="24"/>
              <w:szCs w:val="24"/>
            </w:rPr>
            <w:fldChar w:fldCharType="separate"/>
          </w:r>
          <w:r>
            <w:rPr>
              <w:rFonts w:hint="eastAsia" w:ascii="仿宋" w:hAnsi="仿宋" w:eastAsia="仿宋" w:cs="仿宋"/>
              <w:sz w:val="24"/>
              <w:szCs w:val="24"/>
            </w:rPr>
            <w:t>四、财政拨款收入支出决算总体情况说明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_Toc1328 \h </w:instrText>
          </w:r>
          <w:r>
            <w:rPr>
              <w:rFonts w:hint="eastAsia" w:ascii="仿宋" w:hAnsi="仿宋" w:eastAsia="仿宋" w:cs="仿宋"/>
              <w:sz w:val="24"/>
              <w:szCs w:val="24"/>
            </w:rPr>
            <w:fldChar w:fldCharType="separate"/>
          </w:r>
          <w:r>
            <w:rPr>
              <w:rFonts w:hint="eastAsia" w:ascii="仿宋" w:hAnsi="仿宋" w:eastAsia="仿宋" w:cs="仿宋"/>
              <w:sz w:val="24"/>
              <w:szCs w:val="24"/>
            </w:rPr>
            <w:t>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_Toc1302 </w:instrText>
          </w:r>
          <w:r>
            <w:rPr>
              <w:rFonts w:hint="eastAsia" w:ascii="仿宋" w:hAnsi="仿宋" w:eastAsia="仿宋" w:cs="仿宋"/>
              <w:sz w:val="24"/>
              <w:szCs w:val="24"/>
            </w:rPr>
            <w:fldChar w:fldCharType="separate"/>
          </w:r>
          <w:r>
            <w:rPr>
              <w:rFonts w:hint="eastAsia" w:ascii="仿宋" w:hAnsi="仿宋" w:eastAsia="仿宋" w:cs="仿宋"/>
              <w:sz w:val="24"/>
              <w:szCs w:val="24"/>
            </w:rPr>
            <w:t>五、一般公共预算财政拨款支出决算情况说明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_Toc1302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_Toc10275 </w:instrText>
          </w:r>
          <w:r>
            <w:rPr>
              <w:rFonts w:hint="eastAsia" w:ascii="仿宋" w:hAnsi="仿宋" w:eastAsia="仿宋" w:cs="仿宋"/>
              <w:sz w:val="24"/>
              <w:szCs w:val="24"/>
            </w:rPr>
            <w:fldChar w:fldCharType="separate"/>
          </w:r>
          <w:r>
            <w:rPr>
              <w:rFonts w:hint="eastAsia" w:ascii="仿宋" w:hAnsi="仿宋" w:eastAsia="仿宋" w:cs="仿宋"/>
              <w:sz w:val="24"/>
              <w:szCs w:val="24"/>
            </w:rPr>
            <w:t>六、一般公共预算财政拨款基本支出决算情况说明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_Toc10275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_Toc10159 </w:instrText>
          </w:r>
          <w:r>
            <w:rPr>
              <w:rFonts w:hint="eastAsia" w:ascii="仿宋" w:hAnsi="仿宋" w:eastAsia="仿宋" w:cs="仿宋"/>
              <w:sz w:val="24"/>
              <w:szCs w:val="24"/>
            </w:rPr>
            <w:fldChar w:fldCharType="separate"/>
          </w:r>
          <w:r>
            <w:rPr>
              <w:rFonts w:hint="eastAsia" w:ascii="仿宋" w:hAnsi="仿宋" w:eastAsia="仿宋" w:cs="仿宋"/>
              <w:sz w:val="24"/>
              <w:szCs w:val="24"/>
            </w:rPr>
            <w:t>七、“三公”经费财政拨款支出决算情况说明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_Toc10159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_Toc15398 </w:instrText>
          </w:r>
          <w:r>
            <w:rPr>
              <w:rFonts w:hint="eastAsia" w:ascii="仿宋" w:hAnsi="仿宋" w:eastAsia="仿宋" w:cs="仿宋"/>
              <w:sz w:val="24"/>
              <w:szCs w:val="24"/>
            </w:rPr>
            <w:fldChar w:fldCharType="separate"/>
          </w:r>
          <w:r>
            <w:rPr>
              <w:rFonts w:hint="eastAsia" w:ascii="仿宋" w:hAnsi="仿宋" w:eastAsia="仿宋" w:cs="仿宋"/>
              <w:sz w:val="24"/>
              <w:szCs w:val="24"/>
            </w:rPr>
            <w:t>八、政府性基金预算支出决算情况说明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_Toc15398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_Toc7646 </w:instrText>
          </w:r>
          <w:r>
            <w:rPr>
              <w:rFonts w:hint="eastAsia" w:ascii="仿宋" w:hAnsi="仿宋" w:eastAsia="仿宋" w:cs="仿宋"/>
              <w:sz w:val="24"/>
              <w:szCs w:val="24"/>
            </w:rPr>
            <w:fldChar w:fldCharType="separate"/>
          </w:r>
          <w:r>
            <w:rPr>
              <w:rFonts w:hint="eastAsia" w:ascii="仿宋" w:hAnsi="仿宋" w:eastAsia="仿宋" w:cs="仿宋"/>
              <w:sz w:val="24"/>
              <w:szCs w:val="24"/>
            </w:rPr>
            <w:t>九、 国有资本经营预算支出决算情况说明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_Toc7646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_Toc21005 </w:instrText>
          </w:r>
          <w:r>
            <w:rPr>
              <w:rFonts w:hint="eastAsia" w:ascii="仿宋" w:hAnsi="仿宋" w:eastAsia="仿宋" w:cs="仿宋"/>
              <w:sz w:val="24"/>
              <w:szCs w:val="24"/>
            </w:rPr>
            <w:fldChar w:fldCharType="separate"/>
          </w:r>
          <w:r>
            <w:rPr>
              <w:rFonts w:hint="eastAsia" w:ascii="仿宋" w:hAnsi="仿宋" w:eastAsia="仿宋" w:cs="仿宋"/>
              <w:sz w:val="24"/>
              <w:szCs w:val="24"/>
            </w:rPr>
            <w:t>十、 其他重要事项的情况说明</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_Toc21005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0"/>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_Toc17772 </w:instrText>
          </w:r>
          <w:r>
            <w:rPr>
              <w:rFonts w:hint="eastAsia" w:ascii="仿宋" w:hAnsi="仿宋" w:eastAsia="仿宋" w:cs="仿宋"/>
              <w:sz w:val="24"/>
              <w:szCs w:val="24"/>
            </w:rPr>
            <w:fldChar w:fldCharType="separate"/>
          </w:r>
          <w:r>
            <w:rPr>
              <w:rFonts w:hint="eastAsia" w:ascii="仿宋" w:hAnsi="仿宋" w:eastAsia="仿宋" w:cs="仿宋"/>
              <w:sz w:val="24"/>
              <w:szCs w:val="24"/>
            </w:rPr>
            <w:t>第三部分 名词解释</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_Toc17772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0"/>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_Toc10169 </w:instrText>
          </w:r>
          <w:r>
            <w:rPr>
              <w:rFonts w:hint="eastAsia" w:ascii="仿宋" w:hAnsi="仿宋" w:eastAsia="仿宋" w:cs="仿宋"/>
              <w:sz w:val="24"/>
              <w:szCs w:val="24"/>
            </w:rPr>
            <w:fldChar w:fldCharType="separate"/>
          </w:r>
          <w:r>
            <w:rPr>
              <w:rFonts w:hint="eastAsia" w:ascii="仿宋" w:hAnsi="仿宋" w:eastAsia="仿宋" w:cs="仿宋"/>
              <w:sz w:val="24"/>
              <w:szCs w:val="24"/>
            </w:rPr>
            <w:t>第四部分 附件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_Toc10169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0"/>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_Toc18186 </w:instrText>
          </w:r>
          <w:r>
            <w:rPr>
              <w:rFonts w:hint="eastAsia" w:ascii="仿宋" w:hAnsi="仿宋" w:eastAsia="仿宋" w:cs="仿宋"/>
              <w:sz w:val="24"/>
              <w:szCs w:val="24"/>
            </w:rPr>
            <w:fldChar w:fldCharType="separate"/>
          </w:r>
          <w:r>
            <w:rPr>
              <w:rFonts w:hint="eastAsia" w:ascii="仿宋" w:hAnsi="仿宋" w:eastAsia="仿宋" w:cs="仿宋"/>
              <w:sz w:val="24"/>
              <w:szCs w:val="24"/>
            </w:rPr>
            <w:t>第五部分 附表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_Toc18186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_Toc25632 </w:instrText>
          </w:r>
          <w:r>
            <w:rPr>
              <w:rFonts w:hint="eastAsia" w:ascii="仿宋" w:hAnsi="仿宋" w:eastAsia="仿宋" w:cs="仿宋"/>
              <w:sz w:val="24"/>
              <w:szCs w:val="24"/>
            </w:rPr>
            <w:fldChar w:fldCharType="separate"/>
          </w:r>
          <w:r>
            <w:rPr>
              <w:rFonts w:hint="eastAsia" w:ascii="仿宋" w:hAnsi="仿宋" w:eastAsia="仿宋" w:cs="仿宋"/>
              <w:sz w:val="24"/>
              <w:szCs w:val="24"/>
            </w:rPr>
            <w:t>一、收</w:t>
          </w:r>
          <w:r>
            <w:rPr>
              <w:rFonts w:hint="eastAsia" w:ascii="仿宋" w:hAnsi="仿宋" w:eastAsia="仿宋" w:cs="仿宋"/>
              <w:bCs w:val="0"/>
              <w:sz w:val="24"/>
              <w:szCs w:val="24"/>
            </w:rPr>
            <w:t>入支出决算总表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_Toc25632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_Toc29362 </w:instrText>
          </w:r>
          <w:r>
            <w:rPr>
              <w:rFonts w:hint="eastAsia" w:ascii="仿宋" w:hAnsi="仿宋" w:eastAsia="仿宋" w:cs="仿宋"/>
              <w:sz w:val="24"/>
              <w:szCs w:val="24"/>
            </w:rPr>
            <w:fldChar w:fldCharType="separate"/>
          </w:r>
          <w:r>
            <w:rPr>
              <w:rFonts w:hint="eastAsia" w:ascii="仿宋" w:hAnsi="仿宋" w:eastAsia="仿宋" w:cs="仿宋"/>
              <w:sz w:val="24"/>
              <w:szCs w:val="24"/>
            </w:rPr>
            <w:t>二、收</w:t>
          </w:r>
          <w:r>
            <w:rPr>
              <w:rFonts w:hint="eastAsia" w:ascii="仿宋" w:hAnsi="仿宋" w:eastAsia="仿宋" w:cs="仿宋"/>
              <w:bCs w:val="0"/>
              <w:sz w:val="24"/>
              <w:szCs w:val="24"/>
            </w:rPr>
            <w:t>入决算表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_Toc29362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_Toc20654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三、</w:t>
          </w:r>
          <w:r>
            <w:rPr>
              <w:rFonts w:hint="eastAsia" w:ascii="仿宋" w:hAnsi="仿宋" w:eastAsia="仿宋" w:cs="仿宋"/>
              <w:sz w:val="24"/>
              <w:szCs w:val="24"/>
            </w:rPr>
            <w:t>支</w:t>
          </w:r>
          <w:r>
            <w:rPr>
              <w:rFonts w:hint="eastAsia" w:ascii="仿宋" w:hAnsi="仿宋" w:eastAsia="仿宋" w:cs="仿宋"/>
              <w:bCs w:val="0"/>
              <w:sz w:val="24"/>
              <w:szCs w:val="24"/>
            </w:rPr>
            <w:t>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_Toc20654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bookmarkStart w:id="135" w:name="_GoBack"/>
          <w:bookmarkEnd w:id="135"/>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_Toc10263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四、</w:t>
          </w:r>
          <w:r>
            <w:rPr>
              <w:rFonts w:hint="eastAsia" w:ascii="仿宋" w:hAnsi="仿宋" w:eastAsia="仿宋" w:cs="仿宋"/>
              <w:sz w:val="24"/>
              <w:szCs w:val="24"/>
            </w:rPr>
            <w:t>财</w:t>
          </w:r>
          <w:r>
            <w:rPr>
              <w:rFonts w:hint="eastAsia" w:ascii="仿宋" w:hAnsi="仿宋" w:eastAsia="仿宋" w:cs="仿宋"/>
              <w:bCs w:val="0"/>
              <w:sz w:val="24"/>
              <w:szCs w:val="24"/>
            </w:rPr>
            <w:t>政拨款收入支出决算总表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_Toc10263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_Toc25203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五、</w:t>
          </w:r>
          <w:r>
            <w:rPr>
              <w:rFonts w:hint="eastAsia" w:ascii="仿宋" w:hAnsi="仿宋" w:eastAsia="仿宋" w:cs="仿宋"/>
              <w:sz w:val="24"/>
              <w:szCs w:val="24"/>
            </w:rPr>
            <w:t>财</w:t>
          </w:r>
          <w:r>
            <w:rPr>
              <w:rFonts w:hint="eastAsia" w:ascii="仿宋" w:hAnsi="仿宋" w:eastAsia="仿宋" w:cs="仿宋"/>
              <w:bCs w:val="0"/>
              <w:sz w:val="24"/>
              <w:szCs w:val="24"/>
            </w:rPr>
            <w:t>政拨款支出决算明细表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_Toc25203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_Toc29577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六、</w:t>
          </w:r>
          <w:r>
            <w:rPr>
              <w:rFonts w:hint="eastAsia" w:ascii="仿宋" w:hAnsi="仿宋" w:eastAsia="仿宋" w:cs="仿宋"/>
              <w:sz w:val="24"/>
              <w:szCs w:val="24"/>
            </w:rPr>
            <w:t>一</w:t>
          </w:r>
          <w:r>
            <w:rPr>
              <w:rFonts w:hint="eastAsia" w:ascii="仿宋" w:hAnsi="仿宋" w:eastAsia="仿宋" w:cs="仿宋"/>
              <w:bCs w:val="0"/>
              <w:sz w:val="24"/>
              <w:szCs w:val="24"/>
            </w:rPr>
            <w:t>般公共预算财政拨款支出决算表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_Toc29577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_Toc14843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七、</w:t>
          </w:r>
          <w:r>
            <w:rPr>
              <w:rFonts w:hint="eastAsia" w:ascii="仿宋" w:hAnsi="仿宋" w:eastAsia="仿宋" w:cs="仿宋"/>
              <w:sz w:val="24"/>
              <w:szCs w:val="24"/>
            </w:rPr>
            <w:t>一</w:t>
          </w:r>
          <w:r>
            <w:rPr>
              <w:rFonts w:hint="eastAsia" w:ascii="仿宋" w:hAnsi="仿宋" w:eastAsia="仿宋" w:cs="仿宋"/>
              <w:bCs w:val="0"/>
              <w:sz w:val="24"/>
              <w:szCs w:val="24"/>
            </w:rPr>
            <w:t>般公共预算财政拨款支出决算明细表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_Toc14843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_Toc2803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八、</w:t>
          </w:r>
          <w:r>
            <w:rPr>
              <w:rFonts w:hint="eastAsia" w:ascii="仿宋" w:hAnsi="仿宋" w:eastAsia="仿宋" w:cs="仿宋"/>
              <w:sz w:val="24"/>
              <w:szCs w:val="24"/>
            </w:rPr>
            <w:t>一</w:t>
          </w:r>
          <w:r>
            <w:rPr>
              <w:rFonts w:hint="eastAsia" w:ascii="仿宋" w:hAnsi="仿宋" w:eastAsia="仿宋" w:cs="仿宋"/>
              <w:bCs w:val="0"/>
              <w:sz w:val="24"/>
              <w:szCs w:val="24"/>
            </w:rPr>
            <w:t>般公共预算财政拨款基本支出决算表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_Toc2803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_Toc14031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九、</w:t>
          </w:r>
          <w:r>
            <w:rPr>
              <w:rFonts w:hint="eastAsia" w:ascii="仿宋" w:hAnsi="仿宋" w:eastAsia="仿宋" w:cs="仿宋"/>
              <w:sz w:val="24"/>
              <w:szCs w:val="24"/>
            </w:rPr>
            <w:t>一</w:t>
          </w:r>
          <w:r>
            <w:rPr>
              <w:rFonts w:hint="eastAsia" w:ascii="仿宋" w:hAnsi="仿宋" w:eastAsia="仿宋" w:cs="仿宋"/>
              <w:bCs w:val="0"/>
              <w:sz w:val="24"/>
              <w:szCs w:val="24"/>
            </w:rPr>
            <w:t>般公共预算财政拨款项目支出决算表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_Toc14031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_Toc29667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十、</w:t>
          </w:r>
          <w:r>
            <w:rPr>
              <w:rFonts w:hint="eastAsia" w:ascii="仿宋" w:hAnsi="仿宋" w:eastAsia="仿宋" w:cs="仿宋"/>
              <w:sz w:val="24"/>
              <w:szCs w:val="24"/>
            </w:rPr>
            <w:t>一</w:t>
          </w:r>
          <w:r>
            <w:rPr>
              <w:rFonts w:hint="eastAsia" w:ascii="仿宋" w:hAnsi="仿宋" w:eastAsia="仿宋" w:cs="仿宋"/>
              <w:bCs w:val="0"/>
              <w:sz w:val="24"/>
              <w:szCs w:val="24"/>
            </w:rPr>
            <w:t>般公共预算财政拨款“三公”经费支出决算表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_Toc29667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_Toc25565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十一、</w:t>
          </w:r>
          <w:r>
            <w:rPr>
              <w:rFonts w:hint="eastAsia" w:ascii="仿宋" w:hAnsi="仿宋" w:eastAsia="仿宋" w:cs="仿宋"/>
              <w:sz w:val="24"/>
              <w:szCs w:val="24"/>
            </w:rPr>
            <w:t>政</w:t>
          </w:r>
          <w:r>
            <w:rPr>
              <w:rFonts w:hint="eastAsia" w:ascii="仿宋" w:hAnsi="仿宋" w:eastAsia="仿宋" w:cs="仿宋"/>
              <w:bCs w:val="0"/>
              <w:sz w:val="24"/>
              <w:szCs w:val="24"/>
            </w:rPr>
            <w:t>府性基金预算财政拨款收入支出决算表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_Toc25565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_Toc8893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十二、</w:t>
          </w:r>
          <w:r>
            <w:rPr>
              <w:rFonts w:hint="eastAsia" w:ascii="仿宋" w:hAnsi="仿宋" w:eastAsia="仿宋" w:cs="仿宋"/>
              <w:sz w:val="24"/>
              <w:szCs w:val="24"/>
            </w:rPr>
            <w:t>政</w:t>
          </w:r>
          <w:r>
            <w:rPr>
              <w:rFonts w:hint="eastAsia" w:ascii="仿宋" w:hAnsi="仿宋" w:eastAsia="仿宋" w:cs="仿宋"/>
              <w:bCs w:val="0"/>
              <w:sz w:val="24"/>
              <w:szCs w:val="24"/>
            </w:rPr>
            <w:t>府性基金预算财政拨款“三公”经费支出决算表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_Toc8893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_Toc27750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十三、</w:t>
          </w:r>
          <w:r>
            <w:rPr>
              <w:rFonts w:hint="eastAsia" w:ascii="仿宋" w:hAnsi="仿宋" w:eastAsia="仿宋" w:cs="仿宋"/>
              <w:sz w:val="24"/>
              <w:szCs w:val="24"/>
            </w:rPr>
            <w:t>国</w:t>
          </w:r>
          <w:r>
            <w:rPr>
              <w:rFonts w:hint="eastAsia" w:ascii="仿宋" w:hAnsi="仿宋" w:eastAsia="仿宋" w:cs="仿宋"/>
              <w:bCs w:val="0"/>
              <w:sz w:val="24"/>
              <w:szCs w:val="24"/>
            </w:rPr>
            <w:t>有资本经营预算财政拨款收入支出决算表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_Toc27750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 w:val="clear" w:pos="8296"/>
            </w:tabs>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_Toc9344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十四、国有资本经营预算财政拨款支出决算表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_Toc9344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jc w:val="center"/>
            <w:rPr>
              <w:rFonts w:hint="eastAsia" w:ascii="黑体" w:hAnsi="黑体" w:eastAsia="黑体"/>
              <w:b w:val="0"/>
            </w:rPr>
          </w:pPr>
          <w:r>
            <w:rPr>
              <w:b/>
            </w:rPr>
            <w:fldChar w:fldCharType="end"/>
          </w:r>
        </w:p>
      </w:sdtContent>
    </w:sdt>
    <w:p>
      <w:pPr>
        <w:pStyle w:val="2"/>
        <w:rPr>
          <w:rFonts w:hint="eastAsia" w:ascii="黑体" w:hAnsi="黑体" w:eastAsia="黑体"/>
          <w:b w:val="0"/>
        </w:rPr>
      </w:pPr>
    </w:p>
    <w:p>
      <w:pPr>
        <w:pStyle w:val="3"/>
        <w:jc w:val="center"/>
        <w:rPr>
          <w:rFonts w:hint="eastAsia" w:ascii="黑体" w:hAnsi="黑体" w:eastAsia="黑体"/>
          <w:b w:val="0"/>
        </w:rPr>
      </w:pPr>
      <w:bookmarkStart w:id="24" w:name="_Toc22803"/>
      <w:bookmarkStart w:id="25" w:name="_Toc25404"/>
      <w:r>
        <w:rPr>
          <w:rFonts w:hint="eastAsia" w:ascii="黑体" w:hAnsi="黑体" w:eastAsia="黑体"/>
          <w:b w:val="0"/>
        </w:rPr>
        <w:t>第一部分 单位</w:t>
      </w:r>
      <w:r>
        <w:rPr>
          <w:rStyle w:val="25"/>
          <w:rFonts w:hint="eastAsia" w:ascii="黑体" w:hAnsi="黑体" w:eastAsia="黑体"/>
          <w:b w:val="0"/>
          <w:bCs w:val="0"/>
        </w:rPr>
        <w:t>概况</w:t>
      </w:r>
      <w:bookmarkEnd w:id="24"/>
      <w:bookmarkEnd w:id="25"/>
    </w:p>
    <w:p>
      <w:pPr>
        <w:pStyle w:val="4"/>
        <w:numPr>
          <w:ilvl w:val="0"/>
          <w:numId w:val="1"/>
        </w:numPr>
      </w:pPr>
      <w:bookmarkStart w:id="26" w:name="_Toc13902"/>
      <w:bookmarkStart w:id="27" w:name="_Toc15396600"/>
      <w:bookmarkStart w:id="28" w:name="_Toc15377197"/>
      <w:r>
        <w:rPr>
          <w:rStyle w:val="26"/>
          <w:rFonts w:hint="eastAsia" w:ascii="黑体" w:hAnsi="黑体" w:eastAsia="黑体"/>
          <w:b w:val="0"/>
          <w:bCs w:val="0"/>
        </w:rPr>
        <w:t>职能简介</w:t>
      </w:r>
      <w:bookmarkEnd w:id="26"/>
    </w:p>
    <w:p>
      <w:pPr>
        <w:ind w:firstLine="640" w:firstLineChars="200"/>
        <w:rPr>
          <w:rFonts w:ascii="仿宋" w:hAnsi="仿宋" w:eastAsia="仿宋"/>
          <w:color w:val="000000"/>
          <w:sz w:val="32"/>
          <w:szCs w:val="32"/>
        </w:rPr>
      </w:pPr>
      <w:bookmarkStart w:id="29" w:name="_Toc19645"/>
      <w:r>
        <w:rPr>
          <w:rFonts w:hint="eastAsia" w:ascii="仿宋" w:hAnsi="仿宋" w:eastAsia="仿宋"/>
          <w:color w:val="000000"/>
          <w:sz w:val="32"/>
          <w:szCs w:val="32"/>
        </w:rPr>
        <w:t>四川省电大住房和城乡建设厅分校是1986年经省政府和教育厅批准成立的一所成人高校，属四川省住房和城乡建设厅直属事业单位。学校一直秉承“开放、专业、助理、成功”的办学理念，以工程建设领域专业为主要特色，开展学历继续教育，涉及专业50余个，培训项目近10个。经过30多年发展，师资队伍不断壮大、教育资源不断丰富，连续多年受行业部门表彰，为行业人才队伍建设，人才培养发挥了积极作用。</w:t>
      </w:r>
      <w:bookmarkEnd w:id="29"/>
    </w:p>
    <w:p>
      <w:pPr>
        <w:rPr>
          <w:b/>
          <w:bCs/>
        </w:rPr>
      </w:pPr>
    </w:p>
    <w:p>
      <w:pPr>
        <w:pStyle w:val="4"/>
        <w:numPr>
          <w:ilvl w:val="0"/>
          <w:numId w:val="1"/>
        </w:numPr>
        <w:rPr>
          <w:rFonts w:ascii="黑体" w:hAnsi="黑体" w:eastAsia="黑体"/>
          <w:b w:val="0"/>
        </w:rPr>
      </w:pPr>
      <w:bookmarkStart w:id="30" w:name="_Toc32312"/>
      <w:r>
        <w:rPr>
          <w:rFonts w:hint="eastAsia" w:ascii="黑体" w:hAnsi="黑体" w:eastAsia="黑体"/>
          <w:b w:val="0"/>
        </w:rPr>
        <w:t>2020年重点工作</w:t>
      </w:r>
      <w:bookmarkEnd w:id="27"/>
      <w:bookmarkEnd w:id="28"/>
      <w:r>
        <w:rPr>
          <w:rFonts w:hint="eastAsia" w:ascii="黑体" w:hAnsi="黑体" w:eastAsia="黑体"/>
          <w:b w:val="0"/>
        </w:rPr>
        <w:t>完成情况</w:t>
      </w:r>
      <w:bookmarkEnd w:id="30"/>
    </w:p>
    <w:p>
      <w:pPr>
        <w:spacing w:line="480" w:lineRule="auto"/>
        <w:ind w:firstLine="643" w:firstLineChars="200"/>
        <w:rPr>
          <w:rFonts w:ascii="楷体" w:hAnsi="楷体" w:eastAsia="楷体" w:cs="楷体"/>
          <w:b/>
          <w:bCs/>
          <w:sz w:val="32"/>
          <w:szCs w:val="32"/>
        </w:rPr>
      </w:pPr>
      <w:r>
        <w:rPr>
          <w:rFonts w:hint="eastAsia" w:ascii="楷体" w:hAnsi="楷体" w:eastAsia="楷体" w:cs="楷体"/>
          <w:b/>
          <w:bCs/>
          <w:sz w:val="32"/>
          <w:szCs w:val="32"/>
        </w:rPr>
        <w:t>（一）强化责任担当，办学卓有成效</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sz w:val="32"/>
          <w:szCs w:val="32"/>
        </w:rPr>
        <w:t>学校</w:t>
      </w:r>
      <w:r>
        <w:rPr>
          <w:rFonts w:hint="eastAsia" w:ascii="仿宋_GB2312" w:hAnsi="仿宋_GB2312" w:eastAsia="仿宋_GB2312" w:cs="仿宋_GB2312"/>
          <w:sz w:val="32"/>
          <w:szCs w:val="32"/>
        </w:rPr>
        <w:t>严格按照厅党组和厅机关党委要求加强政治建设和理论学习</w:t>
      </w:r>
      <w:r>
        <w:rPr>
          <w:rFonts w:hint="eastAsia" w:ascii="仿宋" w:hAnsi="仿宋" w:eastAsia="仿宋"/>
          <w:color w:val="000000" w:themeColor="text1"/>
          <w:sz w:val="32"/>
          <w:szCs w:val="32"/>
          <w:shd w:val="clear" w:color="auto" w:fill="FFFFFF"/>
          <w14:textFill>
            <w14:solidFill>
              <w14:schemeClr w14:val="tx1"/>
            </w14:solidFill>
          </w14:textFill>
        </w:rPr>
        <w:t>，坚持以支部建设为中心、队伍建设为重点，</w:t>
      </w:r>
      <w:r>
        <w:rPr>
          <w:rFonts w:hint="eastAsia" w:ascii="仿宋" w:hAnsi="仿宋" w:eastAsia="仿宋"/>
          <w:color w:val="000000"/>
          <w:sz w:val="32"/>
          <w:szCs w:val="32"/>
        </w:rPr>
        <w:t>切实履行教育引导、日常管理、监督检查职责，把全面从严治党主体责任扛在肩上、抓在手里、落实在行动中</w:t>
      </w:r>
      <w:r>
        <w:rPr>
          <w:rFonts w:hint="eastAsia" w:ascii="仿宋" w:hAnsi="仿宋" w:eastAsia="仿宋"/>
          <w:color w:val="000000" w:themeColor="text1"/>
          <w:sz w:val="32"/>
          <w:szCs w:val="32"/>
          <w14:textFill>
            <w14:solidFill>
              <w14:schemeClr w14:val="tx1"/>
            </w14:solidFill>
          </w14:textFill>
        </w:rPr>
        <w:t>。</w:t>
      </w:r>
    </w:p>
    <w:p>
      <w:pPr>
        <w:ind w:firstLine="643" w:firstLineChars="200"/>
        <w:rPr>
          <w:rFonts w:ascii="黑体" w:hAnsi="黑体" w:eastAsia="黑体" w:cs="黑体"/>
          <w:sz w:val="32"/>
          <w:szCs w:val="32"/>
        </w:rPr>
      </w:pPr>
      <w:r>
        <w:rPr>
          <w:rFonts w:hint="eastAsia" w:ascii="楷体" w:hAnsi="楷体" w:eastAsia="楷体" w:cs="楷体"/>
          <w:b/>
          <w:bCs/>
          <w:sz w:val="32"/>
          <w:szCs w:val="32"/>
        </w:rPr>
        <w:t>1.提高政治站位。</w:t>
      </w:r>
      <w:r>
        <w:rPr>
          <w:rFonts w:hint="eastAsia" w:ascii="仿宋_GB2312" w:hAnsi="仿宋_GB2312" w:eastAsia="仿宋_GB2312" w:cs="仿宋_GB2312"/>
          <w:sz w:val="32"/>
          <w:szCs w:val="32"/>
        </w:rPr>
        <w:t>坚持“三会一课”，深入学习贯彻习近平总书记系列重要讲话精神，树立对党绝对忠诚，坚定理想信念，践行党的宗旨，增强“四个意识”，坚定“四个自信”，做到“两个维护”，把思想和行动统一到党中央、省委省政府、厅党组决策部署上来。</w:t>
      </w:r>
      <w:r>
        <w:rPr>
          <w:rFonts w:hint="eastAsia" w:ascii="仿宋" w:hAnsi="仿宋" w:eastAsia="仿宋" w:cs="仿宋"/>
          <w:sz w:val="32"/>
          <w:szCs w:val="32"/>
        </w:rPr>
        <w:t>在党员学习群发送学习资料30多篇、观看警示教育片1次，上廉政党课2次，组织党纪党规知识测试，开展主题党日活动4次，谈心谈话2次，完成学习心得7篇，组织党员参与植树、志愿者服务、演讲比赛等活动。</w:t>
      </w:r>
    </w:p>
    <w:p>
      <w:pPr>
        <w:ind w:firstLine="643" w:firstLineChars="200"/>
        <w:rPr>
          <w:rFonts w:ascii="仿宋_GB2312" w:hAnsi="仿宋_GB2312" w:eastAsia="仿宋_GB2312" w:cs="仿宋_GB2312"/>
          <w:sz w:val="32"/>
          <w:szCs w:val="32"/>
        </w:rPr>
      </w:pPr>
      <w:r>
        <w:rPr>
          <w:rFonts w:hint="eastAsia" w:ascii="楷体" w:hAnsi="楷体" w:eastAsia="楷体" w:cs="楷体"/>
          <w:b/>
          <w:bCs/>
          <w:sz w:val="32"/>
          <w:szCs w:val="32"/>
        </w:rPr>
        <w:t>2.全面落实从严治党。</w:t>
      </w:r>
      <w:r>
        <w:rPr>
          <w:rFonts w:hint="eastAsia" w:ascii="仿宋" w:hAnsi="仿宋" w:eastAsia="仿宋"/>
          <w:sz w:val="32"/>
          <w:szCs w:val="32"/>
        </w:rPr>
        <w:t>严格执行《廉政准则》，做到廉洁自律，</w:t>
      </w:r>
      <w:r>
        <w:rPr>
          <w:rFonts w:hint="eastAsia" w:ascii="仿宋_GB2312" w:hAnsi="仿宋_GB2312" w:eastAsia="仿宋_GB2312" w:cs="仿宋_GB2312"/>
          <w:sz w:val="32"/>
          <w:szCs w:val="32"/>
        </w:rPr>
        <w:t>努力营造风清气正的政治生态。班子成员严格执行领导干部重大事项报告制度，民主生活会制度，“三重一大”民主决策制度，</w:t>
      </w:r>
      <w:r>
        <w:rPr>
          <w:rFonts w:hint="eastAsia" w:ascii="仿宋" w:hAnsi="仿宋" w:eastAsia="仿宋"/>
          <w:sz w:val="32"/>
          <w:szCs w:val="32"/>
        </w:rPr>
        <w:t>严格执行中央“八项”规定和省委省政府“十项”规定以及公车使用规定，</w:t>
      </w:r>
      <w:r>
        <w:rPr>
          <w:rFonts w:hint="eastAsia" w:ascii="仿宋_GB2312" w:hAnsi="仿宋_GB2312" w:eastAsia="仿宋_GB2312" w:cs="仿宋_GB2312"/>
          <w:sz w:val="32"/>
          <w:szCs w:val="32"/>
        </w:rPr>
        <w:t>在公务接待活动中注重节俭，不浪费，不超标准接待，</w:t>
      </w:r>
      <w:r>
        <w:rPr>
          <w:rFonts w:hint="eastAsia" w:ascii="仿宋" w:hAnsi="仿宋" w:eastAsia="仿宋"/>
          <w:sz w:val="32"/>
          <w:szCs w:val="32"/>
        </w:rPr>
        <w:t>杜绝一切奢靡之风。</w:t>
      </w:r>
      <w:r>
        <w:rPr>
          <w:rFonts w:hint="eastAsia" w:ascii="仿宋_GB2312" w:hAnsi="仿宋_GB2312" w:eastAsia="仿宋_GB2312" w:cs="仿宋_GB2312"/>
          <w:sz w:val="32"/>
          <w:szCs w:val="32"/>
        </w:rPr>
        <w:t>今年召开校长办公会15次。</w:t>
      </w:r>
    </w:p>
    <w:p>
      <w:pPr>
        <w:ind w:firstLine="643" w:firstLineChars="200"/>
        <w:rPr>
          <w:rFonts w:ascii="仿宋_GB2312" w:hAnsi="仿宋_GB2312" w:eastAsia="仿宋_GB2312" w:cs="仿宋_GB2312"/>
          <w:sz w:val="32"/>
          <w:szCs w:val="32"/>
        </w:rPr>
      </w:pPr>
      <w:r>
        <w:rPr>
          <w:rFonts w:hint="eastAsia" w:ascii="楷体" w:hAnsi="楷体" w:eastAsia="楷体" w:cs="楷体"/>
          <w:b/>
          <w:bCs/>
          <w:sz w:val="32"/>
          <w:szCs w:val="32"/>
        </w:rPr>
        <w:t>3.完善制度建设。</w:t>
      </w:r>
      <w:r>
        <w:rPr>
          <w:rFonts w:hint="eastAsia" w:ascii="仿宋_GB2312" w:hAnsi="仿宋_GB2312" w:eastAsia="仿宋_GB2312" w:cs="仿宋_GB2312"/>
          <w:sz w:val="32"/>
          <w:szCs w:val="32"/>
        </w:rPr>
        <w:t>根据工作安排，对内控工作小组成员进行调整，完善了合同管理制度。</w:t>
      </w:r>
      <w:r>
        <w:rPr>
          <w:rFonts w:hint="eastAsia" w:ascii="仿宋_GB2312" w:hAnsi="仿宋_GB2312" w:eastAsia="仿宋_GB2312" w:cs="仿宋_GB2312"/>
          <w:sz w:val="32"/>
          <w:szCs w:val="32"/>
          <w:shd w:val="clear" w:color="auto" w:fill="FFFFFF"/>
        </w:rPr>
        <w:t>全面梳</w:t>
      </w:r>
      <w:r>
        <w:rPr>
          <w:rFonts w:hint="eastAsia" w:ascii="仿宋_GB2312" w:hAnsi="仿宋_GB2312" w:eastAsia="仿宋_GB2312" w:cs="仿宋_GB2312"/>
          <w:sz w:val="32"/>
          <w:szCs w:val="32"/>
        </w:rPr>
        <w:t>理教学点办学，确定可续签服务协议单位名单；制定教学点综合业务工作考评指标体系，明确教学点准入退出条件，有效管控办学风险；结合我校工作实际，修订单位“三重一大”民主决策制度，从源头上杜绝一切腐败现象的发生。</w:t>
      </w:r>
    </w:p>
    <w:p>
      <w:pPr>
        <w:spacing w:line="480" w:lineRule="auto"/>
        <w:ind w:firstLine="643" w:firstLineChars="200"/>
        <w:rPr>
          <w:rFonts w:ascii="仿宋_GB2312" w:hAnsi="仿宋_GB2312" w:eastAsia="仿宋_GB2312" w:cs="仿宋_GB2312"/>
          <w:sz w:val="32"/>
          <w:szCs w:val="32"/>
        </w:rPr>
      </w:pPr>
      <w:r>
        <w:rPr>
          <w:rFonts w:hint="eastAsia" w:ascii="楷体" w:hAnsi="楷体" w:eastAsia="楷体" w:cs="楷体"/>
          <w:b/>
          <w:bCs/>
          <w:sz w:val="32"/>
          <w:szCs w:val="32"/>
        </w:rPr>
        <w:t>4.工作成绩显著。</w:t>
      </w:r>
      <w:r>
        <w:rPr>
          <w:rFonts w:hint="eastAsia" w:ascii="仿宋" w:hAnsi="仿宋" w:eastAsia="仿宋"/>
          <w:sz w:val="32"/>
          <w:szCs w:val="32"/>
        </w:rPr>
        <w:t>全年招收学历教育新生2167人，现有在校生6227人，完成三类人员培训20000余人，八大员培训2249人。</w:t>
      </w:r>
      <w:r>
        <w:rPr>
          <w:rFonts w:hint="eastAsia" w:ascii="仿宋_GB2312" w:hAnsi="仿宋_GB2312" w:eastAsia="仿宋_GB2312" w:cs="仿宋_GB2312"/>
          <w:sz w:val="32"/>
          <w:szCs w:val="32"/>
          <w:lang w:eastAsia="zh-CN"/>
        </w:rPr>
        <w:t>一位</w:t>
      </w:r>
      <w:r>
        <w:rPr>
          <w:rFonts w:hint="eastAsia" w:ascii="仿宋_GB2312" w:hAnsi="仿宋_GB2312" w:eastAsia="仿宋_GB2312" w:cs="仿宋_GB2312"/>
          <w:sz w:val="32"/>
          <w:szCs w:val="32"/>
        </w:rPr>
        <w:t>同志获得2020年厅机关“廉韵润初心”演讲比赛三等奖，多人获得了上级办学单位评先评优等荣誉。</w:t>
      </w:r>
    </w:p>
    <w:p>
      <w:pPr>
        <w:spacing w:line="480" w:lineRule="auto"/>
        <w:ind w:firstLine="643" w:firstLineChars="200"/>
        <w:rPr>
          <w:rFonts w:ascii="楷体" w:hAnsi="楷体" w:eastAsia="楷体" w:cs="楷体"/>
          <w:b/>
          <w:bCs/>
          <w:sz w:val="32"/>
          <w:szCs w:val="32"/>
        </w:rPr>
      </w:pPr>
      <w:r>
        <w:rPr>
          <w:rFonts w:hint="eastAsia" w:ascii="楷体" w:hAnsi="楷体" w:eastAsia="楷体" w:cs="楷体"/>
          <w:b/>
          <w:bCs/>
          <w:sz w:val="32"/>
          <w:szCs w:val="32"/>
        </w:rPr>
        <w:t>（二）加强探索实践，拓展办学发展</w:t>
      </w:r>
    </w:p>
    <w:p>
      <w:pPr>
        <w:ind w:firstLine="640"/>
        <w:rPr>
          <w:rFonts w:ascii="仿宋" w:hAnsi="仿宋" w:eastAsia="仿宋"/>
          <w:bCs/>
          <w:sz w:val="32"/>
          <w:szCs w:val="32"/>
        </w:rPr>
      </w:pPr>
      <w:r>
        <w:rPr>
          <w:rFonts w:hint="eastAsia" w:ascii="仿宋" w:hAnsi="仿宋" w:eastAsia="仿宋"/>
          <w:sz w:val="32"/>
          <w:szCs w:val="32"/>
        </w:rPr>
        <w:t>学校贯彻落实全国教育大会精神，今年进一步明确了办学方向</w:t>
      </w:r>
      <w:r>
        <w:rPr>
          <w:rFonts w:hint="eastAsia" w:ascii="仿宋" w:hAnsi="仿宋" w:eastAsia="仿宋"/>
          <w:bCs/>
          <w:sz w:val="32"/>
          <w:szCs w:val="32"/>
        </w:rPr>
        <w:t>，以构建“行业终身教育服务体系”为办学目标，深入开展调查研究，结合行业发展需求，积极开拓了新的业务项目，有序推动学历继续教育工作开展。</w:t>
      </w:r>
    </w:p>
    <w:p>
      <w:pPr>
        <w:ind w:firstLine="643" w:firstLineChars="200"/>
        <w:rPr>
          <w:rFonts w:ascii="仿宋" w:hAnsi="仿宋" w:eastAsia="仿宋"/>
          <w:bCs/>
          <w:sz w:val="32"/>
          <w:szCs w:val="32"/>
        </w:rPr>
      </w:pPr>
      <w:r>
        <w:rPr>
          <w:rFonts w:hint="eastAsia" w:ascii="楷体" w:hAnsi="楷体" w:eastAsia="楷体" w:cs="楷体"/>
          <w:b/>
          <w:bCs/>
          <w:sz w:val="32"/>
          <w:szCs w:val="32"/>
        </w:rPr>
        <w:t>1.高效工作计划先行。</w:t>
      </w:r>
      <w:r>
        <w:rPr>
          <w:rFonts w:hint="eastAsia" w:ascii="仿宋" w:hAnsi="仿宋" w:eastAsia="仿宋" w:cs="仿宋"/>
          <w:color w:val="000000"/>
          <w:sz w:val="32"/>
          <w:szCs w:val="32"/>
          <w:shd w:val="clear" w:color="auto" w:fill="FFFFFF"/>
        </w:rPr>
        <w:t>结合工作实际，制定年度</w:t>
      </w:r>
      <w:r>
        <w:rPr>
          <w:rFonts w:hint="eastAsia" w:ascii="仿宋" w:hAnsi="仿宋" w:eastAsia="仿宋"/>
          <w:sz w:val="32"/>
          <w:szCs w:val="32"/>
        </w:rPr>
        <w:t>党建工作计划和学校年度重点工作，量化考核指标，压实责任，</w:t>
      </w:r>
      <w:r>
        <w:rPr>
          <w:rFonts w:hint="eastAsia" w:ascii="仿宋" w:hAnsi="仿宋" w:eastAsia="仿宋" w:cs="仿宋"/>
          <w:color w:val="000000"/>
          <w:sz w:val="32"/>
          <w:szCs w:val="32"/>
          <w:shd w:val="clear" w:color="auto" w:fill="FFFFFF"/>
        </w:rPr>
        <w:t>明确要求，</w:t>
      </w:r>
      <w:r>
        <w:rPr>
          <w:rFonts w:hint="eastAsia" w:ascii="仿宋" w:hAnsi="仿宋" w:eastAsia="仿宋"/>
          <w:sz w:val="32"/>
          <w:szCs w:val="32"/>
        </w:rPr>
        <w:t>将党建和党风廉政建设与业务工作开展紧密结合，加强党支部对业务工作的组织领导。</w:t>
      </w:r>
      <w:r>
        <w:rPr>
          <w:rFonts w:hint="eastAsia" w:ascii="仿宋" w:hAnsi="仿宋" w:eastAsia="仿宋"/>
          <w:bCs/>
          <w:sz w:val="32"/>
          <w:szCs w:val="32"/>
        </w:rPr>
        <w:t xml:space="preserve"> </w:t>
      </w:r>
    </w:p>
    <w:p>
      <w:pPr>
        <w:ind w:firstLine="640"/>
        <w:rPr>
          <w:rFonts w:ascii="仿宋" w:hAnsi="仿宋" w:eastAsia="仿宋"/>
          <w:bCs/>
          <w:sz w:val="32"/>
          <w:szCs w:val="32"/>
        </w:rPr>
      </w:pPr>
      <w:r>
        <w:rPr>
          <w:rFonts w:hint="eastAsia" w:ascii="楷体" w:hAnsi="楷体" w:eastAsia="楷体" w:cs="楷体"/>
          <w:b/>
          <w:bCs/>
          <w:sz w:val="32"/>
          <w:szCs w:val="32"/>
        </w:rPr>
        <w:t>2.抓实工作推进。</w:t>
      </w:r>
      <w:r>
        <w:rPr>
          <w:rFonts w:hint="eastAsia" w:ascii="仿宋" w:hAnsi="仿宋" w:eastAsia="仿宋"/>
          <w:bCs/>
          <w:sz w:val="32"/>
          <w:szCs w:val="32"/>
        </w:rPr>
        <w:t>组织专题会，征求专家教授意见，丰富办学管理举措，安排部署专项工作。坚持周例会制度，听取部门负责人工作情况汇报，分析工作中的困难和问题，指导工作推进。</w:t>
      </w:r>
    </w:p>
    <w:p>
      <w:pPr>
        <w:ind w:firstLine="643" w:firstLineChars="200"/>
        <w:rPr>
          <w:rFonts w:ascii="华文仿宋" w:hAnsi="华文仿宋" w:eastAsia="华文仿宋" w:cs="仿宋_GB2312"/>
          <w:sz w:val="32"/>
          <w:szCs w:val="32"/>
        </w:rPr>
      </w:pPr>
      <w:r>
        <w:rPr>
          <w:rFonts w:hint="eastAsia" w:ascii="楷体" w:hAnsi="楷体" w:eastAsia="楷体" w:cs="楷体"/>
          <w:b/>
          <w:bCs/>
          <w:sz w:val="32"/>
          <w:szCs w:val="32"/>
        </w:rPr>
        <w:t>3.提升办学效能。</w:t>
      </w:r>
      <w:r>
        <w:rPr>
          <w:rFonts w:hint="eastAsia" w:ascii="仿宋" w:hAnsi="仿宋" w:eastAsia="仿宋"/>
          <w:bCs/>
          <w:sz w:val="32"/>
          <w:szCs w:val="32"/>
        </w:rPr>
        <w:t>结合疫情防控要求，</w:t>
      </w:r>
      <w:r>
        <w:rPr>
          <w:rFonts w:hint="eastAsia" w:ascii="华文仿宋" w:hAnsi="华文仿宋" w:eastAsia="华文仿宋" w:cs="仿宋_GB2312"/>
          <w:sz w:val="32"/>
          <w:szCs w:val="32"/>
        </w:rPr>
        <w:t>积极开拓思维，改用QQ远程、微信视频等方式掌握教学辅导、上网学习情况、教学教务资料整理归档等情况；</w:t>
      </w:r>
      <w:r>
        <w:rPr>
          <w:rFonts w:hint="eastAsia" w:ascii="仿宋_GB2312" w:hAnsi="仿宋_GB2312" w:eastAsia="仿宋_GB2312" w:cs="仿宋_GB2312"/>
          <w:sz w:val="32"/>
          <w:szCs w:val="32"/>
        </w:rPr>
        <w:t>强化层级管理、落实岗位责任、优化办理流程，加强业务指导，大大</w:t>
      </w:r>
      <w:r>
        <w:rPr>
          <w:rFonts w:hint="eastAsia" w:ascii="华文仿宋" w:hAnsi="华文仿宋" w:eastAsia="华文仿宋" w:cs="仿宋_GB2312"/>
          <w:sz w:val="32"/>
          <w:szCs w:val="32"/>
        </w:rPr>
        <w:t>提升办学工作效能。编制下发了《开放教育业务工作培训手册》，整编了《教务手册》和《考务手册》。</w:t>
      </w:r>
    </w:p>
    <w:p>
      <w:pPr>
        <w:ind w:firstLine="641"/>
        <w:rPr>
          <w:rFonts w:ascii="仿宋_GB2312" w:hAnsi="仿宋_GB2312" w:eastAsia="仿宋_GB2312" w:cs="仿宋_GB2312"/>
          <w:sz w:val="32"/>
          <w:szCs w:val="32"/>
        </w:rPr>
      </w:pPr>
      <w:r>
        <w:rPr>
          <w:rFonts w:hint="eastAsia" w:ascii="楷体_GB2312" w:hAnsi="楷体_GB2312" w:eastAsia="楷体_GB2312" w:cs="楷体_GB2312"/>
          <w:b/>
          <w:bCs/>
          <w:sz w:val="32"/>
          <w:szCs w:val="32"/>
        </w:rPr>
        <w:t>4.丰富资源建设。</w:t>
      </w:r>
      <w:r>
        <w:rPr>
          <w:rFonts w:hint="eastAsia" w:ascii="仿宋_GB2312" w:hAnsi="仿宋_GB2312" w:eastAsia="仿宋_GB2312" w:cs="仿宋_GB2312"/>
          <w:sz w:val="32"/>
          <w:szCs w:val="32"/>
        </w:rPr>
        <w:t>务实创新积极拓展学生专业知识视野，</w:t>
      </w:r>
      <w:r>
        <w:rPr>
          <w:rFonts w:hint="eastAsia" w:ascii="仿宋_GB2312" w:hAnsi="仿宋_GB2312" w:eastAsia="仿宋_GB2312" w:cs="仿宋_GB2312"/>
          <w:sz w:val="32"/>
          <w:szCs w:val="32"/>
          <w:shd w:val="clear" w:color="auto" w:fill="FFFFFF"/>
        </w:rPr>
        <w:t>自建涉及建设工程房建、市政，建设工程招投标、建筑标准、工程安全与质量和装配式建筑等新技术及思政课程为主要内容的课件。今年新建及更新</w:t>
      </w:r>
      <w:r>
        <w:rPr>
          <w:rFonts w:hint="eastAsia" w:ascii="仿宋_GB2312" w:hAnsi="仿宋_GB2312" w:eastAsia="仿宋_GB2312" w:cs="仿宋_GB2312"/>
          <w:sz w:val="32"/>
          <w:szCs w:val="32"/>
        </w:rPr>
        <w:t>“施工现场专业人员职业培训（13个岗位）”</w:t>
      </w:r>
      <w:r>
        <w:rPr>
          <w:rFonts w:hint="eastAsia" w:ascii="仿宋_GB2312" w:hAnsi="仿宋_GB2312" w:eastAsia="仿宋_GB2312" w:cs="仿宋_GB2312"/>
          <w:sz w:val="32"/>
          <w:szCs w:val="32"/>
          <w:shd w:val="clear" w:color="auto" w:fill="FFFFFF"/>
        </w:rPr>
        <w:t>课件逾300个，</w:t>
      </w:r>
      <w:r>
        <w:rPr>
          <w:rFonts w:hint="eastAsia" w:ascii="仿宋_GB2312" w:hAnsi="仿宋_GB2312" w:eastAsia="仿宋_GB2312" w:cs="仿宋_GB2312"/>
          <w:sz w:val="32"/>
          <w:szCs w:val="32"/>
        </w:rPr>
        <w:t>编写27000余道模拟练习题，打造出符合学校的专业特色。</w:t>
      </w:r>
    </w:p>
    <w:p>
      <w:pPr>
        <w:ind w:firstLine="640"/>
        <w:rPr>
          <w:rFonts w:ascii="仿宋" w:hAnsi="仿宋" w:eastAsia="仿宋" w:cs="仿宋"/>
          <w:color w:val="000000"/>
          <w:sz w:val="32"/>
          <w:szCs w:val="32"/>
          <w:shd w:val="clear" w:color="auto" w:fill="FFFFFF"/>
        </w:rPr>
      </w:pPr>
      <w:r>
        <w:rPr>
          <w:rFonts w:hint="eastAsia" w:ascii="楷体" w:hAnsi="楷体" w:eastAsia="楷体" w:cs="楷体"/>
          <w:b/>
          <w:bCs/>
          <w:sz w:val="32"/>
          <w:szCs w:val="32"/>
        </w:rPr>
        <w:t>5.拓展新项目。</w:t>
      </w:r>
      <w:r>
        <w:rPr>
          <w:rFonts w:hint="eastAsia" w:ascii="仿宋" w:hAnsi="仿宋" w:eastAsia="仿宋" w:cs="仿宋"/>
          <w:color w:val="000000"/>
          <w:sz w:val="32"/>
          <w:szCs w:val="32"/>
        </w:rPr>
        <w:t>在学历继续教育稳步发展的同时，学校</w:t>
      </w:r>
      <w:r>
        <w:rPr>
          <w:rFonts w:hint="eastAsia" w:ascii="仿宋" w:hAnsi="仿宋" w:eastAsia="仿宋" w:cs="仿宋"/>
          <w:sz w:val="32"/>
          <w:szCs w:val="32"/>
        </w:rPr>
        <w:t>以</w:t>
      </w:r>
      <w:r>
        <w:rPr>
          <w:rFonts w:hint="eastAsia" w:ascii="仿宋" w:hAnsi="仿宋" w:eastAsia="仿宋" w:cs="仿宋"/>
          <w:color w:val="000000"/>
          <w:sz w:val="32"/>
          <w:szCs w:val="32"/>
          <w:shd w:val="clear" w:color="auto" w:fill="FFFFFF"/>
        </w:rPr>
        <w:t>保障培训质量、提高测试合格率、做好培训管理服务工作为重点，积极开展</w:t>
      </w:r>
      <w:r>
        <w:rPr>
          <w:rFonts w:hint="eastAsia" w:ascii="仿宋" w:hAnsi="仿宋" w:eastAsia="仿宋" w:cs="仿宋"/>
          <w:color w:val="000000"/>
          <w:sz w:val="32"/>
          <w:szCs w:val="32"/>
        </w:rPr>
        <w:t>四川省住房和城乡建设领域施工现场专业人员职业培训，现已开展职业培训4期。</w:t>
      </w:r>
      <w:r>
        <w:rPr>
          <w:rFonts w:hint="eastAsia" w:ascii="仿宋" w:hAnsi="仿宋" w:eastAsia="仿宋" w:cs="仿宋"/>
          <w:color w:val="000000"/>
          <w:sz w:val="32"/>
          <w:szCs w:val="32"/>
          <w:shd w:val="clear" w:color="auto" w:fill="FFFFFF"/>
        </w:rPr>
        <w:t>通过以考促培，提高施工现场专业人员技术水平和综合素质，切实履行培训机构主体责任，发挥自身培训优势，扎实推进施工现场专业人员职业培训工作。</w:t>
      </w:r>
    </w:p>
    <w:p>
      <w:pPr>
        <w:ind w:firstLine="643" w:firstLineChars="200"/>
        <w:rPr>
          <w:rFonts w:ascii="仿宋" w:hAnsi="仿宋" w:eastAsia="仿宋" w:cs="仿宋"/>
          <w:color w:val="000000"/>
          <w:sz w:val="32"/>
          <w:szCs w:val="32"/>
          <w:shd w:val="clear" w:color="auto" w:fill="FFFFFF"/>
        </w:rPr>
      </w:pPr>
      <w:r>
        <w:rPr>
          <w:rFonts w:hint="eastAsia" w:ascii="楷体" w:hAnsi="楷体" w:eastAsia="楷体" w:cs="楷体"/>
          <w:b/>
          <w:bCs/>
          <w:sz w:val="32"/>
          <w:szCs w:val="32"/>
        </w:rPr>
        <w:t>6.加强协作合作。</w:t>
      </w:r>
      <w:r>
        <w:rPr>
          <w:rFonts w:hint="eastAsia" w:ascii="仿宋" w:hAnsi="仿宋" w:eastAsia="仿宋" w:cs="仿宋"/>
          <w:color w:val="000000"/>
          <w:sz w:val="32"/>
          <w:szCs w:val="32"/>
          <w:shd w:val="clear" w:color="auto" w:fill="FFFFFF"/>
        </w:rPr>
        <w:t>学校构建了立体式培训协作合作模式，积极与厅机关处室单位内外联动协作合作，加强与各学习中心上下联动资源共享共建，开展各类专项培训协作合作，合力发展学历教育事业。</w:t>
      </w:r>
      <w:r>
        <w:rPr>
          <w:rFonts w:hint="eastAsia" w:ascii="仿宋" w:hAnsi="仿宋" w:eastAsia="仿宋" w:cs="仿宋"/>
          <w:color w:val="000000"/>
          <w:sz w:val="32"/>
          <w:szCs w:val="32"/>
        </w:rPr>
        <w:t>今年以来，所属学习中心积极参与非学历教育培训项目的开展，现已有10家学习中心与学校开展“三类”安管人员继续教育合作，5家学习中心与学校开展</w:t>
      </w:r>
      <w:r>
        <w:rPr>
          <w:rFonts w:hint="eastAsia" w:ascii="仿宋" w:hAnsi="仿宋" w:eastAsia="仿宋" w:cs="仿宋"/>
          <w:color w:val="000000"/>
          <w:sz w:val="32"/>
          <w:szCs w:val="32"/>
          <w:shd w:val="clear" w:color="auto" w:fill="FFFFFF"/>
        </w:rPr>
        <w:t>施工现场专业人员职业培训</w:t>
      </w:r>
      <w:r>
        <w:rPr>
          <w:rFonts w:hint="eastAsia" w:ascii="仿宋" w:hAnsi="仿宋" w:eastAsia="仿宋" w:cs="仿宋"/>
          <w:color w:val="000000"/>
          <w:sz w:val="32"/>
          <w:szCs w:val="32"/>
        </w:rPr>
        <w:t>合作。</w:t>
      </w:r>
      <w:r>
        <w:rPr>
          <w:rFonts w:hint="eastAsia" w:ascii="仿宋" w:hAnsi="仿宋" w:eastAsia="仿宋" w:cs="仿宋"/>
          <w:color w:val="000000"/>
          <w:sz w:val="32"/>
          <w:szCs w:val="32"/>
          <w:shd w:val="clear" w:color="auto" w:fill="FFFFFF"/>
        </w:rPr>
        <w:t xml:space="preserve">  </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（三）勇于改革创新，提升办学水平</w:t>
      </w:r>
    </w:p>
    <w:p>
      <w:pPr>
        <w:ind w:firstLine="640" w:firstLineChars="200"/>
        <w:rPr>
          <w:rFonts w:ascii="仿宋_GB2312" w:hAnsi="仿宋_GB2312" w:eastAsia="仿宋_GB2312" w:cs="仿宋_GB2312"/>
          <w:sz w:val="32"/>
          <w:szCs w:val="32"/>
          <w:shd w:val="clear" w:color="auto" w:fill="FFFFFF"/>
        </w:rPr>
      </w:pPr>
      <w:r>
        <w:rPr>
          <w:rFonts w:hint="eastAsia" w:ascii="仿宋" w:hAnsi="仿宋" w:eastAsia="仿宋"/>
          <w:sz w:val="32"/>
          <w:szCs w:val="32"/>
        </w:rPr>
        <w:t>在工作中，全校教职工打破原有的惯性思维方式，增强学校发展的活力和动力，</w:t>
      </w:r>
      <w:r>
        <w:rPr>
          <w:rFonts w:ascii="仿宋_GB2312" w:hAnsi="仿宋_GB2312" w:eastAsia="仿宋_GB2312" w:cs="仿宋_GB2312"/>
          <w:sz w:val="32"/>
          <w:szCs w:val="32"/>
          <w:shd w:val="clear" w:color="auto" w:fill="FFFFFF"/>
        </w:rPr>
        <w:t>创新工作方法，以新思路、新举措</w:t>
      </w:r>
      <w:r>
        <w:rPr>
          <w:rFonts w:hint="eastAsia" w:ascii="仿宋_GB2312" w:hAnsi="仿宋_GB2312" w:eastAsia="仿宋_GB2312" w:cs="仿宋_GB2312"/>
          <w:sz w:val="32"/>
          <w:szCs w:val="32"/>
          <w:shd w:val="clear" w:color="auto" w:fill="FFFFFF"/>
        </w:rPr>
        <w:t>破除障碍和难题，</w:t>
      </w:r>
      <w:r>
        <w:rPr>
          <w:rFonts w:hint="eastAsia" w:ascii="仿宋" w:hAnsi="仿宋" w:eastAsia="仿宋"/>
          <w:sz w:val="32"/>
          <w:szCs w:val="32"/>
        </w:rPr>
        <w:t>扎实推进各项工作。</w:t>
      </w:r>
    </w:p>
    <w:p>
      <w:pPr>
        <w:ind w:firstLine="643" w:firstLineChars="200"/>
        <w:rPr>
          <w:rFonts w:ascii="仿宋" w:hAnsi="仿宋" w:eastAsia="仿宋"/>
          <w:sz w:val="32"/>
          <w:szCs w:val="32"/>
        </w:rPr>
      </w:pPr>
      <w:r>
        <w:rPr>
          <w:rFonts w:hint="eastAsia" w:ascii="楷体" w:hAnsi="楷体" w:eastAsia="楷体" w:cs="楷体"/>
          <w:b/>
          <w:bCs/>
          <w:sz w:val="32"/>
          <w:szCs w:val="32"/>
        </w:rPr>
        <w:t>1.重塑师资团队。</w:t>
      </w:r>
      <w:r>
        <w:rPr>
          <w:rFonts w:hint="eastAsia" w:ascii="仿宋" w:hAnsi="仿宋" w:eastAsia="仿宋"/>
          <w:sz w:val="32"/>
          <w:szCs w:val="32"/>
        </w:rPr>
        <w:t>有针对性的构建了属于学校自己的“教研组”和“授课教师”团队，丰富教学内容与方式，努力提高办学质量。</w:t>
      </w:r>
    </w:p>
    <w:p>
      <w:pPr>
        <w:ind w:firstLine="643" w:firstLineChars="200"/>
        <w:rPr>
          <w:rFonts w:ascii="仿宋" w:hAnsi="仿宋" w:eastAsia="仿宋_GB2312"/>
          <w:sz w:val="32"/>
          <w:szCs w:val="32"/>
        </w:rPr>
      </w:pPr>
      <w:r>
        <w:rPr>
          <w:rFonts w:hint="eastAsia" w:ascii="楷体" w:hAnsi="楷体" w:eastAsia="楷体" w:cs="楷体"/>
          <w:b/>
          <w:bCs/>
          <w:sz w:val="32"/>
          <w:szCs w:val="32"/>
        </w:rPr>
        <w:t>2.推动信息化建设。</w:t>
      </w:r>
      <w:r>
        <w:rPr>
          <w:rFonts w:hint="eastAsia" w:ascii="仿宋_GB2312" w:hAnsi="仿宋_GB2312" w:eastAsia="仿宋_GB2312" w:cs="仿宋_GB2312"/>
          <w:sz w:val="32"/>
          <w:szCs w:val="32"/>
          <w:shd w:val="clear" w:color="auto" w:fill="FFFFFF"/>
        </w:rPr>
        <w:t>加大信息化建设硬件投入、软件开发。</w:t>
      </w:r>
      <w:r>
        <w:rPr>
          <w:rFonts w:hint="eastAsia" w:ascii="仿宋" w:hAnsi="仿宋" w:eastAsia="仿宋"/>
          <w:sz w:val="32"/>
          <w:szCs w:val="32"/>
        </w:rPr>
        <w:t>全面升级“四川建设学习网”网站设置，</w:t>
      </w:r>
      <w:r>
        <w:rPr>
          <w:rFonts w:hint="eastAsia" w:ascii="仿宋_GB2312" w:hAnsi="仿宋_GB2312" w:eastAsia="仿宋_GB2312" w:cs="仿宋_GB2312"/>
          <w:sz w:val="32"/>
          <w:szCs w:val="32"/>
        </w:rPr>
        <w:t>新增在线资料采集审核、教材管理、票据分类管理、在线讲座、面授预约签到、学员有效性验证（含人证识别、在线人脸识别）等功能，大大提高了管理服务水平。</w:t>
      </w:r>
      <w:r>
        <w:rPr>
          <w:rFonts w:hint="eastAsia" w:ascii="仿宋" w:hAnsi="仿宋" w:eastAsia="仿宋"/>
          <w:sz w:val="32"/>
          <w:szCs w:val="32"/>
        </w:rPr>
        <w:t>。</w:t>
      </w:r>
    </w:p>
    <w:p>
      <w:pPr>
        <w:ind w:firstLine="643" w:firstLineChars="200"/>
        <w:rPr>
          <w:rFonts w:ascii="仿宋" w:hAnsi="仿宋" w:eastAsia="仿宋_GB2312"/>
          <w:sz w:val="32"/>
          <w:szCs w:val="32"/>
        </w:rPr>
      </w:pPr>
      <w:r>
        <w:rPr>
          <w:rFonts w:hint="eastAsia" w:ascii="楷体" w:hAnsi="楷体" w:eastAsia="楷体" w:cs="楷体"/>
          <w:b/>
          <w:bCs/>
          <w:sz w:val="32"/>
          <w:szCs w:val="32"/>
        </w:rPr>
        <w:t>3.提高管理效率。</w:t>
      </w:r>
      <w:r>
        <w:rPr>
          <w:rFonts w:hint="eastAsia" w:ascii="仿宋_GB2312" w:hAnsi="仿宋_GB2312" w:eastAsia="仿宋_GB2312" w:cs="仿宋_GB2312"/>
          <w:sz w:val="32"/>
          <w:szCs w:val="32"/>
          <w:shd w:val="clear" w:color="auto" w:fill="FFFFFF"/>
        </w:rPr>
        <w:t>进一步优化完善平台功能，有效防控风险。实现了系统功能一体化、资源建设整体化、质量管控统一化、学员服务全过程化。</w:t>
      </w:r>
    </w:p>
    <w:p>
      <w:pPr>
        <w:ind w:firstLine="643" w:firstLineChars="200"/>
        <w:rPr>
          <w:rFonts w:hint="eastAsia" w:ascii="仿宋_GB2312" w:hAnsi="仿宋_GB2312" w:eastAsia="仿宋_GB2312" w:cs="仿宋_GB2312"/>
          <w:bCs/>
          <w:sz w:val="32"/>
          <w:szCs w:val="32"/>
          <w:shd w:val="clear" w:color="auto" w:fill="FFFFFF"/>
          <w:lang w:bidi="ar"/>
        </w:rPr>
      </w:pPr>
      <w:r>
        <w:rPr>
          <w:rFonts w:hint="eastAsia" w:ascii="楷体" w:hAnsi="楷体" w:eastAsia="楷体" w:cs="楷体"/>
          <w:b/>
          <w:bCs/>
          <w:sz w:val="32"/>
          <w:szCs w:val="32"/>
        </w:rPr>
        <w:t>4.丰富学生服务。</w:t>
      </w:r>
      <w:r>
        <w:rPr>
          <w:rFonts w:hint="eastAsia" w:ascii="仿宋_GB2312" w:hAnsi="仿宋_GB2312" w:eastAsia="仿宋_GB2312" w:cs="仿宋_GB2312"/>
          <w:sz w:val="32"/>
          <w:szCs w:val="32"/>
        </w:rPr>
        <w:t>构建全方位支持服务体系，将导学、督学、助学贯穿于学生学习始末。组织开展班干部及优秀学生座谈，提供就业指导及再教育支持，</w:t>
      </w:r>
      <w:r>
        <w:rPr>
          <w:rFonts w:hint="eastAsia" w:ascii="华文仿宋" w:hAnsi="华文仿宋" w:eastAsia="华文仿宋" w:cs="仿宋_GB2312"/>
          <w:sz w:val="32"/>
          <w:szCs w:val="32"/>
        </w:rPr>
        <w:t>上好开学第一课。2020年由于新冠疫情，制作了开学视频，开学典礼改为网上举行。</w:t>
      </w:r>
      <w:r>
        <w:rPr>
          <w:rFonts w:hint="eastAsia" w:ascii="仿宋_GB2312" w:hAnsi="仿宋_GB2312" w:eastAsia="仿宋_GB2312" w:cs="仿宋_GB2312"/>
          <w:bCs/>
          <w:sz w:val="32"/>
          <w:szCs w:val="32"/>
          <w:shd w:val="clear" w:color="auto" w:fill="FFFFFF"/>
          <w:lang w:bidi="ar"/>
        </w:rPr>
        <w:t>设立了奖学金评选制度，全年共有34名学生获此殊荣。组织开展知识竞赛，进一步丰富了学生校园文化生活，使学生时时感受到校园的魅力，夯实了学生服务工作的内涵。</w:t>
      </w:r>
    </w:p>
    <w:p>
      <w:pPr>
        <w:pStyle w:val="4"/>
        <w:numPr>
          <w:ilvl w:val="0"/>
          <w:numId w:val="0"/>
        </w:numPr>
        <w:ind w:leftChars="0"/>
        <w:rPr>
          <w:rFonts w:hint="default" w:ascii="黑体" w:hAnsi="黑体" w:eastAsia="黑体"/>
          <w:b w:val="0"/>
          <w:color w:val="auto"/>
          <w:highlight w:val="none"/>
          <w:lang w:val="en-US" w:eastAsia="zh-CN"/>
        </w:rPr>
      </w:pPr>
      <w:bookmarkStart w:id="31" w:name="_Toc5907"/>
      <w:r>
        <w:rPr>
          <w:rFonts w:hint="eastAsia" w:ascii="黑体" w:hAnsi="黑体" w:eastAsia="黑体"/>
          <w:b w:val="0"/>
          <w:color w:val="auto"/>
          <w:highlight w:val="none"/>
          <w:lang w:val="en-US" w:eastAsia="zh-CN"/>
        </w:rPr>
        <w:t>三、</w:t>
      </w:r>
      <w:r>
        <w:rPr>
          <w:rFonts w:hint="default" w:ascii="黑体" w:hAnsi="黑体" w:eastAsia="黑体"/>
          <w:b w:val="0"/>
          <w:color w:val="auto"/>
          <w:highlight w:val="none"/>
          <w:lang w:val="en-US" w:eastAsia="zh-CN"/>
        </w:rPr>
        <w:t>机构设置情况</w:t>
      </w:r>
      <w:bookmarkEnd w:id="31"/>
    </w:p>
    <w:p>
      <w:pPr>
        <w:numPr>
          <w:ilvl w:val="0"/>
          <w:numId w:val="0"/>
        </w:numPr>
        <w:ind w:leftChars="0" w:firstLine="640" w:firstLineChars="200"/>
        <w:rPr>
          <w:rFonts w:ascii="仿宋" w:hAnsi="仿宋" w:eastAsia="仿宋"/>
          <w:kern w:val="0"/>
          <w:sz w:val="32"/>
          <w:szCs w:val="32"/>
        </w:rPr>
      </w:pPr>
      <w:r>
        <w:rPr>
          <w:rFonts w:hint="eastAsia" w:ascii="仿宋" w:hAnsi="仿宋" w:eastAsia="仿宋" w:cs="仿宋"/>
          <w:sz w:val="32"/>
          <w:szCs w:val="32"/>
          <w:lang w:val="en-US" w:eastAsia="zh-CN"/>
        </w:rPr>
        <w:t>学校内设5个科室，分别是：办公室、招生管理科、教学教务科、教育培训科以及信息技术科。</w:t>
      </w:r>
    </w:p>
    <w:p>
      <w:pPr>
        <w:pStyle w:val="3"/>
        <w:ind w:right="440"/>
        <w:jc w:val="center"/>
        <w:rPr>
          <w:rStyle w:val="25"/>
          <w:rFonts w:ascii="黑体" w:hAnsi="黑体" w:eastAsia="黑体"/>
          <w:b w:val="0"/>
          <w:bCs/>
        </w:rPr>
      </w:pPr>
      <w:bookmarkStart w:id="32" w:name="_Toc3178"/>
      <w:bookmarkStart w:id="33" w:name="_Toc15377204"/>
      <w:bookmarkStart w:id="34" w:name="_Toc15396602"/>
      <w:r>
        <w:rPr>
          <w:rFonts w:hint="eastAsia" w:ascii="黑体" w:hAnsi="黑体" w:eastAsia="黑体"/>
          <w:b w:val="0"/>
        </w:rPr>
        <w:t>第二部分 2020年度</w:t>
      </w:r>
      <w:r>
        <w:rPr>
          <w:rStyle w:val="25"/>
          <w:rFonts w:hint="eastAsia" w:ascii="黑体" w:hAnsi="黑体" w:eastAsia="黑体"/>
          <w:b w:val="0"/>
          <w:bCs/>
        </w:rPr>
        <w:t>部门决算情况说明</w:t>
      </w:r>
      <w:bookmarkEnd w:id="32"/>
      <w:bookmarkEnd w:id="33"/>
      <w:bookmarkEnd w:id="34"/>
    </w:p>
    <w:p/>
    <w:p>
      <w:pPr>
        <w:pStyle w:val="24"/>
        <w:numPr>
          <w:ilvl w:val="0"/>
          <w:numId w:val="2"/>
        </w:numPr>
        <w:spacing w:line="600" w:lineRule="exact"/>
        <w:ind w:firstLineChars="0"/>
        <w:outlineLvl w:val="1"/>
        <w:rPr>
          <w:rStyle w:val="26"/>
          <w:rFonts w:ascii="黑体" w:hAnsi="黑体" w:eastAsia="黑体"/>
          <w:b w:val="0"/>
        </w:rPr>
      </w:pPr>
      <w:bookmarkStart w:id="35" w:name="_Toc15396603"/>
      <w:bookmarkStart w:id="36" w:name="_Toc15377205"/>
      <w:bookmarkStart w:id="37" w:name="_Toc30627"/>
      <w:r>
        <w:rPr>
          <w:rFonts w:hint="eastAsia" w:ascii="黑体" w:hAnsi="黑体" w:eastAsia="黑体"/>
          <w:sz w:val="32"/>
          <w:szCs w:val="32"/>
        </w:rPr>
        <w:t>收</w:t>
      </w:r>
      <w:r>
        <w:rPr>
          <w:rStyle w:val="26"/>
          <w:rFonts w:hint="eastAsia" w:ascii="黑体" w:hAnsi="黑体" w:eastAsia="黑体"/>
          <w:b w:val="0"/>
        </w:rPr>
        <w:t>入支出决算总体情况说明</w:t>
      </w:r>
      <w:bookmarkEnd w:id="35"/>
      <w:bookmarkEnd w:id="36"/>
      <w:bookmarkEnd w:id="37"/>
    </w:p>
    <w:p>
      <w:pPr>
        <w:ind w:firstLine="800" w:firstLineChars="250"/>
        <w:rPr>
          <w:rFonts w:ascii="仿宋_GB2312" w:eastAsia="仿宋_GB2312"/>
          <w:sz w:val="32"/>
          <w:szCs w:val="32"/>
        </w:rPr>
      </w:pPr>
      <w:r>
        <w:rPr>
          <w:rFonts w:hint="eastAsia" w:ascii="仿宋" w:hAnsi="仿宋" w:eastAsia="仿宋"/>
          <w:sz w:val="32"/>
          <w:szCs w:val="32"/>
        </w:rPr>
        <w:t>2020年度收入1,578.09万元，支出1,179.92万元。与2019年相比，收入减少了185.06万元，下降10.50%支出减少了317.72万元，下降21.21%。主要变动原因是</w:t>
      </w:r>
      <w:r>
        <w:rPr>
          <w:rFonts w:hint="eastAsia" w:ascii="仿宋_GB2312" w:eastAsia="仿宋_GB2312"/>
          <w:sz w:val="31"/>
          <w:szCs w:val="31"/>
        </w:rPr>
        <w:t>2020年我校与中国地质大学联合办学方式发生了改变，由原来地大学生向我们直接缴纳学费改变为现在学生直接通过地大平台向地大缴纳学费，导致收入和支出减少。</w:t>
      </w:r>
    </w:p>
    <w:p>
      <w:pPr>
        <w:spacing w:line="600" w:lineRule="exact"/>
        <w:ind w:firstLine="640" w:firstLineChars="200"/>
        <w:rPr>
          <w:rFonts w:ascii="仿宋" w:hAnsi="仿宋" w:eastAsia="仿宋"/>
          <w:sz w:val="32"/>
          <w:szCs w:val="32"/>
        </w:rPr>
      </w:pPr>
      <w:r>
        <w:rPr>
          <w:rFonts w:hint="eastAsia" w:ascii="仿宋" w:hAnsi="仿宋" w:eastAsia="仿宋"/>
          <w:sz w:val="32"/>
          <w:szCs w:val="32"/>
        </w:rPr>
        <w:drawing>
          <wp:anchor distT="0" distB="0" distL="114300" distR="114300" simplePos="0" relativeHeight="251659264" behindDoc="1" locked="0" layoutInCell="1" allowOverlap="1">
            <wp:simplePos x="0" y="0"/>
            <wp:positionH relativeFrom="column">
              <wp:posOffset>1249045</wp:posOffset>
            </wp:positionH>
            <wp:positionV relativeFrom="page">
              <wp:posOffset>4571365</wp:posOffset>
            </wp:positionV>
            <wp:extent cx="2156460" cy="2150745"/>
            <wp:effectExtent l="5080" t="4445" r="10160" b="16510"/>
            <wp:wrapTight wrapText="bothSides">
              <wp:wrapPolygon>
                <wp:start x="-51" y="-45"/>
                <wp:lineTo x="-51" y="21383"/>
                <wp:lineTo x="21511" y="21383"/>
                <wp:lineTo x="21511" y="-45"/>
                <wp:lineTo x="-51" y="-45"/>
              </wp:wrapPolygon>
            </wp:wrapTight>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spacing w:line="600" w:lineRule="exact"/>
        <w:ind w:firstLine="640" w:firstLineChars="200"/>
        <w:rPr>
          <w:rFonts w:ascii="仿宋" w:hAnsi="仿宋" w:eastAsia="仿宋"/>
          <w:sz w:val="32"/>
          <w:szCs w:val="32"/>
        </w:rPr>
      </w:pPr>
    </w:p>
    <w:p>
      <w:pPr>
        <w:spacing w:line="600" w:lineRule="exact"/>
        <w:ind w:firstLine="640" w:firstLineChars="200"/>
        <w:rPr>
          <w:rFonts w:ascii="仿宋" w:hAnsi="仿宋" w:eastAsia="仿宋"/>
          <w:sz w:val="32"/>
          <w:szCs w:val="32"/>
        </w:rPr>
      </w:pPr>
    </w:p>
    <w:p>
      <w:pPr>
        <w:spacing w:line="600" w:lineRule="exact"/>
        <w:ind w:firstLine="640" w:firstLineChars="200"/>
        <w:rPr>
          <w:rFonts w:ascii="仿宋" w:hAnsi="仿宋" w:eastAsia="仿宋"/>
          <w:sz w:val="32"/>
          <w:szCs w:val="32"/>
        </w:rPr>
      </w:pPr>
    </w:p>
    <w:p>
      <w:pPr>
        <w:spacing w:line="600" w:lineRule="exact"/>
        <w:ind w:firstLine="640" w:firstLineChars="200"/>
        <w:rPr>
          <w:rFonts w:ascii="仿宋" w:hAnsi="仿宋" w:eastAsia="仿宋"/>
          <w:sz w:val="32"/>
          <w:szCs w:val="32"/>
        </w:rPr>
      </w:pPr>
    </w:p>
    <w:p>
      <w:pPr>
        <w:spacing w:line="600" w:lineRule="exact"/>
        <w:ind w:firstLine="640" w:firstLineChars="200"/>
        <w:rPr>
          <w:rFonts w:ascii="仿宋" w:hAnsi="仿宋" w:eastAsia="仿宋"/>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spacing w:line="600" w:lineRule="exact"/>
        <w:ind w:firstLine="640" w:firstLineChars="200"/>
        <w:jc w:val="left"/>
        <w:rPr>
          <w:rFonts w:ascii="仿宋_GB2312" w:eastAsia="仿宋_GB2312"/>
          <w:sz w:val="32"/>
          <w:szCs w:val="32"/>
        </w:rPr>
      </w:pPr>
    </w:p>
    <w:p>
      <w:pPr>
        <w:pStyle w:val="24"/>
        <w:numPr>
          <w:ilvl w:val="0"/>
          <w:numId w:val="2"/>
        </w:numPr>
        <w:spacing w:line="600" w:lineRule="exact"/>
        <w:ind w:firstLineChars="0"/>
        <w:outlineLvl w:val="1"/>
        <w:rPr>
          <w:rStyle w:val="26"/>
          <w:rFonts w:ascii="黑体" w:hAnsi="黑体" w:eastAsia="黑体"/>
          <w:b w:val="0"/>
        </w:rPr>
      </w:pPr>
      <w:bookmarkStart w:id="38" w:name="_Toc29548"/>
      <w:bookmarkStart w:id="39" w:name="_Toc15377206"/>
      <w:bookmarkStart w:id="40" w:name="_Toc15396604"/>
      <w:r>
        <w:rPr>
          <w:rFonts w:hint="eastAsia" w:ascii="黑体" w:hAnsi="黑体" w:eastAsia="黑体"/>
          <w:sz w:val="32"/>
          <w:szCs w:val="32"/>
        </w:rPr>
        <w:t>收</w:t>
      </w:r>
      <w:r>
        <w:rPr>
          <w:rStyle w:val="26"/>
          <w:rFonts w:hint="eastAsia" w:ascii="黑体" w:hAnsi="黑体" w:eastAsia="黑体"/>
          <w:b w:val="0"/>
        </w:rPr>
        <w:t>入决算情况说明</w:t>
      </w:r>
      <w:bookmarkEnd w:id="38"/>
      <w:bookmarkEnd w:id="39"/>
      <w:bookmarkEnd w:id="40"/>
    </w:p>
    <w:p>
      <w:pPr>
        <w:spacing w:line="600" w:lineRule="exact"/>
        <w:ind w:firstLine="640" w:firstLineChars="200"/>
        <w:outlineLvl w:val="1"/>
        <w:rPr>
          <w:rFonts w:ascii="仿宋" w:hAnsi="仿宋" w:eastAsia="仿宋"/>
          <w:sz w:val="32"/>
          <w:szCs w:val="32"/>
        </w:rPr>
      </w:pPr>
      <w:bookmarkStart w:id="41" w:name="_Toc32382"/>
      <w:bookmarkStart w:id="42" w:name="_Toc10785"/>
      <w:bookmarkStart w:id="43" w:name="_Toc16879"/>
      <w:bookmarkStart w:id="44" w:name="_Toc21625"/>
      <w:r>
        <w:rPr>
          <w:rFonts w:ascii="仿宋" w:hAnsi="仿宋" w:eastAsia="仿宋"/>
          <w:sz w:val="32"/>
          <w:szCs w:val="32"/>
        </w:rPr>
        <w:t>20</w:t>
      </w:r>
      <w:r>
        <w:rPr>
          <w:rFonts w:hint="eastAsia" w:ascii="仿宋" w:hAnsi="仿宋" w:eastAsia="仿宋"/>
          <w:sz w:val="32"/>
          <w:szCs w:val="32"/>
        </w:rPr>
        <w:t>20年本年收入合计1,578.09万元，其中：事业收入797.45万元，占50.53</w:t>
      </w:r>
      <w:r>
        <w:rPr>
          <w:rFonts w:ascii="仿宋" w:hAnsi="仿宋" w:eastAsia="仿宋"/>
          <w:sz w:val="32"/>
          <w:szCs w:val="32"/>
        </w:rPr>
        <w:t>%</w:t>
      </w:r>
      <w:r>
        <w:rPr>
          <w:rFonts w:hint="eastAsia" w:ascii="仿宋" w:hAnsi="仿宋" w:eastAsia="仿宋"/>
          <w:sz w:val="32"/>
          <w:szCs w:val="32"/>
        </w:rPr>
        <w:t>；其他收入780.64万元，占49.47</w:t>
      </w:r>
      <w:r>
        <w:rPr>
          <w:rFonts w:ascii="仿宋" w:hAnsi="仿宋" w:eastAsia="仿宋"/>
          <w:sz w:val="32"/>
          <w:szCs w:val="32"/>
        </w:rPr>
        <w:t>%</w:t>
      </w:r>
      <w:r>
        <w:rPr>
          <w:rFonts w:hint="eastAsia" w:ascii="仿宋" w:hAnsi="仿宋" w:eastAsia="仿宋"/>
          <w:sz w:val="32"/>
          <w:szCs w:val="32"/>
        </w:rPr>
        <w:t>。</w:t>
      </w:r>
      <w:bookmarkEnd w:id="41"/>
      <w:bookmarkEnd w:id="42"/>
      <w:bookmarkEnd w:id="43"/>
      <w:bookmarkEnd w:id="44"/>
    </w:p>
    <w:p>
      <w:pPr>
        <w:spacing w:line="600" w:lineRule="exact"/>
        <w:ind w:firstLine="640" w:firstLineChars="200"/>
        <w:rPr>
          <w:rFonts w:ascii="仿宋" w:hAnsi="仿宋" w:eastAsia="仿宋"/>
          <w:sz w:val="32"/>
          <w:szCs w:val="32"/>
        </w:rPr>
      </w:pPr>
    </w:p>
    <w:p>
      <w:pPr>
        <w:pStyle w:val="2"/>
        <w:spacing w:before="93"/>
        <w:rPr>
          <w:rFonts w:ascii="仿宋" w:hAnsi="仿宋" w:eastAsia="仿宋"/>
          <w:sz w:val="32"/>
          <w:szCs w:val="32"/>
        </w:rPr>
      </w:pPr>
      <w:r>
        <w:rPr>
          <w:rFonts w:hint="eastAsia" w:ascii="仿宋" w:hAnsi="仿宋" w:eastAsia="仿宋"/>
          <w:sz w:val="32"/>
          <w:szCs w:val="32"/>
        </w:rPr>
        <w:drawing>
          <wp:inline distT="0" distB="0" distL="114300" distR="114300">
            <wp:extent cx="4509135" cy="2372360"/>
            <wp:effectExtent l="4445" t="4445" r="20320" b="2349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rPr>
          <w:rFonts w:ascii="仿宋_GB2312" w:eastAsia="仿宋_GB2312"/>
          <w:sz w:val="32"/>
          <w:szCs w:val="32"/>
        </w:rPr>
      </w:pPr>
      <w:r>
        <w:rPr>
          <w:rFonts w:hint="eastAsia" w:ascii="仿宋" w:hAnsi="仿宋" w:eastAsia="仿宋"/>
          <w:sz w:val="32"/>
          <w:szCs w:val="32"/>
        </w:rPr>
        <w:t>（图2：收入决算结构图）（饼状图）</w:t>
      </w:r>
    </w:p>
    <w:p>
      <w:pPr>
        <w:pStyle w:val="24"/>
        <w:numPr>
          <w:ilvl w:val="0"/>
          <w:numId w:val="2"/>
        </w:numPr>
        <w:spacing w:line="600" w:lineRule="exact"/>
        <w:ind w:firstLineChars="0"/>
        <w:outlineLvl w:val="1"/>
        <w:rPr>
          <w:rStyle w:val="26"/>
          <w:rFonts w:ascii="黑体" w:hAnsi="黑体" w:eastAsia="黑体"/>
          <w:b w:val="0"/>
        </w:rPr>
      </w:pPr>
      <w:bookmarkStart w:id="45" w:name="_Toc15377207"/>
      <w:bookmarkStart w:id="46" w:name="_Toc15396605"/>
      <w:bookmarkStart w:id="47" w:name="_Toc8327"/>
      <w:r>
        <w:rPr>
          <w:rFonts w:hint="eastAsia" w:ascii="黑体" w:hAnsi="黑体" w:eastAsia="黑体"/>
          <w:sz w:val="32"/>
          <w:szCs w:val="32"/>
        </w:rPr>
        <w:t>支</w:t>
      </w:r>
      <w:r>
        <w:rPr>
          <w:rStyle w:val="26"/>
          <w:rFonts w:hint="eastAsia" w:ascii="黑体" w:hAnsi="黑体" w:eastAsia="黑体"/>
          <w:b w:val="0"/>
        </w:rPr>
        <w:t>出决算情况说明</w:t>
      </w:r>
      <w:bookmarkEnd w:id="45"/>
      <w:bookmarkEnd w:id="46"/>
      <w:bookmarkEnd w:id="47"/>
    </w:p>
    <w:p>
      <w:pPr>
        <w:spacing w:line="600" w:lineRule="exact"/>
        <w:ind w:firstLine="640" w:firstLineChars="200"/>
        <w:outlineLvl w:val="1"/>
        <w:rPr>
          <w:rFonts w:ascii="仿宋" w:hAnsi="仿宋" w:eastAsia="仿宋"/>
          <w:sz w:val="32"/>
          <w:szCs w:val="32"/>
          <w:shd w:val="pct10" w:color="auto" w:fill="FFFFFF"/>
        </w:rPr>
      </w:pPr>
      <w:bookmarkStart w:id="48" w:name="_Toc32081"/>
      <w:bookmarkStart w:id="49" w:name="_Toc5141"/>
      <w:bookmarkStart w:id="50" w:name="_Toc32370"/>
      <w:bookmarkStart w:id="51" w:name="_Toc25527"/>
      <w:r>
        <w:rPr>
          <w:rFonts w:ascii="仿宋" w:hAnsi="仿宋" w:eastAsia="仿宋"/>
          <w:sz w:val="32"/>
          <w:szCs w:val="32"/>
        </w:rPr>
        <w:t>20</w:t>
      </w:r>
      <w:r>
        <w:rPr>
          <w:rFonts w:hint="eastAsia" w:ascii="仿宋" w:hAnsi="仿宋" w:eastAsia="仿宋"/>
          <w:sz w:val="32"/>
          <w:szCs w:val="32"/>
        </w:rPr>
        <w:t>20年本年支出合计1,179.92万元，其中：基本支出518.11万元，占43.91</w:t>
      </w:r>
      <w:r>
        <w:rPr>
          <w:rFonts w:ascii="仿宋" w:hAnsi="仿宋" w:eastAsia="仿宋"/>
          <w:sz w:val="32"/>
          <w:szCs w:val="32"/>
        </w:rPr>
        <w:t>%</w:t>
      </w:r>
      <w:r>
        <w:rPr>
          <w:rFonts w:hint="eastAsia" w:ascii="仿宋" w:hAnsi="仿宋" w:eastAsia="仿宋"/>
          <w:sz w:val="32"/>
          <w:szCs w:val="32"/>
        </w:rPr>
        <w:t>；项目支出661.81万元，占56.09</w:t>
      </w:r>
      <w:r>
        <w:rPr>
          <w:rFonts w:ascii="仿宋" w:hAnsi="仿宋" w:eastAsia="仿宋"/>
          <w:sz w:val="32"/>
          <w:szCs w:val="32"/>
        </w:rPr>
        <w:t>%</w:t>
      </w:r>
      <w:r>
        <w:rPr>
          <w:rFonts w:hint="eastAsia" w:ascii="仿宋" w:hAnsi="仿宋" w:eastAsia="仿宋"/>
          <w:sz w:val="32"/>
          <w:szCs w:val="32"/>
        </w:rPr>
        <w:t>。</w:t>
      </w:r>
      <w:bookmarkEnd w:id="48"/>
      <w:bookmarkEnd w:id="49"/>
      <w:bookmarkEnd w:id="50"/>
      <w:bookmarkEnd w:id="51"/>
    </w:p>
    <w:p>
      <w:pPr>
        <w:pStyle w:val="2"/>
        <w:spacing w:before="93"/>
        <w:rPr>
          <w:rFonts w:ascii="仿宋" w:hAnsi="仿宋" w:eastAsia="仿宋"/>
          <w:sz w:val="32"/>
          <w:szCs w:val="32"/>
          <w:shd w:val="pct10" w:color="auto" w:fill="FFFFFF"/>
        </w:rPr>
      </w:pPr>
      <w:r>
        <w:rPr>
          <w:rFonts w:hint="eastAsia" w:ascii="仿宋" w:hAnsi="仿宋" w:eastAsia="仿宋"/>
          <w:sz w:val="32"/>
          <w:szCs w:val="32"/>
          <w:shd w:val="pct10" w:color="auto" w:fill="FFFFFF"/>
        </w:rPr>
        <w:drawing>
          <wp:inline distT="0" distB="0" distL="114300" distR="114300">
            <wp:extent cx="4642485" cy="2258060"/>
            <wp:effectExtent l="4445" t="4445" r="20320" b="2349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（图3：支出决算结构图）（饼状图）</w:t>
      </w:r>
    </w:p>
    <w:p>
      <w:pPr>
        <w:spacing w:line="600" w:lineRule="exact"/>
        <w:ind w:firstLine="640" w:firstLineChars="200"/>
        <w:rPr>
          <w:rFonts w:ascii="仿宋_GB2312" w:eastAsia="仿宋_GB2312"/>
          <w:sz w:val="32"/>
          <w:szCs w:val="32"/>
        </w:rPr>
      </w:pPr>
    </w:p>
    <w:p>
      <w:pPr>
        <w:spacing w:line="600" w:lineRule="exact"/>
        <w:ind w:firstLine="640" w:firstLineChars="200"/>
        <w:outlineLvl w:val="1"/>
        <w:rPr>
          <w:rStyle w:val="26"/>
          <w:rFonts w:ascii="黑体" w:hAnsi="黑体" w:eastAsia="黑体"/>
          <w:b w:val="0"/>
        </w:rPr>
      </w:pPr>
      <w:bookmarkStart w:id="52" w:name="_Toc15377208"/>
      <w:bookmarkStart w:id="53" w:name="_Toc15396606"/>
      <w:bookmarkStart w:id="54" w:name="_Toc1328"/>
      <w:r>
        <w:rPr>
          <w:rFonts w:hint="eastAsia" w:ascii="黑体" w:hAnsi="黑体" w:eastAsia="黑体"/>
          <w:sz w:val="32"/>
          <w:szCs w:val="32"/>
        </w:rPr>
        <w:t>四、财</w:t>
      </w:r>
      <w:r>
        <w:rPr>
          <w:rStyle w:val="26"/>
          <w:rFonts w:hint="eastAsia" w:ascii="黑体" w:hAnsi="黑体" w:eastAsia="黑体"/>
          <w:b w:val="0"/>
        </w:rPr>
        <w:t>政拨款收入支出决算总体情况说明</w:t>
      </w:r>
      <w:bookmarkEnd w:id="52"/>
      <w:bookmarkEnd w:id="53"/>
      <w:bookmarkEnd w:id="54"/>
    </w:p>
    <w:p>
      <w:pPr>
        <w:spacing w:line="600" w:lineRule="exact"/>
        <w:ind w:firstLine="640"/>
        <w:rPr>
          <w:rFonts w:ascii="仿宋" w:hAnsi="仿宋" w:eastAsia="仿宋"/>
          <w:sz w:val="32"/>
          <w:szCs w:val="32"/>
        </w:rPr>
      </w:pPr>
      <w:r>
        <w:rPr>
          <w:rFonts w:hint="eastAsia" w:ascii="仿宋_GB2312" w:eastAsia="仿宋_GB2312"/>
          <w:sz w:val="32"/>
          <w:szCs w:val="32"/>
        </w:rPr>
        <w:t>四川省电大住房和城乡建设厅分校</w:t>
      </w:r>
      <w:r>
        <w:rPr>
          <w:rFonts w:hint="eastAsia" w:ascii="仿宋" w:hAnsi="仿宋" w:eastAsia="仿宋"/>
          <w:sz w:val="32"/>
          <w:szCs w:val="32"/>
        </w:rPr>
        <w:t>无财政拨款收、支。</w:t>
      </w:r>
    </w:p>
    <w:p>
      <w:pPr>
        <w:pStyle w:val="2"/>
        <w:spacing w:before="93"/>
      </w:pPr>
    </w:p>
    <w:p>
      <w:pPr>
        <w:spacing w:line="600" w:lineRule="exact"/>
        <w:ind w:firstLine="640" w:firstLineChars="200"/>
        <w:outlineLvl w:val="1"/>
        <w:rPr>
          <w:rStyle w:val="26"/>
          <w:rFonts w:ascii="黑体" w:hAnsi="黑体" w:eastAsia="黑体"/>
          <w:b w:val="0"/>
        </w:rPr>
      </w:pPr>
      <w:bookmarkStart w:id="55" w:name="_Toc15396607"/>
      <w:bookmarkStart w:id="56" w:name="_Toc15377209"/>
      <w:bookmarkStart w:id="57" w:name="_Toc1302"/>
      <w:r>
        <w:rPr>
          <w:rFonts w:hint="eastAsia" w:ascii="黑体" w:hAnsi="黑体" w:eastAsia="黑体"/>
          <w:sz w:val="32"/>
          <w:szCs w:val="32"/>
        </w:rPr>
        <w:t>五、</w:t>
      </w:r>
      <w:r>
        <w:rPr>
          <w:rFonts w:hint="eastAsia" w:ascii="黑体" w:hAnsi="黑体" w:eastAsia="黑体"/>
          <w:b/>
          <w:sz w:val="32"/>
          <w:szCs w:val="32"/>
        </w:rPr>
        <w:t>一</w:t>
      </w:r>
      <w:r>
        <w:rPr>
          <w:rStyle w:val="26"/>
          <w:rFonts w:hint="eastAsia" w:ascii="黑体" w:hAnsi="黑体" w:eastAsia="黑体"/>
          <w:b w:val="0"/>
        </w:rPr>
        <w:t>般公共预算财政拨款支出决算情况说明</w:t>
      </w:r>
      <w:bookmarkEnd w:id="55"/>
      <w:bookmarkEnd w:id="56"/>
      <w:bookmarkEnd w:id="57"/>
    </w:p>
    <w:p>
      <w:pPr>
        <w:spacing w:line="600" w:lineRule="exact"/>
        <w:ind w:firstLine="640"/>
        <w:rPr>
          <w:rFonts w:ascii="仿宋" w:hAnsi="仿宋" w:eastAsia="仿宋"/>
          <w:sz w:val="32"/>
          <w:szCs w:val="32"/>
        </w:rPr>
      </w:pPr>
      <w:bookmarkStart w:id="58" w:name="_Toc15377210"/>
      <w:r>
        <w:rPr>
          <w:rFonts w:hint="eastAsia" w:ascii="仿宋_GB2312" w:eastAsia="仿宋_GB2312"/>
          <w:sz w:val="32"/>
          <w:szCs w:val="32"/>
        </w:rPr>
        <w:t>四川省电大住房和城乡建设厅分校</w:t>
      </w:r>
      <w:r>
        <w:rPr>
          <w:rFonts w:hint="eastAsia" w:ascii="仿宋" w:hAnsi="仿宋" w:eastAsia="仿宋"/>
          <w:sz w:val="32"/>
          <w:szCs w:val="32"/>
        </w:rPr>
        <w:t>无一般公共预算</w:t>
      </w:r>
      <w:bookmarkEnd w:id="58"/>
      <w:bookmarkStart w:id="59" w:name="_Toc15396608"/>
      <w:bookmarkStart w:id="60" w:name="_Toc15377214"/>
      <w:r>
        <w:rPr>
          <w:rFonts w:hint="eastAsia" w:ascii="仿宋" w:hAnsi="仿宋" w:eastAsia="仿宋"/>
          <w:sz w:val="32"/>
          <w:szCs w:val="32"/>
        </w:rPr>
        <w:t>。</w:t>
      </w:r>
    </w:p>
    <w:p>
      <w:pPr>
        <w:pStyle w:val="2"/>
        <w:spacing w:before="93"/>
      </w:pPr>
    </w:p>
    <w:p>
      <w:pPr>
        <w:spacing w:line="600" w:lineRule="exact"/>
        <w:ind w:firstLine="640"/>
        <w:outlineLvl w:val="1"/>
        <w:rPr>
          <w:rStyle w:val="26"/>
        </w:rPr>
      </w:pPr>
      <w:bookmarkStart w:id="61" w:name="_Toc10275"/>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6"/>
          <w:rFonts w:hint="eastAsia" w:ascii="黑体" w:hAnsi="黑体" w:eastAsia="黑体"/>
          <w:b w:val="0"/>
        </w:rPr>
        <w:t>般公共预算财政拨款基本支出决算情况说明</w:t>
      </w:r>
      <w:bookmarkEnd w:id="59"/>
      <w:bookmarkEnd w:id="60"/>
      <w:bookmarkEnd w:id="61"/>
      <w:r>
        <w:rPr>
          <w:rStyle w:val="26"/>
          <w:rFonts w:ascii="黑体" w:hAnsi="黑体" w:eastAsia="黑体"/>
          <w:b w:val="0"/>
        </w:rPr>
        <w:tab/>
      </w:r>
    </w:p>
    <w:p>
      <w:pPr>
        <w:spacing w:line="600" w:lineRule="exact"/>
        <w:ind w:firstLine="640"/>
        <w:rPr>
          <w:rFonts w:ascii="仿宋" w:hAnsi="仿宋" w:eastAsia="仿宋"/>
          <w:sz w:val="32"/>
          <w:szCs w:val="32"/>
        </w:rPr>
      </w:pPr>
      <w:r>
        <w:rPr>
          <w:rFonts w:hint="eastAsia" w:ascii="仿宋_GB2312" w:eastAsia="仿宋_GB2312"/>
          <w:sz w:val="32"/>
          <w:szCs w:val="32"/>
        </w:rPr>
        <w:t>四川省电大住房和城乡建设厅分校</w:t>
      </w:r>
      <w:r>
        <w:rPr>
          <w:rFonts w:hint="eastAsia" w:ascii="仿宋" w:hAnsi="仿宋" w:eastAsia="仿宋"/>
          <w:sz w:val="32"/>
          <w:szCs w:val="32"/>
        </w:rPr>
        <w:t>无一般公共预算。</w:t>
      </w:r>
    </w:p>
    <w:p>
      <w:pPr>
        <w:pStyle w:val="2"/>
        <w:spacing w:before="93"/>
      </w:pPr>
    </w:p>
    <w:p>
      <w:pPr>
        <w:spacing w:line="600" w:lineRule="exact"/>
        <w:ind w:firstLine="640"/>
        <w:outlineLvl w:val="1"/>
        <w:rPr>
          <w:rStyle w:val="26"/>
          <w:rFonts w:ascii="黑体" w:hAnsi="黑体" w:eastAsia="黑体"/>
          <w:b w:val="0"/>
        </w:rPr>
      </w:pPr>
      <w:bookmarkStart w:id="62" w:name="_Toc15396609"/>
      <w:bookmarkStart w:id="63" w:name="_Toc15377215"/>
      <w:bookmarkStart w:id="64" w:name="_Toc10159"/>
      <w:r>
        <w:rPr>
          <w:rFonts w:hint="eastAsia" w:ascii="黑体" w:eastAsia="黑体"/>
          <w:sz w:val="32"/>
          <w:szCs w:val="32"/>
        </w:rPr>
        <w:t>七、</w:t>
      </w:r>
      <w:r>
        <w:rPr>
          <w:rStyle w:val="26"/>
          <w:rFonts w:hint="eastAsia" w:ascii="黑体" w:hAnsi="黑体" w:eastAsia="黑体"/>
        </w:rPr>
        <w:t>“</w:t>
      </w:r>
      <w:r>
        <w:rPr>
          <w:rStyle w:val="26"/>
          <w:rFonts w:hint="eastAsia" w:ascii="黑体" w:hAnsi="黑体" w:eastAsia="黑体"/>
          <w:b w:val="0"/>
        </w:rPr>
        <w:t>三公”经费财政拨款支出决算情况说明</w:t>
      </w:r>
      <w:bookmarkEnd w:id="62"/>
      <w:bookmarkEnd w:id="63"/>
      <w:bookmarkEnd w:id="64"/>
    </w:p>
    <w:p>
      <w:pPr>
        <w:spacing w:line="600" w:lineRule="exact"/>
        <w:ind w:firstLine="641"/>
        <w:rPr>
          <w:rFonts w:ascii="仿宋" w:hAnsi="仿宋" w:eastAsia="仿宋"/>
          <w:sz w:val="32"/>
          <w:szCs w:val="32"/>
        </w:rPr>
      </w:pPr>
      <w:bookmarkStart w:id="65" w:name="_Toc15377216"/>
      <w:bookmarkStart w:id="66" w:name="_Toc26857"/>
      <w:r>
        <w:rPr>
          <w:rFonts w:hint="eastAsia" w:ascii="仿宋_GB2312" w:eastAsia="仿宋_GB2312"/>
          <w:sz w:val="32"/>
          <w:szCs w:val="32"/>
        </w:rPr>
        <w:t>四川省电大住房和城乡建设厅分校</w:t>
      </w:r>
      <w:r>
        <w:rPr>
          <w:rFonts w:hint="eastAsia" w:ascii="仿宋" w:hAnsi="仿宋" w:eastAsia="仿宋"/>
          <w:sz w:val="32"/>
          <w:szCs w:val="32"/>
        </w:rPr>
        <w:t>无“三公”经费财政拨款支出</w:t>
      </w:r>
      <w:bookmarkEnd w:id="65"/>
      <w:bookmarkStart w:id="67" w:name="_Toc15377218"/>
      <w:bookmarkStart w:id="68" w:name="_Toc15396610"/>
      <w:r>
        <w:rPr>
          <w:rFonts w:hint="eastAsia" w:ascii="仿宋" w:hAnsi="仿宋" w:eastAsia="仿宋"/>
          <w:sz w:val="32"/>
          <w:szCs w:val="32"/>
        </w:rPr>
        <w:t>。</w:t>
      </w:r>
      <w:bookmarkEnd w:id="66"/>
    </w:p>
    <w:p>
      <w:pPr>
        <w:pStyle w:val="2"/>
        <w:spacing w:before="93"/>
      </w:pPr>
    </w:p>
    <w:p>
      <w:pPr>
        <w:spacing w:line="600" w:lineRule="exact"/>
        <w:ind w:firstLine="640"/>
        <w:outlineLvl w:val="1"/>
        <w:rPr>
          <w:rStyle w:val="26"/>
          <w:rFonts w:ascii="黑体" w:hAnsi="黑体" w:eastAsia="黑体"/>
        </w:rPr>
      </w:pPr>
      <w:bookmarkStart w:id="69" w:name="_Toc15398"/>
      <w:r>
        <w:rPr>
          <w:rFonts w:hint="eastAsia" w:ascii="黑体" w:eastAsia="黑体"/>
          <w:sz w:val="32"/>
          <w:szCs w:val="32"/>
        </w:rPr>
        <w:t>八、</w:t>
      </w:r>
      <w:r>
        <w:rPr>
          <w:rStyle w:val="26"/>
          <w:rFonts w:hint="eastAsia" w:ascii="黑体" w:hAnsi="黑体" w:eastAsia="黑体"/>
          <w:b w:val="0"/>
        </w:rPr>
        <w:t>政府性基金预算支出决算情况说明</w:t>
      </w:r>
      <w:bookmarkEnd w:id="67"/>
      <w:bookmarkEnd w:id="68"/>
      <w:bookmarkEnd w:id="69"/>
    </w:p>
    <w:p>
      <w:pPr>
        <w:spacing w:line="600" w:lineRule="exact"/>
        <w:ind w:firstLine="641"/>
        <w:rPr>
          <w:rFonts w:ascii="仿宋_GB2312" w:eastAsia="仿宋_GB2312"/>
          <w:sz w:val="32"/>
          <w:szCs w:val="32"/>
        </w:rPr>
      </w:pPr>
      <w:bookmarkStart w:id="70" w:name="_Toc13399"/>
      <w:r>
        <w:rPr>
          <w:rFonts w:hint="eastAsia" w:ascii="仿宋_GB2312" w:eastAsia="仿宋_GB2312"/>
          <w:sz w:val="32"/>
          <w:szCs w:val="32"/>
        </w:rPr>
        <w:t>四川省电大住房和城乡建设厅分校</w:t>
      </w:r>
      <w:r>
        <w:rPr>
          <w:rFonts w:hint="eastAsia" w:ascii="仿宋" w:hAnsi="仿宋" w:eastAsia="仿宋"/>
          <w:sz w:val="32"/>
          <w:szCs w:val="32"/>
        </w:rPr>
        <w:t>无</w:t>
      </w:r>
      <w:r>
        <w:rPr>
          <w:rFonts w:hint="eastAsia" w:ascii="仿宋_GB2312" w:eastAsia="仿宋_GB2312"/>
          <w:sz w:val="32"/>
          <w:szCs w:val="32"/>
        </w:rPr>
        <w:t>政府性基金预算财政拨款支出。</w:t>
      </w:r>
      <w:bookmarkEnd w:id="70"/>
    </w:p>
    <w:p>
      <w:pPr>
        <w:spacing w:line="600" w:lineRule="exact"/>
        <w:ind w:firstLine="640"/>
        <w:rPr>
          <w:rFonts w:ascii="仿宋_GB2312" w:eastAsia="仿宋_GB2312"/>
          <w:sz w:val="32"/>
          <w:szCs w:val="32"/>
        </w:rPr>
      </w:pPr>
    </w:p>
    <w:p>
      <w:pPr>
        <w:numPr>
          <w:ilvl w:val="0"/>
          <w:numId w:val="3"/>
        </w:numPr>
        <w:spacing w:line="600" w:lineRule="exact"/>
        <w:ind w:firstLine="640"/>
        <w:outlineLvl w:val="1"/>
        <w:rPr>
          <w:rStyle w:val="26"/>
          <w:rFonts w:ascii="黑体" w:hAnsi="黑体" w:eastAsia="黑体"/>
          <w:b w:val="0"/>
        </w:rPr>
      </w:pPr>
      <w:bookmarkStart w:id="71" w:name="_Toc15396611"/>
      <w:bookmarkStart w:id="72" w:name="_Toc15377219"/>
      <w:bookmarkStart w:id="73" w:name="_Toc7646"/>
      <w:r>
        <w:rPr>
          <w:rStyle w:val="26"/>
          <w:rFonts w:hint="eastAsia" w:ascii="黑体" w:hAnsi="黑体" w:eastAsia="黑体"/>
          <w:b w:val="0"/>
        </w:rPr>
        <w:t>国有资本经营预算支出决算情况说明</w:t>
      </w:r>
      <w:bookmarkEnd w:id="71"/>
      <w:bookmarkEnd w:id="72"/>
      <w:bookmarkEnd w:id="73"/>
    </w:p>
    <w:p>
      <w:pPr>
        <w:spacing w:line="600" w:lineRule="exact"/>
        <w:ind w:firstLine="640"/>
        <w:rPr>
          <w:rFonts w:ascii="仿宋_GB2312" w:eastAsia="仿宋_GB2312"/>
          <w:sz w:val="32"/>
          <w:szCs w:val="32"/>
        </w:rPr>
      </w:pPr>
      <w:r>
        <w:rPr>
          <w:rFonts w:hint="eastAsia" w:ascii="仿宋_GB2312" w:eastAsia="仿宋_GB2312"/>
          <w:sz w:val="32"/>
          <w:szCs w:val="32"/>
        </w:rPr>
        <w:t>四川省电大住房和城乡建设厅分校</w:t>
      </w:r>
      <w:r>
        <w:rPr>
          <w:rFonts w:hint="eastAsia" w:ascii="仿宋" w:hAnsi="仿宋" w:eastAsia="仿宋"/>
          <w:sz w:val="32"/>
          <w:szCs w:val="32"/>
        </w:rPr>
        <w:t>无</w:t>
      </w:r>
      <w:r>
        <w:rPr>
          <w:rFonts w:hint="eastAsia" w:ascii="仿宋_GB2312" w:eastAsia="仿宋_GB2312"/>
          <w:sz w:val="32"/>
          <w:szCs w:val="32"/>
        </w:rPr>
        <w:t>国有资本经营预算财政拨款支出。</w:t>
      </w:r>
    </w:p>
    <w:p>
      <w:pPr>
        <w:spacing w:line="580" w:lineRule="exact"/>
        <w:jc w:val="center"/>
        <w:rPr>
          <w:rFonts w:ascii="方正小标宋简体" w:hAnsi="方正小标宋简体" w:eastAsia="方正小标宋简体" w:cs="方正小标宋简体"/>
          <w:sz w:val="44"/>
          <w:szCs w:val="44"/>
        </w:rPr>
      </w:pPr>
    </w:p>
    <w:p>
      <w:pPr>
        <w:numPr>
          <w:ilvl w:val="0"/>
          <w:numId w:val="3"/>
        </w:numPr>
        <w:spacing w:line="600" w:lineRule="exact"/>
        <w:ind w:firstLine="640"/>
        <w:outlineLvl w:val="1"/>
        <w:rPr>
          <w:rStyle w:val="26"/>
          <w:rFonts w:ascii="黑体" w:hAnsi="黑体" w:eastAsia="黑体"/>
          <w:b w:val="0"/>
        </w:rPr>
      </w:pPr>
      <w:bookmarkStart w:id="74" w:name="_Toc15377221"/>
      <w:bookmarkStart w:id="75" w:name="_Toc15396612"/>
      <w:bookmarkStart w:id="76" w:name="_Toc21005"/>
      <w:r>
        <w:rPr>
          <w:rStyle w:val="26"/>
          <w:rFonts w:hint="eastAsia" w:ascii="黑体" w:hAnsi="黑体" w:eastAsia="黑体"/>
          <w:b w:val="0"/>
        </w:rPr>
        <w:t>其他重要事项的情况说明</w:t>
      </w:r>
      <w:bookmarkEnd w:id="74"/>
      <w:bookmarkEnd w:id="75"/>
      <w:bookmarkEnd w:id="76"/>
    </w:p>
    <w:p>
      <w:pPr>
        <w:spacing w:line="600" w:lineRule="exact"/>
        <w:ind w:firstLine="643" w:firstLineChars="200"/>
        <w:outlineLvl w:val="2"/>
        <w:rPr>
          <w:rFonts w:ascii="仿宋" w:hAnsi="仿宋" w:eastAsia="仿宋"/>
          <w:sz w:val="32"/>
          <w:szCs w:val="32"/>
        </w:rPr>
      </w:pPr>
      <w:bookmarkStart w:id="77" w:name="_Toc15377222"/>
      <w:r>
        <w:rPr>
          <w:rFonts w:hint="eastAsia" w:ascii="仿宋" w:hAnsi="仿宋" w:eastAsia="仿宋"/>
          <w:b/>
          <w:sz w:val="32"/>
          <w:szCs w:val="32"/>
        </w:rPr>
        <w:t>（一）机关运行经费支出情况</w:t>
      </w:r>
      <w:bookmarkEnd w:id="77"/>
    </w:p>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四川省电大住房和城乡建设厅分校无</w:t>
      </w:r>
      <w:r>
        <w:rPr>
          <w:rFonts w:hint="eastAsia" w:ascii="仿宋" w:hAnsi="仿宋" w:eastAsia="仿宋"/>
          <w:sz w:val="32"/>
          <w:szCs w:val="32"/>
        </w:rPr>
        <w:t>机关运行经费</w:t>
      </w:r>
      <w:r>
        <w:rPr>
          <w:rFonts w:hint="eastAsia" w:ascii="仿宋_GB2312" w:eastAsia="仿宋_GB2312"/>
          <w:sz w:val="32"/>
          <w:szCs w:val="32"/>
        </w:rPr>
        <w:t>支出。</w:t>
      </w:r>
    </w:p>
    <w:p>
      <w:pPr>
        <w:autoSpaceDE w:val="0"/>
        <w:autoSpaceDN w:val="0"/>
        <w:adjustRightInd w:val="0"/>
        <w:spacing w:line="600" w:lineRule="exact"/>
        <w:ind w:firstLine="643" w:firstLineChars="200"/>
        <w:jc w:val="left"/>
        <w:rPr>
          <w:rFonts w:ascii="仿宋" w:hAnsi="仿宋" w:eastAsia="仿宋"/>
          <w:b/>
          <w:sz w:val="32"/>
          <w:szCs w:val="32"/>
        </w:rPr>
      </w:pPr>
      <w:bookmarkStart w:id="78" w:name="_Toc15377223"/>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（二）政府采购支出情况</w:t>
      </w:r>
      <w:bookmarkEnd w:id="78"/>
    </w:p>
    <w:p>
      <w:pPr>
        <w:pStyle w:val="12"/>
        <w:widowControl/>
        <w:spacing w:after="240" w:line="576" w:lineRule="exact"/>
        <w:ind w:right="150" w:firstLine="640" w:firstLineChars="200"/>
        <w:rPr>
          <w:rFonts w:hint="default"/>
          <w:highlight w:val="yellow"/>
        </w:rPr>
      </w:pPr>
      <w:r>
        <w:rPr>
          <w:rFonts w:ascii="仿宋_GB2312" w:eastAsia="仿宋_GB2312"/>
          <w:sz w:val="32"/>
          <w:szCs w:val="32"/>
        </w:rPr>
        <w:t>2020年，</w:t>
      </w:r>
      <w:r>
        <w:rPr>
          <w:rFonts w:ascii="仿宋" w:hAnsi="仿宋" w:eastAsia="仿宋" w:cs="仿宋"/>
          <w:color w:val="000000"/>
          <w:sz w:val="32"/>
          <w:szCs w:val="32"/>
          <w:shd w:val="clear" w:color="auto" w:fill="FFFFFF"/>
        </w:rPr>
        <w:t>四川省电大住房和城乡建设厅分校</w:t>
      </w:r>
      <w:r>
        <w:rPr>
          <w:rFonts w:ascii="仿宋_GB2312" w:eastAsia="仿宋_GB2312"/>
          <w:sz w:val="32"/>
          <w:szCs w:val="32"/>
        </w:rPr>
        <w:t>政府采购支出总额3.45万元，其中：政府采购货物支出1.48万元、政府采购服务支出1.97万元。主要用于</w:t>
      </w:r>
      <w:r>
        <w:rPr>
          <w:rFonts w:ascii="仿宋" w:hAnsi="仿宋" w:eastAsia="仿宋" w:cs="仿宋"/>
          <w:color w:val="000000"/>
          <w:sz w:val="32"/>
          <w:szCs w:val="32"/>
          <w:shd w:val="clear" w:color="auto" w:fill="FFFFFF"/>
        </w:rPr>
        <w:t>办公设备购置和公务车运行维护费开支。</w:t>
      </w:r>
      <w:r>
        <w:rPr>
          <w:rFonts w:hint="eastAsia" w:ascii="仿宋_GB2312" w:eastAsia="仿宋_GB2312"/>
          <w:color w:val="auto"/>
          <w:sz w:val="32"/>
          <w:szCs w:val="32"/>
        </w:rPr>
        <w:t>授予中小企业合同金额</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万元，占政府采购支出总额的</w:t>
      </w:r>
      <w:r>
        <w:rPr>
          <w:rFonts w:hint="eastAsia" w:ascii="仿宋_GB2312" w:eastAsia="仿宋_GB2312"/>
          <w:color w:val="auto"/>
          <w:sz w:val="32"/>
          <w:szCs w:val="32"/>
          <w:lang w:val="en-US" w:eastAsia="zh-CN"/>
        </w:rPr>
        <w:t>0</w:t>
      </w:r>
      <w:r>
        <w:rPr>
          <w:rFonts w:ascii="仿宋_GB2312" w:eastAsia="仿宋_GB2312"/>
          <w:color w:val="auto"/>
          <w:sz w:val="32"/>
          <w:szCs w:val="32"/>
        </w:rPr>
        <w:t>%</w:t>
      </w:r>
      <w:r>
        <w:rPr>
          <w:rFonts w:hint="eastAsia" w:ascii="仿宋_GB2312" w:eastAsia="仿宋_GB2312"/>
          <w:color w:val="auto"/>
          <w:sz w:val="32"/>
          <w:szCs w:val="32"/>
        </w:rPr>
        <w:t>，其中：授予小微企业合同金额</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万元，占政府采购支出总额的</w:t>
      </w:r>
      <w:r>
        <w:rPr>
          <w:rFonts w:hint="eastAsia" w:ascii="仿宋_GB2312" w:eastAsia="仿宋_GB2312"/>
          <w:color w:val="auto"/>
          <w:sz w:val="32"/>
          <w:szCs w:val="32"/>
          <w:lang w:val="en-US" w:eastAsia="zh-CN"/>
        </w:rPr>
        <w:t>0</w:t>
      </w:r>
      <w:r>
        <w:rPr>
          <w:rFonts w:ascii="仿宋_GB2312" w:eastAsia="仿宋_GB2312"/>
          <w:color w:val="auto"/>
          <w:sz w:val="32"/>
          <w:szCs w:val="32"/>
        </w:rPr>
        <w:t>%</w:t>
      </w:r>
      <w:r>
        <w:rPr>
          <w:rFonts w:hint="eastAsia" w:ascii="仿宋_GB2312" w:eastAsia="仿宋_GB2312"/>
          <w:color w:val="auto"/>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9" w:name="_Toc15377224"/>
      <w:r>
        <w:rPr>
          <w:rFonts w:hint="eastAsia" w:ascii="仿宋" w:hAnsi="仿宋" w:eastAsia="仿宋"/>
          <w:b/>
          <w:sz w:val="32"/>
          <w:szCs w:val="32"/>
        </w:rPr>
        <w:t>（三）国有资产占有使用情况</w:t>
      </w:r>
      <w:bookmarkEnd w:id="79"/>
    </w:p>
    <w:p>
      <w:pPr>
        <w:pStyle w:val="12"/>
        <w:widowControl/>
        <w:spacing w:after="240" w:line="576" w:lineRule="exact"/>
        <w:ind w:right="150" w:firstLine="640" w:firstLineChars="200"/>
        <w:rPr>
          <w:rFonts w:hint="default" w:ascii="仿宋_GB2312" w:eastAsia="仿宋_GB2312"/>
          <w:sz w:val="32"/>
          <w:szCs w:val="32"/>
        </w:rPr>
      </w:pPr>
      <w:r>
        <w:rPr>
          <w:rFonts w:ascii="仿宋_GB2312" w:eastAsia="仿宋_GB2312"/>
          <w:sz w:val="32"/>
          <w:szCs w:val="32"/>
        </w:rPr>
        <w:t>截至2020年12月31日，</w:t>
      </w:r>
      <w:r>
        <w:rPr>
          <w:rFonts w:ascii="仿宋" w:hAnsi="仿宋" w:eastAsia="仿宋" w:cs="仿宋"/>
          <w:color w:val="000000"/>
          <w:sz w:val="32"/>
          <w:szCs w:val="32"/>
          <w:shd w:val="clear" w:color="auto" w:fill="FFFFFF"/>
        </w:rPr>
        <w:t>四川省电大住房和城乡建设厅分校</w:t>
      </w:r>
      <w:r>
        <w:rPr>
          <w:rFonts w:ascii="仿宋_GB2312" w:eastAsia="仿宋_GB2312"/>
          <w:sz w:val="32"/>
          <w:szCs w:val="32"/>
        </w:rPr>
        <w:t>共有车辆1辆，其中：其他用车1辆。其他用车主要是用于</w:t>
      </w:r>
      <w:r>
        <w:rPr>
          <w:rFonts w:ascii="仿宋" w:hAnsi="仿宋" w:eastAsia="仿宋" w:cs="仿宋"/>
          <w:color w:val="000000"/>
          <w:sz w:val="32"/>
          <w:szCs w:val="32"/>
          <w:shd w:val="clear" w:color="auto" w:fill="FFFFFF"/>
        </w:rPr>
        <w:t>保障单位工作的正常开展。单价50万元以上通用设备0台（套），单价100万元以上专用设备0台（套）。</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单位在2020年度预算编制阶段，组织对“联合办学经费支出”项目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按要求对2020年整体支出开展绩效自评，从评价情况来看整体良好，预算编制的精准度和执行率有待进一步提升。本单位还自行组织了1个项目支出绩效评价，从评价情况来看整体良好，绩效目标顺利任务完成，但项目预算资金精准度及执行比例有待提高。</w:t>
      </w:r>
    </w:p>
    <w:p>
      <w:pPr>
        <w:numPr>
          <w:ilvl w:val="0"/>
          <w:numId w:val="4"/>
        </w:num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项目绩效目标完成情况。</w:t>
      </w:r>
    </w:p>
    <w:p>
      <w:pPr>
        <w:numPr>
          <w:ilvl w:val="0"/>
          <w:numId w:val="0"/>
        </w:num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本单位在2020年度部门决算中反映“联合办学经费支出”项目绩效目标实际完成情况。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合办学经费支出”项目绩效目标完成情况综述。项目全年预算数800万元，执行数为648.03万元，完成预算的81.00%。通过项目实施，2020年实现了学员报名收费系统升级，提高了工作效率，为学生服务工作提供了坚实基础，提升了电大办学品牌。使更多的人能够接受高等教育，大大提高高等教育的公平性，为经济社会的发展提供更多技能型人才。</w:t>
      </w:r>
      <w:r>
        <w:rPr>
          <w:rFonts w:hint="eastAsia" w:ascii="仿宋_GB2312" w:hAnsi="仿宋_GB2312" w:eastAsia="仿宋_GB2312" w:cs="仿宋_GB2312"/>
          <w:sz w:val="32"/>
          <w:szCs w:val="32"/>
          <w:highlight w:val="none"/>
        </w:rPr>
        <w:t>发现的主要问题：项目预算资金精准度及执行比例有待提高。下一步改进措施：</w:t>
      </w:r>
      <w:r>
        <w:rPr>
          <w:rFonts w:hint="eastAsia" w:ascii="仿宋_GB2312" w:hAnsi="仿宋_GB2312" w:eastAsia="仿宋_GB2312" w:cs="仿宋_GB2312"/>
          <w:sz w:val="32"/>
          <w:szCs w:val="32"/>
          <w:lang w:val="zh-CN"/>
        </w:rPr>
        <w:t>我校将加强财务管理，进一步提高我校项目支出绩效水平，科学编制年初预算，对联合办学项目实行分阶段安排预算，强化预算编制的准确性，努力实现精细化管理。加快督促预算执行进度，为我校顺利完成建设厅的重点工作任务提供更好的保障。</w:t>
      </w:r>
    </w:p>
    <w:p>
      <w:pPr>
        <w:spacing w:line="580" w:lineRule="exact"/>
        <w:ind w:firstLine="640" w:firstLineChars="2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tbl>
      <w:tblPr>
        <w:tblStyle w:val="13"/>
        <w:tblpPr w:leftFromText="180" w:rightFromText="180" w:vertAnchor="text" w:horzAnchor="page" w:tblpXSpec="center" w:tblpY="423"/>
        <w:tblOverlap w:val="never"/>
        <w:tblW w:w="5000" w:type="pct"/>
        <w:jc w:val="center"/>
        <w:tblLayout w:type="autofit"/>
        <w:tblCellMar>
          <w:top w:w="0" w:type="dxa"/>
          <w:left w:w="0" w:type="dxa"/>
          <w:bottom w:w="0" w:type="dxa"/>
          <w:right w:w="0" w:type="dxa"/>
        </w:tblCellMar>
      </w:tblPr>
      <w:tblGrid>
        <w:gridCol w:w="390"/>
        <w:gridCol w:w="1126"/>
        <w:gridCol w:w="849"/>
        <w:gridCol w:w="2246"/>
        <w:gridCol w:w="1886"/>
        <w:gridCol w:w="1839"/>
      </w:tblGrid>
      <w:tr>
        <w:tblPrEx>
          <w:tblCellMar>
            <w:top w:w="0" w:type="dxa"/>
            <w:left w:w="0" w:type="dxa"/>
            <w:bottom w:w="0" w:type="dxa"/>
            <w:right w:w="0" w:type="dxa"/>
          </w:tblCellMar>
        </w:tblPrEx>
        <w:trPr>
          <w:trHeight w:val="1034" w:hRule="atLeast"/>
          <w:jc w:val="center"/>
        </w:trPr>
        <w:tc>
          <w:tcPr>
            <w:tcW w:w="5000" w:type="pct"/>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b/>
                <w:bCs/>
                <w:kern w:val="0"/>
                <w:sz w:val="36"/>
                <w:szCs w:val="36"/>
                <w:lang w:eastAsia="zh-CN" w:bidi="ar"/>
              </w:rPr>
            </w:pPr>
            <w:r>
              <w:rPr>
                <w:rFonts w:hint="eastAsia" w:ascii="宋体" w:hAnsi="宋体" w:cs="宋体"/>
                <w:b/>
                <w:bCs/>
                <w:kern w:val="0"/>
                <w:sz w:val="36"/>
                <w:szCs w:val="36"/>
                <w:lang w:bidi="ar"/>
              </w:rPr>
              <w:t>项目绩效目标完成情况表</w:t>
            </w:r>
          </w:p>
          <w:p>
            <w:pPr>
              <w:widowControl/>
              <w:jc w:val="center"/>
              <w:textAlignment w:val="center"/>
              <w:rPr>
                <w:rFonts w:ascii="宋体" w:hAnsi="宋体" w:cs="宋体"/>
                <w:sz w:val="36"/>
                <w:szCs w:val="36"/>
              </w:rPr>
            </w:pP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1419"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3580"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联合办学经费支出</w:t>
            </w:r>
          </w:p>
        </w:tc>
      </w:tr>
      <w:tr>
        <w:tblPrEx>
          <w:tblCellMar>
            <w:top w:w="0" w:type="dxa"/>
            <w:left w:w="0" w:type="dxa"/>
            <w:bottom w:w="0" w:type="dxa"/>
            <w:right w:w="0" w:type="dxa"/>
          </w:tblCellMar>
        </w:tblPrEx>
        <w:trPr>
          <w:trHeight w:val="276" w:hRule="atLeast"/>
          <w:jc w:val="center"/>
        </w:trPr>
        <w:tc>
          <w:tcPr>
            <w:tcW w:w="1419"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3580"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四川省电大住房和城乡建设厅分校</w:t>
            </w:r>
          </w:p>
        </w:tc>
      </w:tr>
      <w:tr>
        <w:tblPrEx>
          <w:tblCellMar>
            <w:top w:w="0" w:type="dxa"/>
            <w:left w:w="0" w:type="dxa"/>
            <w:bottom w:w="0" w:type="dxa"/>
            <w:right w:w="0" w:type="dxa"/>
          </w:tblCellMar>
        </w:tblPrEx>
        <w:trPr>
          <w:trHeight w:val="276" w:hRule="atLeast"/>
          <w:jc w:val="center"/>
        </w:trPr>
        <w:tc>
          <w:tcPr>
            <w:tcW w:w="23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1185"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预算数:</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800</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lang w:bidi="ar"/>
              </w:rPr>
              <w:t>648.03</w:t>
            </w:r>
          </w:p>
        </w:tc>
      </w:tr>
      <w:tr>
        <w:tblPrEx>
          <w:tblCellMar>
            <w:top w:w="0" w:type="dxa"/>
            <w:left w:w="0" w:type="dxa"/>
            <w:bottom w:w="0" w:type="dxa"/>
            <w:right w:w="0" w:type="dxa"/>
          </w:tblCellMar>
        </w:tblPrEx>
        <w:trPr>
          <w:trHeight w:val="276" w:hRule="atLeast"/>
          <w:jc w:val="center"/>
        </w:trPr>
        <w:tc>
          <w:tcPr>
            <w:tcW w:w="23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1185"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r>
      <w:tr>
        <w:tblPrEx>
          <w:tblCellMar>
            <w:top w:w="0" w:type="dxa"/>
            <w:left w:w="0" w:type="dxa"/>
            <w:bottom w:w="0" w:type="dxa"/>
            <w:right w:w="0" w:type="dxa"/>
          </w:tblCellMar>
        </w:tblPrEx>
        <w:trPr>
          <w:trHeight w:val="1762" w:hRule="atLeast"/>
          <w:jc w:val="center"/>
        </w:trPr>
        <w:tc>
          <w:tcPr>
            <w:tcW w:w="23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1185"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sz w:val="24"/>
                <w:lang w:val="en-US" w:eastAsia="zh-CN"/>
              </w:rPr>
            </w:pPr>
            <w:r>
              <w:rPr>
                <w:rFonts w:hint="eastAsia" w:ascii="宋体" w:hAnsi="宋体" w:cs="宋体"/>
                <w:sz w:val="24"/>
                <w:lang w:val="en-US" w:eastAsia="zh-CN"/>
              </w:rPr>
              <w:t>800</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lang w:bidi="ar"/>
              </w:rPr>
              <w:t>648.03</w:t>
            </w:r>
          </w:p>
        </w:tc>
      </w:tr>
      <w:tr>
        <w:tblPrEx>
          <w:tblCellMar>
            <w:top w:w="0" w:type="dxa"/>
            <w:left w:w="0" w:type="dxa"/>
            <w:bottom w:w="0" w:type="dxa"/>
            <w:right w:w="0" w:type="dxa"/>
          </w:tblCellMar>
        </w:tblPrEx>
        <w:trPr>
          <w:trHeight w:val="276" w:hRule="atLeast"/>
          <w:jc w:val="center"/>
        </w:trPr>
        <w:tc>
          <w:tcPr>
            <w:tcW w:w="23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2532"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223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23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532"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为了促进开放教育的健康、稳定、可持续发展，保障办学投入、提高质量、提升电大办学品牌， 2020年将继续优化升级学员报名收费系统，奖励优秀学员，加强电大品牌宣传。努力完成招生目标，使2020年绩效目标完成度能达到100%。2020年以前高等教育在校人数为4000人，预计2020年招收高等教育新生2000人，合计2020年高等教育总人数可达6000人。使更多的人能够接受高等教育，大大提高高等教育的公平性，为经济社会的发展提供更多技能型人才，为祖国的教育事业贡献一份力量。</w:t>
            </w:r>
          </w:p>
        </w:tc>
        <w:tc>
          <w:tcPr>
            <w:tcW w:w="223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40" w:lineRule="auto"/>
              <w:ind w:firstLine="480" w:firstLineChars="200"/>
              <w:jc w:val="both"/>
              <w:textAlignment w:val="center"/>
              <w:rPr>
                <w:rFonts w:ascii="宋体" w:hAnsi="宋体" w:cs="宋体"/>
                <w:sz w:val="24"/>
              </w:rPr>
            </w:pPr>
            <w:r>
              <w:rPr>
                <w:rFonts w:hint="eastAsia" w:ascii="宋体" w:hAnsi="宋体" w:cs="宋体"/>
                <w:sz w:val="24"/>
              </w:rPr>
              <w:t>2020年实现了学员报名收费系统升级，提高了工作效率，为学生服务工作提供了坚实基础，提升了电大办学品牌。2020年实现招生人数2167人，在校人数达到6100余人。使更多的人能够接受高等教育，大大提高高等教育的公平性，为经济社会的发展提供更多技能型人才。</w:t>
            </w:r>
          </w:p>
        </w:tc>
      </w:tr>
      <w:tr>
        <w:tblPrEx>
          <w:tblCellMar>
            <w:top w:w="0" w:type="dxa"/>
            <w:left w:w="0" w:type="dxa"/>
            <w:bottom w:w="0" w:type="dxa"/>
            <w:right w:w="0" w:type="dxa"/>
          </w:tblCellMar>
        </w:tblPrEx>
        <w:trPr>
          <w:trHeight w:val="1042" w:hRule="atLeast"/>
          <w:jc w:val="center"/>
        </w:trPr>
        <w:tc>
          <w:tcPr>
            <w:tcW w:w="233" w:type="pct"/>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233" w:type="pct"/>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招生人数</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2000</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2167</w:t>
            </w:r>
          </w:p>
        </w:tc>
      </w:tr>
      <w:tr>
        <w:tblPrEx>
          <w:tblCellMar>
            <w:top w:w="0" w:type="dxa"/>
            <w:left w:w="0" w:type="dxa"/>
            <w:bottom w:w="0" w:type="dxa"/>
            <w:right w:w="0" w:type="dxa"/>
          </w:tblCellMar>
        </w:tblPrEx>
        <w:trPr>
          <w:trHeight w:val="1297" w:hRule="atLeast"/>
          <w:jc w:val="center"/>
        </w:trPr>
        <w:tc>
          <w:tcPr>
            <w:tcW w:w="233" w:type="pct"/>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联合办学质量</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考核按期完成率：100%</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考核按期完成率：100%</w:t>
            </w:r>
          </w:p>
        </w:tc>
      </w:tr>
      <w:tr>
        <w:tblPrEx>
          <w:tblCellMar>
            <w:top w:w="0" w:type="dxa"/>
            <w:left w:w="0" w:type="dxa"/>
            <w:bottom w:w="0" w:type="dxa"/>
            <w:right w:w="0" w:type="dxa"/>
          </w:tblCellMar>
        </w:tblPrEx>
        <w:trPr>
          <w:trHeight w:val="1042" w:hRule="atLeast"/>
          <w:jc w:val="center"/>
        </w:trPr>
        <w:tc>
          <w:tcPr>
            <w:tcW w:w="233" w:type="pct"/>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时效指标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项目完成时间</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十二月底之前完成结算</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十二月底之前完成结算</w:t>
            </w:r>
          </w:p>
        </w:tc>
      </w:tr>
      <w:tr>
        <w:tblPrEx>
          <w:tblCellMar>
            <w:top w:w="0" w:type="dxa"/>
            <w:left w:w="0" w:type="dxa"/>
            <w:bottom w:w="0" w:type="dxa"/>
            <w:right w:w="0" w:type="dxa"/>
          </w:tblCellMar>
        </w:tblPrEx>
        <w:trPr>
          <w:trHeight w:val="1042" w:hRule="atLeast"/>
          <w:jc w:val="center"/>
        </w:trPr>
        <w:tc>
          <w:tcPr>
            <w:tcW w:w="233" w:type="pct"/>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成本控制</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严格按照协议支付</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严格按照协议支付</w:t>
            </w:r>
          </w:p>
        </w:tc>
      </w:tr>
      <w:tr>
        <w:tblPrEx>
          <w:tblCellMar>
            <w:top w:w="0" w:type="dxa"/>
            <w:left w:w="0" w:type="dxa"/>
            <w:bottom w:w="0" w:type="dxa"/>
            <w:right w:w="0" w:type="dxa"/>
          </w:tblCellMar>
        </w:tblPrEx>
        <w:trPr>
          <w:trHeight w:val="1042" w:hRule="atLeast"/>
          <w:jc w:val="center"/>
        </w:trPr>
        <w:tc>
          <w:tcPr>
            <w:tcW w:w="233" w:type="pct"/>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经济效益指标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为经济社会发展提供技术技能型人才</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对全省建设教育系统影响率：90%</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对全省建设教育系统影响率：90%</w:t>
            </w:r>
          </w:p>
        </w:tc>
      </w:tr>
      <w:tr>
        <w:tblPrEx>
          <w:tblCellMar>
            <w:top w:w="0" w:type="dxa"/>
            <w:left w:w="0" w:type="dxa"/>
            <w:bottom w:w="0" w:type="dxa"/>
            <w:right w:w="0" w:type="dxa"/>
          </w:tblCellMar>
        </w:tblPrEx>
        <w:trPr>
          <w:trHeight w:val="1042" w:hRule="atLeast"/>
          <w:jc w:val="center"/>
        </w:trPr>
        <w:tc>
          <w:tcPr>
            <w:tcW w:w="233" w:type="pct"/>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对工作的促进</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面向社会招收符合入学条件的学生，根据社会需要培养人才</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面向社会招收符合入学条件的学生，根据社会需要培养人才</w:t>
            </w:r>
          </w:p>
        </w:tc>
      </w:tr>
      <w:tr>
        <w:tblPrEx>
          <w:tblCellMar>
            <w:top w:w="0" w:type="dxa"/>
            <w:left w:w="0" w:type="dxa"/>
            <w:bottom w:w="0" w:type="dxa"/>
            <w:right w:w="0" w:type="dxa"/>
          </w:tblCellMar>
        </w:tblPrEx>
        <w:trPr>
          <w:trHeight w:val="1042" w:hRule="atLeast"/>
          <w:jc w:val="center"/>
        </w:trPr>
        <w:tc>
          <w:tcPr>
            <w:tcW w:w="233" w:type="pct"/>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可持续影响指标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影响年限</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w:t>
            </w:r>
          </w:p>
        </w:tc>
      </w:tr>
      <w:tr>
        <w:tblPrEx>
          <w:tblCellMar>
            <w:top w:w="0" w:type="dxa"/>
            <w:left w:w="0" w:type="dxa"/>
            <w:bottom w:w="0" w:type="dxa"/>
            <w:right w:w="0" w:type="dxa"/>
          </w:tblCellMar>
        </w:tblPrEx>
        <w:trPr>
          <w:trHeight w:val="1050" w:hRule="atLeast"/>
          <w:jc w:val="center"/>
        </w:trPr>
        <w:tc>
          <w:tcPr>
            <w:tcW w:w="233" w:type="pct"/>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67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50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满意度指标</w:t>
            </w:r>
          </w:p>
        </w:tc>
        <w:tc>
          <w:tcPr>
            <w:tcW w:w="13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合作单位满意度</w:t>
            </w:r>
          </w:p>
        </w:tc>
        <w:tc>
          <w:tcPr>
            <w:tcW w:w="113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≥95%</w:t>
            </w:r>
          </w:p>
        </w:tc>
        <w:tc>
          <w:tcPr>
            <w:tcW w:w="11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≥95%</w:t>
            </w: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2.单位绩效评价结果。</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本单位自行组织对“联合办学经费支出”项目开展了绩效评价，《2020年联合办学经费支出项目支出绩效自评报告》见附件（第四部分）。</w:t>
      </w: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numPr>
          <w:ilvl w:val="0"/>
          <w:numId w:val="5"/>
        </w:numPr>
        <w:spacing w:line="600" w:lineRule="exact"/>
        <w:ind w:firstLine="660" w:firstLineChars="150"/>
        <w:jc w:val="center"/>
        <w:outlineLvl w:val="0"/>
        <w:rPr>
          <w:rStyle w:val="25"/>
          <w:rFonts w:ascii="黑体" w:hAnsi="黑体" w:eastAsia="黑体"/>
          <w:b w:val="0"/>
        </w:rPr>
      </w:pPr>
      <w:bookmarkStart w:id="80" w:name="_Toc15396613"/>
      <w:bookmarkStart w:id="81" w:name="_Toc15377225"/>
      <w:bookmarkStart w:id="82" w:name="_Toc17772"/>
      <w:r>
        <w:rPr>
          <w:rFonts w:hint="eastAsia" w:ascii="黑体" w:hAnsi="黑体" w:eastAsia="黑体"/>
          <w:color w:val="000000"/>
          <w:sz w:val="44"/>
          <w:szCs w:val="44"/>
        </w:rPr>
        <w:t>名</w:t>
      </w:r>
      <w:r>
        <w:rPr>
          <w:rStyle w:val="25"/>
          <w:rFonts w:hint="eastAsia" w:ascii="黑体" w:hAnsi="黑体" w:eastAsia="黑体"/>
          <w:b w:val="0"/>
        </w:rPr>
        <w:t>词解释</w:t>
      </w:r>
      <w:bookmarkEnd w:id="80"/>
      <w:bookmarkEnd w:id="81"/>
      <w:bookmarkEnd w:id="82"/>
    </w:p>
    <w:p>
      <w:pPr>
        <w:spacing w:line="600" w:lineRule="exact"/>
        <w:jc w:val="left"/>
        <w:rPr>
          <w:rFonts w:ascii="宋体"/>
          <w:b/>
          <w:color w:val="000000"/>
          <w:sz w:val="44"/>
          <w:szCs w:val="44"/>
        </w:rPr>
      </w:pP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事业收入：指事业单位开展专业业务活动及辅助活动取得的收入。如四川省电大住房和城乡建设厅分校财政专户收入等。</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其他收入：指单位取得的除上述收入以外的各项收入。主要是培训费收入、利息收入、教材费收入等。</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rPr>
        <w:t>3、年末结转和结余：指单位按有关规定结转到下年或以后年度继续使用的资金。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4</w:t>
      </w:r>
      <w:r>
        <w:rPr>
          <w:rFonts w:ascii="仿宋_GB2312" w:eastAsia="仿宋_GB2312"/>
          <w:color w:val="000000"/>
          <w:sz w:val="32"/>
          <w:szCs w:val="32"/>
        </w:rPr>
        <w:t>.</w:t>
      </w:r>
      <w:r>
        <w:rPr>
          <w:rFonts w:hint="eastAsia" w:ascii="仿宋_GB2312" w:eastAsia="仿宋_GB2312"/>
          <w:color w:val="000000"/>
          <w:sz w:val="32"/>
          <w:szCs w:val="32"/>
        </w:rPr>
        <w:t>教育（类）…（款）…（项）：指</w:t>
      </w:r>
      <w:r>
        <w:rPr>
          <w:rFonts w:hint="eastAsia" w:ascii="仿宋_GB2312" w:eastAsia="仿宋_GB2312"/>
          <w:sz w:val="32"/>
          <w:szCs w:val="32"/>
        </w:rPr>
        <w:t>四川省电大住房和城乡建设厅分校用于学历教育类支出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5</w:t>
      </w:r>
      <w:r>
        <w:rPr>
          <w:rFonts w:ascii="仿宋_GB2312" w:eastAsia="仿宋_GB2312"/>
          <w:color w:val="000000"/>
          <w:sz w:val="32"/>
          <w:szCs w:val="32"/>
        </w:rPr>
        <w:t>.</w:t>
      </w:r>
      <w:r>
        <w:rPr>
          <w:rFonts w:hint="eastAsia" w:ascii="仿宋_GB2312" w:eastAsia="仿宋_GB2312"/>
          <w:color w:val="000000"/>
          <w:sz w:val="32"/>
          <w:szCs w:val="32"/>
        </w:rPr>
        <w:t>社会保障和就业（类）…（款）…（项）：指</w:t>
      </w:r>
      <w:r>
        <w:rPr>
          <w:rFonts w:hint="eastAsia" w:ascii="仿宋_GB2312" w:eastAsia="仿宋_GB2312"/>
          <w:sz w:val="32"/>
          <w:szCs w:val="32"/>
        </w:rPr>
        <w:t>四川省电大住房和城乡建设厅分校用于在编人员年金单位部分支出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6.</w:t>
      </w:r>
      <w:r>
        <w:rPr>
          <w:rFonts w:hint="eastAsia" w:ascii="仿宋_GB2312" w:eastAsia="仿宋_GB2312"/>
          <w:color w:val="000000"/>
          <w:sz w:val="32"/>
          <w:szCs w:val="32"/>
        </w:rPr>
        <w:t>医疗卫生与计划生育（类）…（款）…（项）：指</w:t>
      </w:r>
      <w:r>
        <w:rPr>
          <w:rFonts w:hint="eastAsia" w:ascii="仿宋_GB2312" w:eastAsia="仿宋_GB2312"/>
          <w:sz w:val="32"/>
          <w:szCs w:val="32"/>
        </w:rPr>
        <w:t>四川省电大住房和城乡建设厅分校用于在编人员基本医疗单位部分支出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7</w:t>
      </w:r>
      <w:r>
        <w:rPr>
          <w:rFonts w:ascii="仿宋_GB2312" w:eastAsia="仿宋_GB2312"/>
          <w:color w:val="000000"/>
          <w:sz w:val="32"/>
          <w:szCs w:val="32"/>
        </w:rPr>
        <w:t>.</w:t>
      </w:r>
      <w:r>
        <w:rPr>
          <w:rFonts w:hint="eastAsia" w:ascii="仿宋_GB2312" w:eastAsia="仿宋_GB2312"/>
          <w:color w:val="000000"/>
          <w:sz w:val="32"/>
          <w:szCs w:val="32"/>
        </w:rPr>
        <w:t>住房保障（类）…（款）…（项）：指</w:t>
      </w:r>
      <w:r>
        <w:rPr>
          <w:rFonts w:hint="eastAsia" w:ascii="仿宋_GB2312" w:eastAsia="仿宋_GB2312"/>
          <w:sz w:val="32"/>
          <w:szCs w:val="32"/>
        </w:rPr>
        <w:t>四川省电大住房和城乡建设厅分校用于在编人员住房公积金单位部分支出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8</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9</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项目支出：指在基本支出之外为完成特定行政任务和事业发展目标所发生的支出。如</w:t>
      </w:r>
      <w:r>
        <w:rPr>
          <w:rFonts w:hint="eastAsia" w:ascii="仿宋_GB2312" w:eastAsia="仿宋_GB2312"/>
          <w:sz w:val="32"/>
          <w:szCs w:val="32"/>
        </w:rPr>
        <w:t>四川省电大住房和城乡建设厅分校联合办学项目经费支出。</w:t>
      </w:r>
      <w:r>
        <w:rPr>
          <w:rFonts w:ascii="仿宋_GB2312" w:eastAsia="仿宋_GB2312"/>
          <w:color w:val="000000"/>
          <w:sz w:val="32"/>
          <w:szCs w:val="32"/>
        </w:rPr>
        <w:t xml:space="preserve"> </w:t>
      </w:r>
    </w:p>
    <w:p>
      <w:pPr>
        <w:pStyle w:val="23"/>
        <w:spacing w:line="560" w:lineRule="exact"/>
        <w:ind w:firstLine="640" w:firstLineChars="200"/>
        <w:rPr>
          <w:rFonts w:ascii="仿宋_GB2312" w:eastAsia="仿宋_GB2312" w:cs="黑体"/>
          <w:sz w:val="32"/>
          <w:szCs w:val="32"/>
        </w:rPr>
      </w:pPr>
    </w:p>
    <w:p>
      <w:pPr>
        <w:spacing w:line="600" w:lineRule="exact"/>
        <w:jc w:val="center"/>
        <w:outlineLvl w:val="0"/>
        <w:rPr>
          <w:rStyle w:val="25"/>
          <w:rFonts w:ascii="黑体" w:hAnsi="黑体" w:eastAsia="黑体"/>
          <w:b w:val="0"/>
        </w:rPr>
      </w:pPr>
      <w:bookmarkStart w:id="83" w:name="_Toc15377226"/>
      <w:r>
        <w:rPr>
          <w:rFonts w:ascii="宋体"/>
          <w:b/>
          <w:color w:val="000000"/>
          <w:sz w:val="44"/>
          <w:szCs w:val="44"/>
        </w:rPr>
        <w:br w:type="page"/>
      </w:r>
      <w:bookmarkStart w:id="84" w:name="_Toc15396614"/>
      <w:bookmarkStart w:id="85" w:name="_Toc10169"/>
      <w:r>
        <w:rPr>
          <w:rFonts w:hint="eastAsia" w:ascii="黑体" w:hAnsi="黑体" w:eastAsia="黑体"/>
          <w:color w:val="000000"/>
          <w:sz w:val="44"/>
          <w:szCs w:val="44"/>
        </w:rPr>
        <w:t>第</w:t>
      </w:r>
      <w:r>
        <w:rPr>
          <w:rStyle w:val="25"/>
          <w:rFonts w:hint="eastAsia" w:ascii="黑体" w:hAnsi="黑体" w:eastAsia="黑体"/>
          <w:b w:val="0"/>
        </w:rPr>
        <w:t>四部分 附件</w:t>
      </w:r>
      <w:bookmarkEnd w:id="84"/>
      <w:bookmarkEnd w:id="85"/>
    </w:p>
    <w:p>
      <w:pPr>
        <w:spacing w:line="580" w:lineRule="exact"/>
        <w:rPr>
          <w:rFonts w:ascii="仿宋_GB2312" w:hAnsi="仿宋_GB2312" w:eastAsia="仿宋_GB2312" w:cs="仿宋_GB2312"/>
          <w:sz w:val="32"/>
          <w:szCs w:val="32"/>
          <w:highlight w:val="none"/>
        </w:rPr>
      </w:pPr>
    </w:p>
    <w:p>
      <w:pPr>
        <w:spacing w:line="600" w:lineRule="exact"/>
        <w:jc w:val="center"/>
        <w:rPr>
          <w:rFonts w:hint="eastAsia" w:ascii="方正小标宋简体" w:hAnsi="宋体" w:eastAsia="方正小标宋简体"/>
          <w:kern w:val="0"/>
          <w:sz w:val="44"/>
          <w:szCs w:val="44"/>
          <w:highlight w:val="none"/>
          <w:lang w:val="zh-CN"/>
        </w:rPr>
      </w:pPr>
      <w:bookmarkStart w:id="86" w:name="_Toc48"/>
      <w:r>
        <w:rPr>
          <w:rFonts w:hint="eastAsia" w:ascii="方正小标宋简体" w:hAnsi="宋体" w:eastAsia="方正小标宋简体"/>
          <w:kern w:val="0"/>
          <w:sz w:val="44"/>
          <w:szCs w:val="44"/>
          <w:highlight w:val="none"/>
          <w:lang w:val="zh-CN"/>
        </w:rPr>
        <w:t>202</w:t>
      </w:r>
      <w:r>
        <w:rPr>
          <w:rFonts w:hint="eastAsia" w:ascii="方正小标宋简体" w:hAnsi="宋体" w:eastAsia="方正小标宋简体"/>
          <w:kern w:val="0"/>
          <w:sz w:val="44"/>
          <w:szCs w:val="44"/>
          <w:highlight w:val="none"/>
        </w:rPr>
        <w:t>0</w:t>
      </w:r>
      <w:r>
        <w:rPr>
          <w:rFonts w:hint="eastAsia" w:ascii="方正小标宋简体" w:hAnsi="宋体" w:eastAsia="方正小标宋简体"/>
          <w:kern w:val="0"/>
          <w:sz w:val="44"/>
          <w:szCs w:val="44"/>
          <w:highlight w:val="none"/>
          <w:lang w:val="zh-CN"/>
        </w:rPr>
        <w:t>年联合办学经费支出项目</w:t>
      </w:r>
    </w:p>
    <w:p>
      <w:pPr>
        <w:spacing w:line="600" w:lineRule="exact"/>
        <w:jc w:val="center"/>
        <w:rPr>
          <w:rFonts w:ascii="方正小标宋简体" w:hAnsi="宋体" w:eastAsia="方正小标宋简体"/>
          <w:kern w:val="0"/>
          <w:sz w:val="44"/>
          <w:szCs w:val="44"/>
          <w:highlight w:val="none"/>
          <w:lang w:val="zh-CN"/>
        </w:rPr>
      </w:pPr>
      <w:r>
        <w:rPr>
          <w:rFonts w:hint="eastAsia" w:ascii="方正小标宋简体" w:hAnsi="宋体" w:eastAsia="方正小标宋简体"/>
          <w:kern w:val="0"/>
          <w:sz w:val="44"/>
          <w:szCs w:val="44"/>
          <w:highlight w:val="none"/>
          <w:lang w:val="zh-CN"/>
        </w:rPr>
        <w:t>支出绩效自评报告</w:t>
      </w:r>
      <w:bookmarkEnd w:id="86"/>
    </w:p>
    <w:p>
      <w:pPr>
        <w:spacing w:line="600" w:lineRule="exact"/>
        <w:jc w:val="center"/>
        <w:rPr>
          <w:rFonts w:ascii="仿宋_GB2312" w:hAnsi="宋体" w:eastAsia="仿宋_GB2312"/>
          <w:sz w:val="32"/>
          <w:szCs w:val="32"/>
          <w:highlight w:val="none"/>
          <w:lang w:val="zh-CN"/>
        </w:rPr>
      </w:pPr>
      <w:bookmarkStart w:id="87" w:name="_Toc32466"/>
      <w:r>
        <w:rPr>
          <w:rFonts w:hint="eastAsia" w:ascii="仿宋_GB2312" w:hAnsi="宋体" w:eastAsia="仿宋_GB2312"/>
          <w:sz w:val="32"/>
          <w:szCs w:val="32"/>
          <w:highlight w:val="none"/>
          <w:lang w:val="zh-CN"/>
        </w:rPr>
        <w:t>（项目单位自评）</w:t>
      </w:r>
      <w:bookmarkEnd w:id="87"/>
    </w:p>
    <w:p>
      <w:pPr>
        <w:spacing w:line="600" w:lineRule="exact"/>
        <w:ind w:firstLine="640"/>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bookmarkStart w:id="88" w:name="_Toc13303"/>
      <w:r>
        <w:rPr>
          <w:rFonts w:hint="eastAsia" w:ascii="黑体" w:hAnsi="宋体" w:eastAsia="黑体"/>
          <w:sz w:val="32"/>
          <w:szCs w:val="32"/>
        </w:rPr>
        <w:t>一、</w:t>
      </w:r>
      <w:r>
        <w:rPr>
          <w:rFonts w:hint="eastAsia" w:ascii="黑体" w:hAnsi="宋体" w:eastAsia="黑体"/>
          <w:sz w:val="32"/>
          <w:szCs w:val="32"/>
          <w:lang w:val="zh-CN"/>
        </w:rPr>
        <w:t>项目概况</w:t>
      </w:r>
      <w:bookmarkEnd w:id="88"/>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四川省电大住房和城乡建设厅分校系按照川电大校发〔1986〕012号文件于1986年3月正式成立的。2020年度安排项目支出预算资金</w:t>
      </w:r>
      <w:r>
        <w:rPr>
          <w:rFonts w:hint="eastAsia" w:ascii="仿宋_GB2312" w:hAnsi="宋体" w:eastAsia="仿宋_GB2312"/>
          <w:sz w:val="32"/>
          <w:szCs w:val="32"/>
        </w:rPr>
        <w:t>1,070.8</w:t>
      </w:r>
      <w:r>
        <w:rPr>
          <w:rFonts w:hint="eastAsia" w:ascii="仿宋_GB2312" w:hAnsi="宋体" w:eastAsia="仿宋_GB2312"/>
          <w:sz w:val="32"/>
          <w:szCs w:val="32"/>
          <w:lang w:val="zh-CN"/>
        </w:rPr>
        <w:t>万元（其中：财政专户资金</w:t>
      </w:r>
      <w:r>
        <w:rPr>
          <w:rFonts w:hint="eastAsia" w:ascii="仿宋_GB2312" w:hAnsi="宋体" w:eastAsia="仿宋_GB2312"/>
          <w:sz w:val="32"/>
          <w:szCs w:val="32"/>
        </w:rPr>
        <w:t>1,070.8</w:t>
      </w:r>
      <w:r>
        <w:rPr>
          <w:rFonts w:hint="eastAsia" w:ascii="仿宋_GB2312" w:hAnsi="宋体" w:eastAsia="仿宋_GB2312"/>
          <w:sz w:val="32"/>
          <w:szCs w:val="32"/>
          <w:lang w:val="zh-CN"/>
        </w:rPr>
        <w:t>万元），用于联合办学项目经费开支。因疫情影响，招生工作受到阻碍，招生情况未达到预期，将预算调整为</w:t>
      </w:r>
      <w:r>
        <w:rPr>
          <w:rFonts w:hint="eastAsia" w:ascii="仿宋_GB2312" w:hAnsi="宋体" w:eastAsia="仿宋_GB2312"/>
          <w:sz w:val="32"/>
          <w:szCs w:val="32"/>
        </w:rPr>
        <w:t>800万元（其中：财政专户资金800万元），符合</w:t>
      </w:r>
      <w:r>
        <w:rPr>
          <w:rFonts w:hint="eastAsia" w:ascii="仿宋_GB2312" w:hAnsi="宋体" w:eastAsia="仿宋_GB2312"/>
          <w:sz w:val="32"/>
          <w:szCs w:val="32"/>
          <w:lang w:val="zh-CN"/>
        </w:rPr>
        <w:t>资金管理办法等相关规定。</w:t>
      </w:r>
    </w:p>
    <w:p>
      <w:pPr>
        <w:numPr>
          <w:ilvl w:val="0"/>
          <w:numId w:val="6"/>
        </w:num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项目绩效目标。</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为了促进开放教育的健康、稳定、可持续发展，保障办学投入、提高质量、提升电大办学品牌， 2020年将继续优化升级学员报名收费系统，奖励优秀学员，加强电大品牌宣传。努力完成招生目标，使2020年绩效目标完成度能达到100%。2020年以前高等教育在校人数为4000人，预计2020年招收高等教育新生2000人，合计2020年高等教育总人数可达6000人。使更多的人能够接受高等教育，大大提高高等教育的公平性，为经济社会的发展提供更多技能型人才，为祖国的教育事业贡献一份力量。</w:t>
      </w:r>
    </w:p>
    <w:p>
      <w:pPr>
        <w:numPr>
          <w:ilvl w:val="0"/>
          <w:numId w:val="6"/>
        </w:num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项目资金申报相符性。</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项目申报内容与具体实施内容相符，申报目标合理可行等。</w:t>
      </w:r>
    </w:p>
    <w:p>
      <w:pPr>
        <w:adjustRightInd w:val="0"/>
        <w:snapToGrid w:val="0"/>
        <w:spacing w:line="600" w:lineRule="exact"/>
        <w:ind w:firstLine="720"/>
        <w:rPr>
          <w:rFonts w:ascii="黑体" w:hAnsi="宋体" w:eastAsia="黑体"/>
          <w:sz w:val="32"/>
          <w:szCs w:val="32"/>
        </w:rPr>
      </w:pPr>
      <w:bookmarkStart w:id="89" w:name="_Toc27994"/>
      <w:r>
        <w:rPr>
          <w:rFonts w:hint="eastAsia" w:ascii="黑体" w:hAnsi="宋体" w:eastAsia="黑体"/>
          <w:sz w:val="32"/>
          <w:szCs w:val="32"/>
        </w:rPr>
        <w:t>二、项目实施及管理情况</w:t>
      </w:r>
      <w:bookmarkEnd w:id="89"/>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ab/>
      </w:r>
      <w:r>
        <w:rPr>
          <w:rFonts w:hint="eastAsia" w:ascii="楷体_GB2312" w:hAnsi="宋体" w:eastAsia="楷体_GB2312"/>
          <w:b/>
          <w:sz w:val="32"/>
          <w:szCs w:val="32"/>
          <w:lang w:val="zh-CN"/>
        </w:rPr>
        <w:t>（一）资金计划、到位及使用情况。</w:t>
      </w:r>
    </w:p>
    <w:p>
      <w:pPr>
        <w:adjustRightInd w:val="0"/>
        <w:snapToGrid w:val="0"/>
        <w:spacing w:line="600" w:lineRule="exact"/>
        <w:ind w:firstLine="720"/>
        <w:rPr>
          <w:rFonts w:ascii="楷体_GB2312" w:hAnsi="宋体" w:eastAsia="楷体_GB2312"/>
          <w:sz w:val="32"/>
          <w:szCs w:val="32"/>
          <w:lang w:val="zh-CN"/>
        </w:rPr>
      </w:pPr>
      <w:r>
        <w:rPr>
          <w:rFonts w:hint="eastAsia" w:ascii="楷体_GB2312" w:hAnsi="宋体" w:eastAsia="楷体_GB2312"/>
          <w:sz w:val="32"/>
          <w:szCs w:val="32"/>
          <w:lang w:val="zh-CN"/>
        </w:rPr>
        <w:t>1．资金计划及到位。</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资金根据需求和计划时点及时全额到位。</w:t>
      </w:r>
    </w:p>
    <w:p>
      <w:pPr>
        <w:numPr>
          <w:ilvl w:val="0"/>
          <w:numId w:val="4"/>
        </w:numPr>
        <w:adjustRightInd w:val="0"/>
        <w:snapToGrid w:val="0"/>
        <w:spacing w:line="600" w:lineRule="exact"/>
        <w:ind w:firstLine="640" w:firstLineChars="200"/>
        <w:rPr>
          <w:rFonts w:ascii="楷体_GB2312" w:hAnsi="宋体" w:eastAsia="楷体_GB2312"/>
          <w:sz w:val="32"/>
          <w:szCs w:val="32"/>
          <w:lang w:val="zh-CN"/>
        </w:rPr>
      </w:pPr>
      <w:r>
        <w:rPr>
          <w:rFonts w:hint="eastAsia" w:ascii="楷体_GB2312" w:hAnsi="宋体" w:eastAsia="楷体_GB2312"/>
          <w:sz w:val="32"/>
          <w:szCs w:val="32"/>
          <w:lang w:val="zh-CN"/>
        </w:rPr>
        <w:t>资金使用。</w:t>
      </w:r>
    </w:p>
    <w:p>
      <w:pPr>
        <w:adjustRightInd w:val="0"/>
        <w:snapToGrid w:val="0"/>
        <w:spacing w:line="600" w:lineRule="exact"/>
        <w:ind w:left="420" w:leftChars="200"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2020年联合办学项目实际总支出648.03万元，其中：租赁费3.76万元，劳务费4.45万元，委托业务费194.04万元，其他商品和服务支出445.78万元。支付依据合规合法，资金支付与预算大致相符。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对联合办学项目涉及的不同业务支付流程进行了相应规范。根据财务管理办法，付款流程按照相应的财务制度执行，履行相关审批手续，专款专用，以预算和合同为依据，不存在资金支出依据不合规、虚列项目支出、挪用项目资金的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（三）项目组织实施情况。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项目预算金额800万元，实际支付648.03万元，完成率81.00%；项目预计招生人数2000人，实际招生人数2167人，超额完成任务，完成率108.35%。</w:t>
      </w:r>
    </w:p>
    <w:p>
      <w:pPr>
        <w:adjustRightInd w:val="0"/>
        <w:snapToGrid w:val="0"/>
        <w:spacing w:line="600" w:lineRule="exact"/>
        <w:ind w:firstLine="720"/>
        <w:rPr>
          <w:rFonts w:ascii="仿宋_GB2312" w:hAnsi="宋体" w:eastAsia="仿宋_GB2312"/>
          <w:sz w:val="32"/>
          <w:szCs w:val="32"/>
          <w:lang w:val="zh-CN"/>
        </w:rPr>
      </w:pPr>
      <w:bookmarkStart w:id="90" w:name="_Toc13036"/>
      <w:r>
        <w:rPr>
          <w:rFonts w:hint="eastAsia" w:ascii="黑体" w:hAnsi="宋体" w:eastAsia="黑体"/>
          <w:sz w:val="32"/>
          <w:szCs w:val="32"/>
        </w:rPr>
        <w:t>三、项目绩效情况</w:t>
      </w:r>
      <w:bookmarkEnd w:id="90"/>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2020年实现招生人数2167人，在校人数达到6100余人。</w:t>
      </w:r>
    </w:p>
    <w:p>
      <w:pPr>
        <w:numPr>
          <w:ilvl w:val="0"/>
          <w:numId w:val="7"/>
        </w:num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项目效益情况。</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2020年实现了学员报名收费系统升级，提高了工作效率，为学生服务工作提供了坚实基础，提升了电大办学品牌。使更多的人能够接受高等教育，大大提高高等教育的公平性，为经济社会的发展提供更多技能型人才。</w:t>
      </w:r>
    </w:p>
    <w:p>
      <w:pPr>
        <w:adjustRightInd w:val="0"/>
        <w:snapToGrid w:val="0"/>
        <w:spacing w:line="600" w:lineRule="exact"/>
        <w:ind w:firstLine="720"/>
        <w:rPr>
          <w:rFonts w:ascii="黑体" w:hAnsi="宋体" w:eastAsia="黑体"/>
          <w:sz w:val="32"/>
          <w:szCs w:val="32"/>
        </w:rPr>
      </w:pPr>
      <w:bookmarkStart w:id="91" w:name="_Toc22644"/>
      <w:r>
        <w:rPr>
          <w:rFonts w:hint="eastAsia" w:ascii="黑体" w:hAnsi="宋体" w:eastAsia="黑体"/>
          <w:sz w:val="32"/>
          <w:szCs w:val="32"/>
        </w:rPr>
        <w:t>四、问题及建议</w:t>
      </w:r>
      <w:bookmarkEnd w:id="91"/>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（一）存在的问题。</w:t>
      </w:r>
    </w:p>
    <w:p>
      <w:pPr>
        <w:adjustRightInd w:val="0"/>
        <w:snapToGrid w:val="0"/>
        <w:spacing w:line="600" w:lineRule="exact"/>
        <w:ind w:firstLine="640" w:firstLineChars="200"/>
        <w:rPr>
          <w:lang w:val="zh-CN"/>
        </w:rPr>
      </w:pPr>
      <w:r>
        <w:rPr>
          <w:rFonts w:hint="eastAsia" w:ascii="仿宋_GB2312" w:hAnsi="宋体" w:eastAsia="仿宋_GB2312"/>
          <w:sz w:val="32"/>
          <w:szCs w:val="32"/>
          <w:lang w:val="zh-CN"/>
        </w:rPr>
        <w:t>项目预算资金精准度及执行比例有待提高。</w:t>
      </w:r>
    </w:p>
    <w:p>
      <w:pPr>
        <w:numPr>
          <w:ilvl w:val="0"/>
          <w:numId w:val="7"/>
        </w:num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相关建议。</w:t>
      </w:r>
      <w:bookmarkStart w:id="92" w:name="_Toc15396618"/>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lang w:val="zh-CN"/>
        </w:rPr>
        <w:t>我校将加强财务管理，进一步提高我校项目支出绩效水平，科学编制年初预算，对联合办学项目实行分阶段安排预算，强化预算编制的准确性，努力实现精细化管理。加快督促预算执行进度，为我校顺利完成建设厅的重点工作任务提供更好的保障。</w:t>
      </w:r>
    </w:p>
    <w:p>
      <w:pPr>
        <w:adjustRightInd w:val="0"/>
        <w:snapToGrid w:val="0"/>
        <w:spacing w:line="600" w:lineRule="exact"/>
        <w:ind w:firstLine="640" w:firstLineChars="200"/>
        <w:rPr>
          <w:rFonts w:ascii="仿宋_GB2312" w:hAnsi="宋体" w:eastAsia="仿宋_GB2312"/>
          <w:sz w:val="32"/>
          <w:szCs w:val="32"/>
          <w:lang w:val="zh-CN"/>
        </w:rPr>
      </w:pPr>
    </w:p>
    <w:p>
      <w:pPr>
        <w:adjustRightInd w:val="0"/>
        <w:snapToGrid w:val="0"/>
        <w:spacing w:line="600" w:lineRule="exact"/>
        <w:ind w:firstLine="640" w:firstLineChars="200"/>
        <w:rPr>
          <w:rFonts w:ascii="仿宋_GB2312" w:hAnsi="宋体" w:eastAsia="仿宋_GB2312"/>
          <w:sz w:val="32"/>
          <w:szCs w:val="32"/>
          <w:lang w:val="zh-CN"/>
        </w:rPr>
      </w:pPr>
    </w:p>
    <w:p>
      <w:pPr>
        <w:pStyle w:val="2"/>
        <w:spacing w:before="93"/>
        <w:rPr>
          <w:lang w:val="zh-CN"/>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仿宋" w:hAnsi="仿宋" w:eastAsia="仿宋"/>
          <w:color w:val="000000"/>
        </w:rPr>
      </w:pPr>
      <w:bookmarkStart w:id="93" w:name="_Toc18186"/>
      <w:r>
        <w:rPr>
          <w:rFonts w:hint="eastAsia" w:ascii="黑体" w:hAnsi="黑体" w:eastAsia="黑体"/>
          <w:color w:val="000000"/>
          <w:sz w:val="44"/>
          <w:szCs w:val="44"/>
        </w:rPr>
        <w:t>第</w:t>
      </w:r>
      <w:r>
        <w:rPr>
          <w:rStyle w:val="25"/>
          <w:rFonts w:hint="eastAsia" w:ascii="黑体" w:hAnsi="黑体" w:eastAsia="黑体"/>
          <w:b w:val="0"/>
        </w:rPr>
        <w:t>五部分 附表</w:t>
      </w:r>
      <w:bookmarkEnd w:id="83"/>
      <w:bookmarkEnd w:id="92"/>
      <w:bookmarkEnd w:id="93"/>
      <w:bookmarkStart w:id="94" w:name="_Toc15396619"/>
    </w:p>
    <w:p>
      <w:pPr>
        <w:pStyle w:val="4"/>
        <w:rPr>
          <w:rFonts w:ascii="仿宋" w:hAnsi="仿宋" w:eastAsia="仿宋"/>
          <w:color w:val="000000"/>
        </w:rPr>
      </w:pPr>
      <w:bookmarkStart w:id="95" w:name="_Toc31140"/>
      <w:bookmarkStart w:id="96" w:name="_Toc25632"/>
      <w:r>
        <w:rPr>
          <w:rFonts w:hint="eastAsia" w:ascii="仿宋" w:hAnsi="仿宋" w:eastAsia="仿宋"/>
          <w:b w:val="0"/>
          <w:color w:val="000000"/>
        </w:rPr>
        <w:t>一、收</w:t>
      </w:r>
      <w:r>
        <w:rPr>
          <w:rStyle w:val="26"/>
          <w:rFonts w:hint="eastAsia" w:ascii="仿宋" w:hAnsi="仿宋" w:eastAsia="仿宋"/>
          <w:b w:val="0"/>
          <w:bCs w:val="0"/>
        </w:rPr>
        <w:t>入支出决算总表</w:t>
      </w:r>
      <w:bookmarkEnd w:id="94"/>
      <w:bookmarkEnd w:id="95"/>
      <w:bookmarkEnd w:id="96"/>
    </w:p>
    <w:p>
      <w:pPr>
        <w:pStyle w:val="4"/>
        <w:rPr>
          <w:rFonts w:ascii="仿宋" w:hAnsi="仿宋" w:eastAsia="仿宋"/>
          <w:color w:val="000000"/>
        </w:rPr>
      </w:pPr>
      <w:bookmarkStart w:id="97" w:name="_Toc24196"/>
      <w:bookmarkStart w:id="98" w:name="_Toc15396620"/>
      <w:bookmarkStart w:id="99" w:name="_Toc29362"/>
      <w:r>
        <w:rPr>
          <w:rFonts w:hint="eastAsia" w:ascii="仿宋" w:hAnsi="仿宋" w:eastAsia="仿宋"/>
          <w:b w:val="0"/>
          <w:color w:val="000000"/>
        </w:rPr>
        <w:t>二、收</w:t>
      </w:r>
      <w:r>
        <w:rPr>
          <w:rStyle w:val="26"/>
          <w:rFonts w:hint="eastAsia" w:ascii="仿宋" w:hAnsi="仿宋" w:eastAsia="仿宋"/>
          <w:b w:val="0"/>
          <w:bCs w:val="0"/>
        </w:rPr>
        <w:t>入决算表</w:t>
      </w:r>
      <w:bookmarkEnd w:id="97"/>
      <w:bookmarkEnd w:id="98"/>
      <w:bookmarkEnd w:id="99"/>
    </w:p>
    <w:p>
      <w:pPr>
        <w:pStyle w:val="4"/>
        <w:rPr>
          <w:rFonts w:ascii="仿宋" w:hAnsi="仿宋" w:eastAsia="仿宋"/>
          <w:color w:val="000000"/>
        </w:rPr>
      </w:pPr>
      <w:bookmarkStart w:id="100" w:name="_Toc4743"/>
      <w:bookmarkStart w:id="101" w:name="_Toc15396621"/>
      <w:bookmarkStart w:id="102" w:name="_Toc20654"/>
      <w:r>
        <w:rPr>
          <w:rStyle w:val="26"/>
          <w:rFonts w:hint="eastAsia" w:ascii="仿宋" w:hAnsi="仿宋" w:eastAsia="仿宋"/>
          <w:b w:val="0"/>
          <w:bCs w:val="0"/>
        </w:rPr>
        <w:t>三、</w:t>
      </w:r>
      <w:r>
        <w:rPr>
          <w:rFonts w:hint="eastAsia" w:ascii="仿宋" w:hAnsi="仿宋" w:eastAsia="仿宋"/>
          <w:b w:val="0"/>
          <w:color w:val="000000"/>
        </w:rPr>
        <w:t>支</w:t>
      </w:r>
      <w:r>
        <w:rPr>
          <w:rStyle w:val="26"/>
          <w:rFonts w:hint="eastAsia" w:ascii="仿宋" w:hAnsi="仿宋" w:eastAsia="仿宋"/>
          <w:b w:val="0"/>
          <w:bCs w:val="0"/>
        </w:rPr>
        <w:t>出决算表</w:t>
      </w:r>
      <w:bookmarkEnd w:id="100"/>
      <w:bookmarkEnd w:id="101"/>
      <w:bookmarkEnd w:id="102"/>
    </w:p>
    <w:p>
      <w:pPr>
        <w:pStyle w:val="4"/>
        <w:rPr>
          <w:rFonts w:ascii="仿宋" w:hAnsi="仿宋" w:eastAsia="仿宋"/>
          <w:b w:val="0"/>
          <w:color w:val="000000"/>
        </w:rPr>
      </w:pPr>
      <w:bookmarkStart w:id="103" w:name="_Toc29514"/>
      <w:bookmarkStart w:id="104" w:name="_Toc15396622"/>
      <w:bookmarkStart w:id="105" w:name="_Toc10263"/>
      <w:r>
        <w:rPr>
          <w:rStyle w:val="26"/>
          <w:rFonts w:hint="eastAsia" w:ascii="仿宋" w:hAnsi="仿宋" w:eastAsia="仿宋"/>
          <w:b w:val="0"/>
          <w:bCs w:val="0"/>
        </w:rPr>
        <w:t>四、</w:t>
      </w:r>
      <w:r>
        <w:rPr>
          <w:rFonts w:hint="eastAsia" w:ascii="仿宋" w:hAnsi="仿宋" w:eastAsia="仿宋"/>
          <w:b w:val="0"/>
          <w:color w:val="000000"/>
        </w:rPr>
        <w:t>财</w:t>
      </w:r>
      <w:r>
        <w:rPr>
          <w:rStyle w:val="26"/>
          <w:rFonts w:hint="eastAsia" w:ascii="仿宋" w:hAnsi="仿宋" w:eastAsia="仿宋"/>
          <w:b w:val="0"/>
          <w:bCs w:val="0"/>
        </w:rPr>
        <w:t>政拨款收入支出决算总表</w:t>
      </w:r>
      <w:bookmarkEnd w:id="103"/>
      <w:bookmarkEnd w:id="104"/>
      <w:bookmarkEnd w:id="105"/>
    </w:p>
    <w:p>
      <w:pPr>
        <w:pStyle w:val="4"/>
        <w:rPr>
          <w:rStyle w:val="26"/>
          <w:rFonts w:ascii="仿宋" w:hAnsi="仿宋" w:eastAsia="仿宋"/>
          <w:b w:val="0"/>
          <w:bCs w:val="0"/>
        </w:rPr>
      </w:pPr>
      <w:bookmarkStart w:id="106" w:name="_Toc15396623"/>
      <w:bookmarkStart w:id="107" w:name="_Toc11406"/>
      <w:bookmarkStart w:id="108" w:name="_Toc25203"/>
      <w:r>
        <w:rPr>
          <w:rStyle w:val="26"/>
          <w:rFonts w:hint="eastAsia" w:ascii="仿宋" w:hAnsi="仿宋" w:eastAsia="仿宋"/>
          <w:b w:val="0"/>
          <w:bCs w:val="0"/>
        </w:rPr>
        <w:t>五、</w:t>
      </w:r>
      <w:r>
        <w:rPr>
          <w:rFonts w:hint="eastAsia" w:ascii="仿宋" w:hAnsi="仿宋" w:eastAsia="仿宋"/>
          <w:b w:val="0"/>
          <w:color w:val="000000"/>
        </w:rPr>
        <w:t>财</w:t>
      </w:r>
      <w:r>
        <w:rPr>
          <w:rStyle w:val="26"/>
          <w:rFonts w:hint="eastAsia" w:ascii="仿宋" w:hAnsi="仿宋" w:eastAsia="仿宋"/>
          <w:b w:val="0"/>
          <w:bCs w:val="0"/>
        </w:rPr>
        <w:t>政拨款支出决算明细表</w:t>
      </w:r>
      <w:bookmarkEnd w:id="106"/>
      <w:bookmarkEnd w:id="107"/>
      <w:bookmarkEnd w:id="108"/>
      <w:bookmarkStart w:id="109" w:name="_Toc15396624"/>
    </w:p>
    <w:p>
      <w:pPr>
        <w:pStyle w:val="4"/>
        <w:rPr>
          <w:rFonts w:ascii="仿宋" w:hAnsi="仿宋" w:eastAsia="仿宋"/>
          <w:color w:val="000000"/>
        </w:rPr>
      </w:pPr>
      <w:bookmarkStart w:id="110" w:name="_Toc14412"/>
      <w:bookmarkStart w:id="111" w:name="_Toc29577"/>
      <w:r>
        <w:rPr>
          <w:rStyle w:val="26"/>
          <w:rFonts w:hint="eastAsia" w:ascii="仿宋" w:hAnsi="仿宋" w:eastAsia="仿宋"/>
          <w:b w:val="0"/>
          <w:bCs w:val="0"/>
        </w:rPr>
        <w:t>六、</w:t>
      </w:r>
      <w:r>
        <w:rPr>
          <w:rFonts w:hint="eastAsia" w:ascii="仿宋" w:hAnsi="仿宋" w:eastAsia="仿宋"/>
          <w:b w:val="0"/>
          <w:color w:val="000000"/>
        </w:rPr>
        <w:t>一</w:t>
      </w:r>
      <w:r>
        <w:rPr>
          <w:rStyle w:val="26"/>
          <w:rFonts w:hint="eastAsia" w:ascii="仿宋" w:hAnsi="仿宋" w:eastAsia="仿宋"/>
          <w:b w:val="0"/>
          <w:bCs w:val="0"/>
        </w:rPr>
        <w:t>般公共预算财政拨款支出决算表</w:t>
      </w:r>
      <w:bookmarkEnd w:id="109"/>
      <w:bookmarkEnd w:id="110"/>
      <w:bookmarkEnd w:id="111"/>
    </w:p>
    <w:p>
      <w:pPr>
        <w:pStyle w:val="4"/>
        <w:rPr>
          <w:rFonts w:ascii="仿宋" w:hAnsi="仿宋" w:eastAsia="仿宋"/>
          <w:color w:val="000000"/>
        </w:rPr>
      </w:pPr>
      <w:bookmarkStart w:id="112" w:name="_Toc20452"/>
      <w:bookmarkStart w:id="113" w:name="_Toc15396625"/>
      <w:bookmarkStart w:id="114" w:name="_Toc14843"/>
      <w:r>
        <w:rPr>
          <w:rStyle w:val="26"/>
          <w:rFonts w:hint="eastAsia" w:ascii="仿宋" w:hAnsi="仿宋" w:eastAsia="仿宋"/>
          <w:b w:val="0"/>
          <w:bCs w:val="0"/>
        </w:rPr>
        <w:t>七、</w:t>
      </w:r>
      <w:r>
        <w:rPr>
          <w:rFonts w:hint="eastAsia" w:ascii="仿宋" w:hAnsi="仿宋" w:eastAsia="仿宋"/>
          <w:b w:val="0"/>
          <w:color w:val="000000"/>
        </w:rPr>
        <w:t>一</w:t>
      </w:r>
      <w:r>
        <w:rPr>
          <w:rStyle w:val="26"/>
          <w:rFonts w:hint="eastAsia" w:ascii="仿宋" w:hAnsi="仿宋" w:eastAsia="仿宋"/>
          <w:b w:val="0"/>
          <w:bCs w:val="0"/>
        </w:rPr>
        <w:t>般公共预算财政拨款支出决算明细表</w:t>
      </w:r>
      <w:bookmarkEnd w:id="112"/>
      <w:bookmarkEnd w:id="113"/>
      <w:bookmarkEnd w:id="114"/>
    </w:p>
    <w:p>
      <w:pPr>
        <w:pStyle w:val="4"/>
        <w:rPr>
          <w:rFonts w:ascii="仿宋" w:hAnsi="仿宋" w:eastAsia="仿宋"/>
          <w:color w:val="000000"/>
        </w:rPr>
      </w:pPr>
      <w:bookmarkStart w:id="115" w:name="_Toc29779"/>
      <w:bookmarkStart w:id="116" w:name="_Toc15396626"/>
      <w:bookmarkStart w:id="117" w:name="_Toc2803"/>
      <w:r>
        <w:rPr>
          <w:rStyle w:val="26"/>
          <w:rFonts w:hint="eastAsia" w:ascii="仿宋" w:hAnsi="仿宋" w:eastAsia="仿宋"/>
          <w:b w:val="0"/>
          <w:bCs w:val="0"/>
        </w:rPr>
        <w:t>八、</w:t>
      </w:r>
      <w:r>
        <w:rPr>
          <w:rFonts w:hint="eastAsia" w:ascii="仿宋" w:hAnsi="仿宋" w:eastAsia="仿宋"/>
          <w:b w:val="0"/>
          <w:color w:val="000000"/>
        </w:rPr>
        <w:t>一</w:t>
      </w:r>
      <w:r>
        <w:rPr>
          <w:rStyle w:val="26"/>
          <w:rFonts w:hint="eastAsia" w:ascii="仿宋" w:hAnsi="仿宋" w:eastAsia="仿宋"/>
          <w:b w:val="0"/>
          <w:bCs w:val="0"/>
        </w:rPr>
        <w:t>般公共预算财政拨款基本支出决算表</w:t>
      </w:r>
      <w:bookmarkEnd w:id="115"/>
      <w:bookmarkEnd w:id="116"/>
      <w:bookmarkEnd w:id="117"/>
    </w:p>
    <w:p>
      <w:pPr>
        <w:pStyle w:val="4"/>
        <w:rPr>
          <w:rFonts w:ascii="仿宋" w:hAnsi="仿宋" w:eastAsia="仿宋"/>
          <w:color w:val="000000"/>
        </w:rPr>
      </w:pPr>
      <w:bookmarkStart w:id="118" w:name="_Toc12884"/>
      <w:bookmarkStart w:id="119" w:name="_Toc15396627"/>
      <w:bookmarkStart w:id="120" w:name="_Toc14031"/>
      <w:r>
        <w:rPr>
          <w:rStyle w:val="26"/>
          <w:rFonts w:hint="eastAsia" w:ascii="仿宋" w:hAnsi="仿宋" w:eastAsia="仿宋"/>
          <w:b w:val="0"/>
          <w:bCs w:val="0"/>
        </w:rPr>
        <w:t>九、</w:t>
      </w:r>
      <w:r>
        <w:rPr>
          <w:rFonts w:hint="eastAsia" w:ascii="仿宋" w:hAnsi="仿宋" w:eastAsia="仿宋"/>
          <w:b w:val="0"/>
          <w:color w:val="000000"/>
        </w:rPr>
        <w:t>一</w:t>
      </w:r>
      <w:r>
        <w:rPr>
          <w:rStyle w:val="26"/>
          <w:rFonts w:hint="eastAsia" w:ascii="仿宋" w:hAnsi="仿宋" w:eastAsia="仿宋"/>
          <w:b w:val="0"/>
          <w:bCs w:val="0"/>
        </w:rPr>
        <w:t>般公共预算财政拨款项目支出决算表</w:t>
      </w:r>
      <w:bookmarkEnd w:id="118"/>
      <w:bookmarkEnd w:id="119"/>
      <w:bookmarkEnd w:id="120"/>
    </w:p>
    <w:p>
      <w:pPr>
        <w:pStyle w:val="4"/>
        <w:rPr>
          <w:rFonts w:ascii="仿宋" w:hAnsi="仿宋" w:eastAsia="仿宋"/>
          <w:color w:val="000000"/>
        </w:rPr>
      </w:pPr>
      <w:bookmarkStart w:id="121" w:name="_Toc28570"/>
      <w:bookmarkStart w:id="122" w:name="_Toc15396628"/>
      <w:bookmarkStart w:id="123" w:name="_Toc29667"/>
      <w:r>
        <w:rPr>
          <w:rStyle w:val="26"/>
          <w:rFonts w:hint="eastAsia" w:ascii="仿宋" w:hAnsi="仿宋" w:eastAsia="仿宋"/>
          <w:b w:val="0"/>
          <w:bCs w:val="0"/>
        </w:rPr>
        <w:t>十、</w:t>
      </w:r>
      <w:r>
        <w:rPr>
          <w:rFonts w:hint="eastAsia" w:ascii="仿宋" w:hAnsi="仿宋" w:eastAsia="仿宋"/>
          <w:b w:val="0"/>
          <w:color w:val="000000"/>
        </w:rPr>
        <w:t>一</w:t>
      </w:r>
      <w:r>
        <w:rPr>
          <w:rStyle w:val="26"/>
          <w:rFonts w:hint="eastAsia" w:ascii="仿宋" w:hAnsi="仿宋" w:eastAsia="仿宋"/>
          <w:b w:val="0"/>
          <w:bCs w:val="0"/>
        </w:rPr>
        <w:t>般公共预算财政拨款“三公”经费支出决算表</w:t>
      </w:r>
      <w:bookmarkEnd w:id="121"/>
      <w:bookmarkEnd w:id="122"/>
      <w:bookmarkEnd w:id="123"/>
    </w:p>
    <w:p>
      <w:pPr>
        <w:pStyle w:val="4"/>
        <w:rPr>
          <w:rFonts w:ascii="仿宋" w:hAnsi="仿宋" w:eastAsia="仿宋"/>
          <w:color w:val="000000"/>
        </w:rPr>
      </w:pPr>
      <w:bookmarkStart w:id="124" w:name="_Toc9815"/>
      <w:bookmarkStart w:id="125" w:name="_Toc15396629"/>
      <w:bookmarkStart w:id="126" w:name="_Toc25565"/>
      <w:r>
        <w:rPr>
          <w:rStyle w:val="26"/>
          <w:rFonts w:hint="eastAsia" w:ascii="仿宋" w:hAnsi="仿宋" w:eastAsia="仿宋"/>
          <w:b w:val="0"/>
          <w:bCs w:val="0"/>
        </w:rPr>
        <w:t>十一、</w:t>
      </w:r>
      <w:r>
        <w:rPr>
          <w:rFonts w:hint="eastAsia" w:ascii="仿宋" w:hAnsi="仿宋" w:eastAsia="仿宋"/>
          <w:b w:val="0"/>
          <w:color w:val="000000"/>
        </w:rPr>
        <w:t>政</w:t>
      </w:r>
      <w:r>
        <w:rPr>
          <w:rStyle w:val="26"/>
          <w:rFonts w:hint="eastAsia" w:ascii="仿宋" w:hAnsi="仿宋" w:eastAsia="仿宋"/>
          <w:b w:val="0"/>
          <w:bCs w:val="0"/>
        </w:rPr>
        <w:t>府性基金预算财政拨款收入支出决算表</w:t>
      </w:r>
      <w:bookmarkEnd w:id="124"/>
      <w:bookmarkEnd w:id="125"/>
      <w:bookmarkEnd w:id="126"/>
    </w:p>
    <w:p>
      <w:pPr>
        <w:pStyle w:val="4"/>
        <w:rPr>
          <w:rFonts w:ascii="仿宋" w:hAnsi="仿宋" w:eastAsia="仿宋"/>
          <w:color w:val="000000"/>
        </w:rPr>
      </w:pPr>
      <w:bookmarkStart w:id="127" w:name="_Toc31006"/>
      <w:bookmarkStart w:id="128" w:name="_Toc15396630"/>
      <w:bookmarkStart w:id="129" w:name="_Toc8893"/>
      <w:r>
        <w:rPr>
          <w:rStyle w:val="26"/>
          <w:rFonts w:hint="eastAsia" w:ascii="仿宋" w:hAnsi="仿宋" w:eastAsia="仿宋"/>
          <w:b w:val="0"/>
          <w:bCs w:val="0"/>
        </w:rPr>
        <w:t>十二、</w:t>
      </w:r>
      <w:r>
        <w:rPr>
          <w:rFonts w:hint="eastAsia" w:ascii="仿宋" w:hAnsi="仿宋" w:eastAsia="仿宋"/>
          <w:b w:val="0"/>
          <w:color w:val="000000"/>
        </w:rPr>
        <w:t>政</w:t>
      </w:r>
      <w:r>
        <w:rPr>
          <w:rStyle w:val="26"/>
          <w:rFonts w:hint="eastAsia" w:ascii="仿宋" w:hAnsi="仿宋" w:eastAsia="仿宋"/>
          <w:b w:val="0"/>
          <w:bCs w:val="0"/>
        </w:rPr>
        <w:t>府性基金预算财政拨款“三公”经费支出决算表</w:t>
      </w:r>
      <w:bookmarkEnd w:id="127"/>
      <w:bookmarkEnd w:id="128"/>
      <w:bookmarkEnd w:id="129"/>
    </w:p>
    <w:p>
      <w:pPr>
        <w:pStyle w:val="4"/>
        <w:rPr>
          <w:rStyle w:val="26"/>
          <w:rFonts w:ascii="仿宋" w:hAnsi="仿宋" w:eastAsia="仿宋"/>
          <w:b w:val="0"/>
          <w:bCs w:val="0"/>
        </w:rPr>
      </w:pPr>
      <w:bookmarkStart w:id="130" w:name="_Toc5058"/>
      <w:bookmarkStart w:id="131" w:name="_Toc15396631"/>
      <w:bookmarkStart w:id="132" w:name="_Toc27750"/>
      <w:r>
        <w:rPr>
          <w:rStyle w:val="26"/>
          <w:rFonts w:hint="eastAsia" w:ascii="仿宋" w:hAnsi="仿宋" w:eastAsia="仿宋"/>
          <w:b w:val="0"/>
          <w:bCs w:val="0"/>
        </w:rPr>
        <w:t>十三、</w:t>
      </w:r>
      <w:r>
        <w:rPr>
          <w:rFonts w:hint="eastAsia" w:ascii="仿宋" w:hAnsi="仿宋" w:eastAsia="仿宋"/>
          <w:b w:val="0"/>
          <w:color w:val="000000"/>
        </w:rPr>
        <w:t>国</w:t>
      </w:r>
      <w:r>
        <w:rPr>
          <w:rStyle w:val="26"/>
          <w:rFonts w:hint="eastAsia" w:ascii="仿宋" w:hAnsi="仿宋" w:eastAsia="仿宋"/>
          <w:b w:val="0"/>
          <w:bCs w:val="0"/>
        </w:rPr>
        <w:t>有资本经营预算财政拨款收入支出决算表</w:t>
      </w:r>
      <w:bookmarkEnd w:id="130"/>
      <w:bookmarkEnd w:id="131"/>
      <w:bookmarkEnd w:id="132"/>
    </w:p>
    <w:p>
      <w:pPr>
        <w:rPr>
          <w:rFonts w:eastAsia="仿宋"/>
        </w:rPr>
      </w:pPr>
      <w:bookmarkStart w:id="133" w:name="_Toc25374"/>
      <w:bookmarkStart w:id="134" w:name="_Toc9344"/>
      <w:r>
        <w:rPr>
          <w:rStyle w:val="26"/>
          <w:rFonts w:hint="eastAsia" w:ascii="仿宋" w:hAnsi="仿宋" w:eastAsia="仿宋"/>
          <w:b w:val="0"/>
          <w:bCs w:val="0"/>
        </w:rPr>
        <w:t>十四、国有资本经营预算财政拨款支出决算表</w:t>
      </w:r>
      <w:bookmarkEnd w:id="133"/>
      <w:bookmarkEnd w:id="134"/>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12</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BFFB28"/>
    <w:multiLevelType w:val="singleLevel"/>
    <w:tmpl w:val="98BFFB28"/>
    <w:lvl w:ilvl="0" w:tentative="0">
      <w:start w:val="2"/>
      <w:numFmt w:val="chineseCounting"/>
      <w:suff w:val="nothing"/>
      <w:lvlText w:val="（%1）"/>
      <w:lvlJc w:val="left"/>
      <w:rPr>
        <w:rFonts w:hint="eastAsia"/>
      </w:rPr>
    </w:lvl>
  </w:abstractNum>
  <w:abstractNum w:abstractNumId="1">
    <w:nsid w:val="C64D797F"/>
    <w:multiLevelType w:val="singleLevel"/>
    <w:tmpl w:val="C64D797F"/>
    <w:lvl w:ilvl="0" w:tentative="0">
      <w:start w:val="1"/>
      <w:numFmt w:val="chineseCounting"/>
      <w:suff w:val="nothing"/>
      <w:lvlText w:val="%1、"/>
      <w:lvlJc w:val="left"/>
      <w:rPr>
        <w:rFonts w:hint="eastAsia"/>
      </w:rPr>
    </w:lvl>
  </w:abstractNum>
  <w:abstractNum w:abstractNumId="2">
    <w:nsid w:val="CF652CEC"/>
    <w:multiLevelType w:val="singleLevel"/>
    <w:tmpl w:val="CF652CEC"/>
    <w:lvl w:ilvl="0" w:tentative="0">
      <w:start w:val="9"/>
      <w:numFmt w:val="chineseCounting"/>
      <w:suff w:val="nothing"/>
      <w:lvlText w:val="%1、"/>
      <w:lvlJc w:val="left"/>
      <w:rPr>
        <w:rFonts w:hint="eastAsia"/>
      </w:rPr>
    </w:lvl>
  </w:abstractNum>
  <w:abstractNum w:abstractNumId="3">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4">
    <w:nsid w:val="004B33FF"/>
    <w:multiLevelType w:val="singleLevel"/>
    <w:tmpl w:val="004B33FF"/>
    <w:lvl w:ilvl="0" w:tentative="0">
      <w:start w:val="1"/>
      <w:numFmt w:val="decimal"/>
      <w:lvlText w:val="%1."/>
      <w:lvlJc w:val="left"/>
      <w:pPr>
        <w:tabs>
          <w:tab w:val="left" w:pos="312"/>
        </w:tabs>
      </w:pPr>
    </w:lvl>
  </w:abstractNum>
  <w:abstractNum w:abstractNumId="5">
    <w:nsid w:val="1109A107"/>
    <w:multiLevelType w:val="singleLevel"/>
    <w:tmpl w:val="1109A107"/>
    <w:lvl w:ilvl="0" w:tentative="0">
      <w:start w:val="2"/>
      <w:numFmt w:val="chineseCounting"/>
      <w:suff w:val="nothing"/>
      <w:lvlText w:val="（%1）"/>
      <w:lvlJc w:val="left"/>
      <w:rPr>
        <w:rFonts w:hint="eastAsia"/>
      </w:rPr>
    </w:lvl>
  </w:abstractNum>
  <w:abstractNum w:abstractNumId="6">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6"/>
  </w:num>
  <w:num w:numId="3">
    <w:abstractNumId w:val="2"/>
  </w:num>
  <w:num w:numId="4">
    <w:abstractNumId w:val="4"/>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wY2ZmOGFhNzdiYTJlY2YxMTM1YzZlZjFhNTRjYTY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158F5"/>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0CA7"/>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A1552"/>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62445"/>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3630"/>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077C33"/>
    <w:rsid w:val="07794418"/>
    <w:rsid w:val="0A2032A3"/>
    <w:rsid w:val="10C055FF"/>
    <w:rsid w:val="118107EC"/>
    <w:rsid w:val="16BB723D"/>
    <w:rsid w:val="18015F3F"/>
    <w:rsid w:val="1A7A5FAF"/>
    <w:rsid w:val="1BE8440E"/>
    <w:rsid w:val="1D155CEE"/>
    <w:rsid w:val="20F57F95"/>
    <w:rsid w:val="217F6677"/>
    <w:rsid w:val="22453A6E"/>
    <w:rsid w:val="240371BF"/>
    <w:rsid w:val="26D24D79"/>
    <w:rsid w:val="27842671"/>
    <w:rsid w:val="29FD04D3"/>
    <w:rsid w:val="2ABE7A3E"/>
    <w:rsid w:val="2D5704A8"/>
    <w:rsid w:val="2DFB24BE"/>
    <w:rsid w:val="319F7F4E"/>
    <w:rsid w:val="3C0C0783"/>
    <w:rsid w:val="424B2E0B"/>
    <w:rsid w:val="44064ACB"/>
    <w:rsid w:val="493C27E9"/>
    <w:rsid w:val="496F39ED"/>
    <w:rsid w:val="49FF41D3"/>
    <w:rsid w:val="4BE068DB"/>
    <w:rsid w:val="4BF6002B"/>
    <w:rsid w:val="4D1031F1"/>
    <w:rsid w:val="4D644A5B"/>
    <w:rsid w:val="4ECE2238"/>
    <w:rsid w:val="50664CE4"/>
    <w:rsid w:val="535A2C04"/>
    <w:rsid w:val="55B7187C"/>
    <w:rsid w:val="60937424"/>
    <w:rsid w:val="62357E96"/>
    <w:rsid w:val="64CA39A1"/>
    <w:rsid w:val="67B11125"/>
    <w:rsid w:val="6A6A2F08"/>
    <w:rsid w:val="6B3A4B21"/>
    <w:rsid w:val="6C4A05C8"/>
    <w:rsid w:val="6E741A1D"/>
    <w:rsid w:val="70735372"/>
    <w:rsid w:val="70797ACA"/>
    <w:rsid w:val="72734D90"/>
    <w:rsid w:val="756E3D57"/>
    <w:rsid w:val="78445744"/>
    <w:rsid w:val="788B6811"/>
    <w:rsid w:val="7CF0718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8"/>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9"/>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8"/>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2"/>
    <w:qFormat/>
    <w:locked/>
    <w:uiPriority w:val="99"/>
    <w:rPr>
      <w:rFonts w:ascii="仿宋_GB2312" w:hAnsi="Times New Roman" w:eastAsia="仿宋_GB2312"/>
      <w:sz w:val="24"/>
    </w:rPr>
  </w:style>
  <w:style w:type="paragraph" w:customStyle="1" w:styleId="23">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3"/>
    <w:qFormat/>
    <w:uiPriority w:val="9"/>
    <w:rPr>
      <w:rFonts w:ascii="Times New Roman" w:hAnsi="Times New Roman"/>
      <w:b/>
      <w:bCs/>
      <w:kern w:val="44"/>
      <w:sz w:val="44"/>
      <w:szCs w:val="44"/>
    </w:rPr>
  </w:style>
  <w:style w:type="character" w:customStyle="1" w:styleId="26">
    <w:name w:val="标题 2 Char"/>
    <w:basedOn w:val="14"/>
    <w:link w:val="4"/>
    <w:qFormat/>
    <w:uiPriority w:val="9"/>
    <w:rPr>
      <w:rFonts w:asciiTheme="majorHAnsi" w:hAnsiTheme="majorHAnsi" w:eastAsiaTheme="majorEastAsia" w:cstheme="majorBidi"/>
      <w:b/>
      <w:bCs/>
      <w:kern w:val="2"/>
      <w:sz w:val="32"/>
      <w:szCs w:val="32"/>
    </w:rPr>
  </w:style>
  <w:style w:type="paragraph" w:customStyle="1" w:styleId="27">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8">
    <w:name w:val="批注框文本 Char"/>
    <w:basedOn w:val="14"/>
    <w:link w:val="7"/>
    <w:semiHidden/>
    <w:qFormat/>
    <w:uiPriority w:val="99"/>
    <w:rPr>
      <w:rFonts w:ascii="Times New Roman" w:hAnsi="Times New Roman"/>
      <w:kern w:val="2"/>
      <w:sz w:val="18"/>
      <w:szCs w:val="18"/>
    </w:rPr>
  </w:style>
  <w:style w:type="character" w:customStyle="1" w:styleId="29">
    <w:name w:val="标题 3 Char"/>
    <w:basedOn w:val="14"/>
    <w:link w:val="5"/>
    <w:qFormat/>
    <w:uiPriority w:val="9"/>
    <w:rPr>
      <w:rFonts w:ascii="Times New Roman" w:hAnsi="Times New Roman"/>
      <w:b/>
      <w:bCs/>
      <w:kern w:val="2"/>
      <w:sz w:val="32"/>
      <w:szCs w:val="32"/>
    </w:rPr>
  </w:style>
  <w:style w:type="paragraph" w:customStyle="1" w:styleId="30">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00" b="0" i="0" u="none" strike="noStrike" kern="1200" spc="0" baseline="0">
                <a:solidFill>
                  <a:schemeClr val="tx1">
                    <a:lumMod val="65000"/>
                    <a:lumOff val="35000"/>
                  </a:schemeClr>
                </a:solidFill>
                <a:latin typeface="+mn-lt"/>
                <a:ea typeface="+mn-ea"/>
                <a:cs typeface="+mn-cs"/>
              </a:defRPr>
            </a:pPr>
            <a:r>
              <a:rPr lang="zh-CN" altLang="en-US" sz="900"/>
              <a:t>收、支决算总计变动情况图</a:t>
            </a:r>
            <a:endParaRPr lang="zh-CN" altLang="en-US" sz="900"/>
          </a:p>
        </c:rich>
      </c:tx>
      <c:layout>
        <c:manualLayout>
          <c:xMode val="edge"/>
          <c:yMode val="edge"/>
          <c:x val="0.112485276796231"/>
          <c:y val="0.0310008857395926"/>
        </c:manualLayout>
      </c:layout>
      <c:overlay val="0"/>
      <c:spPr>
        <a:noFill/>
        <a:ln>
          <a:noFill/>
        </a:ln>
        <a:effectLst/>
      </c:spPr>
    </c:title>
    <c:autoTitleDeleted val="0"/>
    <c:plotArea>
      <c:layout>
        <c:manualLayout>
          <c:layoutTarget val="inner"/>
          <c:xMode val="edge"/>
          <c:yMode val="edge"/>
          <c:x val="0.164782096584217"/>
          <c:y val="0.158097789048352"/>
          <c:w val="0.778172323759791"/>
          <c:h val="0.574178992228629"/>
        </c:manualLayout>
      </c:layout>
      <c:barChart>
        <c:barDir val="col"/>
        <c:grouping val="clustered"/>
        <c:varyColors val="0"/>
        <c:ser>
          <c:idx val="0"/>
          <c:order val="0"/>
          <c:tx>
            <c:strRef>
              <c:f>Sheet1!$B$1</c:f>
              <c:strCache>
                <c:ptCount val="1"/>
                <c:pt idx="0">
                  <c:v>2019年</c:v>
                </c:pt>
              </c:strCache>
            </c:strRef>
          </c:tx>
          <c:spPr>
            <a:solidFill>
              <a:schemeClr val="accent1"/>
            </a:solidFill>
            <a:ln>
              <a:noFill/>
            </a:ln>
            <a:effectLst/>
          </c:spPr>
          <c:invertIfNegative val="0"/>
          <c:dLbls>
            <c:delete val="1"/>
          </c:dLbls>
          <c:cat>
            <c:strRef>
              <c:f>Sheet1!$A$2:$A$3</c:f>
              <c:strCache>
                <c:ptCount val="2"/>
                <c:pt idx="0">
                  <c:v>收入</c:v>
                </c:pt>
                <c:pt idx="1">
                  <c:v>支出</c:v>
                </c:pt>
              </c:strCache>
            </c:strRef>
          </c:cat>
          <c:val>
            <c:numRef>
              <c:f>Sheet1!$B$2:$B$3</c:f>
              <c:numCache>
                <c:formatCode>General</c:formatCode>
                <c:ptCount val="2"/>
                <c:pt idx="0">
                  <c:v>1763.15</c:v>
                </c:pt>
                <c:pt idx="1">
                  <c:v>1497.64</c:v>
                </c:pt>
              </c:numCache>
            </c:numRef>
          </c:val>
        </c:ser>
        <c:ser>
          <c:idx val="1"/>
          <c:order val="1"/>
          <c:tx>
            <c:strRef>
              <c:f>Sheet1!$C$1</c:f>
              <c:strCache>
                <c:ptCount val="1"/>
                <c:pt idx="0">
                  <c:v>2020年</c:v>
                </c:pt>
              </c:strCache>
            </c:strRef>
          </c:tx>
          <c:spPr>
            <a:solidFill>
              <a:schemeClr val="accent2"/>
            </a:solidFill>
            <a:ln>
              <a:noFill/>
            </a:ln>
            <a:effectLst/>
          </c:spPr>
          <c:invertIfNegative val="0"/>
          <c:dLbls>
            <c:delete val="1"/>
          </c:dLbls>
          <c:cat>
            <c:strRef>
              <c:f>Sheet1!$A$2:$A$3</c:f>
              <c:strCache>
                <c:ptCount val="2"/>
                <c:pt idx="0">
                  <c:v>收入</c:v>
                </c:pt>
                <c:pt idx="1">
                  <c:v>支出</c:v>
                </c:pt>
              </c:strCache>
            </c:strRef>
          </c:cat>
          <c:val>
            <c:numRef>
              <c:f>Sheet1!$C$2:$C$3</c:f>
              <c:numCache>
                <c:formatCode>General</c:formatCode>
                <c:ptCount val="2"/>
                <c:pt idx="0">
                  <c:v>1578.09</c:v>
                </c:pt>
                <c:pt idx="1">
                  <c:v>1179.92</c:v>
                </c:pt>
              </c:numCache>
            </c:numRef>
          </c:val>
        </c:ser>
        <c:dLbls>
          <c:showLegendKey val="0"/>
          <c:showVal val="0"/>
          <c:showCatName val="0"/>
          <c:showSerName val="0"/>
          <c:showPercent val="0"/>
          <c:showBubbleSize val="0"/>
        </c:dLbls>
        <c:gapWidth val="219"/>
        <c:overlap val="-27"/>
        <c:axId val="158200960"/>
        <c:axId val="158202496"/>
      </c:barChart>
      <c:catAx>
        <c:axId val="158200960"/>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750" b="0" i="0" u="none" strike="noStrike" kern="1200" baseline="0">
                <a:solidFill>
                  <a:schemeClr val="tx1">
                    <a:lumMod val="65000"/>
                    <a:lumOff val="35000"/>
                  </a:schemeClr>
                </a:solidFill>
                <a:latin typeface="+mn-lt"/>
                <a:ea typeface="+mn-ea"/>
                <a:cs typeface="+mn-cs"/>
              </a:defRPr>
            </a:pPr>
          </a:p>
        </c:txPr>
        <c:crossAx val="158202496"/>
        <c:crosses val="autoZero"/>
        <c:auto val="1"/>
        <c:lblAlgn val="ctr"/>
        <c:lblOffset val="100"/>
        <c:noMultiLvlLbl val="0"/>
      </c:catAx>
      <c:valAx>
        <c:axId val="158202496"/>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750" b="0" i="0" u="none" strike="noStrike" kern="1200" baseline="0">
                <a:solidFill>
                  <a:schemeClr val="tx1">
                    <a:lumMod val="65000"/>
                    <a:lumOff val="35000"/>
                  </a:schemeClr>
                </a:solidFill>
                <a:latin typeface="+mn-lt"/>
                <a:ea typeface="+mn-ea"/>
                <a:cs typeface="+mn-cs"/>
              </a:defRPr>
            </a:pPr>
          </a:p>
        </c:txPr>
        <c:crossAx val="158200960"/>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zh-CN" sz="75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75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75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sz="750"/>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收入决算结构图</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事业收入</c:v>
                </c:pt>
                <c:pt idx="1">
                  <c:v>其他收入</c:v>
                </c:pt>
              </c:strCache>
            </c:strRef>
          </c:cat>
          <c:val>
            <c:numRef>
              <c:f>Sheet1!$B$2:$B$3</c:f>
              <c:numCache>
                <c:formatCode>General</c:formatCode>
                <c:ptCount val="2"/>
                <c:pt idx="0">
                  <c:v>797.45</c:v>
                </c:pt>
                <c:pt idx="1">
                  <c:v>786.64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支出决算结构图</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基本支出</c:v>
                </c:pt>
                <c:pt idx="1">
                  <c:v>项目支出</c:v>
                </c:pt>
              </c:strCache>
            </c:strRef>
          </c:cat>
          <c:val>
            <c:numRef>
              <c:f>Sheet1!$B$2:$B$3</c:f>
              <c:numCache>
                <c:formatCode>General</c:formatCode>
                <c:ptCount val="2"/>
                <c:pt idx="0">
                  <c:v>518.11</c:v>
                </c:pt>
                <c:pt idx="1">
                  <c:v>661.81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586D7-903B-4B31-A5DB-A72609D72393}">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20</Pages>
  <Words>6945</Words>
  <Characters>7393</Characters>
  <Lines>61</Lines>
  <Paragraphs>17</Paragraphs>
  <TotalTime>7</TotalTime>
  <ScaleCrop>false</ScaleCrop>
  <LinksUpToDate>false</LinksUpToDate>
  <CharactersWithSpaces>7521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2021-09-06T03:44:00Z</dcterms:created>
  <dc:creator>曹颖</dc:creator>
  <cp:lastModifiedBy>吕汉子</cp:lastModifiedBy>
  <cp:lastPrinted>2021-08-17T08:06:00Z</cp:lastPrinted>
  <dcterms:modified xsi:type="dcterms:W3CDTF">2022-11-11T07:38:29Z</dcterms:modified>
  <dc:title>四川省***</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51AE5BFD2C72440783CDA1212E40933C</vt:lpwstr>
  </property>
</Properties>
</file>