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方正小标宋简体" w:hAnsi="宋体" w:eastAsia="方正小标宋简体"/>
          <w:color w:val="000000"/>
          <w:sz w:val="30"/>
          <w:szCs w:val="30"/>
        </w:rPr>
      </w:pPr>
      <w:bookmarkStart w:id="0" w:name="_Toc15306267"/>
    </w:p>
    <w:p>
      <w:pPr>
        <w:spacing w:line="600" w:lineRule="exact"/>
        <w:jc w:val="center"/>
        <w:rPr>
          <w:rFonts w:ascii="方正小标宋简体" w:hAnsi="宋体" w:eastAsia="方正小标宋简体"/>
          <w:color w:val="000000"/>
          <w:sz w:val="72"/>
          <w:szCs w:val="72"/>
        </w:rPr>
      </w:pPr>
    </w:p>
    <w:p>
      <w:pPr>
        <w:spacing w:line="600" w:lineRule="exact"/>
        <w:jc w:val="center"/>
        <w:rPr>
          <w:rFonts w:ascii="方正小标宋简体" w:hAnsi="宋体" w:eastAsia="方正小标宋简体"/>
          <w:color w:val="000000"/>
          <w:sz w:val="72"/>
          <w:szCs w:val="72"/>
        </w:rPr>
      </w:pPr>
    </w:p>
    <w:p>
      <w:pPr>
        <w:spacing w:line="600" w:lineRule="exact"/>
        <w:jc w:val="center"/>
        <w:rPr>
          <w:rFonts w:ascii="方正小标宋简体" w:hAnsi="宋体" w:eastAsia="方正小标宋简体"/>
          <w:color w:val="000000"/>
          <w:sz w:val="72"/>
          <w:szCs w:val="72"/>
        </w:rPr>
      </w:pPr>
    </w:p>
    <w:p>
      <w:pPr>
        <w:adjustRightInd w:val="0"/>
        <w:snapToGrid w:val="0"/>
        <w:spacing w:line="360" w:lineRule="auto"/>
        <w:jc w:val="center"/>
        <w:outlineLvl w:val="0"/>
        <w:rPr>
          <w:rFonts w:ascii="方正小标宋简体" w:hAnsi="宋体" w:eastAsia="方正小标宋简体"/>
          <w:sz w:val="72"/>
          <w:szCs w:val="72"/>
        </w:rPr>
      </w:pPr>
      <w:bookmarkStart w:id="1" w:name="_Toc15396475"/>
      <w:bookmarkStart w:id="2" w:name="_Toc15378441"/>
      <w:bookmarkStart w:id="3" w:name="_Toc8463"/>
      <w:bookmarkStart w:id="4" w:name="_Toc15396597"/>
      <w:bookmarkStart w:id="5" w:name="_Toc15377193"/>
      <w:bookmarkStart w:id="6" w:name="_Toc15377425"/>
      <w:r>
        <w:rPr>
          <w:rFonts w:ascii="黑体" w:hAnsi="黑体" w:eastAsia="黑体"/>
          <w:sz w:val="72"/>
          <w:szCs w:val="72"/>
        </w:rPr>
        <w:t>20</w:t>
      </w:r>
      <w:r>
        <w:rPr>
          <w:rFonts w:hint="eastAsia" w:ascii="黑体" w:hAnsi="黑体" w:eastAsia="黑体"/>
          <w:sz w:val="72"/>
          <w:szCs w:val="72"/>
        </w:rPr>
        <w:t>20</w:t>
      </w:r>
      <w:r>
        <w:rPr>
          <w:rFonts w:hint="eastAsia" w:ascii="方正小标宋简体" w:hAnsi="宋体" w:eastAsia="方正小标宋简体"/>
          <w:sz w:val="72"/>
          <w:szCs w:val="72"/>
        </w:rPr>
        <w:t>年度</w:t>
      </w:r>
      <w:bookmarkEnd w:id="1"/>
      <w:bookmarkEnd w:id="2"/>
      <w:bookmarkEnd w:id="3"/>
      <w:bookmarkEnd w:id="4"/>
      <w:bookmarkEnd w:id="5"/>
      <w:bookmarkEnd w:id="6"/>
    </w:p>
    <w:p>
      <w:pPr>
        <w:adjustRightInd w:val="0"/>
        <w:snapToGrid w:val="0"/>
        <w:spacing w:line="360" w:lineRule="auto"/>
        <w:jc w:val="center"/>
        <w:outlineLvl w:val="0"/>
        <w:rPr>
          <w:rFonts w:ascii="方正小标宋简体" w:hAnsi="宋体" w:eastAsia="方正小标宋简体"/>
          <w:sz w:val="72"/>
          <w:szCs w:val="72"/>
        </w:rPr>
      </w:pPr>
      <w:bookmarkStart w:id="7" w:name="_Toc15396598"/>
      <w:bookmarkStart w:id="8" w:name="_Toc15377194"/>
      <w:bookmarkStart w:id="9" w:name="_Toc15377426"/>
      <w:bookmarkStart w:id="10" w:name="_Toc15396476"/>
      <w:bookmarkStart w:id="11" w:name="_Toc15378442"/>
      <w:bookmarkStart w:id="12" w:name="_Toc21528"/>
      <w:r>
        <w:rPr>
          <w:rFonts w:hint="eastAsia" w:ascii="方正小标宋简体" w:hAnsi="宋体" w:eastAsia="方正小标宋简体"/>
          <w:sz w:val="72"/>
          <w:szCs w:val="72"/>
        </w:rPr>
        <w:t>四川省</w:t>
      </w:r>
      <w:bookmarkEnd w:id="0"/>
      <w:bookmarkStart w:id="13" w:name="_Toc15306268"/>
      <w:r>
        <w:rPr>
          <w:rFonts w:hint="eastAsia" w:ascii="方正小标宋简体" w:hAnsi="宋体" w:eastAsia="方正小标宋简体"/>
          <w:sz w:val="72"/>
          <w:szCs w:val="72"/>
        </w:rPr>
        <w:t>政府投资非经营性项目代建中心部门决算</w:t>
      </w:r>
      <w:bookmarkEnd w:id="7"/>
      <w:bookmarkEnd w:id="8"/>
      <w:bookmarkEnd w:id="9"/>
      <w:bookmarkEnd w:id="10"/>
      <w:bookmarkEnd w:id="11"/>
      <w:bookmarkEnd w:id="12"/>
      <w:bookmarkEnd w:id="13"/>
    </w:p>
    <w:p>
      <w:pPr>
        <w:widowControl/>
        <w:jc w:val="center"/>
        <w:rPr>
          <w:rFonts w:ascii="黑体" w:hAnsi="黑体" w:eastAsia="黑体"/>
          <w:sz w:val="48"/>
          <w:szCs w:val="48"/>
        </w:rPr>
      </w:pPr>
      <w:r>
        <w:rPr>
          <w:rFonts w:ascii="方正小标宋简体" w:hAnsi="宋体" w:eastAsia="方正小标宋简体"/>
          <w:sz w:val="36"/>
          <w:szCs w:val="36"/>
        </w:rPr>
        <w:br w:type="page"/>
      </w:r>
      <w:r>
        <w:rPr>
          <w:rFonts w:hint="eastAsia" w:ascii="黑体" w:hAnsi="黑体" w:eastAsia="黑体"/>
          <w:sz w:val="48"/>
          <w:szCs w:val="48"/>
        </w:rPr>
        <w:t>目录</w:t>
      </w:r>
    </w:p>
    <w:p>
      <w:pPr>
        <w:widowControl/>
        <w:jc w:val="center"/>
        <w:rPr>
          <w:rFonts w:ascii="黑体" w:hAnsi="黑体" w:eastAsia="黑体" w:cstheme="minorBidi"/>
          <w:sz w:val="28"/>
          <w:szCs w:val="28"/>
        </w:rPr>
      </w:pPr>
    </w:p>
    <w:p>
      <w:pPr>
        <w:pStyle w:val="11"/>
      </w:pPr>
      <w:r>
        <w:rPr>
          <w:rFonts w:hint="eastAsia"/>
        </w:rPr>
        <w:t>公开时间：2021年9月10日</w:t>
      </w:r>
    </w:p>
    <w:p/>
    <w:p>
      <w:pPr>
        <w:pStyle w:val="2"/>
        <w:rPr>
          <w:rFonts w:hint="eastAsia" w:ascii="宋体" w:hAnsi="宋体" w:eastAsia="宋体" w:cs="宋体"/>
          <w:sz w:val="24"/>
          <w:szCs w:val="24"/>
        </w:rPr>
      </w:pPr>
    </w:p>
    <w:sdt>
      <w:sdtPr>
        <w:rPr>
          <w:rFonts w:hint="eastAsia" w:ascii="宋体" w:hAnsi="宋体" w:eastAsia="宋体" w:cs="宋体"/>
          <w:sz w:val="24"/>
          <w:szCs w:val="24"/>
        </w:rPr>
        <w:id w:val="147476405"/>
      </w:sdtPr>
      <w:sdtEndPr>
        <w:rPr>
          <w:rFonts w:hint="eastAsia" w:ascii="Times New Roman" w:hAnsi="Times New Roman" w:eastAsia="宋体" w:cs="宋体"/>
          <w:b/>
          <w:sz w:val="24"/>
          <w:szCs w:val="24"/>
        </w:rPr>
      </w:sdtEndPr>
      <w:sdtContent>
        <w:p>
          <w:pPr>
            <w:jc w:val="center"/>
            <w:rPr>
              <w:rFonts w:hint="eastAsia" w:ascii="宋体" w:hAnsi="宋体" w:eastAsia="宋体" w:cs="宋体"/>
              <w:sz w:val="24"/>
              <w:szCs w:val="24"/>
            </w:rPr>
          </w:pPr>
        </w:p>
        <w:p>
          <w:pPr>
            <w:pStyle w:val="30"/>
            <w:tabs>
              <w:tab w:val="right" w:leader="dot" w:pos="8306"/>
            </w:tabs>
            <w:rPr>
              <w:rFonts w:hint="eastAsia" w:ascii="宋体" w:hAnsi="宋体" w:eastAsia="宋体" w:cs="宋体"/>
              <w:b/>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TOC \o "1-2" \h \u </w:instrText>
          </w:r>
          <w:r>
            <w:rPr>
              <w:rFonts w:hint="eastAsia" w:ascii="宋体" w:hAnsi="宋体" w:eastAsia="宋体" w:cs="宋体"/>
              <w:sz w:val="24"/>
              <w:szCs w:val="24"/>
            </w:rPr>
            <w:fldChar w:fldCharType="separate"/>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"_Toc21297" </w:instrText>
          </w:r>
          <w:r>
            <w:rPr>
              <w:rFonts w:hint="eastAsia" w:ascii="宋体" w:hAnsi="宋体" w:eastAsia="宋体" w:cs="宋体"/>
              <w:sz w:val="24"/>
              <w:szCs w:val="24"/>
            </w:rPr>
            <w:fldChar w:fldCharType="separate"/>
          </w:r>
          <w:r>
            <w:rPr>
              <w:rFonts w:hint="eastAsia" w:ascii="宋体" w:hAnsi="宋体" w:eastAsia="宋体" w:cs="宋体"/>
              <w:b/>
              <w:sz w:val="24"/>
              <w:szCs w:val="24"/>
            </w:rPr>
            <w:t>第一部分 单位概况</w:t>
          </w:r>
          <w:r>
            <w:rPr>
              <w:rFonts w:hint="eastAsia" w:ascii="宋体" w:hAnsi="宋体" w:eastAsia="宋体" w:cs="宋体"/>
              <w:b/>
              <w:sz w:val="24"/>
              <w:szCs w:val="24"/>
            </w:rPr>
            <w:tab/>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PAGEREF _Toc21297 \h </w:instrText>
          </w:r>
          <w:r>
            <w:rPr>
              <w:rFonts w:hint="eastAsia" w:ascii="宋体" w:hAnsi="宋体" w:eastAsia="宋体" w:cs="宋体"/>
              <w:b/>
              <w:sz w:val="24"/>
              <w:szCs w:val="24"/>
            </w:rPr>
            <w:fldChar w:fldCharType="separate"/>
          </w:r>
          <w:r>
            <w:rPr>
              <w:rFonts w:hint="eastAsia" w:ascii="宋体" w:hAnsi="宋体" w:eastAsia="宋体" w:cs="宋体"/>
              <w:b/>
              <w:sz w:val="24"/>
              <w:szCs w:val="24"/>
            </w:rPr>
            <w:t>3</w:t>
          </w:r>
          <w:r>
            <w:rPr>
              <w:rFonts w:hint="eastAsia" w:ascii="宋体" w:hAnsi="宋体" w:eastAsia="宋体" w:cs="宋体"/>
              <w:b/>
              <w:sz w:val="24"/>
              <w:szCs w:val="24"/>
            </w:rPr>
            <w:fldChar w:fldCharType="end"/>
          </w:r>
          <w:r>
            <w:rPr>
              <w:rFonts w:hint="eastAsia" w:ascii="宋体" w:hAnsi="宋体" w:eastAsia="宋体" w:cs="宋体"/>
              <w:b/>
              <w:sz w:val="24"/>
              <w:szCs w:val="24"/>
            </w:rPr>
            <w:fldChar w:fldCharType="end"/>
          </w:r>
        </w:p>
        <w:p>
          <w:pPr>
            <w:pStyle w:val="31"/>
            <w:tabs>
              <w:tab w:val="right" w:leader="dot" w:pos="8306"/>
            </w:tabs>
            <w:ind w:left="420"/>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"_Toc7806" </w:instrText>
          </w:r>
          <w:r>
            <w:rPr>
              <w:rFonts w:hint="eastAsia" w:ascii="宋体" w:hAnsi="宋体" w:eastAsia="宋体" w:cs="宋体"/>
              <w:sz w:val="24"/>
              <w:szCs w:val="24"/>
            </w:rPr>
            <w:fldChar w:fldCharType="separate"/>
          </w:r>
          <w:r>
            <w:rPr>
              <w:rFonts w:hint="eastAsia" w:ascii="宋体" w:hAnsi="宋体" w:eastAsia="宋体" w:cs="宋体"/>
              <w:sz w:val="24"/>
              <w:szCs w:val="24"/>
            </w:rPr>
            <w:t>一、 职能简介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_Toc7806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31"/>
            <w:tabs>
              <w:tab w:val="right" w:leader="dot" w:pos="8306"/>
            </w:tabs>
            <w:ind w:left="420"/>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"_Toc28478" </w:instrText>
          </w:r>
          <w:r>
            <w:rPr>
              <w:rFonts w:hint="eastAsia" w:ascii="宋体" w:hAnsi="宋体" w:eastAsia="宋体" w:cs="宋体"/>
              <w:sz w:val="24"/>
              <w:szCs w:val="24"/>
            </w:rPr>
            <w:fldChar w:fldCharType="separate"/>
          </w:r>
          <w:r>
            <w:rPr>
              <w:rFonts w:hint="eastAsia" w:ascii="宋体" w:hAnsi="宋体" w:eastAsia="宋体" w:cs="宋体"/>
              <w:sz w:val="24"/>
              <w:szCs w:val="24"/>
            </w:rPr>
            <w:t>二、 2020年重点工作完成情况</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_Toc28478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31"/>
            <w:tabs>
              <w:tab w:val="right" w:leader="dot" w:pos="8306"/>
            </w:tabs>
            <w:ind w:left="420"/>
            <w:rPr>
              <w:rFonts w:hint="eastAsia" w:ascii="宋体" w:hAnsi="宋体" w:eastAsia="宋体" w:cs="宋体"/>
              <w:sz w:val="24"/>
              <w:szCs w:val="24"/>
              <w:lang w:val="en-US" w:eastAsia="zh-CN"/>
            </w:rPr>
          </w:pPr>
          <w:r>
            <w:rPr>
              <w:rFonts w:hint="eastAsia" w:ascii="宋体" w:hAnsi="宋体" w:cs="宋体"/>
              <w:sz w:val="24"/>
              <w:szCs w:val="24"/>
              <w:lang w:val="en-US" w:eastAsia="zh-CN"/>
            </w:rPr>
            <w:t>三、机构设置情况</w:t>
          </w:r>
          <w:r>
            <w:rPr>
              <w:rFonts w:hint="eastAsia" w:ascii="宋体" w:hAnsi="宋体" w:eastAsia="宋体" w:cs="宋体"/>
              <w:sz w:val="24"/>
              <w:szCs w:val="24"/>
            </w:rPr>
            <w:tab/>
          </w:r>
          <w:r>
            <w:rPr>
              <w:rFonts w:hint="eastAsia" w:ascii="宋体" w:hAnsi="宋体" w:cs="宋体"/>
              <w:sz w:val="24"/>
              <w:szCs w:val="24"/>
              <w:lang w:val="en-US" w:eastAsia="zh-CN"/>
            </w:rPr>
            <w:t>4</w:t>
          </w:r>
        </w:p>
        <w:p>
          <w:pPr>
            <w:pStyle w:val="30"/>
            <w:tabs>
              <w:tab w:val="right" w:leader="dot" w:pos="8306"/>
            </w:tabs>
            <w:rPr>
              <w:rFonts w:hint="eastAsia" w:ascii="宋体" w:hAnsi="宋体" w:eastAsia="宋体" w:cs="宋体"/>
              <w:b/>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"_Toc32696" </w:instrText>
          </w:r>
          <w:r>
            <w:rPr>
              <w:rFonts w:hint="eastAsia" w:ascii="宋体" w:hAnsi="宋体" w:eastAsia="宋体" w:cs="宋体"/>
              <w:sz w:val="24"/>
              <w:szCs w:val="24"/>
            </w:rPr>
            <w:fldChar w:fldCharType="separate"/>
          </w:r>
          <w:r>
            <w:rPr>
              <w:rFonts w:hint="eastAsia" w:ascii="宋体" w:hAnsi="宋体" w:eastAsia="宋体" w:cs="宋体"/>
              <w:b/>
              <w:bCs/>
              <w:sz w:val="24"/>
              <w:szCs w:val="24"/>
            </w:rPr>
            <w:t>第二部分 2020年度部门决算情况说明</w:t>
          </w:r>
          <w:r>
            <w:rPr>
              <w:rFonts w:hint="eastAsia" w:ascii="宋体" w:hAnsi="宋体" w:eastAsia="宋体" w:cs="宋体"/>
              <w:b/>
              <w:sz w:val="24"/>
              <w:szCs w:val="24"/>
            </w:rPr>
            <w:tab/>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PAGEREF _Toc32696 \h </w:instrText>
          </w:r>
          <w:r>
            <w:rPr>
              <w:rFonts w:hint="eastAsia" w:ascii="宋体" w:hAnsi="宋体" w:eastAsia="宋体" w:cs="宋体"/>
              <w:b/>
              <w:sz w:val="24"/>
              <w:szCs w:val="24"/>
            </w:rPr>
            <w:fldChar w:fldCharType="separate"/>
          </w:r>
          <w:r>
            <w:rPr>
              <w:rFonts w:hint="eastAsia" w:ascii="宋体" w:hAnsi="宋体" w:eastAsia="宋体" w:cs="宋体"/>
              <w:b/>
              <w:sz w:val="24"/>
              <w:szCs w:val="24"/>
            </w:rPr>
            <w:t>5</w:t>
          </w:r>
          <w:r>
            <w:rPr>
              <w:rFonts w:hint="eastAsia" w:ascii="宋体" w:hAnsi="宋体" w:eastAsia="宋体" w:cs="宋体"/>
              <w:b/>
              <w:sz w:val="24"/>
              <w:szCs w:val="24"/>
            </w:rPr>
            <w:fldChar w:fldCharType="end"/>
          </w:r>
          <w:r>
            <w:rPr>
              <w:rFonts w:hint="eastAsia" w:ascii="宋体" w:hAnsi="宋体" w:eastAsia="宋体" w:cs="宋体"/>
              <w:b/>
              <w:sz w:val="24"/>
              <w:szCs w:val="24"/>
            </w:rPr>
            <w:fldChar w:fldCharType="end"/>
          </w:r>
        </w:p>
        <w:p>
          <w:pPr>
            <w:pStyle w:val="31"/>
            <w:tabs>
              <w:tab w:val="right" w:leader="dot" w:pos="8306"/>
            </w:tabs>
            <w:ind w:left="420"/>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"_Toc13834" </w:instrText>
          </w:r>
          <w:r>
            <w:rPr>
              <w:rFonts w:hint="eastAsia" w:ascii="宋体" w:hAnsi="宋体" w:eastAsia="宋体" w:cs="宋体"/>
              <w:sz w:val="24"/>
              <w:szCs w:val="24"/>
            </w:rPr>
            <w:fldChar w:fldCharType="separate"/>
          </w:r>
          <w:r>
            <w:rPr>
              <w:rFonts w:hint="eastAsia" w:ascii="宋体" w:hAnsi="宋体" w:eastAsia="宋体" w:cs="宋体"/>
              <w:sz w:val="24"/>
              <w:szCs w:val="24"/>
            </w:rPr>
            <w:t>一、 收入支出决算总体情况说明</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_Toc13834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31"/>
            <w:tabs>
              <w:tab w:val="right" w:leader="dot" w:pos="8306"/>
            </w:tabs>
            <w:ind w:left="420"/>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"_Toc19464" </w:instrText>
          </w:r>
          <w:r>
            <w:rPr>
              <w:rFonts w:hint="eastAsia" w:ascii="宋体" w:hAnsi="宋体" w:eastAsia="宋体" w:cs="宋体"/>
              <w:sz w:val="24"/>
              <w:szCs w:val="24"/>
            </w:rPr>
            <w:fldChar w:fldCharType="separate"/>
          </w:r>
          <w:r>
            <w:rPr>
              <w:rFonts w:hint="eastAsia" w:ascii="宋体" w:hAnsi="宋体" w:eastAsia="宋体" w:cs="宋体"/>
              <w:sz w:val="24"/>
              <w:szCs w:val="24"/>
            </w:rPr>
            <w:t>二、 收入决算情况说明</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_Toc19464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31"/>
            <w:tabs>
              <w:tab w:val="right" w:leader="dot" w:pos="8306"/>
            </w:tabs>
            <w:ind w:left="420"/>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"_Toc5394" </w:instrText>
          </w:r>
          <w:r>
            <w:rPr>
              <w:rFonts w:hint="eastAsia" w:ascii="宋体" w:hAnsi="宋体" w:eastAsia="宋体" w:cs="宋体"/>
              <w:sz w:val="24"/>
              <w:szCs w:val="24"/>
            </w:rPr>
            <w:fldChar w:fldCharType="separate"/>
          </w:r>
          <w:r>
            <w:rPr>
              <w:rFonts w:hint="eastAsia" w:ascii="宋体" w:hAnsi="宋体" w:eastAsia="宋体" w:cs="宋体"/>
              <w:sz w:val="24"/>
              <w:szCs w:val="24"/>
            </w:rPr>
            <w:t>三、 支出决算情况说明</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_Toc5394 \h </w:instrText>
          </w:r>
          <w:r>
            <w:rPr>
              <w:rFonts w:hint="eastAsia" w:ascii="宋体" w:hAnsi="宋体" w:eastAsia="宋体" w:cs="宋体"/>
              <w:sz w:val="24"/>
              <w:szCs w:val="24"/>
            </w:rPr>
            <w:fldChar w:fldCharType="separate"/>
          </w:r>
          <w:r>
            <w:rPr>
              <w:rFonts w:hint="eastAsia" w:ascii="宋体" w:hAnsi="宋体" w:eastAsia="宋体" w:cs="宋体"/>
              <w:sz w:val="24"/>
              <w:szCs w:val="24"/>
            </w:rPr>
            <w:t>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31"/>
            <w:tabs>
              <w:tab w:val="right" w:leader="dot" w:pos="8306"/>
            </w:tabs>
            <w:ind w:left="420"/>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"_Toc32232" </w:instrText>
          </w:r>
          <w:r>
            <w:rPr>
              <w:rFonts w:hint="eastAsia" w:ascii="宋体" w:hAnsi="宋体" w:eastAsia="宋体" w:cs="宋体"/>
              <w:sz w:val="24"/>
              <w:szCs w:val="24"/>
            </w:rPr>
            <w:fldChar w:fldCharType="separate"/>
          </w:r>
          <w:r>
            <w:rPr>
              <w:rFonts w:hint="eastAsia" w:ascii="宋体" w:hAnsi="宋体" w:eastAsia="宋体" w:cs="宋体"/>
              <w:sz w:val="24"/>
              <w:szCs w:val="24"/>
            </w:rPr>
            <w:t>四、财政拨款收入支出决算总体情况说明</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_Toc32232 \h </w:instrText>
          </w:r>
          <w:r>
            <w:rPr>
              <w:rFonts w:hint="eastAsia" w:ascii="宋体" w:hAnsi="宋体" w:eastAsia="宋体" w:cs="宋体"/>
              <w:sz w:val="24"/>
              <w:szCs w:val="24"/>
            </w:rPr>
            <w:fldChar w:fldCharType="separate"/>
          </w:r>
          <w:r>
            <w:rPr>
              <w:rFonts w:hint="eastAsia" w:ascii="宋体" w:hAnsi="宋体" w:eastAsia="宋体" w:cs="宋体"/>
              <w:sz w:val="24"/>
              <w:szCs w:val="24"/>
            </w:rPr>
            <w:t>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31"/>
            <w:tabs>
              <w:tab w:val="right" w:leader="dot" w:pos="8306"/>
            </w:tabs>
            <w:ind w:left="420"/>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"_Toc25470" </w:instrText>
          </w:r>
          <w:r>
            <w:rPr>
              <w:rFonts w:hint="eastAsia" w:ascii="宋体" w:hAnsi="宋体" w:eastAsia="宋体" w:cs="宋体"/>
              <w:sz w:val="24"/>
              <w:szCs w:val="24"/>
            </w:rPr>
            <w:fldChar w:fldCharType="separate"/>
          </w:r>
          <w:r>
            <w:rPr>
              <w:rFonts w:hint="eastAsia" w:ascii="宋体" w:hAnsi="宋体" w:eastAsia="宋体" w:cs="宋体"/>
              <w:sz w:val="24"/>
              <w:szCs w:val="24"/>
            </w:rPr>
            <w:t>五、一般公共预算财政拨款支出决算情况说明</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_Toc25470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31"/>
            <w:tabs>
              <w:tab w:val="right" w:leader="dot" w:pos="8306"/>
            </w:tabs>
            <w:ind w:left="420"/>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"_Toc26140" </w:instrText>
          </w:r>
          <w:r>
            <w:rPr>
              <w:rFonts w:hint="eastAsia" w:ascii="宋体" w:hAnsi="宋体" w:eastAsia="宋体" w:cs="宋体"/>
              <w:sz w:val="24"/>
              <w:szCs w:val="24"/>
            </w:rPr>
            <w:fldChar w:fldCharType="separate"/>
          </w:r>
          <w:r>
            <w:rPr>
              <w:rFonts w:hint="eastAsia" w:ascii="宋体" w:hAnsi="宋体" w:eastAsia="宋体" w:cs="宋体"/>
              <w:sz w:val="24"/>
              <w:szCs w:val="24"/>
            </w:rPr>
            <w:t>六、一般公共预算财政拨款基本支出决算情况说明</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_Toc26140 \h </w:instrText>
          </w:r>
          <w:r>
            <w:rPr>
              <w:rFonts w:hint="eastAsia" w:ascii="宋体" w:hAnsi="宋体" w:eastAsia="宋体" w:cs="宋体"/>
              <w:sz w:val="24"/>
              <w:szCs w:val="24"/>
            </w:rPr>
            <w:fldChar w:fldCharType="separate"/>
          </w:r>
          <w:r>
            <w:rPr>
              <w:rFonts w:hint="eastAsia" w:ascii="宋体" w:hAnsi="宋体" w:eastAsia="宋体" w:cs="宋体"/>
              <w:sz w:val="24"/>
              <w:szCs w:val="24"/>
            </w:rPr>
            <w:t>10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31"/>
            <w:tabs>
              <w:tab w:val="right" w:leader="dot" w:pos="8306"/>
            </w:tabs>
            <w:ind w:left="420"/>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"_Toc18827" </w:instrText>
          </w:r>
          <w:r>
            <w:rPr>
              <w:rFonts w:hint="eastAsia" w:ascii="宋体" w:hAnsi="宋体" w:eastAsia="宋体" w:cs="宋体"/>
              <w:sz w:val="24"/>
              <w:szCs w:val="24"/>
            </w:rPr>
            <w:fldChar w:fldCharType="separate"/>
          </w:r>
          <w:r>
            <w:rPr>
              <w:rFonts w:hint="eastAsia" w:ascii="宋体" w:hAnsi="宋体" w:eastAsia="宋体" w:cs="宋体"/>
              <w:sz w:val="24"/>
              <w:szCs w:val="24"/>
            </w:rPr>
            <w:t>七、“三公”经费财政拨款支出决算情况说明</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_Toc18827 \h </w:instrText>
          </w:r>
          <w:r>
            <w:rPr>
              <w:rFonts w:hint="eastAsia" w:ascii="宋体" w:hAnsi="宋体" w:eastAsia="宋体" w:cs="宋体"/>
              <w:sz w:val="24"/>
              <w:szCs w:val="24"/>
            </w:rPr>
            <w:fldChar w:fldCharType="separate"/>
          </w:r>
          <w:r>
            <w:rPr>
              <w:rFonts w:hint="eastAsia" w:ascii="宋体" w:hAnsi="宋体" w:eastAsia="宋体" w:cs="宋体"/>
              <w:sz w:val="24"/>
              <w:szCs w:val="24"/>
            </w:rPr>
            <w:t>10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31"/>
            <w:tabs>
              <w:tab w:val="right" w:leader="dot" w:pos="8306"/>
            </w:tabs>
            <w:ind w:left="420"/>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"_Toc3351" </w:instrText>
          </w:r>
          <w:r>
            <w:rPr>
              <w:rFonts w:hint="eastAsia" w:ascii="宋体" w:hAnsi="宋体" w:eastAsia="宋体" w:cs="宋体"/>
              <w:sz w:val="24"/>
              <w:szCs w:val="24"/>
            </w:rPr>
            <w:fldChar w:fldCharType="separate"/>
          </w:r>
          <w:r>
            <w:rPr>
              <w:rFonts w:hint="eastAsia" w:ascii="宋体" w:hAnsi="宋体" w:eastAsia="宋体" w:cs="宋体"/>
              <w:sz w:val="24"/>
              <w:szCs w:val="24"/>
            </w:rPr>
            <w:t>八、政府性基金预算支出决算情况说明</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_Toc3351 \h </w:instrText>
          </w:r>
          <w:r>
            <w:rPr>
              <w:rFonts w:hint="eastAsia" w:ascii="宋体" w:hAnsi="宋体" w:eastAsia="宋体" w:cs="宋体"/>
              <w:sz w:val="24"/>
              <w:szCs w:val="24"/>
            </w:rPr>
            <w:fldChar w:fldCharType="separate"/>
          </w:r>
          <w:r>
            <w:rPr>
              <w:rFonts w:hint="eastAsia" w:ascii="宋体" w:hAnsi="宋体" w:eastAsia="宋体" w:cs="宋体"/>
              <w:sz w:val="24"/>
              <w:szCs w:val="24"/>
            </w:rPr>
            <w:t>12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31"/>
            <w:tabs>
              <w:tab w:val="right" w:leader="dot" w:pos="8306"/>
            </w:tabs>
            <w:ind w:left="420"/>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"_Toc10715" </w:instrText>
          </w:r>
          <w:r>
            <w:rPr>
              <w:rFonts w:hint="eastAsia" w:ascii="宋体" w:hAnsi="宋体" w:eastAsia="宋体" w:cs="宋体"/>
              <w:sz w:val="24"/>
              <w:szCs w:val="24"/>
            </w:rPr>
            <w:fldChar w:fldCharType="separate"/>
          </w:r>
          <w:r>
            <w:rPr>
              <w:rFonts w:hint="eastAsia" w:ascii="宋体" w:hAnsi="宋体" w:eastAsia="宋体" w:cs="宋体"/>
              <w:sz w:val="24"/>
              <w:szCs w:val="24"/>
            </w:rPr>
            <w:t>九、 国有资本经营预算支出决算情况说明</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_Toc10715 \h </w:instrText>
          </w:r>
          <w:r>
            <w:rPr>
              <w:rFonts w:hint="eastAsia" w:ascii="宋体" w:hAnsi="宋体" w:eastAsia="宋体" w:cs="宋体"/>
              <w:sz w:val="24"/>
              <w:szCs w:val="24"/>
            </w:rPr>
            <w:fldChar w:fldCharType="separate"/>
          </w:r>
          <w:r>
            <w:rPr>
              <w:rFonts w:hint="eastAsia" w:ascii="宋体" w:hAnsi="宋体" w:eastAsia="宋体" w:cs="宋体"/>
              <w:sz w:val="24"/>
              <w:szCs w:val="24"/>
            </w:rPr>
            <w:t>12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31"/>
            <w:tabs>
              <w:tab w:val="right" w:leader="dot" w:pos="8306"/>
            </w:tabs>
            <w:ind w:left="420"/>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"_Toc19077" </w:instrText>
          </w:r>
          <w:r>
            <w:rPr>
              <w:rFonts w:hint="eastAsia" w:ascii="宋体" w:hAnsi="宋体" w:eastAsia="宋体" w:cs="宋体"/>
              <w:sz w:val="24"/>
              <w:szCs w:val="24"/>
            </w:rPr>
            <w:fldChar w:fldCharType="separate"/>
          </w:r>
          <w:r>
            <w:rPr>
              <w:rFonts w:hint="eastAsia" w:ascii="宋体" w:hAnsi="宋体" w:eastAsia="宋体" w:cs="宋体"/>
              <w:sz w:val="24"/>
              <w:szCs w:val="24"/>
            </w:rPr>
            <w:t>十、 其他重要事项的情况说明</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_Toc19077 \h </w:instrText>
          </w:r>
          <w:r>
            <w:rPr>
              <w:rFonts w:hint="eastAsia" w:ascii="宋体" w:hAnsi="宋体" w:eastAsia="宋体" w:cs="宋体"/>
              <w:sz w:val="24"/>
              <w:szCs w:val="24"/>
            </w:rPr>
            <w:fldChar w:fldCharType="separate"/>
          </w:r>
          <w:r>
            <w:rPr>
              <w:rFonts w:hint="eastAsia" w:ascii="宋体" w:hAnsi="宋体" w:eastAsia="宋体" w:cs="宋体"/>
              <w:sz w:val="24"/>
              <w:szCs w:val="24"/>
            </w:rPr>
            <w:t>12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30"/>
            <w:tabs>
              <w:tab w:val="right" w:leader="dot" w:pos="8306"/>
            </w:tabs>
            <w:rPr>
              <w:rFonts w:hint="eastAsia" w:ascii="宋体" w:hAnsi="宋体" w:eastAsia="宋体" w:cs="宋体"/>
              <w:b/>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"_Toc15388" </w:instrText>
          </w:r>
          <w:r>
            <w:rPr>
              <w:rFonts w:hint="eastAsia" w:ascii="宋体" w:hAnsi="宋体" w:eastAsia="宋体" w:cs="宋体"/>
              <w:sz w:val="24"/>
              <w:szCs w:val="24"/>
            </w:rPr>
            <w:fldChar w:fldCharType="separate"/>
          </w:r>
          <w:r>
            <w:rPr>
              <w:rFonts w:hint="eastAsia" w:ascii="宋体" w:hAnsi="宋体" w:eastAsia="宋体" w:cs="宋体"/>
              <w:b/>
              <w:sz w:val="24"/>
              <w:szCs w:val="24"/>
            </w:rPr>
            <w:t>第三部分 名词解释</w:t>
          </w:r>
          <w:r>
            <w:rPr>
              <w:rFonts w:hint="eastAsia" w:ascii="宋体" w:hAnsi="宋体" w:eastAsia="宋体" w:cs="宋体"/>
              <w:b/>
              <w:sz w:val="24"/>
              <w:szCs w:val="24"/>
            </w:rPr>
            <w:tab/>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PAGEREF _Toc15388 \h </w:instrText>
          </w:r>
          <w:r>
            <w:rPr>
              <w:rFonts w:hint="eastAsia" w:ascii="宋体" w:hAnsi="宋体" w:eastAsia="宋体" w:cs="宋体"/>
              <w:b/>
              <w:sz w:val="24"/>
              <w:szCs w:val="24"/>
            </w:rPr>
            <w:fldChar w:fldCharType="separate"/>
          </w:r>
          <w:r>
            <w:rPr>
              <w:rFonts w:hint="eastAsia" w:ascii="宋体" w:hAnsi="宋体" w:eastAsia="宋体" w:cs="宋体"/>
              <w:b/>
              <w:sz w:val="24"/>
              <w:szCs w:val="24"/>
            </w:rPr>
            <w:t>17</w:t>
          </w:r>
          <w:r>
            <w:rPr>
              <w:rFonts w:hint="eastAsia" w:ascii="宋体" w:hAnsi="宋体" w:eastAsia="宋体" w:cs="宋体"/>
              <w:b/>
              <w:sz w:val="24"/>
              <w:szCs w:val="24"/>
            </w:rPr>
            <w:fldChar w:fldCharType="end"/>
          </w:r>
          <w:r>
            <w:rPr>
              <w:rFonts w:hint="eastAsia" w:ascii="宋体" w:hAnsi="宋体" w:eastAsia="宋体" w:cs="宋体"/>
              <w:b/>
              <w:sz w:val="24"/>
              <w:szCs w:val="24"/>
            </w:rPr>
            <w:fldChar w:fldCharType="end"/>
          </w:r>
        </w:p>
        <w:p>
          <w:pPr>
            <w:pStyle w:val="30"/>
            <w:tabs>
              <w:tab w:val="right" w:leader="dot" w:pos="8306"/>
            </w:tabs>
            <w:rPr>
              <w:rFonts w:hint="eastAsia" w:ascii="宋体" w:hAnsi="宋体" w:eastAsia="宋体" w:cs="宋体"/>
              <w:b/>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"_Toc836" </w:instrText>
          </w:r>
          <w:r>
            <w:rPr>
              <w:rFonts w:hint="eastAsia" w:ascii="宋体" w:hAnsi="宋体" w:eastAsia="宋体" w:cs="宋体"/>
              <w:sz w:val="24"/>
              <w:szCs w:val="24"/>
            </w:rPr>
            <w:fldChar w:fldCharType="separate"/>
          </w:r>
          <w:r>
            <w:rPr>
              <w:rFonts w:hint="eastAsia" w:ascii="宋体" w:hAnsi="宋体" w:eastAsia="宋体" w:cs="宋体"/>
              <w:b/>
              <w:sz w:val="24"/>
              <w:szCs w:val="24"/>
            </w:rPr>
            <w:t>第四部分 附件</w:t>
          </w:r>
          <w:r>
            <w:rPr>
              <w:rFonts w:hint="eastAsia" w:ascii="宋体" w:hAnsi="宋体" w:eastAsia="宋体" w:cs="宋体"/>
              <w:b/>
              <w:sz w:val="24"/>
              <w:szCs w:val="24"/>
            </w:rPr>
            <w:tab/>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PAGEREF _Toc836 \h </w:instrText>
          </w:r>
          <w:r>
            <w:rPr>
              <w:rFonts w:hint="eastAsia" w:ascii="宋体" w:hAnsi="宋体" w:eastAsia="宋体" w:cs="宋体"/>
              <w:b/>
              <w:sz w:val="24"/>
              <w:szCs w:val="24"/>
            </w:rPr>
            <w:fldChar w:fldCharType="separate"/>
          </w:r>
          <w:r>
            <w:rPr>
              <w:rFonts w:hint="eastAsia" w:ascii="宋体" w:hAnsi="宋体" w:eastAsia="宋体" w:cs="宋体"/>
              <w:b/>
              <w:sz w:val="24"/>
              <w:szCs w:val="24"/>
            </w:rPr>
            <w:t>20</w:t>
          </w:r>
          <w:r>
            <w:rPr>
              <w:rFonts w:hint="eastAsia" w:ascii="宋体" w:hAnsi="宋体" w:eastAsia="宋体" w:cs="宋体"/>
              <w:b/>
              <w:sz w:val="24"/>
              <w:szCs w:val="24"/>
            </w:rPr>
            <w:fldChar w:fldCharType="end"/>
          </w:r>
          <w:r>
            <w:rPr>
              <w:rFonts w:hint="eastAsia" w:ascii="宋体" w:hAnsi="宋体" w:eastAsia="宋体" w:cs="宋体"/>
              <w:b/>
              <w:sz w:val="24"/>
              <w:szCs w:val="24"/>
            </w:rPr>
            <w:fldChar w:fldCharType="end"/>
          </w:r>
        </w:p>
        <w:p>
          <w:pPr>
            <w:pStyle w:val="31"/>
            <w:tabs>
              <w:tab w:val="right" w:leader="dot" w:pos="8306"/>
            </w:tabs>
            <w:ind w:left="420"/>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"_Toc22001" </w:instrText>
          </w:r>
          <w:r>
            <w:rPr>
              <w:rFonts w:hint="eastAsia" w:ascii="宋体" w:hAnsi="宋体" w:eastAsia="宋体" w:cs="宋体"/>
              <w:sz w:val="24"/>
              <w:szCs w:val="24"/>
            </w:rPr>
            <w:fldChar w:fldCharType="separate"/>
          </w:r>
          <w:r>
            <w:rPr>
              <w:rFonts w:hint="eastAsia" w:ascii="宋体" w:hAnsi="宋体" w:eastAsia="宋体" w:cs="宋体"/>
              <w:bCs/>
              <w:sz w:val="24"/>
              <w:szCs w:val="24"/>
            </w:rPr>
            <w:t>政府主权外债项目省级项目协调机构管理费2020年度绩效自评报告</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_Toc22001 \h </w:instrText>
          </w:r>
          <w:r>
            <w:rPr>
              <w:rFonts w:hint="eastAsia" w:ascii="宋体" w:hAnsi="宋体" w:eastAsia="宋体" w:cs="宋体"/>
              <w:sz w:val="24"/>
              <w:szCs w:val="24"/>
            </w:rPr>
            <w:fldChar w:fldCharType="separate"/>
          </w:r>
          <w:r>
            <w:rPr>
              <w:rFonts w:hint="eastAsia" w:ascii="宋体" w:hAnsi="宋体" w:eastAsia="宋体" w:cs="宋体"/>
              <w:sz w:val="24"/>
              <w:szCs w:val="24"/>
            </w:rPr>
            <w:t>20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30"/>
            <w:tabs>
              <w:tab w:val="right" w:leader="dot" w:pos="8306"/>
            </w:tabs>
            <w:rPr>
              <w:rFonts w:hint="eastAsia" w:ascii="宋体" w:hAnsi="宋体" w:eastAsia="宋体" w:cs="宋体"/>
              <w:b/>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"_Toc14146" </w:instrText>
          </w:r>
          <w:r>
            <w:rPr>
              <w:rFonts w:hint="eastAsia" w:ascii="宋体" w:hAnsi="宋体" w:eastAsia="宋体" w:cs="宋体"/>
              <w:sz w:val="24"/>
              <w:szCs w:val="24"/>
            </w:rPr>
            <w:fldChar w:fldCharType="separate"/>
          </w:r>
          <w:r>
            <w:rPr>
              <w:rFonts w:hint="eastAsia" w:ascii="宋体" w:hAnsi="宋体" w:eastAsia="宋体" w:cs="宋体"/>
              <w:b/>
              <w:sz w:val="24"/>
              <w:szCs w:val="24"/>
            </w:rPr>
            <w:t>第五部分 附表</w:t>
          </w:r>
          <w:r>
            <w:rPr>
              <w:rFonts w:hint="eastAsia" w:ascii="宋体" w:hAnsi="宋体" w:eastAsia="宋体" w:cs="宋体"/>
              <w:b/>
              <w:sz w:val="24"/>
              <w:szCs w:val="24"/>
            </w:rPr>
            <w:tab/>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PAGEREF _Toc14146 \h </w:instrText>
          </w:r>
          <w:r>
            <w:rPr>
              <w:rFonts w:hint="eastAsia" w:ascii="宋体" w:hAnsi="宋体" w:eastAsia="宋体" w:cs="宋体"/>
              <w:b/>
              <w:sz w:val="24"/>
              <w:szCs w:val="24"/>
            </w:rPr>
            <w:fldChar w:fldCharType="separate"/>
          </w:r>
          <w:r>
            <w:rPr>
              <w:rFonts w:hint="eastAsia" w:ascii="宋体" w:hAnsi="宋体" w:eastAsia="宋体" w:cs="宋体"/>
              <w:b/>
              <w:sz w:val="24"/>
              <w:szCs w:val="24"/>
            </w:rPr>
            <w:t>25</w:t>
          </w:r>
          <w:r>
            <w:rPr>
              <w:rFonts w:hint="eastAsia" w:ascii="宋体" w:hAnsi="宋体" w:eastAsia="宋体" w:cs="宋体"/>
              <w:b/>
              <w:sz w:val="24"/>
              <w:szCs w:val="24"/>
            </w:rPr>
            <w:fldChar w:fldCharType="end"/>
          </w:r>
          <w:r>
            <w:rPr>
              <w:rFonts w:hint="eastAsia" w:ascii="宋体" w:hAnsi="宋体" w:eastAsia="宋体" w:cs="宋体"/>
              <w:b/>
              <w:sz w:val="24"/>
              <w:szCs w:val="24"/>
            </w:rPr>
            <w:fldChar w:fldCharType="end"/>
          </w:r>
        </w:p>
        <w:p>
          <w:pPr>
            <w:pStyle w:val="31"/>
            <w:tabs>
              <w:tab w:val="right" w:leader="dot" w:pos="8306"/>
            </w:tabs>
            <w:ind w:left="420"/>
            <w:rPr>
              <w:rFonts w:hint="eastAsia" w:ascii="宋体" w:hAnsi="宋体" w:eastAsia="宋体" w:cs="宋体"/>
              <w:sz w:val="24"/>
              <w:szCs w:val="24"/>
            </w:rPr>
          </w:pPr>
        </w:p>
        <w:p>
          <w:r>
            <w:rPr>
              <w:rFonts w:hint="eastAsia" w:ascii="宋体" w:hAnsi="宋体" w:eastAsia="宋体" w:cs="宋体"/>
              <w:b/>
              <w:sz w:val="24"/>
              <w:szCs w:val="24"/>
            </w:rPr>
            <w:fldChar w:fldCharType="end"/>
          </w:r>
        </w:p>
      </w:sdtContent>
    </w:sdt>
    <w:p>
      <w:pPr>
        <w:pStyle w:val="3"/>
        <w:jc w:val="center"/>
        <w:rPr>
          <w:rFonts w:ascii="黑体" w:hAnsi="黑体" w:eastAsia="黑体"/>
          <w:b w:val="0"/>
        </w:rPr>
      </w:pPr>
      <w:bookmarkStart w:id="14" w:name="_Toc15377196"/>
      <w:bookmarkStart w:id="15" w:name="_Toc15396599"/>
    </w:p>
    <w:p>
      <w:pPr>
        <w:pStyle w:val="3"/>
        <w:jc w:val="both"/>
        <w:rPr>
          <w:rFonts w:ascii="黑体" w:hAnsi="黑体" w:eastAsia="黑体"/>
          <w:b w:val="0"/>
        </w:rPr>
      </w:pPr>
    </w:p>
    <w:p>
      <w:pPr>
        <w:rPr>
          <w:rFonts w:ascii="黑体" w:hAnsi="黑体" w:eastAsia="黑体"/>
          <w:b w:val="0"/>
        </w:rPr>
      </w:pPr>
    </w:p>
    <w:p>
      <w:pPr>
        <w:pStyle w:val="2"/>
      </w:pPr>
    </w:p>
    <w:p>
      <w:pPr>
        <w:pStyle w:val="3"/>
        <w:jc w:val="center"/>
        <w:rPr>
          <w:rStyle w:val="24"/>
          <w:rFonts w:ascii="黑体" w:hAnsi="黑体" w:eastAsia="黑体"/>
          <w:b/>
          <w:bCs w:val="0"/>
        </w:rPr>
      </w:pPr>
      <w:bookmarkStart w:id="16" w:name="_Toc21297"/>
      <w:r>
        <w:rPr>
          <w:rFonts w:hint="eastAsia" w:ascii="黑体" w:hAnsi="黑体" w:eastAsia="黑体"/>
          <w:b w:val="0"/>
        </w:rPr>
        <w:t>第一部分 单位</w:t>
      </w:r>
      <w:r>
        <w:rPr>
          <w:rStyle w:val="24"/>
          <w:rFonts w:hint="eastAsia" w:ascii="黑体" w:hAnsi="黑体" w:eastAsia="黑体"/>
          <w:b w:val="0"/>
          <w:bCs w:val="0"/>
        </w:rPr>
        <w:t>概况</w:t>
      </w:r>
      <w:bookmarkEnd w:id="14"/>
      <w:bookmarkEnd w:id="15"/>
      <w:bookmarkEnd w:id="16"/>
    </w:p>
    <w:p>
      <w:pPr>
        <w:widowControl/>
        <w:jc w:val="left"/>
        <w:rPr>
          <w:rFonts w:ascii="黑体" w:eastAsia="黑体"/>
          <w:sz w:val="32"/>
          <w:szCs w:val="32"/>
        </w:rPr>
      </w:pPr>
    </w:p>
    <w:p>
      <w:pPr>
        <w:pStyle w:val="4"/>
        <w:numPr>
          <w:ilvl w:val="0"/>
          <w:numId w:val="1"/>
        </w:numPr>
      </w:pPr>
      <w:bookmarkStart w:id="17" w:name="_Toc7806"/>
      <w:bookmarkStart w:id="18" w:name="_Toc15377197"/>
      <w:bookmarkStart w:id="19" w:name="_Toc15396600"/>
      <w:r>
        <w:rPr>
          <w:rStyle w:val="25"/>
          <w:rFonts w:hint="eastAsia" w:ascii="黑体" w:hAnsi="黑体" w:eastAsia="黑体"/>
          <w:b w:val="0"/>
          <w:bCs w:val="0"/>
        </w:rPr>
        <w:t>职能简介</w:t>
      </w:r>
      <w:bookmarkEnd w:id="17"/>
    </w:p>
    <w:p>
      <w:pPr>
        <w:ind w:firstLine="640" w:firstLineChars="200"/>
        <w:rPr>
          <w:rFonts w:ascii="仿宋" w:hAnsi="仿宋" w:eastAsia="仿宋" w:cs="仿宋"/>
          <w:sz w:val="32"/>
          <w:szCs w:val="32"/>
        </w:rPr>
      </w:pPr>
      <w:r>
        <w:rPr>
          <w:rFonts w:hint="eastAsia" w:ascii="仿宋" w:hAnsi="仿宋" w:eastAsia="仿宋" w:cs="仿宋"/>
          <w:sz w:val="32"/>
          <w:szCs w:val="32"/>
        </w:rPr>
        <w:t>1、主要职能。四川省政府投资非经营性项目代建中心于2007年6月经四川省机构编制委员会批准正式成立，省代建中心是省代建领导小组的办事机构，承担省政府投资项目代建办公室的具体工作：负责组织代建项目的接收，组织代建项目有关招标投标活动；负责办理有关建设手续和设计、施工、建设资金的管理，协调建设中的具体问题；负责控制投资、质量和工期，代建项目竣工验收、决算、产权登记和项目移交等具体事务的组织工作；负责政府投资非经营性代建业务的培训；负责省代建领导小组及其办公室交办的其他工作。</w:t>
      </w:r>
    </w:p>
    <w:p>
      <w:pPr>
        <w:ind w:firstLine="640" w:firstLineChars="200"/>
        <w:rPr>
          <w:rFonts w:ascii="仿宋" w:hAnsi="仿宋" w:eastAsia="仿宋" w:cs="仿宋"/>
          <w:sz w:val="32"/>
          <w:szCs w:val="32"/>
        </w:rPr>
      </w:pPr>
      <w:r>
        <w:rPr>
          <w:rFonts w:hint="eastAsia" w:ascii="仿宋" w:hAnsi="仿宋" w:eastAsia="仿宋" w:cs="仿宋"/>
          <w:sz w:val="32"/>
          <w:szCs w:val="32"/>
        </w:rPr>
        <w:t>2、机构情况。本单位是住房和城乡建设厅直属的财政全额拨款公益一类事业单位。</w:t>
      </w:r>
    </w:p>
    <w:p>
      <w:pPr>
        <w:ind w:firstLine="640" w:firstLineChars="200"/>
      </w:pPr>
      <w:r>
        <w:rPr>
          <w:rFonts w:hint="eastAsia" w:ascii="仿宋" w:hAnsi="仿宋" w:eastAsia="仿宋" w:cs="仿宋"/>
          <w:sz w:val="32"/>
          <w:szCs w:val="32"/>
        </w:rPr>
        <w:t>3、人员情况。本单位核定人员编制13人，2020年末在职职工人数11人，退休人员1名，本年无人员变动。</w:t>
      </w:r>
    </w:p>
    <w:p>
      <w:pPr>
        <w:pStyle w:val="4"/>
        <w:numPr>
          <w:ilvl w:val="0"/>
          <w:numId w:val="1"/>
        </w:numPr>
        <w:rPr>
          <w:rFonts w:ascii="黑体" w:hAnsi="黑体" w:eastAsia="黑体"/>
          <w:b w:val="0"/>
        </w:rPr>
      </w:pPr>
      <w:bookmarkStart w:id="20" w:name="_Toc28478"/>
      <w:r>
        <w:rPr>
          <w:rFonts w:hint="eastAsia" w:ascii="黑体" w:hAnsi="黑体" w:eastAsia="黑体"/>
          <w:b w:val="0"/>
        </w:rPr>
        <w:t>2020年重点工作</w:t>
      </w:r>
      <w:bookmarkEnd w:id="18"/>
      <w:bookmarkEnd w:id="19"/>
      <w:r>
        <w:rPr>
          <w:rFonts w:hint="eastAsia" w:ascii="黑体" w:hAnsi="黑体" w:eastAsia="黑体"/>
          <w:b w:val="0"/>
        </w:rPr>
        <w:t>完成情况</w:t>
      </w:r>
      <w:bookmarkEnd w:id="20"/>
    </w:p>
    <w:p>
      <w:pPr>
        <w:ind w:firstLine="640" w:firstLineChars="200"/>
        <w:rPr>
          <w:rFonts w:hint="eastAsia"/>
        </w:rPr>
      </w:pPr>
      <w:r>
        <w:rPr>
          <w:rFonts w:hint="eastAsia" w:ascii="仿宋" w:hAnsi="仿宋" w:eastAsia="仿宋" w:cs="仿宋"/>
          <w:sz w:val="32"/>
          <w:szCs w:val="32"/>
        </w:rPr>
        <w:t>截至2020年12月，代建项目共有10个。其中，在建项目5个、竣工项目5个，建设规模约50.12万平米，同时负责协调世行贷款芦山地震灾后项目，总投资2.7亿美元。目前项目进度基本正常，未发生质量安全事故，芦山地震项目进入一期收尾阶段，准备开展中调项目。2020年认真落实省委、省政府工作总体要求，按照住房城乡建设厅工作部署，深入学习贯彻党的十九届五中全会和省委第十一届第七、八次全会精神，不断巩固“不忘初心、牢记使命”主题教育活动成果，加大党风廉政和工作作风建设力度，有力推动各项工作健康发展。紧紧围绕实现“五个控制”目标，以解决项目代建过程中出现的问题为主线。强化党建引导，筑牢廉政风险防控，创新管理模式，积极开展合同履约评价，狠抓全过程监管，全面提升服务和管理水平，着力构建阳光、智慧监管体系，科学有序的推进了各阶段项目代建工作。</w:t>
      </w:r>
    </w:p>
    <w:p>
      <w:pPr>
        <w:pStyle w:val="4"/>
        <w:numPr>
          <w:ilvl w:val="0"/>
          <w:numId w:val="1"/>
        </w:numPr>
        <w:rPr>
          <w:rFonts w:hint="eastAsia"/>
          <w:lang w:val="en-US" w:eastAsia="zh-CN"/>
        </w:rPr>
      </w:pPr>
      <w:r>
        <w:rPr>
          <w:rFonts w:hint="eastAsia"/>
          <w:lang w:val="en-US" w:eastAsia="zh-CN"/>
        </w:rPr>
        <w:t>机构设置情况</w:t>
      </w:r>
      <w:bookmarkStart w:id="112" w:name="_GoBack"/>
      <w:bookmarkEnd w:id="112"/>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四川省政府投资非经营性项目代建中心</w:t>
      </w:r>
      <w:r>
        <w:rPr>
          <w:rFonts w:hint="eastAsia" w:ascii="仿宋" w:hAnsi="仿宋" w:eastAsia="仿宋" w:cs="仿宋"/>
          <w:sz w:val="32"/>
          <w:szCs w:val="32"/>
          <w:lang w:val="en-US" w:eastAsia="zh-CN"/>
        </w:rPr>
        <w:t>由4个内设处室组成，分别是：办公室、招标处、合同预算处、工程管理处。</w:t>
      </w:r>
    </w:p>
    <w:p>
      <w:pPr>
        <w:pStyle w:val="2"/>
        <w:numPr>
          <w:ilvl w:val="0"/>
          <w:numId w:val="0"/>
        </w:numPr>
        <w:ind w:leftChars="0"/>
        <w:rPr>
          <w:rFonts w:hint="default" w:hAnsi="仿宋" w:cs="仿宋"/>
          <w:sz w:val="32"/>
          <w:szCs w:val="32"/>
          <w:lang w:val="en-US" w:eastAsia="zh-CN"/>
        </w:rPr>
      </w:pPr>
    </w:p>
    <w:p/>
    <w:p>
      <w:pPr>
        <w:ind w:firstLine="640" w:firstLineChars="200"/>
        <w:rPr>
          <w:rFonts w:ascii="仿宋" w:hAnsi="仿宋" w:eastAsia="仿宋"/>
          <w:kern w:val="0"/>
          <w:sz w:val="32"/>
          <w:szCs w:val="32"/>
        </w:rPr>
      </w:pPr>
      <w:r>
        <w:rPr>
          <w:rFonts w:ascii="仿宋" w:hAnsi="仿宋" w:eastAsia="仿宋"/>
          <w:sz w:val="32"/>
          <w:szCs w:val="32"/>
        </w:rPr>
        <w:br w:type="page"/>
      </w:r>
    </w:p>
    <w:p>
      <w:pPr>
        <w:pStyle w:val="3"/>
        <w:ind w:right="440"/>
        <w:jc w:val="center"/>
      </w:pPr>
      <w:bookmarkStart w:id="21" w:name="_Toc15377204"/>
      <w:bookmarkStart w:id="22" w:name="_Toc15396602"/>
      <w:bookmarkStart w:id="23" w:name="_Toc32696"/>
      <w:r>
        <w:rPr>
          <w:rFonts w:hint="eastAsia" w:ascii="黑体" w:hAnsi="黑体" w:eastAsia="黑体"/>
          <w:b w:val="0"/>
        </w:rPr>
        <w:t>第二部分 2020年度</w:t>
      </w:r>
      <w:r>
        <w:rPr>
          <w:rStyle w:val="24"/>
          <w:rFonts w:hint="eastAsia" w:ascii="黑体" w:hAnsi="黑体" w:eastAsia="黑体"/>
          <w:b w:val="0"/>
          <w:bCs/>
        </w:rPr>
        <w:t>部门决算情况说明</w:t>
      </w:r>
      <w:bookmarkEnd w:id="21"/>
      <w:bookmarkEnd w:id="22"/>
      <w:bookmarkEnd w:id="23"/>
    </w:p>
    <w:p>
      <w:pPr>
        <w:pStyle w:val="23"/>
        <w:numPr>
          <w:ilvl w:val="0"/>
          <w:numId w:val="2"/>
        </w:numPr>
        <w:spacing w:line="600" w:lineRule="exact"/>
        <w:ind w:firstLineChars="0"/>
        <w:outlineLvl w:val="1"/>
        <w:rPr>
          <w:rStyle w:val="25"/>
          <w:rFonts w:ascii="黑体" w:hAnsi="黑体" w:eastAsia="黑体"/>
          <w:b w:val="0"/>
        </w:rPr>
      </w:pPr>
      <w:bookmarkStart w:id="24" w:name="_Toc15377205"/>
      <w:bookmarkStart w:id="25" w:name="_Toc13834"/>
      <w:bookmarkStart w:id="26" w:name="_Toc15396603"/>
      <w:r>
        <w:rPr>
          <w:rFonts w:hint="eastAsia" w:ascii="黑体" w:hAnsi="黑体" w:eastAsia="黑体"/>
          <w:sz w:val="32"/>
          <w:szCs w:val="32"/>
        </w:rPr>
        <w:t>收</w:t>
      </w:r>
      <w:r>
        <w:rPr>
          <w:rStyle w:val="25"/>
          <w:rFonts w:hint="eastAsia" w:ascii="黑体" w:hAnsi="黑体" w:eastAsia="黑体"/>
          <w:b w:val="0"/>
        </w:rPr>
        <w:t>入支出决算总体情况说明</w:t>
      </w:r>
      <w:bookmarkEnd w:id="24"/>
      <w:bookmarkEnd w:id="25"/>
      <w:bookmarkEnd w:id="26"/>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2020年度收、支总计424.82万元。与2019年相比，收、支总计各增加10.33万元，增长2.49</w:t>
      </w:r>
      <w:r>
        <w:rPr>
          <w:rFonts w:ascii="仿宋" w:hAnsi="仿宋" w:eastAsia="仿宋"/>
          <w:sz w:val="32"/>
          <w:szCs w:val="32"/>
        </w:rPr>
        <w:t>%</w:t>
      </w:r>
      <w:r>
        <w:rPr>
          <w:rFonts w:hint="eastAsia" w:ascii="仿宋" w:hAnsi="仿宋" w:eastAsia="仿宋"/>
          <w:sz w:val="32"/>
          <w:szCs w:val="32"/>
        </w:rPr>
        <w:t>。主要变动原因</w:t>
      </w:r>
      <w:r>
        <w:rPr>
          <w:rFonts w:hint="eastAsia" w:ascii="仿宋" w:hAnsi="仿宋" w:eastAsia="仿宋" w:cs="仿宋"/>
          <w:sz w:val="32"/>
          <w:szCs w:val="32"/>
        </w:rPr>
        <w:t>是政府主权外债项目省级项目协调机构管理费的减少、</w:t>
      </w:r>
      <w:r>
        <w:rPr>
          <w:rFonts w:hint="eastAsia" w:ascii="仿宋" w:hAnsi="仿宋" w:eastAsia="仿宋"/>
          <w:sz w:val="32"/>
          <w:szCs w:val="32"/>
          <w:lang w:val="en-US" w:eastAsia="zh-CN"/>
        </w:rPr>
        <w:t>新进人员补办无房补贴。</w:t>
      </w:r>
    </w:p>
    <w:p>
      <w:pPr>
        <w:pStyle w:val="6"/>
        <w:spacing w:before="93"/>
        <w:ind w:left="560" w:hanging="560" w:hangingChars="200"/>
        <w:rPr>
          <w:sz w:val="32"/>
          <w:szCs w:val="32"/>
        </w:rPr>
      </w:pPr>
      <w:r>
        <w:rPr>
          <w:rFonts w:hint="eastAsia" w:ascii="宋体" w:hAnsi="宋体"/>
          <w:sz w:val="28"/>
          <w:szCs w:val="28"/>
          <w:lang w:val="en-US" w:eastAsia="zh-CN"/>
        </w:rPr>
        <w:t xml:space="preserve">   </w:t>
      </w:r>
      <w:r>
        <w:drawing>
          <wp:inline distT="0" distB="0" distL="114300" distR="114300">
            <wp:extent cx="4572000" cy="2743200"/>
            <wp:effectExtent l="0" t="0" r="0" b="0"/>
            <wp:docPr id="6"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r>
        <w:rPr>
          <w:rFonts w:hint="eastAsia" w:ascii="宋体" w:hAnsi="宋体"/>
          <w:sz w:val="28"/>
          <w:szCs w:val="28"/>
          <w:lang w:val="en-US" w:eastAsia="zh-CN"/>
        </w:rPr>
        <w:t xml:space="preserve">  </w:t>
      </w:r>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：收、支决算总计变动情况图）（柱状图）</w:t>
      </w:r>
    </w:p>
    <w:p>
      <w:pPr>
        <w:pStyle w:val="23"/>
        <w:numPr>
          <w:ilvl w:val="0"/>
          <w:numId w:val="2"/>
        </w:numPr>
        <w:spacing w:line="600" w:lineRule="exact"/>
        <w:ind w:firstLineChars="0"/>
        <w:outlineLvl w:val="1"/>
        <w:rPr>
          <w:rStyle w:val="25"/>
          <w:rFonts w:ascii="黑体" w:hAnsi="黑体" w:eastAsia="黑体"/>
          <w:b w:val="0"/>
        </w:rPr>
      </w:pPr>
      <w:bookmarkStart w:id="27" w:name="_Toc15377206"/>
      <w:bookmarkStart w:id="28" w:name="_Toc15396604"/>
      <w:bookmarkStart w:id="29" w:name="_Toc19464"/>
      <w:r>
        <w:rPr>
          <w:rFonts w:hint="eastAsia" w:ascii="黑体" w:hAnsi="黑体" w:eastAsia="黑体"/>
          <w:sz w:val="32"/>
          <w:szCs w:val="32"/>
        </w:rPr>
        <w:t>收</w:t>
      </w:r>
      <w:r>
        <w:rPr>
          <w:rStyle w:val="25"/>
          <w:rFonts w:hint="eastAsia" w:ascii="黑体" w:hAnsi="黑体" w:eastAsia="黑体"/>
          <w:b w:val="0"/>
        </w:rPr>
        <w:t>入决算情况说明</w:t>
      </w:r>
      <w:bookmarkEnd w:id="27"/>
      <w:bookmarkEnd w:id="28"/>
      <w:bookmarkEnd w:id="29"/>
    </w:p>
    <w:p>
      <w:pPr>
        <w:spacing w:line="600" w:lineRule="exact"/>
        <w:ind w:firstLine="640" w:firstLineChars="200"/>
        <w:outlineLvl w:val="1"/>
        <w:rPr>
          <w:rFonts w:hint="eastAsia" w:ascii="仿宋" w:hAnsi="仿宋" w:eastAsia="仿宋"/>
          <w:sz w:val="32"/>
          <w:szCs w:val="32"/>
          <w:lang w:val="en-US" w:eastAsia="zh-CN"/>
        </w:rPr>
      </w:pPr>
      <w:bookmarkStart w:id="30" w:name="_Toc20125"/>
      <w:r>
        <w:rPr>
          <w:rFonts w:ascii="仿宋" w:hAnsi="仿宋" w:eastAsia="仿宋"/>
          <w:sz w:val="32"/>
          <w:szCs w:val="32"/>
        </w:rPr>
        <w:t>20</w:t>
      </w:r>
      <w:r>
        <w:rPr>
          <w:rFonts w:hint="eastAsia" w:ascii="仿宋" w:hAnsi="仿宋" w:eastAsia="仿宋"/>
          <w:sz w:val="32"/>
          <w:szCs w:val="32"/>
        </w:rPr>
        <w:t>20年本年收入合计424.82万元，其中：一般公共预算财政拨款收入424.82万元，占100</w:t>
      </w:r>
      <w:r>
        <w:rPr>
          <w:rFonts w:ascii="仿宋" w:hAnsi="仿宋" w:eastAsia="仿宋"/>
          <w:sz w:val="32"/>
          <w:szCs w:val="32"/>
        </w:rPr>
        <w:t>%</w:t>
      </w:r>
      <w:bookmarkEnd w:id="30"/>
      <w:r>
        <w:rPr>
          <w:rFonts w:hint="eastAsia" w:ascii="仿宋" w:hAnsi="仿宋" w:eastAsia="仿宋"/>
          <w:sz w:val="32"/>
          <w:szCs w:val="32"/>
          <w:lang w:eastAsia="zh-CN"/>
        </w:rPr>
        <w:t>。</w:t>
      </w:r>
    </w:p>
    <w:p>
      <w:pPr>
        <w:pStyle w:val="6"/>
        <w:spacing w:beforeLines="0"/>
      </w:pPr>
    </w:p>
    <w:p>
      <w:pPr>
        <w:pStyle w:val="6"/>
        <w:spacing w:beforeLines="0"/>
      </w:pPr>
    </w:p>
    <w:p>
      <w:pPr>
        <w:pStyle w:val="6"/>
        <w:spacing w:beforeLines="0"/>
      </w:pPr>
      <w:r>
        <w:rPr>
          <w:rFonts w:hint="eastAsia"/>
          <w:lang w:val="en-US" w:eastAsia="zh-CN"/>
        </w:rPr>
        <w:t xml:space="preserve">        </w:t>
      </w:r>
      <w:r>
        <w:drawing>
          <wp:inline distT="0" distB="0" distL="114300" distR="114300">
            <wp:extent cx="3785235" cy="2294890"/>
            <wp:effectExtent l="0" t="0" r="5715" b="10160"/>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spacing w:line="600" w:lineRule="exact"/>
        <w:ind w:firstLine="1600" w:firstLineChars="500"/>
        <w:rPr>
          <w:rFonts w:ascii="仿宋_GB2312" w:eastAsia="仿宋_GB2312"/>
          <w:sz w:val="32"/>
          <w:szCs w:val="32"/>
        </w:rPr>
      </w:pPr>
      <w:r>
        <w:rPr>
          <w:rFonts w:hint="eastAsia" w:ascii="仿宋" w:hAnsi="仿宋" w:eastAsia="仿宋"/>
          <w:sz w:val="32"/>
          <w:szCs w:val="32"/>
        </w:rPr>
        <w:t>（图2：收入决算结构图）（饼状图）</w:t>
      </w:r>
    </w:p>
    <w:p>
      <w:pPr>
        <w:pStyle w:val="23"/>
        <w:numPr>
          <w:ilvl w:val="0"/>
          <w:numId w:val="2"/>
        </w:numPr>
        <w:spacing w:line="600" w:lineRule="exact"/>
        <w:ind w:firstLineChars="0"/>
        <w:outlineLvl w:val="1"/>
        <w:rPr>
          <w:rStyle w:val="25"/>
          <w:rFonts w:ascii="黑体" w:hAnsi="黑体" w:eastAsia="黑体"/>
          <w:b w:val="0"/>
        </w:rPr>
      </w:pPr>
      <w:bookmarkStart w:id="31" w:name="_Toc5394"/>
      <w:bookmarkStart w:id="32" w:name="_Toc15396605"/>
      <w:bookmarkStart w:id="33" w:name="_Toc15377207"/>
      <w:r>
        <w:rPr>
          <w:rFonts w:hint="eastAsia" w:ascii="黑体" w:hAnsi="黑体" w:eastAsia="黑体"/>
          <w:sz w:val="32"/>
          <w:szCs w:val="32"/>
        </w:rPr>
        <w:t>支</w:t>
      </w:r>
      <w:r>
        <w:rPr>
          <w:rStyle w:val="25"/>
          <w:rFonts w:hint="eastAsia" w:ascii="黑体" w:hAnsi="黑体" w:eastAsia="黑体"/>
          <w:b w:val="0"/>
        </w:rPr>
        <w:t>出决算情况说明</w:t>
      </w:r>
      <w:bookmarkEnd w:id="31"/>
      <w:bookmarkEnd w:id="32"/>
      <w:bookmarkEnd w:id="33"/>
    </w:p>
    <w:p>
      <w:pPr>
        <w:spacing w:line="600" w:lineRule="exact"/>
        <w:ind w:firstLine="640" w:firstLineChars="200"/>
        <w:outlineLvl w:val="1"/>
        <w:rPr>
          <w:rFonts w:ascii="仿宋" w:hAnsi="仿宋" w:eastAsia="仿宋"/>
          <w:sz w:val="32"/>
          <w:szCs w:val="32"/>
        </w:rPr>
      </w:pPr>
      <w:bookmarkStart w:id="34" w:name="_Toc6337"/>
      <w:r>
        <w:rPr>
          <w:rFonts w:ascii="仿宋" w:hAnsi="仿宋" w:eastAsia="仿宋"/>
          <w:sz w:val="32"/>
          <w:szCs w:val="32"/>
        </w:rPr>
        <w:t>20</w:t>
      </w:r>
      <w:r>
        <w:rPr>
          <w:rFonts w:hint="eastAsia" w:ascii="仿宋" w:hAnsi="仿宋" w:eastAsia="仿宋"/>
          <w:sz w:val="32"/>
          <w:szCs w:val="32"/>
        </w:rPr>
        <w:t>20年本年支出合计424.82万元，其中：基本支出238.87万元，占56.23</w:t>
      </w:r>
      <w:r>
        <w:rPr>
          <w:rFonts w:ascii="仿宋" w:hAnsi="仿宋" w:eastAsia="仿宋"/>
          <w:sz w:val="32"/>
          <w:szCs w:val="32"/>
        </w:rPr>
        <w:t>%</w:t>
      </w:r>
      <w:r>
        <w:rPr>
          <w:rFonts w:hint="eastAsia" w:ascii="仿宋" w:hAnsi="仿宋" w:eastAsia="仿宋"/>
          <w:sz w:val="32"/>
          <w:szCs w:val="32"/>
        </w:rPr>
        <w:t>；项目支出185.94万元，占43.77</w:t>
      </w:r>
      <w:r>
        <w:rPr>
          <w:rFonts w:ascii="仿宋" w:hAnsi="仿宋" w:eastAsia="仿宋"/>
          <w:sz w:val="32"/>
          <w:szCs w:val="32"/>
        </w:rPr>
        <w:t>%</w:t>
      </w:r>
      <w:r>
        <w:rPr>
          <w:rFonts w:hint="eastAsia" w:ascii="仿宋" w:hAnsi="仿宋" w:eastAsia="仿宋"/>
          <w:sz w:val="32"/>
          <w:szCs w:val="32"/>
        </w:rPr>
        <w:t>。</w:t>
      </w:r>
      <w:bookmarkEnd w:id="34"/>
    </w:p>
    <w:p>
      <w:pPr>
        <w:pStyle w:val="6"/>
        <w:spacing w:before="93"/>
        <w:ind w:left="1680" w:hanging="1680" w:hangingChars="600"/>
        <w:jc w:val="both"/>
        <w:rPr>
          <w:rFonts w:ascii="仿宋" w:hAnsi="仿宋" w:eastAsia="仿宋"/>
          <w:sz w:val="32"/>
          <w:szCs w:val="32"/>
        </w:rPr>
      </w:pPr>
      <w:r>
        <w:rPr>
          <w:rFonts w:hint="eastAsia" w:ascii="宋体" w:hAnsi="宋体"/>
          <w:sz w:val="28"/>
          <w:szCs w:val="28"/>
          <w:lang w:val="en-US" w:eastAsia="zh-CN"/>
        </w:rPr>
        <w:t xml:space="preserve">      </w:t>
      </w:r>
      <w:r>
        <w:drawing>
          <wp:inline distT="0" distB="0" distL="114300" distR="114300">
            <wp:extent cx="4325620" cy="2230755"/>
            <wp:effectExtent l="0" t="0" r="17780" b="17145"/>
            <wp:docPr id="3"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Pr>
          <w:rFonts w:hint="eastAsia" w:ascii="宋体" w:hAnsi="宋体"/>
          <w:sz w:val="28"/>
          <w:szCs w:val="28"/>
          <w:lang w:val="en-US" w:eastAsia="zh-CN"/>
        </w:rPr>
        <w:t xml:space="preserve">   </w:t>
      </w:r>
      <w:r>
        <w:rPr>
          <w:rFonts w:hint="eastAsia" w:ascii="仿宋" w:hAnsi="仿宋" w:eastAsia="仿宋"/>
          <w:sz w:val="32"/>
          <w:szCs w:val="32"/>
        </w:rPr>
        <w:t>（图3：支出决算结构图）（饼状图）</w:t>
      </w:r>
    </w:p>
    <w:p>
      <w:pPr>
        <w:spacing w:line="600" w:lineRule="exact"/>
        <w:ind w:firstLine="640" w:firstLineChars="200"/>
        <w:outlineLvl w:val="1"/>
        <w:rPr>
          <w:rStyle w:val="25"/>
          <w:rFonts w:ascii="黑体" w:hAnsi="黑体" w:eastAsia="黑体"/>
          <w:b w:val="0"/>
        </w:rPr>
      </w:pPr>
      <w:bookmarkStart w:id="35" w:name="_Toc32232"/>
      <w:bookmarkStart w:id="36" w:name="_Toc15377208"/>
      <w:bookmarkStart w:id="37" w:name="_Toc15396606"/>
      <w:r>
        <w:rPr>
          <w:rFonts w:hint="eastAsia" w:ascii="黑体" w:hAnsi="黑体" w:eastAsia="黑体"/>
          <w:sz w:val="32"/>
          <w:szCs w:val="32"/>
        </w:rPr>
        <w:t>四、财</w:t>
      </w:r>
      <w:r>
        <w:rPr>
          <w:rStyle w:val="25"/>
          <w:rFonts w:hint="eastAsia" w:ascii="黑体" w:hAnsi="黑体" w:eastAsia="黑体"/>
          <w:b w:val="0"/>
        </w:rPr>
        <w:t>政拨款收入支出决算总体情况说明</w:t>
      </w:r>
      <w:bookmarkEnd w:id="35"/>
      <w:bookmarkEnd w:id="36"/>
      <w:bookmarkEnd w:id="37"/>
    </w:p>
    <w:p>
      <w:pPr>
        <w:spacing w:line="600" w:lineRule="exact"/>
        <w:ind w:firstLine="640" w:firstLineChars="200"/>
        <w:rPr>
          <w:rFonts w:ascii="仿宋" w:hAnsi="仿宋" w:eastAsia="仿宋"/>
          <w:sz w:val="32"/>
          <w:szCs w:val="32"/>
        </w:rPr>
      </w:pPr>
      <w:r>
        <w:rPr>
          <w:rFonts w:ascii="仿宋" w:hAnsi="仿宋" w:eastAsia="仿宋"/>
          <w:sz w:val="32"/>
          <w:szCs w:val="32"/>
        </w:rPr>
        <w:t>20</w:t>
      </w:r>
      <w:r>
        <w:rPr>
          <w:rFonts w:hint="eastAsia" w:ascii="仿宋" w:hAnsi="仿宋" w:eastAsia="仿宋"/>
          <w:sz w:val="32"/>
          <w:szCs w:val="32"/>
        </w:rPr>
        <w:t>20年财政拨款收、支总计424.82万元。与</w:t>
      </w:r>
      <w:r>
        <w:rPr>
          <w:rFonts w:ascii="仿宋" w:hAnsi="仿宋" w:eastAsia="仿宋"/>
          <w:sz w:val="32"/>
          <w:szCs w:val="32"/>
        </w:rPr>
        <w:t>201</w:t>
      </w:r>
      <w:r>
        <w:rPr>
          <w:rFonts w:hint="eastAsia" w:ascii="仿宋" w:hAnsi="仿宋" w:eastAsia="仿宋"/>
          <w:sz w:val="32"/>
          <w:szCs w:val="32"/>
        </w:rPr>
        <w:t>9年相比，财政拨款收、支总计各增加10.33万元，增长2.49</w:t>
      </w:r>
      <w:r>
        <w:rPr>
          <w:rFonts w:ascii="仿宋" w:hAnsi="仿宋" w:eastAsia="仿宋"/>
          <w:sz w:val="32"/>
          <w:szCs w:val="32"/>
        </w:rPr>
        <w:t>%</w:t>
      </w:r>
      <w:r>
        <w:rPr>
          <w:rFonts w:hint="eastAsia" w:ascii="仿宋" w:hAnsi="仿宋" w:eastAsia="仿宋"/>
          <w:sz w:val="32"/>
          <w:szCs w:val="32"/>
        </w:rPr>
        <w:t>。主要变动原因</w:t>
      </w:r>
      <w:r>
        <w:rPr>
          <w:rFonts w:hint="eastAsia" w:ascii="仿宋" w:hAnsi="仿宋" w:eastAsia="仿宋"/>
          <w:sz w:val="32"/>
          <w:szCs w:val="32"/>
          <w:lang w:val="en-US" w:eastAsia="zh-CN"/>
        </w:rPr>
        <w:t>是</w:t>
      </w:r>
      <w:r>
        <w:rPr>
          <w:rFonts w:hint="eastAsia" w:ascii="仿宋" w:hAnsi="仿宋" w:eastAsia="仿宋" w:cs="仿宋"/>
          <w:sz w:val="32"/>
          <w:szCs w:val="32"/>
        </w:rPr>
        <w:t>政府主权外债项目省级项目协调机构管理费的减少、</w:t>
      </w:r>
      <w:r>
        <w:rPr>
          <w:rFonts w:hint="eastAsia" w:ascii="仿宋" w:hAnsi="仿宋" w:eastAsia="仿宋"/>
          <w:sz w:val="32"/>
          <w:szCs w:val="32"/>
          <w:lang w:val="en-US" w:eastAsia="zh-CN"/>
        </w:rPr>
        <w:t>新进人员补办无房补贴。</w:t>
      </w:r>
    </w:p>
    <w:p>
      <w:pPr>
        <w:pStyle w:val="6"/>
        <w:spacing w:before="93"/>
        <w:ind w:firstLine="600" w:firstLineChars="200"/>
        <w:rPr>
          <w:rFonts w:ascii="仿宋" w:hAnsi="仿宋" w:eastAsia="仿宋"/>
          <w:sz w:val="32"/>
          <w:szCs w:val="32"/>
        </w:rPr>
      </w:pPr>
      <w:r>
        <w:drawing>
          <wp:inline distT="0" distB="0" distL="114300" distR="114300">
            <wp:extent cx="4572000" cy="2743200"/>
            <wp:effectExtent l="0" t="0" r="0" b="0"/>
            <wp:docPr id="7"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rFonts w:hint="eastAsia"/>
          <w:lang w:val="en-US" w:eastAsia="zh-CN"/>
        </w:rPr>
        <w:t xml:space="preserve">   </w:t>
      </w:r>
      <w:r>
        <w:rPr>
          <w:rFonts w:hint="eastAsia" w:ascii="宋体" w:hAnsi="宋体"/>
          <w:sz w:val="28"/>
          <w:szCs w:val="28"/>
          <w:lang w:val="en-US" w:eastAsia="zh-CN"/>
        </w:rPr>
        <w:t xml:space="preserve">  </w:t>
      </w:r>
      <w:r>
        <w:rPr>
          <w:rFonts w:hint="eastAsia" w:ascii="仿宋" w:hAnsi="仿宋" w:eastAsia="仿宋"/>
          <w:sz w:val="32"/>
          <w:szCs w:val="32"/>
        </w:rPr>
        <w:t>（图4：财政拨款收、支决算总计变动情况）（柱状图）</w:t>
      </w:r>
    </w:p>
    <w:p>
      <w:pPr>
        <w:spacing w:line="600" w:lineRule="exact"/>
        <w:ind w:firstLine="640" w:firstLineChars="200"/>
        <w:outlineLvl w:val="1"/>
        <w:rPr>
          <w:rStyle w:val="25"/>
          <w:rFonts w:ascii="黑体" w:hAnsi="黑体" w:eastAsia="黑体"/>
          <w:b w:val="0"/>
        </w:rPr>
      </w:pPr>
      <w:bookmarkStart w:id="38" w:name="_Toc15396607"/>
      <w:bookmarkStart w:id="39" w:name="_Toc25470"/>
      <w:bookmarkStart w:id="40" w:name="_Toc15377209"/>
      <w:r>
        <w:rPr>
          <w:rFonts w:hint="eastAsia" w:ascii="黑体" w:hAnsi="黑体" w:eastAsia="黑体"/>
          <w:sz w:val="32"/>
          <w:szCs w:val="32"/>
        </w:rPr>
        <w:t>五、</w:t>
      </w:r>
      <w:r>
        <w:rPr>
          <w:rFonts w:hint="eastAsia" w:ascii="黑体" w:hAnsi="黑体" w:eastAsia="黑体"/>
          <w:b/>
          <w:sz w:val="32"/>
          <w:szCs w:val="32"/>
        </w:rPr>
        <w:t>一</w:t>
      </w:r>
      <w:r>
        <w:rPr>
          <w:rStyle w:val="25"/>
          <w:rFonts w:hint="eastAsia" w:ascii="黑体" w:hAnsi="黑体" w:eastAsia="黑体"/>
          <w:b w:val="0"/>
        </w:rPr>
        <w:t>般公共预算财政拨款支出决算情况说明</w:t>
      </w:r>
      <w:bookmarkEnd w:id="38"/>
      <w:bookmarkEnd w:id="39"/>
      <w:bookmarkEnd w:id="40"/>
    </w:p>
    <w:p>
      <w:pPr>
        <w:spacing w:line="600" w:lineRule="exact"/>
        <w:ind w:firstLine="643" w:firstLineChars="200"/>
        <w:outlineLvl w:val="2"/>
        <w:rPr>
          <w:rFonts w:ascii="仿宋" w:hAnsi="仿宋" w:eastAsia="仿宋"/>
          <w:b/>
          <w:sz w:val="32"/>
          <w:szCs w:val="32"/>
        </w:rPr>
      </w:pPr>
      <w:bookmarkStart w:id="41" w:name="_Toc15377210"/>
      <w:r>
        <w:rPr>
          <w:rFonts w:hint="eastAsia" w:ascii="仿宋" w:hAnsi="仿宋" w:eastAsia="仿宋"/>
          <w:b/>
          <w:sz w:val="32"/>
          <w:szCs w:val="32"/>
        </w:rPr>
        <w:t>（一）一般公共预算财政拨款支出决算总体情况</w:t>
      </w:r>
      <w:bookmarkEnd w:id="41"/>
    </w:p>
    <w:p>
      <w:pPr>
        <w:spacing w:line="600" w:lineRule="exact"/>
        <w:ind w:firstLine="640" w:firstLineChars="200"/>
        <w:rPr>
          <w:rFonts w:hint="default" w:ascii="仿宋" w:hAnsi="仿宋" w:eastAsia="仿宋"/>
          <w:sz w:val="32"/>
          <w:szCs w:val="32"/>
          <w:lang w:val="en-US" w:eastAsia="zh-CN"/>
        </w:rPr>
      </w:pPr>
      <w:r>
        <w:rPr>
          <w:rFonts w:ascii="仿宋" w:hAnsi="仿宋" w:eastAsia="仿宋"/>
          <w:sz w:val="32"/>
          <w:szCs w:val="32"/>
        </w:rPr>
        <w:t>20</w:t>
      </w:r>
      <w:r>
        <w:rPr>
          <w:rFonts w:hint="eastAsia" w:ascii="仿宋" w:hAnsi="仿宋" w:eastAsia="仿宋"/>
          <w:sz w:val="32"/>
          <w:szCs w:val="32"/>
        </w:rPr>
        <w:t>20年一般公共预算财政拨款支出424.82万元，占本年支出合计的100</w:t>
      </w:r>
      <w:r>
        <w:rPr>
          <w:rFonts w:ascii="仿宋" w:hAnsi="仿宋" w:eastAsia="仿宋"/>
          <w:sz w:val="32"/>
          <w:szCs w:val="32"/>
        </w:rPr>
        <w:t>%</w:t>
      </w:r>
      <w:r>
        <w:rPr>
          <w:rFonts w:hint="eastAsia" w:ascii="仿宋" w:hAnsi="仿宋" w:eastAsia="仿宋"/>
          <w:sz w:val="32"/>
          <w:szCs w:val="32"/>
        </w:rPr>
        <w:t>。与</w:t>
      </w:r>
      <w:r>
        <w:rPr>
          <w:rFonts w:ascii="仿宋" w:hAnsi="仿宋" w:eastAsia="仿宋"/>
          <w:sz w:val="32"/>
          <w:szCs w:val="32"/>
        </w:rPr>
        <w:t>201</w:t>
      </w:r>
      <w:r>
        <w:rPr>
          <w:rFonts w:hint="eastAsia" w:ascii="仿宋" w:hAnsi="仿宋" w:eastAsia="仿宋"/>
          <w:sz w:val="32"/>
          <w:szCs w:val="32"/>
        </w:rPr>
        <w:t>9年相比，一般公共预算财政拨款增加10.33万元，增长2.49</w:t>
      </w:r>
      <w:r>
        <w:rPr>
          <w:rFonts w:ascii="仿宋" w:hAnsi="仿宋" w:eastAsia="仿宋"/>
          <w:sz w:val="32"/>
          <w:szCs w:val="32"/>
        </w:rPr>
        <w:t>%</w:t>
      </w:r>
      <w:r>
        <w:rPr>
          <w:rFonts w:hint="eastAsia" w:ascii="仿宋" w:hAnsi="仿宋" w:eastAsia="仿宋"/>
          <w:sz w:val="32"/>
          <w:szCs w:val="32"/>
        </w:rPr>
        <w:t>。主要变动原因是</w:t>
      </w:r>
      <w:r>
        <w:rPr>
          <w:rFonts w:hint="eastAsia" w:ascii="仿宋" w:hAnsi="仿宋" w:eastAsia="仿宋" w:cs="仿宋"/>
          <w:sz w:val="32"/>
          <w:szCs w:val="32"/>
        </w:rPr>
        <w:t>省级项目协调机构管理费的减少、</w:t>
      </w:r>
      <w:r>
        <w:rPr>
          <w:rFonts w:hint="eastAsia" w:ascii="仿宋" w:hAnsi="仿宋" w:eastAsia="仿宋"/>
          <w:sz w:val="32"/>
          <w:szCs w:val="32"/>
          <w:lang w:val="en-US" w:eastAsia="zh-CN"/>
        </w:rPr>
        <w:t>新进人员补办无房补贴。</w:t>
      </w:r>
    </w:p>
    <w:p>
      <w:pPr>
        <w:pStyle w:val="6"/>
        <w:spacing w:before="93"/>
        <w:rPr>
          <w:rFonts w:ascii="仿宋" w:hAnsi="仿宋" w:eastAsia="仿宋"/>
          <w:sz w:val="32"/>
          <w:szCs w:val="32"/>
        </w:rPr>
      </w:pPr>
      <w:r>
        <w:rPr>
          <w:rFonts w:hint="eastAsia"/>
          <w:lang w:val="en-US" w:eastAsia="zh-CN"/>
        </w:rPr>
        <w:t xml:space="preserve">    </w:t>
      </w:r>
      <w:r>
        <w:drawing>
          <wp:inline distT="0" distB="0" distL="114300" distR="114300">
            <wp:extent cx="4572000" cy="2743200"/>
            <wp:effectExtent l="0" t="0" r="0" b="0"/>
            <wp:docPr id="8"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pStyle w:val="6"/>
        <w:spacing w:before="93"/>
        <w:rPr>
          <w:rFonts w:ascii="仿宋" w:hAnsi="仿宋" w:eastAsia="仿宋"/>
          <w:sz w:val="32"/>
          <w:szCs w:val="32"/>
        </w:rPr>
      </w:pPr>
      <w:r>
        <w:rPr>
          <w:rFonts w:hint="eastAsia" w:ascii="仿宋" w:hAnsi="仿宋" w:eastAsia="仿宋"/>
          <w:sz w:val="32"/>
          <w:szCs w:val="32"/>
        </w:rPr>
        <w:t>（图5：一般公共预算财政拨款支出决算变动情况）（柱状图）</w:t>
      </w:r>
    </w:p>
    <w:p>
      <w:pPr>
        <w:spacing w:line="600" w:lineRule="exact"/>
        <w:ind w:firstLine="643" w:firstLineChars="200"/>
        <w:outlineLvl w:val="2"/>
        <w:rPr>
          <w:rFonts w:ascii="仿宋" w:hAnsi="仿宋" w:eastAsia="仿宋"/>
          <w:b/>
          <w:sz w:val="32"/>
          <w:szCs w:val="32"/>
        </w:rPr>
      </w:pPr>
      <w:bookmarkStart w:id="42" w:name="_Toc15377211"/>
      <w:r>
        <w:rPr>
          <w:rFonts w:hint="eastAsia" w:ascii="仿宋" w:hAnsi="仿宋" w:eastAsia="仿宋"/>
          <w:b/>
          <w:sz w:val="32"/>
          <w:szCs w:val="32"/>
        </w:rPr>
        <w:t>（二）一般公共预算财政拨款支出决算结构情况</w:t>
      </w:r>
      <w:bookmarkEnd w:id="42"/>
    </w:p>
    <w:p>
      <w:pPr>
        <w:spacing w:line="600" w:lineRule="exact"/>
        <w:ind w:firstLine="640"/>
      </w:pPr>
      <w:r>
        <w:rPr>
          <w:rFonts w:ascii="仿宋" w:hAnsi="仿宋" w:eastAsia="仿宋"/>
          <w:sz w:val="32"/>
          <w:szCs w:val="32"/>
        </w:rPr>
        <w:t>20</w:t>
      </w:r>
      <w:r>
        <w:rPr>
          <w:rFonts w:hint="eastAsia" w:ascii="仿宋" w:hAnsi="仿宋" w:eastAsia="仿宋"/>
          <w:sz w:val="32"/>
          <w:szCs w:val="32"/>
        </w:rPr>
        <w:t>20年一般公共预算财政拨款支出424.82万元，主要用于以下方面</w:t>
      </w:r>
      <w:r>
        <w:rPr>
          <w:rFonts w:ascii="仿宋" w:hAnsi="仿宋" w:eastAsia="仿宋"/>
          <w:sz w:val="32"/>
          <w:szCs w:val="32"/>
        </w:rPr>
        <w:t>:</w:t>
      </w:r>
      <w:r>
        <w:rPr>
          <w:rFonts w:hint="eastAsia" w:ascii="仿宋" w:hAnsi="仿宋" w:eastAsia="仿宋"/>
          <w:b/>
          <w:sz w:val="32"/>
          <w:szCs w:val="32"/>
        </w:rPr>
        <w:t>一般公共服务（类）</w:t>
      </w:r>
      <w:r>
        <w:rPr>
          <w:rFonts w:hint="eastAsia" w:ascii="仿宋" w:hAnsi="仿宋" w:eastAsia="仿宋"/>
          <w:sz w:val="32"/>
          <w:szCs w:val="32"/>
        </w:rPr>
        <w:t>支出143.66万元，占33.82</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sz w:val="32"/>
          <w:szCs w:val="32"/>
        </w:rPr>
        <w:t>教育支出（类）</w:t>
      </w:r>
      <w:r>
        <w:rPr>
          <w:rFonts w:hint="eastAsia" w:ascii="仿宋" w:hAnsi="仿宋" w:eastAsia="仿宋"/>
          <w:sz w:val="32"/>
          <w:szCs w:val="32"/>
        </w:rPr>
        <w:t>0.25万元，占0.06</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sz w:val="32"/>
          <w:szCs w:val="32"/>
        </w:rPr>
        <w:t>社会保障和就业（类）</w:t>
      </w:r>
      <w:r>
        <w:rPr>
          <w:rFonts w:hint="eastAsia" w:ascii="仿宋" w:hAnsi="仿宋" w:eastAsia="仿宋"/>
          <w:sz w:val="32"/>
          <w:szCs w:val="32"/>
        </w:rPr>
        <w:t>支出25.6万元，占6.03</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卫生健康支出</w:t>
      </w:r>
      <w:r>
        <w:rPr>
          <w:rFonts w:hint="eastAsia" w:ascii="仿宋" w:hAnsi="仿宋" w:eastAsia="仿宋"/>
          <w:sz w:val="32"/>
          <w:szCs w:val="32"/>
        </w:rPr>
        <w:t>12.13万元，占2.86</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住房保障支出</w:t>
      </w:r>
      <w:r>
        <w:rPr>
          <w:rFonts w:hint="eastAsia" w:ascii="仿宋" w:hAnsi="仿宋" w:eastAsia="仿宋"/>
          <w:sz w:val="32"/>
          <w:szCs w:val="32"/>
        </w:rPr>
        <w:t>49.25万元，占11.59</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城乡社区支出（类）</w:t>
      </w:r>
      <w:r>
        <w:rPr>
          <w:rFonts w:hint="eastAsia" w:ascii="仿宋" w:hAnsi="仿宋" w:eastAsia="仿宋"/>
          <w:sz w:val="32"/>
          <w:szCs w:val="32"/>
        </w:rPr>
        <w:t>193.77万元，占45.61%；</w:t>
      </w:r>
      <w:r>
        <w:rPr>
          <w:rFonts w:hint="eastAsia" w:ascii="仿宋" w:hAnsi="仿宋" w:eastAsia="仿宋"/>
          <w:b/>
          <w:bCs/>
          <w:sz w:val="32"/>
          <w:szCs w:val="32"/>
        </w:rPr>
        <w:t>灾害防治及应急管理支出（类）</w:t>
      </w:r>
      <w:r>
        <w:rPr>
          <w:rFonts w:hint="eastAsia" w:ascii="仿宋" w:hAnsi="仿宋" w:eastAsia="仿宋"/>
          <w:sz w:val="32"/>
          <w:szCs w:val="32"/>
        </w:rPr>
        <w:t>0.16万元，占0.03%。</w:t>
      </w:r>
    </w:p>
    <w:p>
      <w:pPr>
        <w:pStyle w:val="6"/>
        <w:spacing w:before="93"/>
        <w:rPr>
          <w:rFonts w:ascii="仿宋" w:hAnsi="仿宋" w:eastAsia="仿宋"/>
          <w:sz w:val="32"/>
          <w:szCs w:val="32"/>
        </w:rPr>
      </w:pPr>
      <w:r>
        <w:drawing>
          <wp:inline distT="0" distB="0" distL="114300" distR="114300">
            <wp:extent cx="5166995" cy="2669540"/>
            <wp:effectExtent l="0" t="0" r="14605" b="16510"/>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spacing w:line="600" w:lineRule="exact"/>
        <w:rPr>
          <w:rFonts w:ascii="仿宋" w:hAnsi="仿宋" w:eastAsia="仿宋"/>
          <w:sz w:val="32"/>
          <w:szCs w:val="32"/>
        </w:rPr>
      </w:pPr>
      <w:r>
        <w:rPr>
          <w:rFonts w:hint="eastAsia" w:ascii="仿宋" w:hAnsi="仿宋" w:eastAsia="仿宋"/>
          <w:sz w:val="32"/>
          <w:szCs w:val="32"/>
        </w:rPr>
        <w:t>（图6：一般公共预算财政拨款支出决算结构）（饼状图）</w:t>
      </w:r>
    </w:p>
    <w:p>
      <w:pPr>
        <w:spacing w:line="600" w:lineRule="exact"/>
        <w:ind w:firstLine="643" w:firstLineChars="200"/>
        <w:outlineLvl w:val="2"/>
        <w:rPr>
          <w:rFonts w:ascii="仿宋" w:hAnsi="仿宋" w:eastAsia="仿宋"/>
          <w:b/>
          <w:sz w:val="32"/>
          <w:szCs w:val="32"/>
        </w:rPr>
      </w:pPr>
      <w:bookmarkStart w:id="43" w:name="_Toc15377212"/>
      <w:r>
        <w:rPr>
          <w:rFonts w:hint="eastAsia" w:ascii="仿宋" w:hAnsi="仿宋" w:eastAsia="仿宋"/>
          <w:b/>
          <w:sz w:val="32"/>
          <w:szCs w:val="32"/>
        </w:rPr>
        <w:t>（三）一般公共预算财政拨款支出决算具体情况</w:t>
      </w:r>
      <w:bookmarkEnd w:id="43"/>
    </w:p>
    <w:p>
      <w:pPr>
        <w:spacing w:line="600" w:lineRule="exact"/>
        <w:ind w:firstLine="643" w:firstLineChars="200"/>
        <w:outlineLvl w:val="2"/>
        <w:rPr>
          <w:rFonts w:ascii="仿宋" w:hAnsi="仿宋" w:eastAsia="仿宋"/>
          <w:sz w:val="32"/>
          <w:szCs w:val="32"/>
        </w:rPr>
      </w:pPr>
      <w:bookmarkStart w:id="44" w:name="_Toc15377213"/>
      <w:bookmarkStart w:id="45" w:name="_Toc15378460"/>
      <w:bookmarkStart w:id="46" w:name="_Toc15377444"/>
      <w:r>
        <w:rPr>
          <w:rFonts w:hint="eastAsia" w:ascii="仿宋" w:hAnsi="仿宋" w:eastAsia="仿宋"/>
          <w:b/>
          <w:sz w:val="32"/>
          <w:szCs w:val="32"/>
        </w:rPr>
        <w:t>2020年一般公共预算支出决算数为424.82</w:t>
      </w:r>
      <w:r>
        <w:rPr>
          <w:rFonts w:hint="eastAsia" w:ascii="仿宋" w:hAnsi="仿宋" w:eastAsia="仿宋"/>
          <w:sz w:val="32"/>
          <w:szCs w:val="32"/>
        </w:rPr>
        <w:t>，</w:t>
      </w:r>
      <w:r>
        <w:rPr>
          <w:rStyle w:val="15"/>
          <w:rFonts w:hint="eastAsia" w:ascii="仿宋" w:hAnsi="仿宋" w:eastAsia="仿宋"/>
          <w:bCs/>
          <w:sz w:val="32"/>
          <w:szCs w:val="32"/>
        </w:rPr>
        <w:t>完成预算95.26</w:t>
      </w:r>
      <w:r>
        <w:rPr>
          <w:rStyle w:val="15"/>
          <w:rFonts w:ascii="仿宋" w:hAnsi="仿宋" w:eastAsia="仿宋"/>
          <w:bCs/>
          <w:sz w:val="32"/>
          <w:szCs w:val="32"/>
        </w:rPr>
        <w:t>%</w:t>
      </w:r>
      <w:r>
        <w:rPr>
          <w:rStyle w:val="15"/>
          <w:rFonts w:hint="eastAsia" w:ascii="仿宋" w:hAnsi="仿宋" w:eastAsia="仿宋"/>
          <w:bCs/>
          <w:sz w:val="32"/>
          <w:szCs w:val="32"/>
        </w:rPr>
        <w:t>。其中：</w:t>
      </w:r>
      <w:bookmarkEnd w:id="44"/>
      <w:bookmarkEnd w:id="45"/>
      <w:bookmarkEnd w:id="46"/>
    </w:p>
    <w:p>
      <w:pPr>
        <w:spacing w:line="600" w:lineRule="exact"/>
        <w:ind w:firstLine="643" w:firstLineChars="200"/>
        <w:rPr>
          <w:rFonts w:ascii="仿宋" w:hAnsi="仿宋" w:eastAsia="仿宋"/>
          <w:b/>
          <w:sz w:val="32"/>
          <w:szCs w:val="32"/>
        </w:rPr>
      </w:pPr>
      <w:r>
        <w:rPr>
          <w:rStyle w:val="15"/>
          <w:rFonts w:ascii="仿宋" w:hAnsi="仿宋" w:eastAsia="仿宋"/>
          <w:bCs/>
          <w:sz w:val="32"/>
          <w:szCs w:val="32"/>
        </w:rPr>
        <w:t>1.</w:t>
      </w:r>
      <w:r>
        <w:rPr>
          <w:rStyle w:val="15"/>
          <w:rFonts w:hint="eastAsia" w:ascii="仿宋" w:hAnsi="仿宋" w:eastAsia="仿宋"/>
          <w:bCs/>
          <w:sz w:val="32"/>
          <w:szCs w:val="32"/>
        </w:rPr>
        <w:t>一般公共服务（类）财政事务（款）其他财政事务支出（项）</w:t>
      </w:r>
      <w:r>
        <w:rPr>
          <w:rStyle w:val="15"/>
          <w:rFonts w:ascii="仿宋" w:hAnsi="仿宋" w:eastAsia="仿宋"/>
          <w:bCs/>
          <w:sz w:val="32"/>
          <w:szCs w:val="32"/>
        </w:rPr>
        <w:t>:</w:t>
      </w:r>
      <w:r>
        <w:rPr>
          <w:rStyle w:val="15"/>
          <w:rFonts w:ascii="仿宋" w:hAnsi="仿宋" w:eastAsia="仿宋"/>
          <w:b w:val="0"/>
          <w:bCs/>
          <w:sz w:val="32"/>
          <w:szCs w:val="32"/>
        </w:rPr>
        <w:t xml:space="preserve"> </w:t>
      </w:r>
      <w:r>
        <w:rPr>
          <w:rStyle w:val="15"/>
          <w:rFonts w:hint="eastAsia" w:ascii="仿宋" w:hAnsi="仿宋" w:eastAsia="仿宋"/>
          <w:b w:val="0"/>
          <w:bCs/>
          <w:sz w:val="32"/>
          <w:szCs w:val="32"/>
        </w:rPr>
        <w:t>支出决算为134.43万元，完成预算96.02</w:t>
      </w:r>
      <w:r>
        <w:rPr>
          <w:rStyle w:val="15"/>
          <w:rFonts w:ascii="仿宋" w:hAnsi="仿宋" w:eastAsia="仿宋"/>
          <w:b w:val="0"/>
          <w:bCs/>
          <w:sz w:val="32"/>
          <w:szCs w:val="32"/>
        </w:rPr>
        <w:t>%</w:t>
      </w:r>
      <w:r>
        <w:rPr>
          <w:rStyle w:val="15"/>
          <w:rFonts w:hint="eastAsia" w:ascii="仿宋" w:hAnsi="仿宋" w:eastAsia="仿宋"/>
          <w:b w:val="0"/>
          <w:bCs/>
          <w:sz w:val="32"/>
          <w:szCs w:val="32"/>
        </w:rPr>
        <w:t>，决算数小于预算数的主要原因是政府主权外债项目省级项目协调机构管理费的减少。</w:t>
      </w:r>
      <w:r>
        <w:rPr>
          <w:rStyle w:val="15"/>
          <w:rFonts w:hint="eastAsia" w:ascii="仿宋" w:hAnsi="仿宋" w:eastAsia="仿宋"/>
          <w:bCs/>
          <w:sz w:val="32"/>
          <w:szCs w:val="32"/>
        </w:rPr>
        <w:t>一般公共服务（类）财政事务（款）其他组织事务支出（项）</w:t>
      </w:r>
      <w:r>
        <w:rPr>
          <w:rStyle w:val="15"/>
          <w:rFonts w:ascii="仿宋" w:hAnsi="仿宋" w:eastAsia="仿宋"/>
          <w:bCs/>
          <w:sz w:val="32"/>
          <w:szCs w:val="32"/>
        </w:rPr>
        <w:t>:</w:t>
      </w:r>
      <w:r>
        <w:rPr>
          <w:rStyle w:val="15"/>
          <w:rFonts w:ascii="仿宋" w:hAnsi="仿宋" w:eastAsia="仿宋"/>
          <w:b w:val="0"/>
          <w:bCs/>
          <w:sz w:val="32"/>
          <w:szCs w:val="32"/>
        </w:rPr>
        <w:t xml:space="preserve"> </w:t>
      </w:r>
      <w:r>
        <w:rPr>
          <w:rStyle w:val="15"/>
          <w:rFonts w:hint="eastAsia" w:ascii="仿宋" w:hAnsi="仿宋" w:eastAsia="仿宋"/>
          <w:b w:val="0"/>
          <w:bCs/>
          <w:sz w:val="32"/>
          <w:szCs w:val="32"/>
        </w:rPr>
        <w:t>支出决算为9.23万元，完成预算76.92</w:t>
      </w:r>
      <w:r>
        <w:rPr>
          <w:rStyle w:val="15"/>
          <w:rFonts w:ascii="仿宋" w:hAnsi="仿宋" w:eastAsia="仿宋"/>
          <w:b w:val="0"/>
          <w:bCs/>
          <w:sz w:val="32"/>
          <w:szCs w:val="32"/>
        </w:rPr>
        <w:t>%</w:t>
      </w:r>
      <w:r>
        <w:rPr>
          <w:rStyle w:val="15"/>
          <w:rFonts w:hint="eastAsia" w:ascii="仿宋" w:hAnsi="仿宋" w:eastAsia="仿宋"/>
          <w:b w:val="0"/>
          <w:bCs/>
          <w:sz w:val="32"/>
          <w:szCs w:val="32"/>
        </w:rPr>
        <w:t>，决算数小于预算数的主要原因</w:t>
      </w:r>
      <w:r>
        <w:rPr>
          <w:rFonts w:hint="eastAsia" w:ascii="仿宋" w:hAnsi="仿宋" w:eastAsia="仿宋" w:cs="仿宋"/>
          <w:sz w:val="32"/>
          <w:szCs w:val="32"/>
        </w:rPr>
        <w:t>保证完成扶贫任务的同时，厉行节约，减少不必要开支</w:t>
      </w:r>
      <w:r>
        <w:rPr>
          <w:rStyle w:val="15"/>
          <w:rFonts w:hint="eastAsia" w:ascii="仿宋" w:hAnsi="仿宋" w:eastAsia="仿宋" w:cs="仿宋"/>
          <w:b w:val="0"/>
          <w:bCs/>
          <w:sz w:val="32"/>
          <w:szCs w:val="32"/>
        </w:rPr>
        <w:t>。</w:t>
      </w:r>
    </w:p>
    <w:p>
      <w:pPr>
        <w:spacing w:line="600" w:lineRule="exact"/>
        <w:ind w:firstLine="643" w:firstLineChars="200"/>
        <w:rPr>
          <w:rFonts w:ascii="仿宋" w:hAnsi="仿宋" w:eastAsia="仿宋"/>
          <w:b/>
          <w:sz w:val="32"/>
          <w:szCs w:val="32"/>
        </w:rPr>
      </w:pPr>
      <w:r>
        <w:rPr>
          <w:rStyle w:val="15"/>
          <w:rFonts w:ascii="仿宋" w:hAnsi="仿宋" w:eastAsia="仿宋"/>
          <w:bCs/>
          <w:sz w:val="32"/>
          <w:szCs w:val="32"/>
        </w:rPr>
        <w:t>2.</w:t>
      </w:r>
      <w:r>
        <w:rPr>
          <w:rStyle w:val="15"/>
          <w:rFonts w:hint="eastAsia" w:ascii="仿宋" w:hAnsi="仿宋" w:eastAsia="仿宋"/>
          <w:bCs/>
          <w:sz w:val="32"/>
          <w:szCs w:val="32"/>
        </w:rPr>
        <w:t>教育（类）进修及培训（款）培训支出（项）</w:t>
      </w:r>
      <w:r>
        <w:rPr>
          <w:rStyle w:val="15"/>
          <w:rFonts w:ascii="仿宋" w:hAnsi="仿宋" w:eastAsia="仿宋"/>
          <w:bCs/>
          <w:sz w:val="32"/>
          <w:szCs w:val="32"/>
        </w:rPr>
        <w:t>:</w:t>
      </w:r>
      <w:r>
        <w:rPr>
          <w:rStyle w:val="15"/>
          <w:rFonts w:ascii="仿宋" w:hAnsi="仿宋" w:eastAsia="仿宋"/>
          <w:b w:val="0"/>
          <w:bCs/>
          <w:sz w:val="32"/>
          <w:szCs w:val="32"/>
        </w:rPr>
        <w:t xml:space="preserve"> </w:t>
      </w:r>
      <w:r>
        <w:rPr>
          <w:rStyle w:val="15"/>
          <w:rFonts w:hint="eastAsia" w:ascii="仿宋" w:hAnsi="仿宋" w:eastAsia="仿宋"/>
          <w:b w:val="0"/>
          <w:bCs/>
          <w:sz w:val="32"/>
          <w:szCs w:val="32"/>
        </w:rPr>
        <w:t>支出决算为0.25万元，完成预算25</w:t>
      </w:r>
      <w:r>
        <w:rPr>
          <w:rStyle w:val="15"/>
          <w:rFonts w:ascii="仿宋" w:hAnsi="仿宋" w:eastAsia="仿宋"/>
          <w:b w:val="0"/>
          <w:bCs/>
          <w:sz w:val="32"/>
          <w:szCs w:val="32"/>
        </w:rPr>
        <w:t>%</w:t>
      </w:r>
      <w:r>
        <w:rPr>
          <w:rStyle w:val="15"/>
          <w:rFonts w:hint="eastAsia" w:ascii="仿宋" w:hAnsi="仿宋" w:eastAsia="仿宋"/>
          <w:b w:val="0"/>
          <w:bCs/>
          <w:sz w:val="32"/>
          <w:szCs w:val="32"/>
        </w:rPr>
        <w:t>，决算数小于预算数的主要原因是</w:t>
      </w:r>
      <w:r>
        <w:rPr>
          <w:rStyle w:val="15"/>
          <w:rFonts w:hint="eastAsia" w:ascii="仿宋" w:hAnsi="仿宋" w:eastAsia="仿宋"/>
          <w:b w:val="0"/>
          <w:bCs/>
          <w:sz w:val="32"/>
          <w:szCs w:val="32"/>
          <w:lang w:val="en-US" w:eastAsia="zh-CN"/>
        </w:rPr>
        <w:t>疫情原因减少外出</w:t>
      </w:r>
      <w:r>
        <w:rPr>
          <w:rStyle w:val="15"/>
          <w:rFonts w:hint="eastAsia" w:ascii="仿宋" w:hAnsi="仿宋" w:eastAsia="仿宋"/>
          <w:b w:val="0"/>
          <w:bCs/>
          <w:sz w:val="32"/>
          <w:szCs w:val="32"/>
        </w:rPr>
        <w:t>培训。</w:t>
      </w:r>
    </w:p>
    <w:p>
      <w:pPr>
        <w:spacing w:line="600" w:lineRule="exact"/>
        <w:ind w:firstLine="643" w:firstLineChars="200"/>
        <w:rPr>
          <w:rFonts w:ascii="仿宋" w:hAnsi="仿宋" w:eastAsia="仿宋"/>
          <w:b/>
          <w:sz w:val="32"/>
          <w:szCs w:val="32"/>
        </w:rPr>
      </w:pPr>
      <w:r>
        <w:rPr>
          <w:rStyle w:val="15"/>
          <w:rFonts w:ascii="仿宋" w:hAnsi="仿宋" w:eastAsia="仿宋"/>
          <w:bCs/>
          <w:sz w:val="32"/>
          <w:szCs w:val="32"/>
        </w:rPr>
        <w:t>3.</w:t>
      </w:r>
      <w:r>
        <w:rPr>
          <w:rStyle w:val="15"/>
          <w:rFonts w:hint="eastAsia" w:ascii="仿宋" w:hAnsi="仿宋" w:eastAsia="仿宋"/>
          <w:bCs/>
          <w:sz w:val="32"/>
          <w:szCs w:val="32"/>
        </w:rPr>
        <w:t>科学技术（类）</w:t>
      </w:r>
      <w:r>
        <w:rPr>
          <w:rStyle w:val="15"/>
          <w:rFonts w:ascii="仿宋" w:hAnsi="仿宋" w:eastAsia="仿宋"/>
          <w:bCs/>
          <w:sz w:val="32"/>
          <w:szCs w:val="32"/>
        </w:rPr>
        <w:t>:</w:t>
      </w:r>
      <w:r>
        <w:rPr>
          <w:rStyle w:val="15"/>
          <w:rFonts w:ascii="仿宋" w:hAnsi="仿宋" w:eastAsia="仿宋"/>
          <w:b w:val="0"/>
          <w:bCs/>
          <w:sz w:val="32"/>
          <w:szCs w:val="32"/>
        </w:rPr>
        <w:t xml:space="preserve"> </w:t>
      </w:r>
      <w:r>
        <w:rPr>
          <w:rStyle w:val="15"/>
          <w:rFonts w:hint="eastAsia" w:ascii="仿宋" w:hAnsi="仿宋" w:eastAsia="仿宋"/>
          <w:b w:val="0"/>
          <w:bCs/>
          <w:sz w:val="32"/>
          <w:szCs w:val="32"/>
        </w:rPr>
        <w:t>无。</w:t>
      </w:r>
    </w:p>
    <w:p>
      <w:pPr>
        <w:spacing w:line="600" w:lineRule="exact"/>
        <w:ind w:firstLine="643" w:firstLineChars="200"/>
        <w:rPr>
          <w:rFonts w:ascii="仿宋" w:hAnsi="仿宋" w:eastAsia="仿宋"/>
          <w:b/>
          <w:sz w:val="32"/>
          <w:szCs w:val="32"/>
        </w:rPr>
      </w:pPr>
      <w:r>
        <w:rPr>
          <w:rStyle w:val="15"/>
          <w:rFonts w:ascii="仿宋" w:hAnsi="仿宋" w:eastAsia="仿宋"/>
          <w:bCs/>
          <w:sz w:val="32"/>
          <w:szCs w:val="32"/>
        </w:rPr>
        <w:t>4.</w:t>
      </w:r>
      <w:r>
        <w:rPr>
          <w:rStyle w:val="15"/>
          <w:rFonts w:hint="eastAsia" w:ascii="仿宋" w:hAnsi="仿宋" w:eastAsia="仿宋"/>
          <w:bCs/>
          <w:sz w:val="32"/>
          <w:szCs w:val="32"/>
        </w:rPr>
        <w:t>文化旅游体育与传媒（类）</w:t>
      </w:r>
      <w:r>
        <w:rPr>
          <w:rStyle w:val="15"/>
          <w:rFonts w:ascii="仿宋" w:hAnsi="仿宋" w:eastAsia="仿宋"/>
          <w:bCs/>
          <w:sz w:val="32"/>
          <w:szCs w:val="32"/>
        </w:rPr>
        <w:t>:</w:t>
      </w:r>
      <w:r>
        <w:rPr>
          <w:rStyle w:val="15"/>
          <w:rFonts w:ascii="仿宋" w:hAnsi="仿宋" w:eastAsia="仿宋"/>
          <w:b w:val="0"/>
          <w:bCs/>
          <w:sz w:val="32"/>
          <w:szCs w:val="32"/>
        </w:rPr>
        <w:t xml:space="preserve"> </w:t>
      </w:r>
      <w:r>
        <w:rPr>
          <w:rStyle w:val="15"/>
          <w:rFonts w:hint="eastAsia" w:ascii="仿宋" w:hAnsi="仿宋" w:eastAsia="仿宋"/>
          <w:b w:val="0"/>
          <w:bCs/>
          <w:sz w:val="32"/>
          <w:szCs w:val="32"/>
        </w:rPr>
        <w:t>无。</w:t>
      </w:r>
    </w:p>
    <w:p>
      <w:pPr>
        <w:spacing w:line="600" w:lineRule="exact"/>
        <w:ind w:firstLine="643" w:firstLineChars="200"/>
        <w:rPr>
          <w:rFonts w:ascii="仿宋" w:hAnsi="仿宋" w:eastAsia="仿宋"/>
          <w:b/>
          <w:sz w:val="32"/>
          <w:szCs w:val="32"/>
        </w:rPr>
      </w:pPr>
      <w:r>
        <w:rPr>
          <w:rStyle w:val="15"/>
          <w:rFonts w:ascii="仿宋" w:hAnsi="仿宋" w:eastAsia="仿宋"/>
          <w:bCs/>
          <w:sz w:val="32"/>
          <w:szCs w:val="32"/>
        </w:rPr>
        <w:t>5.</w:t>
      </w:r>
      <w:r>
        <w:rPr>
          <w:rStyle w:val="15"/>
          <w:rFonts w:hint="eastAsia" w:ascii="仿宋" w:hAnsi="仿宋" w:eastAsia="仿宋"/>
          <w:bCs/>
          <w:sz w:val="32"/>
          <w:szCs w:val="32"/>
        </w:rPr>
        <w:t>社会保障和就业（类）行政事业单位养老保险缴费支出（款）机关事业单位基本养老保险缴费支出（项）</w:t>
      </w:r>
      <w:r>
        <w:rPr>
          <w:rStyle w:val="15"/>
          <w:rFonts w:ascii="仿宋" w:hAnsi="仿宋" w:eastAsia="仿宋"/>
          <w:bCs/>
          <w:sz w:val="32"/>
          <w:szCs w:val="32"/>
        </w:rPr>
        <w:t>:</w:t>
      </w:r>
      <w:r>
        <w:rPr>
          <w:rStyle w:val="15"/>
          <w:rFonts w:ascii="仿宋" w:hAnsi="仿宋" w:eastAsia="仿宋"/>
          <w:b w:val="0"/>
          <w:bCs/>
          <w:sz w:val="32"/>
          <w:szCs w:val="32"/>
        </w:rPr>
        <w:t xml:space="preserve"> </w:t>
      </w:r>
      <w:r>
        <w:rPr>
          <w:rStyle w:val="15"/>
          <w:rFonts w:hint="eastAsia" w:ascii="仿宋" w:hAnsi="仿宋" w:eastAsia="仿宋"/>
          <w:b w:val="0"/>
          <w:bCs/>
          <w:sz w:val="32"/>
          <w:szCs w:val="32"/>
        </w:rPr>
        <w:t>支出决算为17万元，完成预算98.49</w:t>
      </w:r>
      <w:r>
        <w:rPr>
          <w:rStyle w:val="15"/>
          <w:rFonts w:ascii="仿宋" w:hAnsi="仿宋" w:eastAsia="仿宋"/>
          <w:b w:val="0"/>
          <w:bCs/>
          <w:sz w:val="32"/>
          <w:szCs w:val="32"/>
        </w:rPr>
        <w:t>%</w:t>
      </w:r>
      <w:r>
        <w:rPr>
          <w:rStyle w:val="15"/>
          <w:rFonts w:hint="eastAsia" w:ascii="仿宋" w:hAnsi="仿宋" w:eastAsia="仿宋"/>
          <w:b w:val="0"/>
          <w:bCs/>
          <w:sz w:val="32"/>
          <w:szCs w:val="32"/>
        </w:rPr>
        <w:t>。</w:t>
      </w:r>
      <w:r>
        <w:rPr>
          <w:rStyle w:val="15"/>
          <w:rFonts w:hint="eastAsia" w:ascii="仿宋" w:hAnsi="仿宋" w:eastAsia="仿宋"/>
          <w:bCs/>
          <w:sz w:val="32"/>
          <w:szCs w:val="32"/>
        </w:rPr>
        <w:t>社会保障和就业（类）行政事业单位养老保险缴费支出（款）机关事业单位职业年金缴费支出（项）</w:t>
      </w:r>
      <w:r>
        <w:rPr>
          <w:rStyle w:val="15"/>
          <w:rFonts w:ascii="仿宋" w:hAnsi="仿宋" w:eastAsia="仿宋"/>
          <w:bCs/>
          <w:sz w:val="32"/>
          <w:szCs w:val="32"/>
        </w:rPr>
        <w:t>:</w:t>
      </w:r>
      <w:r>
        <w:rPr>
          <w:rStyle w:val="15"/>
          <w:rFonts w:ascii="仿宋" w:hAnsi="仿宋" w:eastAsia="仿宋"/>
          <w:b w:val="0"/>
          <w:bCs/>
          <w:sz w:val="32"/>
          <w:szCs w:val="32"/>
        </w:rPr>
        <w:t xml:space="preserve"> </w:t>
      </w:r>
      <w:r>
        <w:rPr>
          <w:rStyle w:val="15"/>
          <w:rFonts w:hint="eastAsia" w:ascii="仿宋" w:hAnsi="仿宋" w:eastAsia="仿宋"/>
          <w:b w:val="0"/>
          <w:bCs/>
          <w:sz w:val="32"/>
          <w:szCs w:val="32"/>
        </w:rPr>
        <w:t>支出决算为8.6万元，完成预算99.65</w:t>
      </w:r>
      <w:r>
        <w:rPr>
          <w:rStyle w:val="15"/>
          <w:rFonts w:ascii="仿宋" w:hAnsi="仿宋" w:eastAsia="仿宋"/>
          <w:b w:val="0"/>
          <w:bCs/>
          <w:sz w:val="32"/>
          <w:szCs w:val="32"/>
        </w:rPr>
        <w:t>%</w:t>
      </w:r>
      <w:r>
        <w:rPr>
          <w:rStyle w:val="15"/>
          <w:rFonts w:hint="eastAsia" w:ascii="仿宋" w:hAnsi="仿宋" w:eastAsia="仿宋"/>
          <w:b w:val="0"/>
          <w:bCs/>
          <w:sz w:val="32"/>
          <w:szCs w:val="32"/>
        </w:rPr>
        <w:t>。</w:t>
      </w:r>
    </w:p>
    <w:p>
      <w:pPr>
        <w:spacing w:line="600" w:lineRule="exact"/>
        <w:ind w:firstLine="643" w:firstLineChars="200"/>
        <w:rPr>
          <w:rStyle w:val="15"/>
          <w:rFonts w:ascii="仿宋" w:hAnsi="仿宋" w:eastAsia="仿宋"/>
          <w:b w:val="0"/>
          <w:bCs/>
          <w:sz w:val="32"/>
          <w:szCs w:val="32"/>
        </w:rPr>
      </w:pPr>
      <w:r>
        <w:rPr>
          <w:rStyle w:val="15"/>
          <w:rFonts w:ascii="仿宋" w:hAnsi="仿宋" w:eastAsia="仿宋"/>
          <w:bCs/>
          <w:sz w:val="32"/>
          <w:szCs w:val="32"/>
        </w:rPr>
        <w:t>6.</w:t>
      </w:r>
      <w:r>
        <w:rPr>
          <w:rFonts w:hint="eastAsia" w:ascii="仿宋" w:hAnsi="仿宋" w:eastAsia="仿宋"/>
          <w:b/>
          <w:bCs/>
          <w:sz w:val="32"/>
          <w:szCs w:val="32"/>
        </w:rPr>
        <w:t>卫生健康</w:t>
      </w:r>
      <w:r>
        <w:rPr>
          <w:rStyle w:val="15"/>
          <w:rFonts w:hint="eastAsia" w:ascii="仿宋" w:hAnsi="仿宋" w:eastAsia="仿宋"/>
          <w:bCs/>
          <w:sz w:val="32"/>
          <w:szCs w:val="32"/>
        </w:rPr>
        <w:t>（类）行政事业单位医疗（款）事业单位医疗（项）</w:t>
      </w:r>
      <w:r>
        <w:rPr>
          <w:rStyle w:val="15"/>
          <w:rFonts w:ascii="仿宋" w:hAnsi="仿宋" w:eastAsia="仿宋"/>
          <w:bCs/>
          <w:sz w:val="32"/>
          <w:szCs w:val="32"/>
        </w:rPr>
        <w:t>:</w:t>
      </w:r>
      <w:r>
        <w:rPr>
          <w:rStyle w:val="15"/>
          <w:rFonts w:hint="eastAsia" w:ascii="仿宋" w:hAnsi="仿宋" w:eastAsia="仿宋"/>
          <w:b w:val="0"/>
          <w:bCs/>
          <w:sz w:val="32"/>
          <w:szCs w:val="32"/>
        </w:rPr>
        <w:t>支出决算为12.13万元，完成预算99.02</w:t>
      </w:r>
      <w:r>
        <w:rPr>
          <w:rStyle w:val="15"/>
          <w:rFonts w:ascii="仿宋" w:hAnsi="仿宋" w:eastAsia="仿宋"/>
          <w:b w:val="0"/>
          <w:bCs/>
          <w:sz w:val="32"/>
          <w:szCs w:val="32"/>
        </w:rPr>
        <w:t>%</w:t>
      </w:r>
      <w:r>
        <w:rPr>
          <w:rStyle w:val="15"/>
          <w:rFonts w:hint="eastAsia" w:ascii="仿宋" w:hAnsi="仿宋" w:eastAsia="仿宋"/>
          <w:b w:val="0"/>
          <w:bCs/>
          <w:sz w:val="32"/>
          <w:szCs w:val="32"/>
        </w:rPr>
        <w:t>。</w:t>
      </w:r>
    </w:p>
    <w:p>
      <w:pPr>
        <w:pStyle w:val="6"/>
        <w:spacing w:before="93"/>
        <w:ind w:firstLine="643" w:firstLineChars="200"/>
        <w:rPr>
          <w:rStyle w:val="15"/>
          <w:rFonts w:ascii="仿宋" w:hAnsi="仿宋" w:eastAsia="仿宋"/>
          <w:b w:val="0"/>
          <w:bCs/>
          <w:sz w:val="32"/>
          <w:szCs w:val="32"/>
        </w:rPr>
      </w:pPr>
      <w:r>
        <w:rPr>
          <w:rStyle w:val="15"/>
          <w:rFonts w:hint="eastAsia" w:ascii="仿宋" w:hAnsi="仿宋" w:eastAsia="仿宋"/>
          <w:bCs/>
          <w:sz w:val="32"/>
          <w:szCs w:val="32"/>
        </w:rPr>
        <w:t>7</w:t>
      </w:r>
      <w:r>
        <w:rPr>
          <w:rStyle w:val="15"/>
          <w:rFonts w:ascii="仿宋" w:hAnsi="仿宋" w:eastAsia="仿宋"/>
          <w:bCs/>
          <w:sz w:val="32"/>
          <w:szCs w:val="32"/>
        </w:rPr>
        <w:t>.</w:t>
      </w:r>
      <w:r>
        <w:rPr>
          <w:rStyle w:val="15"/>
          <w:rFonts w:hint="eastAsia" w:ascii="仿宋" w:hAnsi="仿宋" w:eastAsia="仿宋"/>
          <w:bCs/>
          <w:sz w:val="32"/>
          <w:szCs w:val="32"/>
        </w:rPr>
        <w:t>城乡社区支出（类）城乡社区管理事务（款）其他城乡社区管理事务支出（项）</w:t>
      </w:r>
      <w:r>
        <w:rPr>
          <w:rStyle w:val="15"/>
          <w:rFonts w:ascii="仿宋" w:hAnsi="仿宋" w:eastAsia="仿宋"/>
          <w:bCs/>
          <w:sz w:val="32"/>
          <w:szCs w:val="32"/>
        </w:rPr>
        <w:t>:</w:t>
      </w:r>
      <w:r>
        <w:rPr>
          <w:rStyle w:val="15"/>
          <w:rFonts w:ascii="仿宋" w:hAnsi="仿宋" w:eastAsia="仿宋"/>
          <w:b w:val="0"/>
          <w:bCs/>
          <w:sz w:val="32"/>
          <w:szCs w:val="32"/>
        </w:rPr>
        <w:t xml:space="preserve"> </w:t>
      </w:r>
      <w:r>
        <w:rPr>
          <w:rStyle w:val="15"/>
          <w:rFonts w:hint="eastAsia" w:ascii="仿宋" w:hAnsi="仿宋" w:eastAsia="仿宋"/>
          <w:b w:val="0"/>
          <w:bCs/>
          <w:sz w:val="32"/>
          <w:szCs w:val="32"/>
        </w:rPr>
        <w:t>支出决算为193.77万元，完成预算92.02</w:t>
      </w:r>
      <w:r>
        <w:rPr>
          <w:rStyle w:val="15"/>
          <w:rFonts w:ascii="仿宋" w:hAnsi="仿宋" w:eastAsia="仿宋"/>
          <w:b w:val="0"/>
          <w:bCs/>
          <w:sz w:val="32"/>
          <w:szCs w:val="32"/>
        </w:rPr>
        <w:t>%</w:t>
      </w:r>
      <w:r>
        <w:rPr>
          <w:rStyle w:val="15"/>
          <w:rFonts w:hint="eastAsia" w:ascii="仿宋" w:hAnsi="仿宋" w:eastAsia="仿宋"/>
          <w:b w:val="0"/>
          <w:bCs/>
          <w:sz w:val="32"/>
          <w:szCs w:val="32"/>
        </w:rPr>
        <w:t>，决算数小于预算数的主要原因是疫情原因减少部分开支。</w:t>
      </w:r>
    </w:p>
    <w:p>
      <w:pPr>
        <w:pStyle w:val="6"/>
        <w:spacing w:before="93"/>
        <w:ind w:firstLine="643" w:firstLineChars="200"/>
        <w:rPr>
          <w:rStyle w:val="15"/>
          <w:rFonts w:ascii="仿宋" w:hAnsi="仿宋" w:eastAsia="仿宋"/>
          <w:b w:val="0"/>
          <w:bCs/>
          <w:sz w:val="32"/>
          <w:szCs w:val="32"/>
          <w:highlight w:val="none"/>
        </w:rPr>
      </w:pPr>
      <w:r>
        <w:rPr>
          <w:rStyle w:val="15"/>
          <w:rFonts w:hint="eastAsia" w:ascii="仿宋" w:hAnsi="仿宋" w:eastAsia="仿宋"/>
          <w:bCs/>
          <w:sz w:val="32"/>
          <w:szCs w:val="32"/>
        </w:rPr>
        <w:t>8</w:t>
      </w:r>
      <w:r>
        <w:rPr>
          <w:rStyle w:val="15"/>
          <w:rFonts w:ascii="仿宋" w:hAnsi="仿宋" w:eastAsia="仿宋"/>
          <w:bCs/>
          <w:sz w:val="32"/>
          <w:szCs w:val="32"/>
        </w:rPr>
        <w:t>.</w:t>
      </w:r>
      <w:r>
        <w:rPr>
          <w:rStyle w:val="15"/>
          <w:rFonts w:hint="eastAsia" w:ascii="仿宋" w:hAnsi="仿宋" w:eastAsia="仿宋"/>
          <w:bCs/>
          <w:sz w:val="32"/>
          <w:szCs w:val="32"/>
        </w:rPr>
        <w:t>住房保障支出（类）住房改革支出（款）住房公积金（项）</w:t>
      </w:r>
      <w:r>
        <w:rPr>
          <w:rStyle w:val="15"/>
          <w:rFonts w:ascii="仿宋" w:hAnsi="仿宋" w:eastAsia="仿宋"/>
          <w:bCs/>
          <w:sz w:val="32"/>
          <w:szCs w:val="32"/>
        </w:rPr>
        <w:t>:</w:t>
      </w:r>
      <w:r>
        <w:rPr>
          <w:rStyle w:val="15"/>
          <w:rFonts w:ascii="仿宋" w:hAnsi="仿宋" w:eastAsia="仿宋"/>
          <w:b w:val="0"/>
          <w:bCs/>
          <w:sz w:val="32"/>
          <w:szCs w:val="32"/>
        </w:rPr>
        <w:t xml:space="preserve"> </w:t>
      </w:r>
      <w:r>
        <w:rPr>
          <w:rStyle w:val="15"/>
          <w:rFonts w:hint="eastAsia" w:ascii="仿宋" w:hAnsi="仿宋" w:eastAsia="仿宋"/>
          <w:b w:val="0"/>
          <w:bCs/>
          <w:sz w:val="32"/>
          <w:szCs w:val="32"/>
        </w:rPr>
        <w:t>支出决算为12.59万元，完成预算97.22</w:t>
      </w:r>
      <w:r>
        <w:rPr>
          <w:rStyle w:val="15"/>
          <w:rFonts w:ascii="仿宋" w:hAnsi="仿宋" w:eastAsia="仿宋"/>
          <w:b w:val="0"/>
          <w:bCs/>
          <w:sz w:val="32"/>
          <w:szCs w:val="32"/>
        </w:rPr>
        <w:t>%</w:t>
      </w:r>
      <w:r>
        <w:rPr>
          <w:rStyle w:val="15"/>
          <w:rFonts w:hint="eastAsia" w:ascii="仿宋" w:hAnsi="仿宋" w:eastAsia="仿宋"/>
          <w:b w:val="0"/>
          <w:bCs/>
          <w:sz w:val="32"/>
          <w:szCs w:val="32"/>
        </w:rPr>
        <w:t>。</w:t>
      </w:r>
      <w:r>
        <w:rPr>
          <w:rStyle w:val="15"/>
          <w:rFonts w:hint="eastAsia" w:ascii="仿宋" w:hAnsi="仿宋" w:eastAsia="仿宋"/>
          <w:bCs/>
          <w:sz w:val="32"/>
          <w:szCs w:val="32"/>
        </w:rPr>
        <w:t>住房保障支出（类）住房改革支出（款）购房补贴（项）</w:t>
      </w:r>
      <w:r>
        <w:rPr>
          <w:rStyle w:val="15"/>
          <w:rFonts w:ascii="仿宋" w:hAnsi="仿宋" w:eastAsia="仿宋"/>
          <w:bCs/>
          <w:sz w:val="32"/>
          <w:szCs w:val="32"/>
        </w:rPr>
        <w:t>:</w:t>
      </w:r>
      <w:r>
        <w:rPr>
          <w:rStyle w:val="15"/>
          <w:rFonts w:ascii="仿宋" w:hAnsi="仿宋" w:eastAsia="仿宋"/>
          <w:b w:val="0"/>
          <w:bCs/>
          <w:sz w:val="32"/>
          <w:szCs w:val="32"/>
        </w:rPr>
        <w:t xml:space="preserve"> </w:t>
      </w:r>
      <w:r>
        <w:rPr>
          <w:rStyle w:val="15"/>
          <w:rFonts w:hint="eastAsia" w:ascii="仿宋" w:hAnsi="仿宋" w:eastAsia="仿宋"/>
          <w:b w:val="0"/>
          <w:bCs/>
          <w:sz w:val="32"/>
          <w:szCs w:val="32"/>
        </w:rPr>
        <w:t>支出决算为36.66万元，完成预算62.75</w:t>
      </w:r>
      <w:r>
        <w:rPr>
          <w:rStyle w:val="15"/>
          <w:rFonts w:ascii="仿宋" w:hAnsi="仿宋" w:eastAsia="仿宋"/>
          <w:b w:val="0"/>
          <w:bCs/>
          <w:sz w:val="32"/>
          <w:szCs w:val="32"/>
        </w:rPr>
        <w:t>%</w:t>
      </w:r>
      <w:r>
        <w:rPr>
          <w:rStyle w:val="15"/>
          <w:rFonts w:hint="eastAsia" w:ascii="仿宋" w:hAnsi="仿宋" w:eastAsia="仿宋"/>
          <w:b w:val="0"/>
          <w:bCs/>
          <w:sz w:val="32"/>
          <w:szCs w:val="32"/>
        </w:rPr>
        <w:t>。</w:t>
      </w:r>
      <w:r>
        <w:rPr>
          <w:rStyle w:val="15"/>
          <w:rFonts w:hint="eastAsia" w:ascii="仿宋" w:hAnsi="仿宋" w:eastAsia="仿宋"/>
          <w:b w:val="0"/>
          <w:bCs/>
          <w:sz w:val="32"/>
          <w:szCs w:val="32"/>
          <w:highlight w:val="none"/>
        </w:rPr>
        <w:t>决算数小于预算数的主要原因是</w:t>
      </w:r>
      <w:r>
        <w:rPr>
          <w:rStyle w:val="15"/>
          <w:rFonts w:hint="eastAsia" w:ascii="仿宋" w:hAnsi="仿宋" w:eastAsia="仿宋"/>
          <w:b w:val="0"/>
          <w:bCs/>
          <w:sz w:val="32"/>
          <w:szCs w:val="32"/>
          <w:highlight w:val="none"/>
          <w:lang w:val="en-US" w:eastAsia="zh-CN"/>
        </w:rPr>
        <w:t>部分无房职工住房补贴暂未办理完结</w:t>
      </w:r>
      <w:r>
        <w:rPr>
          <w:rStyle w:val="15"/>
          <w:rFonts w:hint="eastAsia" w:ascii="仿宋" w:hAnsi="仿宋" w:eastAsia="仿宋"/>
          <w:b w:val="0"/>
          <w:bCs/>
          <w:sz w:val="32"/>
          <w:szCs w:val="32"/>
          <w:highlight w:val="none"/>
        </w:rPr>
        <w:t>。</w:t>
      </w:r>
    </w:p>
    <w:p>
      <w:pPr>
        <w:pStyle w:val="6"/>
        <w:spacing w:before="93"/>
        <w:ind w:firstLine="643" w:firstLineChars="200"/>
        <w:rPr>
          <w:rFonts w:ascii="仿宋" w:hAnsi="仿宋" w:eastAsia="仿宋"/>
          <w:b/>
          <w:sz w:val="32"/>
          <w:szCs w:val="32"/>
        </w:rPr>
      </w:pPr>
      <w:r>
        <w:rPr>
          <w:rStyle w:val="15"/>
          <w:rFonts w:hint="eastAsia" w:ascii="仿宋" w:hAnsi="仿宋" w:eastAsia="仿宋"/>
          <w:bCs/>
          <w:sz w:val="32"/>
          <w:szCs w:val="32"/>
        </w:rPr>
        <w:t>9.灾害防治及应急管理支出（类）应急管理事务（款）其他应急管理支出（项）</w:t>
      </w:r>
      <w:r>
        <w:rPr>
          <w:rStyle w:val="15"/>
          <w:rFonts w:ascii="仿宋" w:hAnsi="仿宋" w:eastAsia="仿宋"/>
          <w:bCs/>
          <w:sz w:val="32"/>
          <w:szCs w:val="32"/>
        </w:rPr>
        <w:t>:</w:t>
      </w:r>
      <w:r>
        <w:rPr>
          <w:rStyle w:val="15"/>
          <w:rFonts w:ascii="仿宋" w:hAnsi="仿宋" w:eastAsia="仿宋"/>
          <w:b w:val="0"/>
          <w:bCs/>
          <w:sz w:val="32"/>
          <w:szCs w:val="32"/>
        </w:rPr>
        <w:t xml:space="preserve"> </w:t>
      </w:r>
      <w:r>
        <w:rPr>
          <w:rStyle w:val="15"/>
          <w:rFonts w:hint="eastAsia" w:ascii="仿宋" w:hAnsi="仿宋" w:eastAsia="仿宋"/>
          <w:b w:val="0"/>
          <w:bCs/>
          <w:sz w:val="32"/>
          <w:szCs w:val="32"/>
        </w:rPr>
        <w:t>支出决算为0.16万元，完成预算100</w:t>
      </w:r>
      <w:r>
        <w:rPr>
          <w:rStyle w:val="15"/>
          <w:rFonts w:ascii="仿宋" w:hAnsi="仿宋" w:eastAsia="仿宋"/>
          <w:b w:val="0"/>
          <w:bCs/>
          <w:sz w:val="32"/>
          <w:szCs w:val="32"/>
        </w:rPr>
        <w:t>%</w:t>
      </w:r>
      <w:r>
        <w:rPr>
          <w:rStyle w:val="15"/>
          <w:rFonts w:hint="eastAsia" w:ascii="仿宋" w:hAnsi="仿宋" w:eastAsia="仿宋"/>
          <w:b w:val="0"/>
          <w:bCs/>
          <w:sz w:val="32"/>
          <w:szCs w:val="32"/>
        </w:rPr>
        <w:t>。</w:t>
      </w:r>
    </w:p>
    <w:p>
      <w:pPr>
        <w:tabs>
          <w:tab w:val="right" w:pos="8306"/>
        </w:tabs>
        <w:spacing w:line="600" w:lineRule="exact"/>
        <w:ind w:firstLine="640"/>
        <w:outlineLvl w:val="1"/>
        <w:rPr>
          <w:rStyle w:val="25"/>
        </w:rPr>
      </w:pPr>
      <w:bookmarkStart w:id="47" w:name="_Toc15377214"/>
      <w:bookmarkStart w:id="48" w:name="_Toc26140"/>
      <w:bookmarkStart w:id="49" w:name="_Toc15396608"/>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25"/>
          <w:rFonts w:hint="eastAsia" w:ascii="黑体" w:hAnsi="黑体" w:eastAsia="黑体"/>
          <w:b w:val="0"/>
        </w:rPr>
        <w:t>般公共预算财政拨款基本支出决算情况说明</w:t>
      </w:r>
      <w:bookmarkEnd w:id="47"/>
      <w:bookmarkEnd w:id="48"/>
      <w:bookmarkEnd w:id="49"/>
      <w:r>
        <w:rPr>
          <w:rStyle w:val="25"/>
          <w:rFonts w:ascii="黑体" w:hAnsi="黑体" w:eastAsia="黑体"/>
          <w:b w:val="0"/>
        </w:rPr>
        <w:tab/>
      </w:r>
    </w:p>
    <w:p>
      <w:pPr>
        <w:spacing w:line="600" w:lineRule="exact"/>
        <w:ind w:firstLine="645"/>
        <w:rPr>
          <w:rFonts w:ascii="仿宋" w:hAnsi="仿宋" w:eastAsia="仿宋"/>
          <w:sz w:val="32"/>
          <w:szCs w:val="32"/>
        </w:rPr>
      </w:pPr>
      <w:r>
        <w:rPr>
          <w:rFonts w:ascii="仿宋" w:hAnsi="仿宋" w:eastAsia="仿宋"/>
          <w:sz w:val="32"/>
          <w:szCs w:val="32"/>
        </w:rPr>
        <w:t>20</w:t>
      </w:r>
      <w:r>
        <w:rPr>
          <w:rFonts w:hint="eastAsia" w:ascii="仿宋" w:hAnsi="仿宋" w:eastAsia="仿宋"/>
          <w:sz w:val="32"/>
          <w:szCs w:val="32"/>
        </w:rPr>
        <w:t>20年一般公共预算财政拨款基本支出238.87万元，其中：人员经费201.8万元，主要包括：基本工资、津贴补贴、奖金、绩效工资、机关事业单位基本养老保险缴费、职业年金缴费、其他社会保障缴费、其他工资福利支出、奖励金、住房公积金、其他对个人和家庭的补助支出等。</w:t>
      </w:r>
    </w:p>
    <w:p>
      <w:pPr>
        <w:spacing w:line="600" w:lineRule="exact"/>
        <w:ind w:firstLine="645"/>
        <w:rPr>
          <w:rFonts w:ascii="仿宋" w:hAnsi="仿宋" w:eastAsia="仿宋"/>
          <w:sz w:val="32"/>
          <w:szCs w:val="32"/>
        </w:rPr>
      </w:pPr>
      <w:r>
        <w:rPr>
          <w:rFonts w:hint="eastAsia" w:ascii="仿宋" w:hAnsi="仿宋" w:eastAsia="仿宋"/>
          <w:sz w:val="32"/>
          <w:szCs w:val="32"/>
        </w:rPr>
        <w:t>公用经费37.08万元，主要包括：办公费、印刷费、咨询费、手续费、水费、电费、邮电费、物业管理费、差旅费、维修（护）费、会议费、培训费、公务接待费、劳务费、工会经费、福利费、公务用车运行维护费、其他商品和服务支出等。</w:t>
      </w:r>
    </w:p>
    <w:p>
      <w:pPr>
        <w:spacing w:line="600" w:lineRule="exact"/>
        <w:ind w:firstLine="640" w:firstLineChars="200"/>
        <w:outlineLvl w:val="1"/>
        <w:rPr>
          <w:rStyle w:val="25"/>
          <w:rFonts w:ascii="黑体" w:hAnsi="黑体" w:eastAsia="黑体"/>
          <w:b w:val="0"/>
        </w:rPr>
      </w:pPr>
      <w:bookmarkStart w:id="50" w:name="_Toc18827"/>
      <w:bookmarkStart w:id="51" w:name="_Toc15396609"/>
      <w:bookmarkStart w:id="52" w:name="_Toc15377215"/>
      <w:r>
        <w:rPr>
          <w:rFonts w:hint="eastAsia" w:ascii="黑体" w:eastAsia="黑体"/>
          <w:sz w:val="32"/>
          <w:szCs w:val="32"/>
        </w:rPr>
        <w:t>七、</w:t>
      </w:r>
      <w:r>
        <w:rPr>
          <w:rStyle w:val="25"/>
          <w:rFonts w:hint="eastAsia" w:ascii="黑体" w:hAnsi="黑体" w:eastAsia="黑体"/>
        </w:rPr>
        <w:t>“</w:t>
      </w:r>
      <w:r>
        <w:rPr>
          <w:rStyle w:val="25"/>
          <w:rFonts w:hint="eastAsia" w:ascii="黑体" w:hAnsi="黑体" w:eastAsia="黑体"/>
          <w:b w:val="0"/>
        </w:rPr>
        <w:t>三公”经费财政拨款支出决算情况说明</w:t>
      </w:r>
      <w:bookmarkEnd w:id="50"/>
      <w:bookmarkEnd w:id="51"/>
      <w:bookmarkEnd w:id="52"/>
    </w:p>
    <w:p>
      <w:pPr>
        <w:spacing w:line="600" w:lineRule="exact"/>
        <w:ind w:firstLine="640"/>
        <w:outlineLvl w:val="2"/>
        <w:rPr>
          <w:rFonts w:ascii="仿宋" w:hAnsi="仿宋" w:eastAsia="仿宋"/>
          <w:b/>
          <w:sz w:val="32"/>
          <w:szCs w:val="32"/>
        </w:rPr>
      </w:pPr>
      <w:bookmarkStart w:id="53" w:name="_Toc15377216"/>
      <w:r>
        <w:rPr>
          <w:rFonts w:hint="eastAsia" w:ascii="仿宋" w:hAnsi="仿宋" w:eastAsia="仿宋"/>
          <w:b/>
          <w:sz w:val="32"/>
          <w:szCs w:val="32"/>
        </w:rPr>
        <w:t>（一）“三公”经费财政拨款支出决算总体情况说明</w:t>
      </w:r>
      <w:bookmarkEnd w:id="53"/>
    </w:p>
    <w:p>
      <w:pPr>
        <w:spacing w:line="600" w:lineRule="exact"/>
        <w:ind w:firstLine="640"/>
        <w:rPr>
          <w:rFonts w:ascii="仿宋" w:hAnsi="仿宋" w:eastAsia="仿宋"/>
          <w:sz w:val="32"/>
          <w:szCs w:val="32"/>
        </w:rPr>
      </w:pPr>
      <w:r>
        <w:rPr>
          <w:rFonts w:ascii="仿宋" w:hAnsi="仿宋" w:eastAsia="仿宋"/>
          <w:sz w:val="32"/>
          <w:szCs w:val="32"/>
        </w:rPr>
        <w:t>20</w:t>
      </w:r>
      <w:r>
        <w:rPr>
          <w:rFonts w:hint="eastAsia" w:ascii="仿宋" w:hAnsi="仿宋" w:eastAsia="仿宋"/>
          <w:sz w:val="32"/>
          <w:szCs w:val="32"/>
        </w:rPr>
        <w:t>20年“三公”经费财政拨款支出决算为5.65万元，完成预算86</w:t>
      </w:r>
      <w:r>
        <w:rPr>
          <w:rFonts w:ascii="仿宋" w:hAnsi="仿宋" w:eastAsia="仿宋"/>
          <w:sz w:val="32"/>
          <w:szCs w:val="32"/>
        </w:rPr>
        <w:t>%</w:t>
      </w:r>
      <w:r>
        <w:rPr>
          <w:rFonts w:hint="eastAsia" w:ascii="仿宋" w:hAnsi="仿宋" w:eastAsia="仿宋"/>
          <w:sz w:val="32"/>
          <w:szCs w:val="32"/>
        </w:rPr>
        <w:t>，决算数小于预算数（或与预算数持平）的主要原因是疫情原因减少接待费开支。</w:t>
      </w:r>
    </w:p>
    <w:p>
      <w:pPr>
        <w:spacing w:line="600" w:lineRule="exact"/>
        <w:ind w:firstLine="640"/>
        <w:outlineLvl w:val="2"/>
        <w:rPr>
          <w:rFonts w:ascii="仿宋" w:hAnsi="仿宋" w:eastAsia="仿宋"/>
          <w:b/>
          <w:sz w:val="32"/>
          <w:szCs w:val="32"/>
        </w:rPr>
      </w:pPr>
      <w:bookmarkStart w:id="54" w:name="_Toc15377217"/>
      <w:r>
        <w:rPr>
          <w:rFonts w:hint="eastAsia" w:ascii="仿宋" w:hAnsi="仿宋" w:eastAsia="仿宋"/>
          <w:b/>
          <w:sz w:val="32"/>
          <w:szCs w:val="32"/>
        </w:rPr>
        <w:t>（二）“三公”经费财政拨款支出决算具体情况说明</w:t>
      </w:r>
      <w:bookmarkEnd w:id="54"/>
    </w:p>
    <w:p>
      <w:pPr>
        <w:spacing w:line="600" w:lineRule="exact"/>
        <w:ind w:firstLine="640"/>
        <w:rPr>
          <w:rFonts w:ascii="仿宋" w:hAnsi="仿宋" w:eastAsia="仿宋"/>
          <w:sz w:val="32"/>
          <w:szCs w:val="32"/>
        </w:rPr>
      </w:pPr>
      <w:r>
        <w:rPr>
          <w:rFonts w:ascii="仿宋" w:hAnsi="仿宋" w:eastAsia="仿宋"/>
          <w:sz w:val="32"/>
          <w:szCs w:val="32"/>
        </w:rPr>
        <w:t>20</w:t>
      </w:r>
      <w:r>
        <w:rPr>
          <w:rFonts w:hint="eastAsia" w:ascii="仿宋" w:hAnsi="仿宋" w:eastAsia="仿宋"/>
          <w:sz w:val="32"/>
          <w:szCs w:val="32"/>
        </w:rPr>
        <w:t>20年“三公”经费财政拨款支出决算中，因公出国（境）费支出决算0万元，占0</w:t>
      </w:r>
      <w:r>
        <w:rPr>
          <w:rFonts w:ascii="仿宋" w:hAnsi="仿宋" w:eastAsia="仿宋"/>
          <w:sz w:val="32"/>
          <w:szCs w:val="32"/>
        </w:rPr>
        <w:t>%</w:t>
      </w:r>
      <w:r>
        <w:rPr>
          <w:rFonts w:hint="eastAsia" w:ascii="仿宋" w:hAnsi="仿宋" w:eastAsia="仿宋"/>
          <w:sz w:val="32"/>
          <w:szCs w:val="32"/>
        </w:rPr>
        <w:t>；公务用车购置及运行维护费支出决算5.65万元，占100</w:t>
      </w:r>
      <w:r>
        <w:rPr>
          <w:rFonts w:ascii="仿宋" w:hAnsi="仿宋" w:eastAsia="仿宋"/>
          <w:sz w:val="32"/>
          <w:szCs w:val="32"/>
        </w:rPr>
        <w:t>%</w:t>
      </w:r>
      <w:r>
        <w:rPr>
          <w:rFonts w:hint="eastAsia" w:ascii="仿宋" w:hAnsi="仿宋" w:eastAsia="仿宋"/>
          <w:sz w:val="32"/>
          <w:szCs w:val="32"/>
        </w:rPr>
        <w:t>；公务接待费支出决算0万元，占0</w:t>
      </w:r>
      <w:r>
        <w:rPr>
          <w:rFonts w:ascii="仿宋" w:hAnsi="仿宋" w:eastAsia="仿宋"/>
          <w:sz w:val="32"/>
          <w:szCs w:val="32"/>
        </w:rPr>
        <w:t>%</w:t>
      </w:r>
      <w:r>
        <w:rPr>
          <w:rFonts w:hint="eastAsia" w:ascii="仿宋" w:hAnsi="仿宋" w:eastAsia="仿宋"/>
          <w:sz w:val="32"/>
          <w:szCs w:val="32"/>
        </w:rPr>
        <w:t>。具体情况如下：</w:t>
      </w:r>
    </w:p>
    <w:p>
      <w:pPr>
        <w:pStyle w:val="6"/>
        <w:spacing w:before="93"/>
        <w:rPr>
          <w:rFonts w:ascii="仿宋" w:hAnsi="仿宋" w:eastAsia="仿宋"/>
          <w:sz w:val="32"/>
          <w:szCs w:val="32"/>
        </w:rPr>
      </w:pPr>
      <w:r>
        <w:rPr>
          <w:rFonts w:hint="eastAsia"/>
          <w:lang w:val="en-US" w:eastAsia="zh-CN"/>
        </w:rPr>
        <w:t xml:space="preserve">   </w:t>
      </w:r>
      <w:r>
        <w:drawing>
          <wp:inline distT="0" distB="0" distL="114300" distR="114300">
            <wp:extent cx="4388485" cy="2569210"/>
            <wp:effectExtent l="0" t="0" r="12065" b="2540"/>
            <wp:docPr id="10"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pPr>
        <w:spacing w:line="600" w:lineRule="exact"/>
        <w:ind w:firstLine="640"/>
        <w:rPr>
          <w:rFonts w:ascii="仿宋" w:hAnsi="仿宋" w:eastAsia="仿宋"/>
          <w:sz w:val="32"/>
          <w:szCs w:val="32"/>
        </w:rPr>
      </w:pPr>
      <w:r>
        <w:rPr>
          <w:rFonts w:hint="eastAsia" w:ascii="仿宋" w:hAnsi="仿宋" w:eastAsia="仿宋"/>
          <w:sz w:val="32"/>
          <w:szCs w:val="32"/>
        </w:rPr>
        <w:t>（图7：“三公”经费财政拨款支出结构）（饼状图）</w:t>
      </w:r>
    </w:p>
    <w:p>
      <w:pPr>
        <w:spacing w:line="600" w:lineRule="exact"/>
        <w:ind w:firstLine="640"/>
        <w:rPr>
          <w:rFonts w:ascii="仿宋_GB2312" w:eastAsia="仿宋_GB2312"/>
          <w:sz w:val="32"/>
          <w:szCs w:val="32"/>
        </w:rPr>
      </w:pPr>
      <w:r>
        <w:rPr>
          <w:rFonts w:ascii="仿宋_GB2312" w:eastAsia="仿宋_GB2312"/>
          <w:b/>
          <w:sz w:val="32"/>
          <w:szCs w:val="32"/>
        </w:rPr>
        <w:t>1.</w:t>
      </w:r>
      <w:r>
        <w:rPr>
          <w:rFonts w:hint="eastAsia" w:ascii="仿宋_GB2312" w:eastAsia="仿宋_GB2312"/>
          <w:b/>
          <w:sz w:val="32"/>
          <w:szCs w:val="32"/>
        </w:rPr>
        <w:t>因公出国（境）经费支出</w:t>
      </w:r>
      <w:r>
        <w:rPr>
          <w:rFonts w:hint="eastAsia" w:ascii="仿宋_GB2312" w:eastAsia="仿宋_GB2312"/>
          <w:sz w:val="32"/>
          <w:szCs w:val="32"/>
        </w:rPr>
        <w:t>0万元</w:t>
      </w:r>
      <w:r>
        <w:rPr>
          <w:rStyle w:val="15"/>
          <w:rFonts w:hint="eastAsia" w:ascii="仿宋" w:hAnsi="仿宋" w:eastAsia="仿宋"/>
          <w:b w:val="0"/>
          <w:bCs/>
          <w:sz w:val="32"/>
          <w:szCs w:val="32"/>
        </w:rPr>
        <w:t>。</w:t>
      </w:r>
    </w:p>
    <w:p>
      <w:pPr>
        <w:spacing w:line="600" w:lineRule="exact"/>
        <w:ind w:firstLine="640"/>
        <w:rPr>
          <w:rFonts w:ascii="仿宋_GB2312" w:eastAsia="仿宋_GB2312"/>
          <w:b/>
          <w:sz w:val="32"/>
          <w:szCs w:val="32"/>
        </w:rPr>
      </w:pPr>
      <w:r>
        <w:rPr>
          <w:rFonts w:ascii="仿宋_GB2312" w:eastAsia="仿宋_GB2312"/>
          <w:b/>
          <w:sz w:val="32"/>
          <w:szCs w:val="32"/>
        </w:rPr>
        <w:t>2.</w:t>
      </w:r>
      <w:r>
        <w:rPr>
          <w:rFonts w:hint="eastAsia" w:ascii="仿宋_GB2312" w:eastAsia="仿宋_GB2312"/>
          <w:b/>
          <w:sz w:val="32"/>
          <w:szCs w:val="32"/>
        </w:rPr>
        <w:t>公务用车购置及运行维护费支出</w:t>
      </w:r>
      <w:r>
        <w:rPr>
          <w:rFonts w:hint="eastAsia" w:ascii="仿宋_GB2312" w:eastAsia="仿宋_GB2312"/>
          <w:sz w:val="32"/>
          <w:szCs w:val="32"/>
        </w:rPr>
        <w:t>5.65万元,</w:t>
      </w:r>
      <w:r>
        <w:rPr>
          <w:rStyle w:val="15"/>
          <w:rFonts w:hint="eastAsia" w:ascii="仿宋" w:hAnsi="仿宋" w:eastAsia="仿宋"/>
          <w:b w:val="0"/>
          <w:bCs/>
          <w:sz w:val="32"/>
          <w:szCs w:val="32"/>
        </w:rPr>
        <w:t>完成预算86</w:t>
      </w:r>
      <w:r>
        <w:rPr>
          <w:rStyle w:val="15"/>
          <w:rFonts w:ascii="仿宋" w:hAnsi="仿宋" w:eastAsia="仿宋"/>
          <w:b w:val="0"/>
          <w:bCs/>
          <w:sz w:val="32"/>
          <w:szCs w:val="32"/>
        </w:rPr>
        <w:t>%</w:t>
      </w:r>
      <w:r>
        <w:rPr>
          <w:rStyle w:val="15"/>
          <w:rFonts w:hint="eastAsia" w:ascii="仿宋" w:hAnsi="仿宋" w:eastAsia="仿宋"/>
          <w:b w:val="0"/>
          <w:bCs/>
          <w:sz w:val="32"/>
          <w:szCs w:val="32"/>
        </w:rPr>
        <w:t>。</w:t>
      </w:r>
      <w:r>
        <w:rPr>
          <w:rFonts w:hint="eastAsia" w:ascii="仿宋_GB2312" w:eastAsia="仿宋_GB2312"/>
          <w:sz w:val="32"/>
          <w:szCs w:val="32"/>
        </w:rPr>
        <w:t>公务用车购置及运行维护费支出决算比</w:t>
      </w:r>
      <w:r>
        <w:rPr>
          <w:rFonts w:ascii="仿宋_GB2312" w:eastAsia="仿宋_GB2312"/>
          <w:sz w:val="32"/>
          <w:szCs w:val="32"/>
        </w:rPr>
        <w:t>201</w:t>
      </w:r>
      <w:r>
        <w:rPr>
          <w:rFonts w:hint="eastAsia" w:ascii="仿宋_GB2312" w:eastAsia="仿宋_GB2312"/>
          <w:sz w:val="32"/>
          <w:szCs w:val="32"/>
        </w:rPr>
        <w:t>9年增加0.32万元，增长5.67</w:t>
      </w:r>
      <w:r>
        <w:rPr>
          <w:rFonts w:ascii="仿宋_GB2312" w:eastAsia="仿宋_GB2312"/>
          <w:sz w:val="32"/>
          <w:szCs w:val="32"/>
        </w:rPr>
        <w:t>%</w:t>
      </w:r>
      <w:r>
        <w:rPr>
          <w:rFonts w:hint="eastAsia" w:ascii="仿宋_GB2312" w:eastAsia="仿宋_GB2312"/>
          <w:sz w:val="32"/>
          <w:szCs w:val="32"/>
        </w:rPr>
        <w:t>。主要原因是</w:t>
      </w:r>
      <w:r>
        <w:rPr>
          <w:rFonts w:hint="eastAsia" w:ascii="仿宋_GB2312" w:eastAsia="仿宋_GB2312"/>
          <w:sz w:val="32"/>
          <w:szCs w:val="32"/>
          <w:lang w:val="en-US" w:eastAsia="zh-CN"/>
        </w:rPr>
        <w:t>代建工作任务中，工期紧，增加往返项目公车运行费用。</w:t>
      </w:r>
    </w:p>
    <w:p>
      <w:pPr>
        <w:spacing w:line="600" w:lineRule="exact"/>
        <w:ind w:firstLine="640" w:firstLineChars="200"/>
        <w:rPr>
          <w:rFonts w:ascii="仿宋_GB2312" w:eastAsia="仿宋_GB2312"/>
          <w:b/>
          <w:sz w:val="32"/>
          <w:szCs w:val="32"/>
        </w:rPr>
      </w:pPr>
      <w:r>
        <w:rPr>
          <w:rFonts w:hint="eastAsia" w:ascii="仿宋_GB2312" w:eastAsia="仿宋_GB2312"/>
          <w:sz w:val="32"/>
          <w:szCs w:val="32"/>
        </w:rPr>
        <w:t>其中：</w:t>
      </w:r>
      <w:r>
        <w:rPr>
          <w:rFonts w:hint="eastAsia" w:ascii="仿宋_GB2312" w:eastAsia="仿宋_GB2312"/>
          <w:b/>
          <w:sz w:val="32"/>
          <w:szCs w:val="32"/>
        </w:rPr>
        <w:t>公务用车购置支出</w:t>
      </w:r>
      <w:r>
        <w:rPr>
          <w:rFonts w:hint="eastAsia" w:ascii="仿宋_GB2312" w:eastAsia="仿宋_GB2312"/>
          <w:sz w:val="32"/>
          <w:szCs w:val="32"/>
        </w:rPr>
        <w:t>0万元。截至</w:t>
      </w:r>
      <w:r>
        <w:rPr>
          <w:rFonts w:ascii="仿宋_GB2312" w:eastAsia="仿宋_GB2312"/>
          <w:sz w:val="32"/>
          <w:szCs w:val="32"/>
        </w:rPr>
        <w:t>20</w:t>
      </w:r>
      <w:r>
        <w:rPr>
          <w:rFonts w:hint="eastAsia" w:ascii="仿宋_GB2312" w:eastAsia="仿宋_GB2312"/>
          <w:sz w:val="32"/>
          <w:szCs w:val="32"/>
        </w:rPr>
        <w:t>20年</w:t>
      </w:r>
      <w:r>
        <w:rPr>
          <w:rFonts w:ascii="仿宋_GB2312" w:eastAsia="仿宋_GB2312"/>
          <w:sz w:val="32"/>
          <w:szCs w:val="32"/>
        </w:rPr>
        <w:t>12</w:t>
      </w:r>
      <w:r>
        <w:rPr>
          <w:rFonts w:hint="eastAsia" w:ascii="仿宋_GB2312" w:eastAsia="仿宋_GB2312"/>
          <w:sz w:val="32"/>
          <w:szCs w:val="32"/>
        </w:rPr>
        <w:t>月底，单位共有公务用车1辆，其中：轿车1辆。</w:t>
      </w:r>
    </w:p>
    <w:p>
      <w:pPr>
        <w:spacing w:line="600" w:lineRule="exact"/>
        <w:ind w:firstLine="640"/>
        <w:rPr>
          <w:rFonts w:ascii="仿宋_GB2312" w:eastAsia="仿宋_GB2312"/>
          <w:sz w:val="32"/>
          <w:szCs w:val="32"/>
        </w:rPr>
      </w:pPr>
      <w:r>
        <w:rPr>
          <w:rFonts w:hint="eastAsia" w:ascii="仿宋_GB2312" w:eastAsia="仿宋_GB2312"/>
          <w:b/>
          <w:sz w:val="32"/>
          <w:szCs w:val="32"/>
        </w:rPr>
        <w:t>公务用车运行维护费支出</w:t>
      </w:r>
      <w:r>
        <w:rPr>
          <w:rFonts w:hint="eastAsia" w:ascii="仿宋_GB2312" w:eastAsia="仿宋_GB2312"/>
          <w:sz w:val="32"/>
          <w:szCs w:val="32"/>
        </w:rPr>
        <w:t>5.65万元。主要用于</w:t>
      </w:r>
      <w:r>
        <w:rPr>
          <w:rFonts w:hint="eastAsia" w:ascii="仿宋" w:hAnsi="仿宋" w:eastAsia="仿宋" w:cs="仿宋"/>
          <w:color w:val="000000"/>
          <w:sz w:val="32"/>
          <w:szCs w:val="32"/>
          <w:highlight w:val="none"/>
          <w:shd w:val="clear" w:color="auto" w:fill="FFFFFF"/>
        </w:rPr>
        <w:t>代建</w:t>
      </w:r>
      <w:r>
        <w:rPr>
          <w:rFonts w:hint="eastAsia" w:ascii="仿宋" w:hAnsi="仿宋" w:eastAsia="仿宋" w:cs="仿宋"/>
          <w:color w:val="000000"/>
          <w:sz w:val="32"/>
          <w:szCs w:val="32"/>
          <w:highlight w:val="none"/>
          <w:shd w:val="clear" w:color="auto" w:fill="FFFFFF"/>
          <w:lang w:val="en-US" w:eastAsia="zh-CN"/>
        </w:rPr>
        <w:t>项目</w:t>
      </w:r>
      <w:r>
        <w:rPr>
          <w:rFonts w:hint="eastAsia" w:ascii="仿宋_GB2312" w:eastAsia="仿宋_GB2312" w:cs="仿宋_GB2312"/>
          <w:color w:val="000000"/>
          <w:sz w:val="32"/>
          <w:szCs w:val="32"/>
          <w:highlight w:val="none"/>
        </w:rPr>
        <w:t>检查，工地巡逻</w:t>
      </w:r>
      <w:r>
        <w:rPr>
          <w:rFonts w:hint="eastAsia" w:ascii="仿宋_GB2312" w:eastAsia="仿宋_GB2312"/>
          <w:sz w:val="32"/>
          <w:szCs w:val="32"/>
        </w:rPr>
        <w:t>等所需的公务用车燃料费、维修费、过路过桥费、保险费等支出。</w:t>
      </w:r>
    </w:p>
    <w:p>
      <w:pPr>
        <w:spacing w:line="600" w:lineRule="exact"/>
        <w:ind w:firstLine="640"/>
        <w:rPr>
          <w:rFonts w:ascii="仿宋_GB2312" w:eastAsia="仿宋_GB2312"/>
          <w:sz w:val="32"/>
          <w:szCs w:val="32"/>
        </w:rPr>
      </w:pPr>
      <w:r>
        <w:rPr>
          <w:rFonts w:ascii="仿宋_GB2312" w:eastAsia="仿宋_GB2312"/>
          <w:b/>
          <w:sz w:val="32"/>
          <w:szCs w:val="32"/>
        </w:rPr>
        <w:t>3.</w:t>
      </w:r>
      <w:r>
        <w:rPr>
          <w:rFonts w:hint="eastAsia" w:ascii="仿宋_GB2312" w:eastAsia="仿宋_GB2312"/>
          <w:b/>
          <w:sz w:val="32"/>
          <w:szCs w:val="32"/>
        </w:rPr>
        <w:t>公务接待费支出</w:t>
      </w:r>
      <w:r>
        <w:rPr>
          <w:rFonts w:hint="eastAsia" w:ascii="仿宋_GB2312" w:eastAsia="仿宋_GB2312"/>
          <w:sz w:val="32"/>
          <w:szCs w:val="32"/>
        </w:rPr>
        <w:t>0万元，</w:t>
      </w:r>
      <w:r>
        <w:rPr>
          <w:rStyle w:val="15"/>
          <w:rFonts w:hint="eastAsia" w:ascii="仿宋" w:hAnsi="仿宋" w:eastAsia="仿宋"/>
          <w:b w:val="0"/>
          <w:bCs/>
          <w:sz w:val="32"/>
          <w:szCs w:val="32"/>
        </w:rPr>
        <w:t>完成预算0</w:t>
      </w:r>
      <w:r>
        <w:rPr>
          <w:rStyle w:val="15"/>
          <w:rFonts w:ascii="仿宋" w:hAnsi="仿宋" w:eastAsia="仿宋"/>
          <w:b w:val="0"/>
          <w:bCs/>
          <w:sz w:val="32"/>
          <w:szCs w:val="32"/>
        </w:rPr>
        <w:t>%</w:t>
      </w:r>
      <w:r>
        <w:rPr>
          <w:rStyle w:val="15"/>
          <w:rFonts w:hint="eastAsia" w:ascii="仿宋" w:hAnsi="仿宋" w:eastAsia="仿宋"/>
          <w:b w:val="0"/>
          <w:bCs/>
          <w:sz w:val="32"/>
          <w:szCs w:val="32"/>
        </w:rPr>
        <w:t>。</w:t>
      </w:r>
      <w:r>
        <w:rPr>
          <w:rFonts w:hint="eastAsia" w:ascii="仿宋_GB2312" w:eastAsia="仿宋_GB2312"/>
          <w:sz w:val="32"/>
          <w:szCs w:val="32"/>
        </w:rPr>
        <w:t>公务接待费支出决算比</w:t>
      </w:r>
      <w:r>
        <w:rPr>
          <w:rFonts w:ascii="仿宋_GB2312" w:eastAsia="仿宋_GB2312"/>
          <w:sz w:val="32"/>
          <w:szCs w:val="32"/>
        </w:rPr>
        <w:t>201</w:t>
      </w:r>
      <w:r>
        <w:rPr>
          <w:rFonts w:hint="eastAsia" w:ascii="仿宋_GB2312" w:eastAsia="仿宋_GB2312"/>
          <w:sz w:val="32"/>
          <w:szCs w:val="32"/>
        </w:rPr>
        <w:t>9年减少0.13万元，下降100</w:t>
      </w:r>
      <w:r>
        <w:rPr>
          <w:rFonts w:ascii="仿宋_GB2312" w:eastAsia="仿宋_GB2312"/>
          <w:sz w:val="32"/>
          <w:szCs w:val="32"/>
        </w:rPr>
        <w:t>%</w:t>
      </w:r>
      <w:r>
        <w:rPr>
          <w:rFonts w:hint="eastAsia" w:ascii="仿宋_GB2312" w:eastAsia="仿宋_GB2312"/>
          <w:sz w:val="32"/>
          <w:szCs w:val="32"/>
        </w:rPr>
        <w:t>。主要原因是</w:t>
      </w:r>
      <w:r>
        <w:rPr>
          <w:rFonts w:hint="eastAsia" w:ascii="仿宋" w:hAnsi="仿宋" w:eastAsia="仿宋" w:cs="仿宋"/>
          <w:color w:val="000000"/>
          <w:sz w:val="32"/>
          <w:szCs w:val="32"/>
          <w:shd w:val="clear" w:color="auto" w:fill="FFFFFF"/>
        </w:rPr>
        <w:t>主要原因是疫情原因未进行公务接待。其中：国内公务接待支出0万元。</w:t>
      </w:r>
    </w:p>
    <w:p>
      <w:pPr>
        <w:spacing w:line="600" w:lineRule="exact"/>
        <w:ind w:firstLine="640" w:firstLineChars="200"/>
        <w:outlineLvl w:val="1"/>
        <w:rPr>
          <w:rStyle w:val="25"/>
          <w:rFonts w:ascii="黑体" w:hAnsi="黑体" w:eastAsia="黑体"/>
        </w:rPr>
      </w:pPr>
      <w:bookmarkStart w:id="55" w:name="_Toc15396610"/>
      <w:bookmarkStart w:id="56" w:name="_Toc15377218"/>
      <w:bookmarkStart w:id="57" w:name="_Toc3351"/>
      <w:r>
        <w:rPr>
          <w:rFonts w:hint="eastAsia" w:ascii="黑体" w:eastAsia="黑体"/>
          <w:sz w:val="32"/>
          <w:szCs w:val="32"/>
        </w:rPr>
        <w:t>八、</w:t>
      </w:r>
      <w:r>
        <w:rPr>
          <w:rStyle w:val="25"/>
          <w:rFonts w:hint="eastAsia" w:ascii="黑体" w:hAnsi="黑体" w:eastAsia="黑体"/>
          <w:b w:val="0"/>
        </w:rPr>
        <w:t>政府性基金预算支出决算情况说明</w:t>
      </w:r>
      <w:bookmarkEnd w:id="55"/>
      <w:bookmarkEnd w:id="56"/>
      <w:bookmarkEnd w:id="57"/>
    </w:p>
    <w:p>
      <w:pPr>
        <w:spacing w:line="600" w:lineRule="exact"/>
        <w:ind w:firstLine="640"/>
        <w:rPr>
          <w:rFonts w:ascii="仿宋_GB2312" w:eastAsia="仿宋_GB2312"/>
          <w:sz w:val="32"/>
          <w:szCs w:val="32"/>
        </w:rPr>
      </w:pPr>
      <w:r>
        <w:rPr>
          <w:rFonts w:ascii="仿宋_GB2312" w:eastAsia="仿宋_GB2312"/>
          <w:sz w:val="32"/>
          <w:szCs w:val="32"/>
        </w:rPr>
        <w:t>20</w:t>
      </w:r>
      <w:r>
        <w:rPr>
          <w:rFonts w:hint="eastAsia" w:ascii="仿宋_GB2312" w:eastAsia="仿宋_GB2312"/>
          <w:sz w:val="32"/>
          <w:szCs w:val="32"/>
        </w:rPr>
        <w:t>20年政府性基金预算财政拨款支出0万元。</w:t>
      </w:r>
    </w:p>
    <w:p>
      <w:pPr>
        <w:numPr>
          <w:ilvl w:val="0"/>
          <w:numId w:val="3"/>
        </w:numPr>
        <w:spacing w:line="600" w:lineRule="exact"/>
        <w:ind w:firstLine="640"/>
        <w:outlineLvl w:val="1"/>
        <w:rPr>
          <w:rStyle w:val="25"/>
          <w:rFonts w:ascii="黑体" w:hAnsi="黑体" w:eastAsia="黑体"/>
          <w:b w:val="0"/>
        </w:rPr>
      </w:pPr>
      <w:bookmarkStart w:id="58" w:name="_Toc10715"/>
      <w:bookmarkStart w:id="59" w:name="_Toc15377219"/>
      <w:bookmarkStart w:id="60" w:name="_Toc15396611"/>
      <w:r>
        <w:rPr>
          <w:rStyle w:val="25"/>
          <w:rFonts w:hint="eastAsia" w:ascii="黑体" w:hAnsi="黑体" w:eastAsia="黑体"/>
          <w:b w:val="0"/>
        </w:rPr>
        <w:t>国有资本经营预算支出决算情况说明</w:t>
      </w:r>
      <w:bookmarkEnd w:id="58"/>
      <w:bookmarkEnd w:id="59"/>
      <w:bookmarkEnd w:id="60"/>
    </w:p>
    <w:p>
      <w:pPr>
        <w:spacing w:line="600" w:lineRule="exact"/>
        <w:ind w:firstLine="640"/>
        <w:rPr>
          <w:rFonts w:ascii="方正小标宋简体" w:hAnsi="方正小标宋简体" w:eastAsia="方正小标宋简体" w:cs="方正小标宋简体"/>
          <w:sz w:val="44"/>
          <w:szCs w:val="44"/>
        </w:rPr>
      </w:pPr>
      <w:r>
        <w:rPr>
          <w:rFonts w:ascii="仿宋_GB2312" w:eastAsia="仿宋_GB2312"/>
          <w:sz w:val="32"/>
          <w:szCs w:val="32"/>
        </w:rPr>
        <w:t>20</w:t>
      </w:r>
      <w:r>
        <w:rPr>
          <w:rFonts w:hint="eastAsia" w:ascii="仿宋_GB2312" w:eastAsia="仿宋_GB2312"/>
          <w:sz w:val="32"/>
          <w:szCs w:val="32"/>
        </w:rPr>
        <w:t>20年国有资本经营预算财政拨款支出0万元。</w:t>
      </w:r>
    </w:p>
    <w:p>
      <w:pPr>
        <w:numPr>
          <w:ilvl w:val="0"/>
          <w:numId w:val="3"/>
        </w:numPr>
        <w:spacing w:line="600" w:lineRule="exact"/>
        <w:ind w:firstLine="640"/>
        <w:outlineLvl w:val="1"/>
        <w:rPr>
          <w:rStyle w:val="25"/>
          <w:rFonts w:ascii="黑体" w:hAnsi="黑体" w:eastAsia="黑体"/>
          <w:b w:val="0"/>
        </w:rPr>
      </w:pPr>
      <w:bookmarkStart w:id="61" w:name="_Toc19077"/>
      <w:bookmarkStart w:id="62" w:name="_Toc15377221"/>
      <w:bookmarkStart w:id="63" w:name="_Toc15396612"/>
      <w:r>
        <w:rPr>
          <w:rStyle w:val="25"/>
          <w:rFonts w:hint="eastAsia" w:ascii="黑体" w:hAnsi="黑体" w:eastAsia="黑体"/>
          <w:b w:val="0"/>
        </w:rPr>
        <w:t>其他重要事项的情况说明</w:t>
      </w:r>
      <w:bookmarkEnd w:id="61"/>
      <w:bookmarkEnd w:id="62"/>
      <w:bookmarkEnd w:id="63"/>
    </w:p>
    <w:p>
      <w:pPr>
        <w:numPr>
          <w:ilvl w:val="0"/>
          <w:numId w:val="4"/>
        </w:numPr>
        <w:spacing w:line="600" w:lineRule="exact"/>
        <w:ind w:firstLine="643" w:firstLineChars="200"/>
        <w:outlineLvl w:val="2"/>
        <w:rPr>
          <w:rFonts w:ascii="仿宋" w:hAnsi="仿宋" w:eastAsia="仿宋"/>
          <w:b/>
          <w:sz w:val="32"/>
          <w:szCs w:val="32"/>
        </w:rPr>
      </w:pPr>
      <w:bookmarkStart w:id="64" w:name="_Toc15377222"/>
      <w:r>
        <w:rPr>
          <w:rFonts w:hint="eastAsia" w:ascii="仿宋" w:hAnsi="仿宋" w:eastAsia="仿宋"/>
          <w:b/>
          <w:sz w:val="32"/>
          <w:szCs w:val="32"/>
        </w:rPr>
        <w:t>机关运行经费支出情况</w:t>
      </w:r>
      <w:bookmarkEnd w:id="64"/>
    </w:p>
    <w:p>
      <w:pPr>
        <w:pStyle w:val="6"/>
        <w:spacing w:before="93"/>
      </w:pPr>
      <w:r>
        <w:rPr>
          <w:rFonts w:hint="eastAsia"/>
        </w:rPr>
        <w:t xml:space="preserve">    本单位是财政全额拨款事业单位，无机关运行经费。</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65" w:name="_Toc15377223"/>
      <w:r>
        <w:rPr>
          <w:rFonts w:hint="eastAsia" w:ascii="仿宋" w:hAnsi="仿宋" w:eastAsia="仿宋"/>
          <w:b/>
          <w:sz w:val="32"/>
          <w:szCs w:val="32"/>
        </w:rPr>
        <w:t>（二）政府采购支出情况</w:t>
      </w:r>
      <w:bookmarkEnd w:id="65"/>
    </w:p>
    <w:p>
      <w:pPr>
        <w:spacing w:line="600" w:lineRule="exact"/>
        <w:ind w:firstLine="640" w:firstLineChars="200"/>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2020年，政府采购支出总额8.32万元，其中：政府采购货物支出3.87万元、政府采购工程支出0万元、政府采购服务支出4.45万元。主要用于办公设备购置3.87万元，车辆维修1.97万元，车辆加油2.16万元，车辆保险0.32万元。授予中小企业合同金额2.48万元，占政府采购支出总额的29.81%，其中：授予小微企业合同金额5.84万元，占政府采购支出总额的70.19%。</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66" w:name="_Toc15377224"/>
      <w:r>
        <w:rPr>
          <w:rFonts w:hint="eastAsia" w:ascii="仿宋" w:hAnsi="仿宋" w:eastAsia="仿宋"/>
          <w:b/>
          <w:sz w:val="32"/>
          <w:szCs w:val="32"/>
        </w:rPr>
        <w:t>（三）国有资产占有使用情况</w:t>
      </w:r>
      <w:bookmarkEnd w:id="66"/>
    </w:p>
    <w:p>
      <w:pPr>
        <w:autoSpaceDE w:val="0"/>
        <w:autoSpaceDN w:val="0"/>
        <w:adjustRightInd w:val="0"/>
        <w:spacing w:line="600" w:lineRule="exact"/>
        <w:ind w:firstLine="960" w:firstLineChars="300"/>
        <w:jc w:val="left"/>
        <w:rPr>
          <w:rFonts w:ascii="仿宋" w:hAnsi="仿宋" w:eastAsia="仿宋"/>
          <w:b/>
          <w:sz w:val="32"/>
          <w:szCs w:val="32"/>
        </w:rPr>
      </w:pPr>
      <w:r>
        <w:rPr>
          <w:rFonts w:hint="eastAsia" w:ascii="仿宋_GB2312" w:eastAsia="仿宋_GB2312"/>
          <w:sz w:val="32"/>
          <w:szCs w:val="32"/>
        </w:rPr>
        <w:t>无。</w:t>
      </w:r>
    </w:p>
    <w:p>
      <w:pPr>
        <w:autoSpaceDE w:val="0"/>
        <w:autoSpaceDN w:val="0"/>
        <w:adjustRightInd w:val="0"/>
        <w:spacing w:line="600" w:lineRule="exact"/>
        <w:ind w:firstLine="643" w:firstLineChars="200"/>
        <w:jc w:val="left"/>
        <w:outlineLvl w:val="2"/>
        <w:rPr>
          <w:rFonts w:ascii="仿宋" w:hAnsi="仿宋" w:eastAsia="仿宋"/>
          <w:b/>
          <w:sz w:val="32"/>
          <w:szCs w:val="32"/>
        </w:rPr>
      </w:pPr>
      <w:r>
        <w:rPr>
          <w:rFonts w:hint="eastAsia" w:ascii="仿宋" w:hAnsi="仿宋" w:eastAsia="仿宋"/>
          <w:b/>
          <w:sz w:val="32"/>
          <w:szCs w:val="32"/>
        </w:rPr>
        <w:t>（四）预算绩效管理情况</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根据预算绩效管理要求，本单位在2020年度预算编制阶段，组织对政府主权外债项目省级项目协调机构管理费项目（项目名称）开展了预算事前绩效评估，对1个项目编制了绩效目标，预算执行过程中，选取1个项目开展绩效监控，年终执行完毕后，对1个项目开展了绩效目标完成情况自评。</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本单位按要求对2020年整体支出开展绩效自评，从评价情况来看根据财政厅对绩效管理要求，认真组织安排绩效监控和评价工作，分别于2020年6月和8月上报指标完成情况及监控报告，于2020年8月组织业务人员共同梳理相关绩效指标，建立绩效指标体系，完善绩效评价方法和评价标准。本单位还自行组织了1个项目支出绩效评价，从评价情况来看2020年已完成相关的项目绩效目标。</w:t>
      </w:r>
    </w:p>
    <w:p>
      <w:pPr>
        <w:spacing w:line="58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1.项目绩效目标完成情况。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本单位在2020年度部门决算中反映“</w:t>
      </w:r>
      <w:r>
        <w:rPr>
          <w:rFonts w:hint="eastAsia" w:ascii="仿宋" w:hAnsi="仿宋" w:eastAsia="仿宋" w:cs="仿宋"/>
          <w:sz w:val="32"/>
          <w:szCs w:val="32"/>
        </w:rPr>
        <w:t>政府主权外债项目省级项目协调机构管理费</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1个项目绩效目标实际完成情况。（本单位项目绩效目标个数在1个，全部进行公开，公开内容包括选取的全部项目完成情况综述和完成情况表）。</w:t>
      </w:r>
    </w:p>
    <w:p>
      <w:pPr>
        <w:spacing w:line="580" w:lineRule="exact"/>
        <w:ind w:firstLine="640" w:firstLineChars="200"/>
        <w:rPr>
          <w:rFonts w:ascii="仿宋_GB2312" w:hAnsi="仿宋_GB2312" w:eastAsia="仿宋_GB2312" w:cs="仿宋_GB2312"/>
          <w:sz w:val="32"/>
          <w:szCs w:val="32"/>
        </w:rPr>
      </w:pPr>
      <w:r>
        <w:rPr>
          <w:rFonts w:hint="eastAsia" w:ascii="仿宋" w:hAnsi="仿宋" w:eastAsia="仿宋" w:cs="仿宋"/>
          <w:sz w:val="32"/>
          <w:szCs w:val="32"/>
        </w:rPr>
        <w:t>政府主权外债项目省级项目协调机构管理费</w:t>
      </w:r>
      <w:r>
        <w:rPr>
          <w:rFonts w:hint="eastAsia" w:ascii="仿宋_GB2312" w:hAnsi="仿宋_GB2312" w:eastAsia="仿宋_GB2312" w:cs="仿宋_GB2312"/>
          <w:sz w:val="32"/>
          <w:szCs w:val="32"/>
        </w:rPr>
        <w:t>项目绩效目标完成情况综述。项目全年预算数140万元，执行数为134.43万元，完成预算的96%。通过项目实施，保障世界银行贷款芦山地震灾后恢复重建项目（城镇基础设施部分）抗灾韧性基础设施的使用情况并加强减灾能力。</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13"/>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b/>
                <w:bCs/>
                <w:kern w:val="0"/>
                <w:sz w:val="36"/>
                <w:szCs w:val="36"/>
                <w:lang w:bidi="ar"/>
              </w:rPr>
            </w:pPr>
            <w:r>
              <w:rPr>
                <w:rFonts w:hint="eastAsia" w:ascii="宋体" w:hAnsi="宋体" w:cs="宋体"/>
                <w:b/>
                <w:bCs/>
                <w:kern w:val="0"/>
                <w:sz w:val="36"/>
                <w:szCs w:val="36"/>
                <w:lang w:bidi="ar"/>
              </w:rPr>
              <w:t>项目绩效目标完成情况表</w:t>
            </w:r>
          </w:p>
          <w:p>
            <w:pPr>
              <w:widowControl/>
              <w:jc w:val="center"/>
              <w:textAlignment w:val="center"/>
              <w:rPr>
                <w:rFonts w:ascii="宋体" w:hAnsi="宋体" w:cs="宋体"/>
                <w:sz w:val="36"/>
                <w:szCs w:val="36"/>
              </w:rPr>
            </w:pPr>
            <w:r>
              <w:rPr>
                <w:rFonts w:hint="eastAsia" w:ascii="宋体" w:hAnsi="宋体" w:cs="宋体"/>
                <w:kern w:val="0"/>
                <w:sz w:val="36"/>
                <w:szCs w:val="36"/>
                <w:lang w:bidi="ar"/>
              </w:rPr>
              <w:t>(2020年度)</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政府主权外债项目省级项目协调机构管理费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四川省政府投资非经营性项目代建中心</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预算执行情况(万元)</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140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pPr>
            <w:r>
              <w:rPr>
                <w:rFonts w:hint="eastAsia"/>
              </w:rPr>
              <w:t>143.43</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140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143.43</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r>
              <w:rPr>
                <w:rFonts w:hint="eastAsia" w:ascii="宋体" w:hAnsi="宋体" w:cs="宋体"/>
                <w:sz w:val="24"/>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根据与世界银行沟通交流后确定的“采购计划”、“进度计划”和“支付计划”，“世界银行贷款芦山地震灾后恢复重建项目（城镇基础设施部分）”在2019年中计划完成投资30%。改善项目县（区）具有抗灾韧性基础设施的使用情况并加强减灾能力。</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截止2020年底，项目11个土建合同已经完成9个，剩余2个合同将在2021年上半年全面完成，所有土建合同均已经支付到合同金额的90%，剩余部分将在完成审计后进行支付。一批次项目已经全面完成项目初期所设置的改善项目县（区）具有抗灾韧性基础设施的使用情况并加强减灾能力的项目目标。</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实际完成指标值(包含数字及文字描述)</w:t>
            </w:r>
          </w:p>
        </w:tc>
      </w:tr>
      <w:tr>
        <w:tblPrEx>
          <w:tblCellMar>
            <w:top w:w="0" w:type="dxa"/>
            <w:left w:w="0" w:type="dxa"/>
            <w:bottom w:w="0" w:type="dxa"/>
            <w:right w:w="0" w:type="dxa"/>
          </w:tblCellMar>
        </w:tblPrEx>
        <w:trPr>
          <w:trHeight w:val="254"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2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完成投资</w:t>
            </w:r>
          </w:p>
        </w:tc>
        <w:tc>
          <w:tcPr>
            <w:tcW w:w="2394" w:type="dxa"/>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5000万美元</w:t>
            </w:r>
          </w:p>
        </w:tc>
        <w:tc>
          <w:tcPr>
            <w:tcW w:w="2392" w:type="dxa"/>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6700万</w:t>
            </w:r>
          </w:p>
        </w:tc>
      </w:tr>
      <w:tr>
        <w:tblPrEx>
          <w:tblCellMar>
            <w:top w:w="0" w:type="dxa"/>
            <w:left w:w="0" w:type="dxa"/>
            <w:bottom w:w="0" w:type="dxa"/>
            <w:right w:w="0" w:type="dxa"/>
          </w:tblCellMar>
        </w:tblPrEx>
        <w:trPr>
          <w:trHeight w:val="254"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pPr>
          </w:p>
        </w:tc>
        <w:tc>
          <w:tcPr>
            <w:tcW w:w="1367"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pPr>
          </w:p>
        </w:tc>
        <w:tc>
          <w:tcPr>
            <w:tcW w:w="1025"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完成道路长度</w:t>
            </w:r>
          </w:p>
        </w:tc>
        <w:tc>
          <w:tcPr>
            <w:tcW w:w="2394" w:type="dxa"/>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不低于30千米</w:t>
            </w:r>
          </w:p>
        </w:tc>
        <w:tc>
          <w:tcPr>
            <w:tcW w:w="2392" w:type="dxa"/>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大于35km</w:t>
            </w:r>
          </w:p>
        </w:tc>
      </w:tr>
      <w:tr>
        <w:tblPrEx>
          <w:tblCellMar>
            <w:top w:w="0" w:type="dxa"/>
            <w:left w:w="0" w:type="dxa"/>
            <w:bottom w:w="0" w:type="dxa"/>
            <w:right w:w="0" w:type="dxa"/>
          </w:tblCellMar>
        </w:tblPrEx>
        <w:trPr>
          <w:trHeight w:val="254"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025"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完成管网长度</w:t>
            </w:r>
          </w:p>
        </w:tc>
        <w:tc>
          <w:tcPr>
            <w:tcW w:w="2394" w:type="dxa"/>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不低于60千米</w:t>
            </w:r>
          </w:p>
        </w:tc>
        <w:tc>
          <w:tcPr>
            <w:tcW w:w="2392" w:type="dxa"/>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大于70km</w:t>
            </w:r>
          </w:p>
        </w:tc>
      </w:tr>
      <w:tr>
        <w:tblPrEx>
          <w:tblCellMar>
            <w:top w:w="0" w:type="dxa"/>
            <w:left w:w="0" w:type="dxa"/>
            <w:bottom w:w="0" w:type="dxa"/>
            <w:right w:w="0" w:type="dxa"/>
          </w:tblCellMar>
        </w:tblPrEx>
        <w:trPr>
          <w:trHeight w:val="254"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025"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完成广场面积</w:t>
            </w:r>
          </w:p>
        </w:tc>
        <w:tc>
          <w:tcPr>
            <w:tcW w:w="2394" w:type="dxa"/>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不低于10万平方米</w:t>
            </w:r>
          </w:p>
        </w:tc>
        <w:tc>
          <w:tcPr>
            <w:tcW w:w="2392" w:type="dxa"/>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10.2万平方米</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路网完善率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≥80%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大于90%</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abs>
                <w:tab w:val="left" w:pos="489"/>
              </w:tabs>
              <w:jc w:val="left"/>
              <w:textAlignment w:val="center"/>
              <w:rPr>
                <w:rFonts w:ascii="宋体" w:hAnsi="宋体" w:cs="宋体"/>
                <w:sz w:val="24"/>
              </w:rPr>
            </w:pPr>
            <w:r>
              <w:rPr>
                <w:rFonts w:hint="eastAsia" w:ascii="宋体" w:hAnsi="宋体" w:cs="宋体"/>
                <w:sz w:val="24"/>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节点工程完成率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≥85%</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大于90%</w:t>
            </w:r>
          </w:p>
        </w:tc>
      </w:tr>
      <w:tr>
        <w:tblPrEx>
          <w:tblCellMar>
            <w:top w:w="0" w:type="dxa"/>
            <w:left w:w="0" w:type="dxa"/>
            <w:bottom w:w="0" w:type="dxa"/>
            <w:right w:w="0" w:type="dxa"/>
          </w:tblCellMar>
        </w:tblPrEx>
        <w:trPr>
          <w:trHeight w:val="53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效益指标</w:t>
            </w:r>
          </w:p>
        </w:tc>
        <w:tc>
          <w:tcPr>
            <w:tcW w:w="102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经济效益指标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提供就业岗位，增加群众收入</w:t>
            </w:r>
          </w:p>
        </w:tc>
        <w:tc>
          <w:tcPr>
            <w:tcW w:w="2394" w:type="dxa"/>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项目在工程建设、后期养护中为道路沿线附近的群众提供了直接的、持续的就业岗位，增加了群众的直接收入。</w:t>
            </w:r>
          </w:p>
        </w:tc>
        <w:tc>
          <w:tcPr>
            <w:tcW w:w="2392" w:type="dxa"/>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项目在工程建设、后期养护中为道路沿线附近的群众提供了直接的、持续的就业岗位，增加了群众的直接收入。</w:t>
            </w:r>
          </w:p>
        </w:tc>
      </w:tr>
      <w:tr>
        <w:tblPrEx>
          <w:tblCellMar>
            <w:top w:w="0" w:type="dxa"/>
            <w:left w:w="0" w:type="dxa"/>
            <w:bottom w:w="0" w:type="dxa"/>
            <w:right w:w="0" w:type="dxa"/>
          </w:tblCellMar>
        </w:tblPrEx>
        <w:trPr>
          <w:trHeight w:val="53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pPr>
          </w:p>
        </w:tc>
        <w:tc>
          <w:tcPr>
            <w:tcW w:w="1367"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pPr>
          </w:p>
        </w:tc>
        <w:tc>
          <w:tcPr>
            <w:tcW w:w="1025"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促进产业发展</w:t>
            </w:r>
          </w:p>
        </w:tc>
        <w:tc>
          <w:tcPr>
            <w:tcW w:w="2394" w:type="dxa"/>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构建外畅内联、结构合理、安全高效的城市交通网。通过恢复和提升项目县（区）的关键道路和应急设施、改善灾害准备能力，拟建项目将对该地区减灾工作提供支持，并且支持风险管理的改善工作。</w:t>
            </w:r>
          </w:p>
        </w:tc>
        <w:tc>
          <w:tcPr>
            <w:tcW w:w="2392" w:type="dxa"/>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市政基础设施的建设推动城市经纪发展，调整城市产业机构，加快“产城一体化”</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社会效益指标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基础设施网络</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构建外畅内联、结构合理、安全高效的城市交通网。通过恢复和提升项目县（区）的关键道路和应急设施、改善灾害准备能力，拟建项目将对该地区减灾工作提供支持，并且支持风险管理的改善工作。</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构建外畅内联、结构合理、安全高效的城市交通网。通过恢复和提升项目县（区）的关键道路和应急设施、改善灾害准备能力，拟建项目将对该地区减灾工作提供支持，并且支持风险管理的改善工作。</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生态效益指标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海绵城市</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按照近年来国际上海绵城市发展经验和世行对本项目中海绵城市的要求，海绵城市要求贯穿市政基础设施规划、建设、运营、管理、服务全过程，着力建设资源节约、生态环保、节能高效、服务提升的海绵城市。</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按照近年来国际上海绵城市发展经验和世行对本项目中海绵城市的要求，海绵城市要求贯穿市政基础设施规划、建设、运营、管理、服务全过程，着力建设资源节约、生态环保、节能高效、服务提升的海绵城市。</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公众满意度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在城镇基础设施项目涉及区域中的155,700人受益群体中，根据世行对群众满意度指标的定义，满意度不低于80%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满意度大于80%</w:t>
            </w:r>
          </w:p>
        </w:tc>
      </w:tr>
    </w:tbl>
    <w:p>
      <w:pPr>
        <w:spacing w:line="580" w:lineRule="exact"/>
        <w:ind w:left="630"/>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r>
        <w:rPr>
          <w:rFonts w:hint="eastAsia" w:ascii="楷体_GB2312" w:hAnsi="楷体_GB2312" w:eastAsia="楷体_GB2312" w:cs="楷体_GB2312"/>
          <w:sz w:val="32"/>
          <w:szCs w:val="32"/>
        </w:rPr>
        <w:t>2.单位绩效评价结果。</w:t>
      </w:r>
    </w:p>
    <w:p>
      <w:pPr>
        <w:spacing w:line="580" w:lineRule="exact"/>
        <w:ind w:firstLine="640" w:firstLineChars="200"/>
        <w:rPr>
          <w:rFonts w:ascii="仿宋_GB2312" w:eastAsia="仿宋_GB2312"/>
          <w:b/>
          <w:sz w:val="32"/>
          <w:szCs w:val="32"/>
        </w:rPr>
      </w:pPr>
      <w:r>
        <w:rPr>
          <w:rFonts w:hint="eastAsia" w:ascii="仿宋_GB2312" w:hAnsi="仿宋_GB2312" w:eastAsia="仿宋_GB2312" w:cs="仿宋_GB2312"/>
          <w:sz w:val="32"/>
          <w:szCs w:val="32"/>
        </w:rPr>
        <w:t>本单位自行组织对</w:t>
      </w:r>
      <w:r>
        <w:rPr>
          <w:rFonts w:hint="eastAsia" w:ascii="仿宋" w:hAnsi="仿宋" w:eastAsia="仿宋" w:cs="仿宋"/>
          <w:sz w:val="32"/>
          <w:szCs w:val="32"/>
        </w:rPr>
        <w:t>政府主权外债项目省级项目协调机构管理费</w:t>
      </w:r>
      <w:r>
        <w:rPr>
          <w:rFonts w:hint="eastAsia" w:ascii="仿宋_GB2312" w:hAnsi="仿宋_GB2312" w:eastAsia="仿宋_GB2312" w:cs="仿宋_GB2312"/>
          <w:sz w:val="32"/>
          <w:szCs w:val="32"/>
        </w:rPr>
        <w:t>项目开展了绩效评价，《2020年</w:t>
      </w:r>
      <w:r>
        <w:rPr>
          <w:rFonts w:hint="eastAsia" w:ascii="仿宋" w:hAnsi="仿宋" w:eastAsia="仿宋" w:cs="仿宋"/>
          <w:sz w:val="32"/>
          <w:szCs w:val="32"/>
        </w:rPr>
        <w:t>政府主权外债项目省级项目协调机构管理费</w:t>
      </w:r>
      <w:r>
        <w:rPr>
          <w:rFonts w:hint="eastAsia" w:ascii="仿宋_GB2312" w:hAnsi="仿宋_GB2312" w:eastAsia="仿宋_GB2312" w:cs="仿宋_GB2312"/>
          <w:sz w:val="32"/>
          <w:szCs w:val="32"/>
        </w:rPr>
        <w:t>项目支出绩效自评报告》见附件（第四部分）。</w:t>
      </w:r>
    </w:p>
    <w:p>
      <w:pPr>
        <w:widowControl/>
        <w:jc w:val="left"/>
        <w:rPr>
          <w:rFonts w:ascii="仿宋_GB2312" w:eastAsia="仿宋_GB2312"/>
          <w:b/>
          <w:sz w:val="32"/>
          <w:szCs w:val="32"/>
        </w:rPr>
      </w:pPr>
      <w:r>
        <w:rPr>
          <w:rFonts w:ascii="仿宋_GB2312" w:eastAsia="仿宋_GB2312"/>
          <w:b/>
          <w:sz w:val="32"/>
          <w:szCs w:val="32"/>
        </w:rPr>
        <w:br w:type="page"/>
      </w:r>
    </w:p>
    <w:p>
      <w:pPr>
        <w:numPr>
          <w:ilvl w:val="0"/>
          <w:numId w:val="5"/>
        </w:numPr>
        <w:spacing w:line="600" w:lineRule="exact"/>
        <w:ind w:firstLine="660" w:firstLineChars="150"/>
        <w:jc w:val="center"/>
        <w:outlineLvl w:val="0"/>
        <w:rPr>
          <w:rStyle w:val="24"/>
          <w:rFonts w:ascii="黑体" w:hAnsi="黑体" w:eastAsia="黑体"/>
          <w:b w:val="0"/>
        </w:rPr>
      </w:pPr>
      <w:bookmarkStart w:id="67" w:name="_Toc15396613"/>
      <w:bookmarkStart w:id="68" w:name="_Toc15377225"/>
      <w:bookmarkStart w:id="69" w:name="_Toc15388"/>
      <w:r>
        <w:rPr>
          <w:rFonts w:hint="eastAsia" w:ascii="黑体" w:hAnsi="黑体" w:eastAsia="黑体"/>
          <w:color w:val="000000"/>
          <w:sz w:val="44"/>
          <w:szCs w:val="44"/>
        </w:rPr>
        <w:t>名</w:t>
      </w:r>
      <w:r>
        <w:rPr>
          <w:rStyle w:val="24"/>
          <w:rFonts w:hint="eastAsia" w:ascii="黑体" w:hAnsi="黑体" w:eastAsia="黑体"/>
          <w:b w:val="0"/>
        </w:rPr>
        <w:t>词解释</w:t>
      </w:r>
      <w:bookmarkEnd w:id="67"/>
      <w:bookmarkEnd w:id="68"/>
      <w:bookmarkEnd w:id="69"/>
    </w:p>
    <w:p>
      <w:pPr>
        <w:pStyle w:val="6"/>
        <w:spacing w:before="93"/>
        <w:rPr>
          <w:rStyle w:val="24"/>
          <w:rFonts w:ascii="黑体" w:hAnsi="黑体" w:eastAsia="黑体"/>
          <w:b w:val="0"/>
        </w:rPr>
      </w:pPr>
    </w:p>
    <w:p>
      <w:pPr>
        <w:ind w:firstLine="640" w:firstLineChars="200"/>
        <w:jc w:val="left"/>
        <w:rPr>
          <w:rFonts w:ascii="仿宋" w:hAnsi="仿宋" w:eastAsia="仿宋" w:cs="仿宋"/>
          <w:color w:val="000000"/>
          <w:kern w:val="0"/>
          <w:sz w:val="32"/>
          <w:szCs w:val="32"/>
        </w:rPr>
      </w:pPr>
      <w:bookmarkStart w:id="70" w:name="_Toc15377226"/>
      <w:r>
        <w:rPr>
          <w:rFonts w:hint="eastAsia" w:ascii="仿宋" w:hAnsi="仿宋" w:eastAsia="仿宋" w:cs="仿宋"/>
          <w:color w:val="000000"/>
          <w:kern w:val="0"/>
          <w:sz w:val="32"/>
          <w:szCs w:val="32"/>
        </w:rPr>
        <w:t>1.财政拨款收入：指单位从同级财政部门取得的财政预算资金。</w:t>
      </w:r>
    </w:p>
    <w:p>
      <w:pPr>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2.一般公共服务支出（类）财政事务（款）其他财政事务支出（项）：指住房城乡建设厅用于政府主权外债项目省级项目协调机构（省政府城建环保水资源规划项目领导小组办公室）管理费支出。</w:t>
      </w:r>
    </w:p>
    <w:p>
      <w:pPr>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3.教育支出（类）进修及培训（款）培训支出（项）：指单位开展培训等方面的支出。</w:t>
      </w:r>
    </w:p>
    <w:p>
      <w:pPr>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4.社会保障和就业支出（类）行政事业单位养老支出（款） 机关事业单位基本养老保险缴费支出（项）：指住单位基本养老保险缴费的支出。</w:t>
      </w:r>
    </w:p>
    <w:p>
      <w:pPr>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5.社会保障和就业支出（类）行政事业单位养老支出（款）  机关事业单位职业年金缴费支出（项）：指用于各事业单位职业年金缴费的支出。</w:t>
      </w:r>
    </w:p>
    <w:p>
      <w:pPr>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6.社会保障和就业支出（类）其他社会保障和就业支出（款）其他社会保障和就业支出（项）：指用于其他社会保障方面的支出。</w:t>
      </w:r>
    </w:p>
    <w:p>
      <w:pPr>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7.卫生健康支出（类）行政事业单位医疗（款）事业单位医疗（项）：指单位基本医疗保险缴费的支出。</w:t>
      </w:r>
    </w:p>
    <w:p>
      <w:pPr>
        <w:ind w:firstLine="640" w:firstLineChars="200"/>
        <w:jc w:val="left"/>
        <w:rPr>
          <w:rFonts w:ascii="仿宋" w:hAnsi="仿宋" w:eastAsia="仿宋" w:cs="仿宋"/>
          <w:color w:val="000000"/>
          <w:kern w:val="0"/>
          <w:sz w:val="32"/>
          <w:szCs w:val="32"/>
        </w:rPr>
      </w:pPr>
    </w:p>
    <w:p>
      <w:pPr>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8.城乡社区支出（类）城乡社区管理事务（款）其他城乡社区管理事务支出（项）：指用于其他城乡社区管理事务方面的支出。</w:t>
      </w:r>
    </w:p>
    <w:p>
      <w:pPr>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9.住房保障支出（类）住房改革支出（款）住房公积金（项）： 指按人力资源和社会保障部、财政部规定的基本工资和津贴补贴以及规定比例为职工缴纳的住房公积金。</w:t>
      </w:r>
    </w:p>
    <w:p>
      <w:pPr>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10.住房保障支出（类）住房改革支出（款）购房补贴（项）：指按房改政策规定向符合条件职工发放的用于购买住房的补贴。</w:t>
      </w:r>
    </w:p>
    <w:p>
      <w:pPr>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11.灾害防治及应急管理支出（类）应急管理事务（款）其他应急管理支出（项）：指用于建设行业安全生产应急监管方面的支出。</w:t>
      </w:r>
    </w:p>
    <w:p>
      <w:pPr>
        <w:ind w:firstLine="640" w:firstLineChars="200"/>
        <w:rPr>
          <w:rFonts w:ascii="仿宋" w:hAnsi="仿宋" w:eastAsia="仿宋" w:cs="仿宋"/>
          <w:color w:val="000000"/>
          <w:sz w:val="32"/>
          <w:szCs w:val="32"/>
        </w:rPr>
      </w:pPr>
      <w:r>
        <w:rPr>
          <w:rFonts w:hint="eastAsia" w:ascii="仿宋" w:hAnsi="仿宋" w:eastAsia="仿宋" w:cs="仿宋"/>
          <w:sz w:val="32"/>
          <w:szCs w:val="32"/>
        </w:rPr>
        <w:t>12</w:t>
      </w:r>
      <w:r>
        <w:rPr>
          <w:rFonts w:hint="eastAsia" w:ascii="仿宋" w:hAnsi="仿宋" w:eastAsia="仿宋" w:cs="仿宋"/>
          <w:color w:val="000000"/>
          <w:sz w:val="32"/>
          <w:szCs w:val="32"/>
        </w:rPr>
        <w:t>.基本支出：指为保障机构正常运转、完成日常工作任务而发生的人员支出和公用支出。</w:t>
      </w:r>
    </w:p>
    <w:p>
      <w:pPr>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 xml:space="preserve">13.项目支出：指在基本支出之外为完成特定行政任务和事业发展目标所发生的支出。 </w:t>
      </w:r>
    </w:p>
    <w:p>
      <w:pPr>
        <w:pStyle w:val="2"/>
        <w:ind w:firstLine="640" w:firstLineChars="200"/>
        <w:rPr>
          <w:rFonts w:hAnsi="仿宋"/>
          <w:sz w:val="32"/>
          <w:szCs w:val="32"/>
        </w:rPr>
      </w:pPr>
      <w:r>
        <w:rPr>
          <w:rFonts w:hint="eastAsia" w:hAnsi="仿宋"/>
          <w:sz w:val="32"/>
          <w:szCs w:val="32"/>
        </w:rPr>
        <w:t>14.“三公”经费：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ind w:firstLine="640" w:firstLineChars="200"/>
        <w:rPr>
          <w:rFonts w:ascii="仿宋" w:hAnsi="仿宋" w:eastAsia="仿宋" w:cs="仿宋"/>
          <w:sz w:val="32"/>
          <w:szCs w:val="32"/>
        </w:rPr>
      </w:pPr>
      <w:r>
        <w:rPr>
          <w:rFonts w:hint="eastAsia" w:ascii="仿宋" w:hAnsi="仿宋" w:eastAsia="仿宋" w:cs="仿宋"/>
          <w:sz w:val="32"/>
          <w:szCs w:val="32"/>
        </w:rPr>
        <w:t>15.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0"/>
        <w:rPr>
          <w:rStyle w:val="24"/>
          <w:rFonts w:ascii="黑体" w:hAnsi="黑体" w:eastAsia="黑体"/>
          <w:b w:val="0"/>
        </w:rPr>
      </w:pPr>
      <w:r>
        <w:rPr>
          <w:rFonts w:hint="eastAsia" w:ascii="仿宋" w:hAnsi="仿宋" w:eastAsia="仿宋" w:cs="仿宋"/>
          <w:b/>
          <w:color w:val="000000"/>
          <w:sz w:val="32"/>
          <w:szCs w:val="32"/>
        </w:rPr>
        <w:br w:type="page"/>
      </w:r>
      <w:bookmarkStart w:id="71" w:name="_Toc15396614"/>
      <w:bookmarkStart w:id="72" w:name="_Toc836"/>
      <w:r>
        <w:rPr>
          <w:rFonts w:hint="eastAsia" w:ascii="黑体" w:hAnsi="黑体" w:eastAsia="黑体"/>
          <w:color w:val="000000"/>
          <w:sz w:val="44"/>
          <w:szCs w:val="44"/>
        </w:rPr>
        <w:t>第</w:t>
      </w:r>
      <w:r>
        <w:rPr>
          <w:rStyle w:val="24"/>
          <w:rFonts w:hint="eastAsia" w:ascii="黑体" w:hAnsi="黑体" w:eastAsia="黑体"/>
          <w:b w:val="0"/>
        </w:rPr>
        <w:t>四部分 附件</w:t>
      </w:r>
      <w:bookmarkEnd w:id="71"/>
      <w:bookmarkEnd w:id="72"/>
    </w:p>
    <w:p>
      <w:pPr>
        <w:spacing w:line="580" w:lineRule="exact"/>
        <w:rPr>
          <w:rFonts w:ascii="仿宋_GB2312" w:hAnsi="仿宋_GB2312" w:eastAsia="仿宋_GB2312" w:cs="仿宋_GB2312"/>
          <w:sz w:val="32"/>
          <w:szCs w:val="32"/>
        </w:rPr>
      </w:pPr>
    </w:p>
    <w:p>
      <w:pPr>
        <w:widowControl/>
        <w:spacing w:line="540" w:lineRule="exact"/>
        <w:ind w:firstLine="442" w:firstLineChars="100"/>
        <w:jc w:val="center"/>
        <w:outlineLvl w:val="1"/>
        <w:rPr>
          <w:rFonts w:ascii="黑体" w:hAnsi="宋体" w:eastAsia="黑体" w:cs="仿宋_GB2312"/>
          <w:b/>
          <w:bCs/>
          <w:sz w:val="44"/>
          <w:szCs w:val="44"/>
        </w:rPr>
      </w:pPr>
      <w:bookmarkStart w:id="73" w:name="_Toc22001"/>
      <w:r>
        <w:rPr>
          <w:rFonts w:hint="eastAsia" w:ascii="黑体" w:hAnsi="宋体" w:eastAsia="黑体" w:cs="仿宋_GB2312"/>
          <w:b/>
          <w:bCs/>
          <w:sz w:val="44"/>
          <w:szCs w:val="44"/>
        </w:rPr>
        <w:t>四川省政府投资非经营性项目代建中心</w:t>
      </w:r>
      <w:bookmarkEnd w:id="73"/>
    </w:p>
    <w:p>
      <w:pPr>
        <w:widowControl/>
        <w:spacing w:line="540" w:lineRule="exact"/>
        <w:ind w:firstLine="442" w:firstLineChars="100"/>
        <w:jc w:val="center"/>
        <w:outlineLvl w:val="1"/>
        <w:rPr>
          <w:rFonts w:ascii="黑体" w:hAnsi="宋体" w:eastAsia="黑体" w:cs="仿宋_GB2312"/>
          <w:b/>
          <w:bCs/>
          <w:sz w:val="44"/>
          <w:szCs w:val="44"/>
        </w:rPr>
      </w:pPr>
      <w:bookmarkStart w:id="74" w:name="_Toc12716"/>
      <w:r>
        <w:rPr>
          <w:rFonts w:hint="eastAsia" w:ascii="黑体" w:hAnsi="宋体" w:eastAsia="黑体" w:cs="仿宋_GB2312"/>
          <w:b/>
          <w:bCs/>
          <w:sz w:val="44"/>
          <w:szCs w:val="44"/>
        </w:rPr>
        <w:t>关于政府主权外债项目省级项目</w:t>
      </w:r>
      <w:bookmarkEnd w:id="74"/>
    </w:p>
    <w:p>
      <w:pPr>
        <w:widowControl/>
        <w:spacing w:line="540" w:lineRule="exact"/>
        <w:ind w:firstLine="442" w:firstLineChars="100"/>
        <w:jc w:val="center"/>
        <w:outlineLvl w:val="1"/>
        <w:rPr>
          <w:rFonts w:ascii="黑体" w:hAnsi="宋体" w:eastAsia="黑体" w:cs="仿宋_GB2312"/>
          <w:b/>
          <w:bCs/>
          <w:sz w:val="44"/>
          <w:szCs w:val="44"/>
        </w:rPr>
      </w:pPr>
      <w:bookmarkStart w:id="75" w:name="_Toc32426"/>
      <w:r>
        <w:rPr>
          <w:rFonts w:hint="eastAsia" w:ascii="黑体" w:hAnsi="宋体" w:eastAsia="黑体" w:cs="仿宋_GB2312"/>
          <w:b/>
          <w:bCs/>
          <w:sz w:val="44"/>
          <w:szCs w:val="44"/>
        </w:rPr>
        <w:t>协调机构管理费2020年度</w:t>
      </w:r>
      <w:bookmarkEnd w:id="75"/>
    </w:p>
    <w:p>
      <w:pPr>
        <w:widowControl/>
        <w:spacing w:line="540" w:lineRule="exact"/>
        <w:ind w:firstLine="442" w:firstLineChars="100"/>
        <w:jc w:val="center"/>
        <w:outlineLvl w:val="1"/>
        <w:rPr>
          <w:rFonts w:ascii="黑体" w:hAnsi="宋体" w:eastAsia="黑体" w:cs="仿宋_GB2312"/>
          <w:b/>
          <w:bCs/>
          <w:sz w:val="44"/>
          <w:szCs w:val="44"/>
        </w:rPr>
      </w:pPr>
      <w:bookmarkStart w:id="76" w:name="_Toc9424"/>
      <w:r>
        <w:rPr>
          <w:rFonts w:hint="eastAsia" w:ascii="黑体" w:hAnsi="宋体" w:eastAsia="黑体" w:cs="仿宋_GB2312"/>
          <w:b/>
          <w:bCs/>
          <w:sz w:val="44"/>
          <w:szCs w:val="44"/>
        </w:rPr>
        <w:t>绩效自评报告</w:t>
      </w:r>
      <w:bookmarkEnd w:id="76"/>
    </w:p>
    <w:p>
      <w:pPr>
        <w:widowControl/>
        <w:adjustRightInd w:val="0"/>
        <w:snapToGrid w:val="0"/>
        <w:spacing w:line="540" w:lineRule="exact"/>
        <w:ind w:firstLine="720"/>
        <w:jc w:val="left"/>
        <w:rPr>
          <w:rFonts w:ascii="仿宋" w:hAnsi="仿宋" w:eastAsia="仿宋" w:cs="仿宋"/>
          <w:color w:val="000000"/>
          <w:kern w:val="0"/>
          <w:sz w:val="32"/>
          <w:szCs w:val="32"/>
        </w:rPr>
      </w:pPr>
    </w:p>
    <w:p>
      <w:pPr>
        <w:pStyle w:val="2"/>
        <w:outlineLvl w:val="1"/>
        <w:rPr>
          <w:rFonts w:hAnsi="仿宋"/>
          <w:b/>
          <w:sz w:val="32"/>
          <w:szCs w:val="32"/>
          <w:lang w:val="zh-CN"/>
        </w:rPr>
      </w:pPr>
      <w:bookmarkStart w:id="77" w:name="_Toc16876"/>
      <w:r>
        <w:rPr>
          <w:rFonts w:hint="eastAsia" w:hAnsi="仿宋"/>
          <w:b/>
          <w:sz w:val="32"/>
          <w:szCs w:val="32"/>
          <w:lang w:val="zh-CN"/>
        </w:rPr>
        <w:t>一、基本概况</w:t>
      </w:r>
      <w:bookmarkEnd w:id="77"/>
    </w:p>
    <w:p>
      <w:pPr>
        <w:spacing w:line="600" w:lineRule="exact"/>
        <w:ind w:firstLine="640" w:firstLineChars="200"/>
        <w:rPr>
          <w:rFonts w:ascii="仿宋" w:hAnsi="仿宋" w:eastAsia="仿宋" w:cs="仿宋"/>
          <w:sz w:val="32"/>
          <w:szCs w:val="32"/>
          <w:shd w:val="clear" w:color="auto" w:fill="FFFFFF"/>
          <w:lang w:val="zh-CN"/>
        </w:rPr>
      </w:pPr>
      <w:r>
        <w:rPr>
          <w:rFonts w:hint="eastAsia" w:ascii="仿宋" w:hAnsi="仿宋" w:eastAsia="仿宋" w:cs="仿宋"/>
          <w:sz w:val="32"/>
          <w:szCs w:val="32"/>
          <w:shd w:val="clear" w:color="auto" w:fill="FFFFFF"/>
          <w:lang w:val="zh-CN"/>
        </w:rPr>
        <w:t>（一）项目情况</w:t>
      </w:r>
    </w:p>
    <w:p>
      <w:pPr>
        <w:pStyle w:val="2"/>
        <w:ind w:firstLine="640" w:firstLineChars="200"/>
        <w:rPr>
          <w:rFonts w:hAnsi="仿宋"/>
          <w:color w:val="auto"/>
          <w:kern w:val="2"/>
          <w:sz w:val="32"/>
          <w:szCs w:val="32"/>
        </w:rPr>
      </w:pPr>
      <w:r>
        <w:rPr>
          <w:rFonts w:hint="eastAsia" w:hAnsi="仿宋"/>
          <w:color w:val="auto"/>
          <w:kern w:val="2"/>
          <w:sz w:val="32"/>
          <w:szCs w:val="32"/>
        </w:rPr>
        <w:t>四川省人民政府于1996年9月以《四川省人民政府关于成立水资源规划及城建环保项目的领导小组的通知》（川府函﹝1996﹞582号）成立了项目领导小组暨办公室（以下简称省项目办）。省城建环保项目办负责四川省内政府主权外债城建领域项目的总体协调和管理，主要职责是：贯彻落实同级政府领导小组和上级的有关决议、决定和指示，制定和完善项目管理的各项规章制度；组织指导项目实施机构开展项目前期准备、中期实施和后期评估作；具体实施对项目的计划、资金、财务、采购、培训、监测和文件资料的管理等工作；负责项目的外事接待并承办上级相关部门交办的其他工作。</w:t>
      </w:r>
    </w:p>
    <w:p>
      <w:pPr>
        <w:widowControl/>
        <w:spacing w:line="540" w:lineRule="exact"/>
        <w:ind w:firstLine="320" w:firstLineChars="100"/>
        <w:jc w:val="left"/>
        <w:rPr>
          <w:rFonts w:ascii="仿宋" w:hAnsi="仿宋" w:eastAsia="仿宋" w:cs="仿宋"/>
          <w:sz w:val="32"/>
          <w:szCs w:val="32"/>
        </w:rPr>
      </w:pPr>
      <w:r>
        <w:rPr>
          <w:rFonts w:hint="eastAsia" w:ascii="仿宋" w:hAnsi="仿宋" w:eastAsia="仿宋" w:cs="仿宋"/>
          <w:sz w:val="32"/>
          <w:szCs w:val="32"/>
        </w:rPr>
        <w:t xml:space="preserve">  政府主权外债项目省级项目协调机构管理费根据《省财政厅关于印发〈国际金融组织贷款项目协调机构管理经费申请及使用管理暂行办法〉的通知》（川外函﹝2008﹞36号）设立，主要用于人员经费和日常开支，保障项目办的正常运转。</w:t>
      </w:r>
    </w:p>
    <w:p>
      <w:pPr>
        <w:spacing w:line="600" w:lineRule="exact"/>
        <w:ind w:firstLine="640" w:firstLineChars="200"/>
        <w:rPr>
          <w:rFonts w:ascii="仿宋" w:hAnsi="仿宋" w:eastAsia="仿宋" w:cs="仿宋"/>
          <w:sz w:val="32"/>
          <w:szCs w:val="32"/>
          <w:shd w:val="clear" w:color="auto" w:fill="FFFFFF"/>
          <w:lang w:val="zh-CN"/>
        </w:rPr>
      </w:pPr>
      <w:r>
        <w:rPr>
          <w:rFonts w:hint="eastAsia" w:ascii="仿宋" w:hAnsi="仿宋" w:eastAsia="仿宋" w:cs="仿宋"/>
          <w:sz w:val="32"/>
          <w:szCs w:val="32"/>
          <w:shd w:val="clear" w:color="auto" w:fill="FFFFFF"/>
          <w:lang w:val="zh-CN"/>
        </w:rPr>
        <w:t>（二）项目实施情况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目前省城建项目办负责协调实施世界银行贷款芦山地震灾后恢复重建项目（城镇基础设施部分），该项目一批次进入收尾阶段，正在全力申请余款项目。</w:t>
      </w:r>
    </w:p>
    <w:p>
      <w:pPr>
        <w:spacing w:line="600" w:lineRule="exact"/>
        <w:ind w:firstLine="640" w:firstLineChars="200"/>
        <w:rPr>
          <w:rFonts w:ascii="仿宋" w:hAnsi="仿宋" w:eastAsia="仿宋" w:cs="仿宋"/>
          <w:sz w:val="32"/>
          <w:szCs w:val="32"/>
          <w:shd w:val="clear" w:color="auto" w:fill="FFFFFF"/>
          <w:lang w:val="zh-CN"/>
        </w:rPr>
      </w:pPr>
      <w:r>
        <w:rPr>
          <w:rFonts w:hint="eastAsia" w:ascii="仿宋" w:hAnsi="仿宋" w:eastAsia="仿宋" w:cs="仿宋"/>
          <w:sz w:val="32"/>
          <w:szCs w:val="32"/>
          <w:shd w:val="clear" w:color="auto" w:fill="FFFFFF"/>
          <w:lang w:val="zh-CN"/>
        </w:rPr>
        <w:t>（三）资金投入使用情况</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项目财政资金收入情况，2020年财政拨款收入合计140万元。 项目财政资金支出情况。2020年该项目财政拨款支出合计134.43万元，执行比例96%。</w:t>
      </w:r>
    </w:p>
    <w:p>
      <w:pPr>
        <w:spacing w:line="600" w:lineRule="exact"/>
        <w:ind w:firstLine="640" w:firstLineChars="200"/>
        <w:rPr>
          <w:rFonts w:ascii="仿宋" w:hAnsi="仿宋" w:eastAsia="仿宋" w:cs="仿宋"/>
          <w:sz w:val="32"/>
          <w:szCs w:val="32"/>
          <w:shd w:val="clear" w:color="auto" w:fill="FFFFFF"/>
          <w:lang w:val="zh-CN"/>
        </w:rPr>
      </w:pPr>
      <w:r>
        <w:rPr>
          <w:rFonts w:hint="eastAsia" w:ascii="仿宋" w:hAnsi="仿宋" w:eastAsia="仿宋" w:cs="仿宋"/>
          <w:sz w:val="32"/>
          <w:szCs w:val="32"/>
          <w:shd w:val="clear" w:color="auto" w:fill="FFFFFF"/>
          <w:lang w:val="zh-CN"/>
        </w:rPr>
        <w:t>（四）项目绩效目标</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2020年项目总体目标是根据与世界银行沟通交流后确定的“采购计划”、“进度计划”和“支付计划”，“世界银行贷款芦山地震灾后恢复重建项目（城镇基础设施部分）”截止2020年计划完成占招标金额的90%。改善项目县（区）具有抗灾韧性基础设施的使用情况并加强减灾能力。2020已完成该设定目标。</w:t>
      </w:r>
    </w:p>
    <w:p>
      <w:pPr>
        <w:pStyle w:val="2"/>
        <w:outlineLvl w:val="1"/>
        <w:rPr>
          <w:rFonts w:hAnsi="仿宋"/>
          <w:color w:val="auto"/>
          <w:kern w:val="2"/>
          <w:sz w:val="32"/>
          <w:szCs w:val="32"/>
        </w:rPr>
      </w:pPr>
      <w:bookmarkStart w:id="78" w:name="_Toc22304"/>
      <w:r>
        <w:rPr>
          <w:rFonts w:hint="eastAsia" w:hAnsi="仿宋"/>
          <w:b/>
          <w:sz w:val="32"/>
          <w:szCs w:val="32"/>
          <w:lang w:val="zh-CN"/>
        </w:rPr>
        <w:t>二、评价工作开展情况</w:t>
      </w:r>
      <w:bookmarkEnd w:id="78"/>
    </w:p>
    <w:p>
      <w:pPr>
        <w:pStyle w:val="2"/>
        <w:rPr>
          <w:rFonts w:hAnsi="仿宋"/>
          <w:color w:val="auto"/>
          <w:kern w:val="2"/>
          <w:sz w:val="32"/>
          <w:szCs w:val="32"/>
        </w:rPr>
      </w:pPr>
      <w:r>
        <w:rPr>
          <w:rFonts w:hint="eastAsia" w:hAnsi="仿宋"/>
          <w:sz w:val="32"/>
          <w:szCs w:val="32"/>
        </w:rPr>
        <w:t xml:space="preserve">   </w:t>
      </w:r>
      <w:r>
        <w:rPr>
          <w:rFonts w:hint="eastAsia" w:hAnsi="仿宋"/>
          <w:color w:val="auto"/>
          <w:kern w:val="2"/>
          <w:sz w:val="32"/>
          <w:szCs w:val="32"/>
        </w:rPr>
        <w:t xml:space="preserve"> 根据财政厅对绩效管理要求，认真组织安排绩效监控和评价工作，分别于2020年6月和8月上报指标完成情况及监控报告，于2020年8月组织业务人员共同梳理相关绩效指标，建立绩效指标体系，完善绩效评价方法和评价标准。</w:t>
      </w:r>
    </w:p>
    <w:p>
      <w:pPr>
        <w:pStyle w:val="2"/>
        <w:outlineLvl w:val="1"/>
        <w:rPr>
          <w:rFonts w:hAnsi="仿宋"/>
          <w:b/>
          <w:sz w:val="32"/>
          <w:szCs w:val="32"/>
          <w:lang w:val="zh-CN"/>
        </w:rPr>
      </w:pPr>
      <w:bookmarkStart w:id="79" w:name="_Toc16475"/>
      <w:r>
        <w:rPr>
          <w:rFonts w:hint="eastAsia" w:hAnsi="仿宋"/>
          <w:b/>
          <w:sz w:val="32"/>
          <w:szCs w:val="32"/>
          <w:lang w:val="zh-CN"/>
        </w:rPr>
        <w:t>三、综合评价结论</w:t>
      </w:r>
      <w:bookmarkEnd w:id="79"/>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2020年设定的相关绩效完成指标、效益指标、满意度指标已完成，具体指标完成情况详见项目支出绩效自评表。</w:t>
      </w:r>
    </w:p>
    <w:p>
      <w:pPr>
        <w:pStyle w:val="2"/>
        <w:outlineLvl w:val="1"/>
        <w:rPr>
          <w:rFonts w:hAnsi="仿宋"/>
          <w:b/>
          <w:sz w:val="32"/>
          <w:szCs w:val="32"/>
          <w:lang w:val="zh-CN"/>
        </w:rPr>
      </w:pPr>
      <w:bookmarkStart w:id="80" w:name="_Toc32474"/>
      <w:r>
        <w:rPr>
          <w:rFonts w:hint="eastAsia" w:hAnsi="仿宋"/>
          <w:b/>
          <w:sz w:val="32"/>
          <w:szCs w:val="32"/>
          <w:lang w:val="zh-CN"/>
        </w:rPr>
        <w:t>四、绩效评价分析</w:t>
      </w:r>
      <w:bookmarkEnd w:id="80"/>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（一）项目决策情况</w:t>
      </w:r>
    </w:p>
    <w:p>
      <w:pPr>
        <w:pStyle w:val="2"/>
        <w:ind w:firstLine="640" w:firstLineChars="200"/>
        <w:rPr>
          <w:rFonts w:hAnsi="仿宋"/>
          <w:color w:val="auto"/>
          <w:kern w:val="2"/>
          <w:sz w:val="32"/>
          <w:szCs w:val="32"/>
        </w:rPr>
      </w:pPr>
      <w:r>
        <w:rPr>
          <w:rFonts w:hint="eastAsia" w:hAnsi="仿宋"/>
          <w:color w:val="auto"/>
          <w:kern w:val="2"/>
          <w:sz w:val="32"/>
          <w:szCs w:val="32"/>
        </w:rPr>
        <w:t>为加快四川省城市基础设施建设，拓宽建设资金渠道，我省从1996年开始在城建环保领域大规模引进世界银行和其他国外政府优惠贷款，根据国家对国际金融组织和国外政府贷款项目的有关要求和世界银行等有关规定成立项目领导小组和办公室，负责世界银行贷款等项目的组织领导和日常管理工作。该项目经费用于保障项目办的正常运转。</w:t>
      </w:r>
    </w:p>
    <w:p>
      <w:pPr>
        <w:pStyle w:val="2"/>
        <w:ind w:firstLine="525"/>
        <w:rPr>
          <w:rFonts w:hAnsi="仿宋"/>
          <w:color w:val="auto"/>
          <w:kern w:val="2"/>
          <w:sz w:val="32"/>
          <w:szCs w:val="32"/>
        </w:rPr>
      </w:pPr>
      <w:r>
        <w:rPr>
          <w:rFonts w:hint="eastAsia" w:hAnsi="仿宋"/>
          <w:sz w:val="32"/>
          <w:szCs w:val="32"/>
        </w:rPr>
        <w:t>世界银行贷款芦山地震灾后恢复重建项目（城镇基础设施部分），该项目执行单</w:t>
      </w:r>
      <w:r>
        <w:rPr>
          <w:rFonts w:hint="eastAsia" w:hAnsi="仿宋"/>
          <w:color w:val="auto"/>
          <w:kern w:val="2"/>
          <w:sz w:val="32"/>
          <w:szCs w:val="32"/>
        </w:rPr>
        <w:t>位均为区县一级，缺乏世行贷款项目实施经验，从而加大了项目实施和管理的难度，为项目执行带来风险。在项目实施和管理过程中需要我办对项目业主反复进行相关培训，以及赴现场对项目进行指导和协调。</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（二）项目管理情况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shd w:val="clear" w:color="auto" w:fill="FFFFFF"/>
          <w:lang w:val="zh-CN"/>
        </w:rPr>
        <w:t>根据2015年第一次省住建厅厅长办公会明确决定“将省政府城建环保项目办职能并入省政府投资非经营性项目代建中心”，将项目管理经费一并纳入省住厅和城乡建设厅预算管理，由金融债务处将相关经费划拨投资处并由投资处统一下达省代建中心账户统一管理。</w:t>
      </w:r>
    </w:p>
    <w:p>
      <w:pPr>
        <w:pStyle w:val="2"/>
        <w:ind w:firstLine="525"/>
        <w:rPr>
          <w:rFonts w:hAnsi="仿宋"/>
          <w:color w:val="auto"/>
          <w:kern w:val="2"/>
          <w:sz w:val="32"/>
          <w:szCs w:val="32"/>
        </w:rPr>
      </w:pPr>
      <w:r>
        <w:rPr>
          <w:rFonts w:hint="eastAsia" w:hAnsi="仿宋"/>
          <w:color w:val="auto"/>
          <w:kern w:val="2"/>
          <w:sz w:val="32"/>
          <w:szCs w:val="32"/>
        </w:rPr>
        <w:t>项目办有工作管理手册、部门职责等内部管理文件，针对管理项目下发项目操作手册和项目财务管理办法等。</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（三）项目产出情况</w:t>
      </w:r>
    </w:p>
    <w:p>
      <w:pPr>
        <w:pStyle w:val="2"/>
        <w:ind w:firstLine="640" w:firstLineChars="200"/>
        <w:rPr>
          <w:rFonts w:hAnsi="仿宋"/>
          <w:color w:val="auto"/>
          <w:kern w:val="2"/>
          <w:sz w:val="32"/>
          <w:szCs w:val="32"/>
        </w:rPr>
      </w:pPr>
      <w:r>
        <w:rPr>
          <w:rFonts w:hint="eastAsia" w:hAnsi="仿宋"/>
          <w:color w:val="auto"/>
          <w:kern w:val="2"/>
          <w:sz w:val="32"/>
          <w:szCs w:val="32"/>
        </w:rPr>
        <w:t xml:space="preserve">迄今为止，省项目办共完成7个外资贷款项目，均全面达到项目目标，得到贷款方的高度认可。项目办目前负责世界银行贷款芦山地震灾后恢复重建项目（城镇基础设施部分），截止2020年底，一批次11个土建合同已经完成9个，剩余2个合同将在2021年上半年全面完成，所有土建合同均已经支付到合同金额的90%，剩余部分将在完成审计后进行支付。一批次项目已经全面完成项目初期所设置的改善项目县（区）具有抗灾韧性基础设施的使用情况并加强减灾能力的项目目标。 </w:t>
      </w:r>
    </w:p>
    <w:p>
      <w:pPr>
        <w:pStyle w:val="2"/>
        <w:rPr>
          <w:rFonts w:hAnsi="仿宋"/>
          <w:color w:val="auto"/>
          <w:kern w:val="2"/>
          <w:sz w:val="32"/>
          <w:szCs w:val="32"/>
        </w:rPr>
      </w:pPr>
      <w:r>
        <w:rPr>
          <w:rFonts w:hint="eastAsia" w:hAnsi="仿宋"/>
          <w:sz w:val="32"/>
          <w:szCs w:val="32"/>
        </w:rPr>
        <w:t xml:space="preserve"> </w:t>
      </w:r>
      <w:r>
        <w:rPr>
          <w:rFonts w:hint="eastAsia" w:hAnsi="仿宋"/>
          <w:color w:val="auto"/>
          <w:kern w:val="2"/>
          <w:sz w:val="32"/>
          <w:szCs w:val="32"/>
        </w:rPr>
        <w:t xml:space="preserve">  余款项目2020年8月已经得到四川省发展和改革委员会对可行性研究报告的批复，2020年11月得到了国家发展和改革委员会对余款使用报告的批复，2021年3月国家财政部向世界银行发函，目前正等待世行正式批复余款项目资金的使用。</w:t>
      </w:r>
    </w:p>
    <w:p>
      <w:pPr>
        <w:pStyle w:val="2"/>
        <w:rPr>
          <w:rFonts w:hAnsi="仿宋"/>
          <w:color w:val="auto"/>
          <w:kern w:val="2"/>
          <w:sz w:val="32"/>
          <w:szCs w:val="32"/>
        </w:rPr>
      </w:pPr>
      <w:r>
        <w:rPr>
          <w:rFonts w:hint="eastAsia" w:hAnsi="仿宋"/>
          <w:color w:val="auto"/>
          <w:kern w:val="2"/>
          <w:sz w:val="32"/>
          <w:szCs w:val="32"/>
        </w:rPr>
        <w:t>（四）项目效益情况</w:t>
      </w:r>
    </w:p>
    <w:p>
      <w:pPr>
        <w:pStyle w:val="2"/>
        <w:rPr>
          <w:rFonts w:hAnsi="仿宋"/>
          <w:color w:val="auto"/>
          <w:kern w:val="2"/>
          <w:sz w:val="32"/>
          <w:szCs w:val="32"/>
        </w:rPr>
      </w:pPr>
      <w:r>
        <w:rPr>
          <w:rFonts w:hint="eastAsia" w:hAnsi="仿宋"/>
          <w:color w:val="auto"/>
          <w:kern w:val="2"/>
          <w:sz w:val="32"/>
          <w:szCs w:val="32"/>
        </w:rPr>
        <w:t xml:space="preserve">   引入外方先进项目管理经验，拓宽基础建设资金渠道，充分发挥项目办外资项目管理优势，</w:t>
      </w:r>
      <w:r>
        <w:rPr>
          <w:rFonts w:hint="eastAsia" w:hAnsi="仿宋"/>
          <w:sz w:val="32"/>
          <w:szCs w:val="32"/>
        </w:rPr>
        <w:t>将外资贷款项目管理经验用于芦山地震灾后恢复重建项目（城镇基础设施部分），</w:t>
      </w:r>
      <w:r>
        <w:rPr>
          <w:rFonts w:hint="eastAsia" w:hAnsi="仿宋"/>
          <w:color w:val="auto"/>
          <w:kern w:val="2"/>
          <w:sz w:val="32"/>
          <w:szCs w:val="32"/>
        </w:rPr>
        <w:t>加快了项目</w:t>
      </w:r>
      <w:r>
        <w:rPr>
          <w:rFonts w:hint="eastAsia" w:hAnsi="仿宋"/>
          <w:sz w:val="32"/>
          <w:szCs w:val="32"/>
        </w:rPr>
        <w:t>进度，扫清项目管理中存在的障碍，实现项目设定目标。</w:t>
      </w:r>
    </w:p>
    <w:p>
      <w:pPr>
        <w:widowControl/>
        <w:adjustRightInd w:val="0"/>
        <w:snapToGrid w:val="0"/>
        <w:spacing w:line="600" w:lineRule="exact"/>
        <w:ind w:firstLine="643" w:firstLineChars="200"/>
        <w:outlineLvl w:val="1"/>
        <w:rPr>
          <w:rFonts w:ascii="仿宋" w:hAnsi="仿宋" w:eastAsia="仿宋" w:cs="仿宋"/>
          <w:b/>
          <w:color w:val="000000"/>
          <w:kern w:val="0"/>
          <w:sz w:val="32"/>
          <w:szCs w:val="32"/>
          <w:lang w:val="zh-CN"/>
        </w:rPr>
      </w:pPr>
      <w:bookmarkStart w:id="81" w:name="_Toc14014"/>
      <w:r>
        <w:rPr>
          <w:rFonts w:hint="eastAsia" w:ascii="仿宋" w:hAnsi="仿宋" w:eastAsia="仿宋" w:cs="仿宋"/>
          <w:b/>
          <w:color w:val="000000"/>
          <w:kern w:val="0"/>
          <w:sz w:val="32"/>
          <w:szCs w:val="32"/>
          <w:lang w:val="zh-CN"/>
        </w:rPr>
        <w:t>五、存在主要问题</w:t>
      </w:r>
      <w:bookmarkEnd w:id="81"/>
    </w:p>
    <w:p>
      <w:pPr>
        <w:pStyle w:val="2"/>
        <w:rPr>
          <w:rFonts w:hAnsi="仿宋"/>
          <w:color w:val="auto"/>
          <w:kern w:val="2"/>
          <w:sz w:val="32"/>
          <w:szCs w:val="32"/>
        </w:rPr>
      </w:pPr>
      <w:r>
        <w:rPr>
          <w:rFonts w:hint="eastAsia" w:hAnsi="仿宋"/>
          <w:sz w:val="32"/>
          <w:szCs w:val="32"/>
        </w:rPr>
        <w:t xml:space="preserve">    </w:t>
      </w:r>
      <w:r>
        <w:rPr>
          <w:rFonts w:hint="eastAsia" w:hAnsi="仿宋"/>
          <w:color w:val="auto"/>
          <w:kern w:val="2"/>
          <w:sz w:val="32"/>
          <w:szCs w:val="32"/>
        </w:rPr>
        <w:t xml:space="preserve"> 预算执行问题，2020年实际支出96% ，剩余经费5万元，分析原因主要是预算年初编制不够合理，造成部分费用剩余无法使用，部分经费又不够使用。</w:t>
      </w:r>
    </w:p>
    <w:p>
      <w:pPr>
        <w:pStyle w:val="2"/>
        <w:ind w:firstLine="640" w:firstLineChars="200"/>
        <w:rPr>
          <w:rFonts w:hAnsi="仿宋"/>
          <w:sz w:val="32"/>
          <w:szCs w:val="32"/>
        </w:rPr>
      </w:pPr>
      <w:r>
        <w:rPr>
          <w:rFonts w:hint="eastAsia" w:hAnsi="仿宋"/>
          <w:color w:val="auto"/>
          <w:kern w:val="2"/>
          <w:sz w:val="32"/>
          <w:szCs w:val="32"/>
        </w:rPr>
        <w:t>部门项目绩效目标，受疫情影响，项目比预计推迟复工，再由于雅安市气候以多雨为主，原计划在雨季汛期前完成的大部分涉水结构在雨季汛期结束后才能继续实施，后续项目内容也同步受到影响。</w:t>
      </w:r>
    </w:p>
    <w:p>
      <w:pPr>
        <w:pStyle w:val="2"/>
        <w:ind w:firstLine="640" w:firstLineChars="200"/>
        <w:rPr>
          <w:rFonts w:hAnsi="仿宋"/>
          <w:color w:val="auto"/>
          <w:kern w:val="2"/>
          <w:sz w:val="32"/>
          <w:szCs w:val="32"/>
        </w:rPr>
      </w:pPr>
      <w:r>
        <w:rPr>
          <w:rFonts w:hint="eastAsia" w:hAnsi="仿宋"/>
          <w:color w:val="auto"/>
          <w:kern w:val="2"/>
          <w:sz w:val="32"/>
          <w:szCs w:val="32"/>
        </w:rPr>
        <w:t>由于外资贷款项目的特殊性，根据中国的法律法规和中方与世行方面签署的相关协议，项目执行过程中所涉及的部分程序在不违反国内法律法规的前提下可以使用外方的相关规定。而在实际执行过程中，部分涉及的部门由于没有执行外资贷款项目的相关经验，导致相关决策和批复的时间大大加长，造成了项目实施进度的缓慢和增加了项目所需协调力度。</w:t>
      </w:r>
    </w:p>
    <w:p>
      <w:pPr>
        <w:widowControl/>
        <w:adjustRightInd w:val="0"/>
        <w:snapToGrid w:val="0"/>
        <w:spacing w:line="600" w:lineRule="exact"/>
        <w:ind w:firstLine="643" w:firstLineChars="200"/>
        <w:outlineLvl w:val="1"/>
        <w:rPr>
          <w:rFonts w:ascii="仿宋" w:hAnsi="仿宋" w:eastAsia="仿宋" w:cs="仿宋"/>
          <w:b/>
          <w:color w:val="000000"/>
          <w:kern w:val="0"/>
          <w:sz w:val="32"/>
          <w:szCs w:val="32"/>
          <w:lang w:val="zh-CN"/>
        </w:rPr>
      </w:pPr>
      <w:bookmarkStart w:id="82" w:name="_Toc20255"/>
      <w:r>
        <w:rPr>
          <w:rFonts w:hint="eastAsia" w:ascii="仿宋" w:hAnsi="仿宋" w:eastAsia="仿宋" w:cs="仿宋"/>
          <w:b/>
          <w:color w:val="000000"/>
          <w:kern w:val="0"/>
          <w:sz w:val="32"/>
          <w:szCs w:val="32"/>
          <w:lang w:val="zh-CN"/>
        </w:rPr>
        <w:t>六、整改措施及建议</w:t>
      </w:r>
      <w:bookmarkEnd w:id="82"/>
    </w:p>
    <w:p>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rPr>
        <w:t xml:space="preserve"> </w:t>
      </w:r>
      <w:r>
        <w:rPr>
          <w:rFonts w:hint="eastAsia" w:ascii="仿宋" w:hAnsi="仿宋" w:eastAsia="仿宋" w:cs="仿宋"/>
          <w:sz w:val="32"/>
          <w:szCs w:val="32"/>
        </w:rPr>
        <w:t>加强预算编制的准确度，结合实际工作情况，确保经费和业务密切相关，让经费在保证合理合规的使用条件下，得到更有效利用。</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重视绩效目标的设定，考虑目标实现过程中可能出现的障碍，目标设定做到合理、相关、有效。</w:t>
      </w:r>
    </w:p>
    <w:p>
      <w:pPr>
        <w:spacing w:line="600" w:lineRule="exact"/>
        <w:jc w:val="center"/>
        <w:rPr>
          <w:rFonts w:ascii="黑体" w:hAnsi="黑体" w:eastAsia="黑体"/>
          <w:color w:val="000000"/>
          <w:sz w:val="44"/>
          <w:szCs w:val="44"/>
        </w:rPr>
      </w:pPr>
      <w:bookmarkStart w:id="83" w:name="_Toc15396618"/>
    </w:p>
    <w:p>
      <w:pPr>
        <w:spacing w:line="600" w:lineRule="exact"/>
        <w:jc w:val="center"/>
        <w:rPr>
          <w:rFonts w:ascii="黑体" w:hAnsi="黑体" w:eastAsia="黑体"/>
          <w:color w:val="000000"/>
          <w:sz w:val="44"/>
          <w:szCs w:val="44"/>
        </w:rPr>
      </w:pPr>
    </w:p>
    <w:p>
      <w:pPr>
        <w:spacing w:line="600" w:lineRule="exact"/>
        <w:jc w:val="center"/>
        <w:outlineLvl w:val="0"/>
        <w:rPr>
          <w:rFonts w:ascii="仿宋" w:hAnsi="仿宋" w:eastAsia="仿宋"/>
          <w:color w:val="000000"/>
        </w:rPr>
      </w:pPr>
      <w:bookmarkStart w:id="84" w:name="_Toc14146"/>
      <w:r>
        <w:rPr>
          <w:rFonts w:hint="eastAsia" w:ascii="黑体" w:hAnsi="黑体" w:eastAsia="黑体"/>
          <w:color w:val="000000"/>
          <w:sz w:val="44"/>
          <w:szCs w:val="44"/>
        </w:rPr>
        <w:t>第</w:t>
      </w:r>
      <w:r>
        <w:rPr>
          <w:rStyle w:val="24"/>
          <w:rFonts w:hint="eastAsia" w:ascii="黑体" w:hAnsi="黑体" w:eastAsia="黑体"/>
          <w:b w:val="0"/>
        </w:rPr>
        <w:t>五部分 附表</w:t>
      </w:r>
      <w:bookmarkEnd w:id="70"/>
      <w:bookmarkEnd w:id="83"/>
      <w:bookmarkEnd w:id="84"/>
      <w:bookmarkStart w:id="85" w:name="_Toc15396619"/>
    </w:p>
    <w:p>
      <w:pPr>
        <w:pStyle w:val="4"/>
        <w:rPr>
          <w:rFonts w:ascii="仿宋" w:hAnsi="仿宋" w:eastAsia="仿宋"/>
          <w:color w:val="000000"/>
        </w:rPr>
      </w:pPr>
      <w:bookmarkStart w:id="86" w:name="_Toc22196"/>
      <w:r>
        <w:rPr>
          <w:rFonts w:hint="eastAsia" w:ascii="仿宋" w:hAnsi="仿宋" w:eastAsia="仿宋"/>
          <w:b w:val="0"/>
          <w:color w:val="000000"/>
        </w:rPr>
        <w:t>一、收</w:t>
      </w:r>
      <w:r>
        <w:rPr>
          <w:rStyle w:val="25"/>
          <w:rFonts w:hint="eastAsia" w:ascii="仿宋" w:hAnsi="仿宋" w:eastAsia="仿宋"/>
          <w:b w:val="0"/>
          <w:bCs w:val="0"/>
        </w:rPr>
        <w:t>入支出决算总表</w:t>
      </w:r>
      <w:bookmarkEnd w:id="85"/>
      <w:bookmarkEnd w:id="86"/>
    </w:p>
    <w:p>
      <w:pPr>
        <w:pStyle w:val="4"/>
        <w:rPr>
          <w:rFonts w:ascii="仿宋" w:hAnsi="仿宋" w:eastAsia="仿宋"/>
          <w:color w:val="000000"/>
        </w:rPr>
      </w:pPr>
      <w:bookmarkStart w:id="87" w:name="_Toc15396620"/>
      <w:bookmarkStart w:id="88" w:name="_Toc28095"/>
      <w:r>
        <w:rPr>
          <w:rFonts w:hint="eastAsia" w:ascii="仿宋" w:hAnsi="仿宋" w:eastAsia="仿宋"/>
          <w:b w:val="0"/>
          <w:color w:val="000000"/>
        </w:rPr>
        <w:t>二、收</w:t>
      </w:r>
      <w:r>
        <w:rPr>
          <w:rStyle w:val="25"/>
          <w:rFonts w:hint="eastAsia" w:ascii="仿宋" w:hAnsi="仿宋" w:eastAsia="仿宋"/>
          <w:b w:val="0"/>
          <w:bCs w:val="0"/>
        </w:rPr>
        <w:t>入决算表</w:t>
      </w:r>
      <w:bookmarkEnd w:id="87"/>
      <w:bookmarkEnd w:id="88"/>
    </w:p>
    <w:p>
      <w:pPr>
        <w:pStyle w:val="4"/>
        <w:rPr>
          <w:rFonts w:ascii="仿宋" w:hAnsi="仿宋" w:eastAsia="仿宋"/>
          <w:color w:val="000000"/>
        </w:rPr>
      </w:pPr>
      <w:bookmarkStart w:id="89" w:name="_Toc4525"/>
      <w:bookmarkStart w:id="90" w:name="_Toc15396621"/>
      <w:r>
        <w:rPr>
          <w:rStyle w:val="25"/>
          <w:rFonts w:hint="eastAsia" w:ascii="仿宋" w:hAnsi="仿宋" w:eastAsia="仿宋"/>
          <w:b w:val="0"/>
          <w:bCs w:val="0"/>
        </w:rPr>
        <w:t>三、</w:t>
      </w:r>
      <w:r>
        <w:rPr>
          <w:rFonts w:hint="eastAsia" w:ascii="仿宋" w:hAnsi="仿宋" w:eastAsia="仿宋"/>
          <w:b w:val="0"/>
          <w:color w:val="000000"/>
        </w:rPr>
        <w:t>支</w:t>
      </w:r>
      <w:r>
        <w:rPr>
          <w:rStyle w:val="25"/>
          <w:rFonts w:hint="eastAsia" w:ascii="仿宋" w:hAnsi="仿宋" w:eastAsia="仿宋"/>
          <w:b w:val="0"/>
          <w:bCs w:val="0"/>
        </w:rPr>
        <w:t>出决算表</w:t>
      </w:r>
      <w:bookmarkEnd w:id="89"/>
      <w:bookmarkEnd w:id="90"/>
    </w:p>
    <w:p>
      <w:pPr>
        <w:pStyle w:val="4"/>
        <w:rPr>
          <w:rFonts w:ascii="仿宋" w:hAnsi="仿宋" w:eastAsia="仿宋"/>
          <w:b w:val="0"/>
          <w:color w:val="000000"/>
        </w:rPr>
      </w:pPr>
      <w:bookmarkStart w:id="91" w:name="_Toc15396622"/>
      <w:bookmarkStart w:id="92" w:name="_Toc20264"/>
      <w:r>
        <w:rPr>
          <w:rStyle w:val="25"/>
          <w:rFonts w:hint="eastAsia" w:ascii="仿宋" w:hAnsi="仿宋" w:eastAsia="仿宋"/>
          <w:b w:val="0"/>
          <w:bCs w:val="0"/>
        </w:rPr>
        <w:t>四、</w:t>
      </w:r>
      <w:r>
        <w:rPr>
          <w:rFonts w:hint="eastAsia" w:ascii="仿宋" w:hAnsi="仿宋" w:eastAsia="仿宋"/>
          <w:b w:val="0"/>
          <w:color w:val="000000"/>
        </w:rPr>
        <w:t>财</w:t>
      </w:r>
      <w:r>
        <w:rPr>
          <w:rStyle w:val="25"/>
          <w:rFonts w:hint="eastAsia" w:ascii="仿宋" w:hAnsi="仿宋" w:eastAsia="仿宋"/>
          <w:b w:val="0"/>
          <w:bCs w:val="0"/>
        </w:rPr>
        <w:t>政拨款收入支出决算总表</w:t>
      </w:r>
      <w:bookmarkEnd w:id="91"/>
      <w:bookmarkEnd w:id="92"/>
    </w:p>
    <w:p>
      <w:pPr>
        <w:pStyle w:val="4"/>
        <w:rPr>
          <w:rStyle w:val="25"/>
          <w:rFonts w:ascii="仿宋" w:hAnsi="仿宋" w:eastAsia="仿宋"/>
          <w:b w:val="0"/>
          <w:bCs w:val="0"/>
        </w:rPr>
      </w:pPr>
      <w:bookmarkStart w:id="93" w:name="_Toc15396623"/>
      <w:bookmarkStart w:id="94" w:name="_Toc11671"/>
      <w:r>
        <w:rPr>
          <w:rStyle w:val="25"/>
          <w:rFonts w:hint="eastAsia" w:ascii="仿宋" w:hAnsi="仿宋" w:eastAsia="仿宋"/>
          <w:b w:val="0"/>
          <w:bCs w:val="0"/>
        </w:rPr>
        <w:t>五、</w:t>
      </w:r>
      <w:r>
        <w:rPr>
          <w:rFonts w:hint="eastAsia" w:ascii="仿宋" w:hAnsi="仿宋" w:eastAsia="仿宋"/>
          <w:b w:val="0"/>
          <w:color w:val="000000"/>
        </w:rPr>
        <w:t>财</w:t>
      </w:r>
      <w:r>
        <w:rPr>
          <w:rStyle w:val="25"/>
          <w:rFonts w:hint="eastAsia" w:ascii="仿宋" w:hAnsi="仿宋" w:eastAsia="仿宋"/>
          <w:b w:val="0"/>
          <w:bCs w:val="0"/>
        </w:rPr>
        <w:t>政拨款支出决算明细表</w:t>
      </w:r>
      <w:bookmarkEnd w:id="93"/>
      <w:bookmarkEnd w:id="94"/>
      <w:bookmarkStart w:id="95" w:name="_Toc15396624"/>
    </w:p>
    <w:p>
      <w:pPr>
        <w:pStyle w:val="4"/>
        <w:rPr>
          <w:rFonts w:ascii="仿宋" w:hAnsi="仿宋" w:eastAsia="仿宋"/>
          <w:color w:val="000000"/>
        </w:rPr>
      </w:pPr>
      <w:bookmarkStart w:id="96" w:name="_Toc21910"/>
      <w:r>
        <w:rPr>
          <w:rStyle w:val="25"/>
          <w:rFonts w:hint="eastAsia" w:ascii="仿宋" w:hAnsi="仿宋" w:eastAsia="仿宋"/>
          <w:b w:val="0"/>
          <w:bCs w:val="0"/>
        </w:rPr>
        <w:t>六、</w:t>
      </w:r>
      <w:r>
        <w:rPr>
          <w:rFonts w:hint="eastAsia" w:ascii="仿宋" w:hAnsi="仿宋" w:eastAsia="仿宋"/>
          <w:b w:val="0"/>
          <w:color w:val="000000"/>
        </w:rPr>
        <w:t>一</w:t>
      </w:r>
      <w:r>
        <w:rPr>
          <w:rStyle w:val="25"/>
          <w:rFonts w:hint="eastAsia" w:ascii="仿宋" w:hAnsi="仿宋" w:eastAsia="仿宋"/>
          <w:b w:val="0"/>
          <w:bCs w:val="0"/>
        </w:rPr>
        <w:t>般公共预算财政拨款支出决算表</w:t>
      </w:r>
      <w:bookmarkEnd w:id="95"/>
      <w:bookmarkEnd w:id="96"/>
    </w:p>
    <w:p>
      <w:pPr>
        <w:pStyle w:val="4"/>
        <w:rPr>
          <w:rFonts w:ascii="仿宋" w:hAnsi="仿宋" w:eastAsia="仿宋"/>
          <w:color w:val="000000"/>
        </w:rPr>
      </w:pPr>
      <w:bookmarkStart w:id="97" w:name="_Toc15396625"/>
      <w:bookmarkStart w:id="98" w:name="_Toc15331"/>
      <w:r>
        <w:rPr>
          <w:rStyle w:val="25"/>
          <w:rFonts w:hint="eastAsia" w:ascii="仿宋" w:hAnsi="仿宋" w:eastAsia="仿宋"/>
          <w:b w:val="0"/>
          <w:bCs w:val="0"/>
        </w:rPr>
        <w:t>七、</w:t>
      </w:r>
      <w:r>
        <w:rPr>
          <w:rFonts w:hint="eastAsia" w:ascii="仿宋" w:hAnsi="仿宋" w:eastAsia="仿宋"/>
          <w:b w:val="0"/>
          <w:color w:val="000000"/>
        </w:rPr>
        <w:t>一</w:t>
      </w:r>
      <w:r>
        <w:rPr>
          <w:rStyle w:val="25"/>
          <w:rFonts w:hint="eastAsia" w:ascii="仿宋" w:hAnsi="仿宋" w:eastAsia="仿宋"/>
          <w:b w:val="0"/>
          <w:bCs w:val="0"/>
        </w:rPr>
        <w:t>般公共预算财政拨款支出决算明细表</w:t>
      </w:r>
      <w:bookmarkEnd w:id="97"/>
      <w:bookmarkEnd w:id="98"/>
    </w:p>
    <w:p>
      <w:pPr>
        <w:pStyle w:val="4"/>
        <w:rPr>
          <w:rFonts w:ascii="仿宋" w:hAnsi="仿宋" w:eastAsia="仿宋"/>
          <w:color w:val="000000"/>
        </w:rPr>
      </w:pPr>
      <w:bookmarkStart w:id="99" w:name="_Toc15396626"/>
      <w:bookmarkStart w:id="100" w:name="_Toc13708"/>
      <w:r>
        <w:rPr>
          <w:rStyle w:val="25"/>
          <w:rFonts w:hint="eastAsia" w:ascii="仿宋" w:hAnsi="仿宋" w:eastAsia="仿宋"/>
          <w:b w:val="0"/>
          <w:bCs w:val="0"/>
        </w:rPr>
        <w:t>八、</w:t>
      </w:r>
      <w:r>
        <w:rPr>
          <w:rFonts w:hint="eastAsia" w:ascii="仿宋" w:hAnsi="仿宋" w:eastAsia="仿宋"/>
          <w:b w:val="0"/>
          <w:color w:val="000000"/>
        </w:rPr>
        <w:t>一</w:t>
      </w:r>
      <w:r>
        <w:rPr>
          <w:rStyle w:val="25"/>
          <w:rFonts w:hint="eastAsia" w:ascii="仿宋" w:hAnsi="仿宋" w:eastAsia="仿宋"/>
          <w:b w:val="0"/>
          <w:bCs w:val="0"/>
        </w:rPr>
        <w:t>般公共预算财政拨款基本支出决算表</w:t>
      </w:r>
      <w:bookmarkEnd w:id="99"/>
      <w:bookmarkEnd w:id="100"/>
    </w:p>
    <w:p>
      <w:pPr>
        <w:pStyle w:val="4"/>
        <w:rPr>
          <w:rFonts w:ascii="仿宋" w:hAnsi="仿宋" w:eastAsia="仿宋"/>
          <w:color w:val="000000"/>
        </w:rPr>
      </w:pPr>
      <w:bookmarkStart w:id="101" w:name="_Toc11413"/>
      <w:bookmarkStart w:id="102" w:name="_Toc15396627"/>
      <w:r>
        <w:rPr>
          <w:rStyle w:val="25"/>
          <w:rFonts w:hint="eastAsia" w:ascii="仿宋" w:hAnsi="仿宋" w:eastAsia="仿宋"/>
          <w:b w:val="0"/>
          <w:bCs w:val="0"/>
        </w:rPr>
        <w:t>九、</w:t>
      </w:r>
      <w:r>
        <w:rPr>
          <w:rFonts w:hint="eastAsia" w:ascii="仿宋" w:hAnsi="仿宋" w:eastAsia="仿宋"/>
          <w:b w:val="0"/>
          <w:color w:val="000000"/>
        </w:rPr>
        <w:t>一</w:t>
      </w:r>
      <w:r>
        <w:rPr>
          <w:rStyle w:val="25"/>
          <w:rFonts w:hint="eastAsia" w:ascii="仿宋" w:hAnsi="仿宋" w:eastAsia="仿宋"/>
          <w:b w:val="0"/>
          <w:bCs w:val="0"/>
        </w:rPr>
        <w:t>般公共预算财政拨款项目支出决算表</w:t>
      </w:r>
      <w:bookmarkEnd w:id="101"/>
      <w:bookmarkEnd w:id="102"/>
    </w:p>
    <w:p>
      <w:pPr>
        <w:pStyle w:val="4"/>
        <w:rPr>
          <w:rFonts w:ascii="仿宋" w:hAnsi="仿宋" w:eastAsia="仿宋"/>
          <w:color w:val="000000"/>
        </w:rPr>
      </w:pPr>
      <w:bookmarkStart w:id="103" w:name="_Toc7773"/>
      <w:bookmarkStart w:id="104" w:name="_Toc15396628"/>
      <w:r>
        <w:rPr>
          <w:rStyle w:val="25"/>
          <w:rFonts w:hint="eastAsia" w:ascii="仿宋" w:hAnsi="仿宋" w:eastAsia="仿宋"/>
          <w:b w:val="0"/>
          <w:bCs w:val="0"/>
        </w:rPr>
        <w:t>十、</w:t>
      </w:r>
      <w:r>
        <w:rPr>
          <w:rFonts w:hint="eastAsia" w:ascii="仿宋" w:hAnsi="仿宋" w:eastAsia="仿宋"/>
          <w:b w:val="0"/>
          <w:color w:val="000000"/>
        </w:rPr>
        <w:t>一</w:t>
      </w:r>
      <w:r>
        <w:rPr>
          <w:rStyle w:val="25"/>
          <w:rFonts w:hint="eastAsia" w:ascii="仿宋" w:hAnsi="仿宋" w:eastAsia="仿宋"/>
          <w:b w:val="0"/>
          <w:bCs w:val="0"/>
        </w:rPr>
        <w:t>般公共预算财政拨款“三公”经费支出决算表</w:t>
      </w:r>
      <w:bookmarkEnd w:id="103"/>
      <w:bookmarkEnd w:id="104"/>
    </w:p>
    <w:p>
      <w:pPr>
        <w:pStyle w:val="4"/>
        <w:rPr>
          <w:rFonts w:ascii="仿宋" w:hAnsi="仿宋" w:eastAsia="仿宋"/>
          <w:color w:val="000000"/>
        </w:rPr>
      </w:pPr>
      <w:bookmarkStart w:id="105" w:name="_Toc15396629"/>
      <w:bookmarkStart w:id="106" w:name="_Toc31626"/>
      <w:r>
        <w:rPr>
          <w:rStyle w:val="25"/>
          <w:rFonts w:hint="eastAsia" w:ascii="仿宋" w:hAnsi="仿宋" w:eastAsia="仿宋"/>
          <w:b w:val="0"/>
          <w:bCs w:val="0"/>
        </w:rPr>
        <w:t>十一、</w:t>
      </w:r>
      <w:r>
        <w:rPr>
          <w:rFonts w:hint="eastAsia" w:ascii="仿宋" w:hAnsi="仿宋" w:eastAsia="仿宋"/>
          <w:b w:val="0"/>
          <w:color w:val="000000"/>
        </w:rPr>
        <w:t>政</w:t>
      </w:r>
      <w:r>
        <w:rPr>
          <w:rStyle w:val="25"/>
          <w:rFonts w:hint="eastAsia" w:ascii="仿宋" w:hAnsi="仿宋" w:eastAsia="仿宋"/>
          <w:b w:val="0"/>
          <w:bCs w:val="0"/>
        </w:rPr>
        <w:t>府性基金预算财政拨款收入支出决算表</w:t>
      </w:r>
      <w:bookmarkEnd w:id="105"/>
      <w:bookmarkEnd w:id="106"/>
    </w:p>
    <w:p>
      <w:pPr>
        <w:pStyle w:val="4"/>
        <w:rPr>
          <w:rFonts w:ascii="仿宋" w:hAnsi="仿宋" w:eastAsia="仿宋"/>
          <w:color w:val="000000"/>
        </w:rPr>
      </w:pPr>
      <w:bookmarkStart w:id="107" w:name="_Toc15396630"/>
      <w:bookmarkStart w:id="108" w:name="_Toc26344"/>
      <w:r>
        <w:rPr>
          <w:rStyle w:val="25"/>
          <w:rFonts w:hint="eastAsia" w:ascii="仿宋" w:hAnsi="仿宋" w:eastAsia="仿宋"/>
          <w:b w:val="0"/>
          <w:bCs w:val="0"/>
        </w:rPr>
        <w:t>十二、</w:t>
      </w:r>
      <w:r>
        <w:rPr>
          <w:rFonts w:hint="eastAsia" w:ascii="仿宋" w:hAnsi="仿宋" w:eastAsia="仿宋"/>
          <w:b w:val="0"/>
          <w:color w:val="000000"/>
        </w:rPr>
        <w:t>政</w:t>
      </w:r>
      <w:r>
        <w:rPr>
          <w:rStyle w:val="25"/>
          <w:rFonts w:hint="eastAsia" w:ascii="仿宋" w:hAnsi="仿宋" w:eastAsia="仿宋"/>
          <w:b w:val="0"/>
          <w:bCs w:val="0"/>
        </w:rPr>
        <w:t>府性基金预算财政拨款“三公”经费支出决算表</w:t>
      </w:r>
      <w:bookmarkEnd w:id="107"/>
      <w:bookmarkEnd w:id="108"/>
    </w:p>
    <w:p>
      <w:pPr>
        <w:pStyle w:val="4"/>
        <w:rPr>
          <w:rStyle w:val="25"/>
          <w:rFonts w:ascii="仿宋" w:hAnsi="仿宋" w:eastAsia="仿宋"/>
          <w:b w:val="0"/>
          <w:bCs w:val="0"/>
        </w:rPr>
      </w:pPr>
      <w:bookmarkStart w:id="109" w:name="_Toc15396631"/>
      <w:bookmarkStart w:id="110" w:name="_Toc3280"/>
      <w:r>
        <w:rPr>
          <w:rStyle w:val="25"/>
          <w:rFonts w:hint="eastAsia" w:ascii="仿宋" w:hAnsi="仿宋" w:eastAsia="仿宋"/>
          <w:b w:val="0"/>
          <w:bCs w:val="0"/>
        </w:rPr>
        <w:t>十三、</w:t>
      </w:r>
      <w:r>
        <w:rPr>
          <w:rFonts w:hint="eastAsia" w:ascii="仿宋" w:hAnsi="仿宋" w:eastAsia="仿宋"/>
          <w:b w:val="0"/>
          <w:color w:val="000000"/>
        </w:rPr>
        <w:t>国</w:t>
      </w:r>
      <w:r>
        <w:rPr>
          <w:rStyle w:val="25"/>
          <w:rFonts w:hint="eastAsia" w:ascii="仿宋" w:hAnsi="仿宋" w:eastAsia="仿宋"/>
          <w:b w:val="0"/>
          <w:bCs w:val="0"/>
        </w:rPr>
        <w:t>有资本经营预算财政拨款收入支出决算表</w:t>
      </w:r>
      <w:bookmarkEnd w:id="109"/>
      <w:bookmarkEnd w:id="110"/>
    </w:p>
    <w:p>
      <w:pPr>
        <w:rPr>
          <w:rFonts w:eastAsia="仿宋"/>
        </w:rPr>
      </w:pPr>
      <w:bookmarkStart w:id="111" w:name="_Toc20736"/>
      <w:r>
        <w:rPr>
          <w:rStyle w:val="25"/>
          <w:rFonts w:hint="eastAsia" w:ascii="仿宋" w:hAnsi="仿宋" w:eastAsia="仿宋"/>
          <w:b w:val="0"/>
          <w:bCs w:val="0"/>
        </w:rPr>
        <w:t>十四、国有资本经营预算财政拨款支出决算表</w:t>
      </w:r>
      <w:bookmarkEnd w:id="111"/>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9"/>
          <w:jc w:val="center"/>
        </w:pPr>
        <w:r>
          <w:fldChar w:fldCharType="begin"/>
        </w:r>
        <w:r>
          <w:instrText xml:space="preserve">PAGE   \* MERGEFORMAT</w:instrText>
        </w:r>
        <w:r>
          <w:fldChar w:fldCharType="separate"/>
        </w:r>
        <w:r>
          <w:rPr>
            <w:lang w:val="zh-CN"/>
          </w:rPr>
          <w:t>14</w:t>
        </w:r>
        <w:r>
          <w:fldChar w:fldCharType="end"/>
        </w:r>
      </w:p>
    </w:sdtContent>
  </w:sdt>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4D797F"/>
    <w:multiLevelType w:val="singleLevel"/>
    <w:tmpl w:val="C64D797F"/>
    <w:lvl w:ilvl="0" w:tentative="0">
      <w:start w:val="1"/>
      <w:numFmt w:val="chineseCounting"/>
      <w:suff w:val="nothing"/>
      <w:lvlText w:val="%1、"/>
      <w:lvlJc w:val="left"/>
      <w:rPr>
        <w:rFonts w:hint="eastAsia"/>
      </w:rPr>
    </w:lvl>
  </w:abstractNum>
  <w:abstractNum w:abstractNumId="1">
    <w:nsid w:val="CF652CEC"/>
    <w:multiLevelType w:val="singleLevel"/>
    <w:tmpl w:val="CF652CEC"/>
    <w:lvl w:ilvl="0" w:tentative="0">
      <w:start w:val="9"/>
      <w:numFmt w:val="chineseCounting"/>
      <w:suff w:val="nothing"/>
      <w:lvlText w:val="%1、"/>
      <w:lvlJc w:val="left"/>
      <w:rPr>
        <w:rFonts w:hint="eastAsia"/>
      </w:rPr>
    </w:lvl>
  </w:abstractNum>
  <w:abstractNum w:abstractNumId="2">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3">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6EE3AAAB"/>
    <w:multiLevelType w:val="singleLevel"/>
    <w:tmpl w:val="6EE3AAAB"/>
    <w:lvl w:ilvl="0" w:tentative="0">
      <w:start w:val="1"/>
      <w:numFmt w:val="chineseCounting"/>
      <w:suff w:val="nothing"/>
      <w:lvlText w:val="（%1）"/>
      <w:lvlJc w:val="left"/>
      <w:rPr>
        <w:rFonts w:hint="eastAsia"/>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3OTA2ZGZlZjE3OTE1MmQyODQxN2UwNmMzZjBmNmEifQ=="/>
  </w:docVars>
  <w:rsids>
    <w:rsidRoot w:val="00F1361C"/>
    <w:rsid w:val="000222C6"/>
    <w:rsid w:val="0002549F"/>
    <w:rsid w:val="000468DB"/>
    <w:rsid w:val="000606D7"/>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664BB"/>
    <w:rsid w:val="00566FFA"/>
    <w:rsid w:val="0057481D"/>
    <w:rsid w:val="0058486E"/>
    <w:rsid w:val="00585B33"/>
    <w:rsid w:val="0059014D"/>
    <w:rsid w:val="005B5C64"/>
    <w:rsid w:val="005C5337"/>
    <w:rsid w:val="005C6BD0"/>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C1B99"/>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11509"/>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2265C38"/>
    <w:rsid w:val="04A8077E"/>
    <w:rsid w:val="050D01DB"/>
    <w:rsid w:val="055B6059"/>
    <w:rsid w:val="07FA0208"/>
    <w:rsid w:val="0A2032A3"/>
    <w:rsid w:val="0CDF3AF6"/>
    <w:rsid w:val="0E0E4C39"/>
    <w:rsid w:val="0EA309FE"/>
    <w:rsid w:val="10C055FF"/>
    <w:rsid w:val="118107EC"/>
    <w:rsid w:val="15D05027"/>
    <w:rsid w:val="16BB723D"/>
    <w:rsid w:val="16DD4846"/>
    <w:rsid w:val="17E5464E"/>
    <w:rsid w:val="18015F3F"/>
    <w:rsid w:val="18394C13"/>
    <w:rsid w:val="1AF73A05"/>
    <w:rsid w:val="1BE8440E"/>
    <w:rsid w:val="1D155CEE"/>
    <w:rsid w:val="20F57F95"/>
    <w:rsid w:val="22962C50"/>
    <w:rsid w:val="22ED1DC9"/>
    <w:rsid w:val="233A3B2D"/>
    <w:rsid w:val="240371BF"/>
    <w:rsid w:val="2460084E"/>
    <w:rsid w:val="26EA1CED"/>
    <w:rsid w:val="27842671"/>
    <w:rsid w:val="28C30EED"/>
    <w:rsid w:val="29FD04D3"/>
    <w:rsid w:val="2A3A030B"/>
    <w:rsid w:val="2A7E7D97"/>
    <w:rsid w:val="2ABE7A3E"/>
    <w:rsid w:val="2AF213F9"/>
    <w:rsid w:val="2D743B1A"/>
    <w:rsid w:val="2FF93FF5"/>
    <w:rsid w:val="319F7F4E"/>
    <w:rsid w:val="32202981"/>
    <w:rsid w:val="368B448C"/>
    <w:rsid w:val="3C0C0783"/>
    <w:rsid w:val="3C1D6EF3"/>
    <w:rsid w:val="3E222284"/>
    <w:rsid w:val="3EE90306"/>
    <w:rsid w:val="3F6D1A7F"/>
    <w:rsid w:val="40EB4DDB"/>
    <w:rsid w:val="42D477EF"/>
    <w:rsid w:val="471E5613"/>
    <w:rsid w:val="483F3FB4"/>
    <w:rsid w:val="493C27E9"/>
    <w:rsid w:val="496F39ED"/>
    <w:rsid w:val="49FF41D3"/>
    <w:rsid w:val="4B0D4CE1"/>
    <w:rsid w:val="4BE068DB"/>
    <w:rsid w:val="4BF6002B"/>
    <w:rsid w:val="4CAA116F"/>
    <w:rsid w:val="4ECE2238"/>
    <w:rsid w:val="4F1E1C1B"/>
    <w:rsid w:val="50DE68B8"/>
    <w:rsid w:val="54030052"/>
    <w:rsid w:val="54AA6A9C"/>
    <w:rsid w:val="54F736E4"/>
    <w:rsid w:val="5742305F"/>
    <w:rsid w:val="5C073598"/>
    <w:rsid w:val="5C6A0574"/>
    <w:rsid w:val="60413422"/>
    <w:rsid w:val="615763E3"/>
    <w:rsid w:val="62F74EBA"/>
    <w:rsid w:val="631F7D7F"/>
    <w:rsid w:val="634741E5"/>
    <w:rsid w:val="642D31CF"/>
    <w:rsid w:val="64CA39A1"/>
    <w:rsid w:val="69B14076"/>
    <w:rsid w:val="69E70C17"/>
    <w:rsid w:val="6A647203"/>
    <w:rsid w:val="6C3D2AAC"/>
    <w:rsid w:val="6C4A05C8"/>
    <w:rsid w:val="6F7357F9"/>
    <w:rsid w:val="713D7ED0"/>
    <w:rsid w:val="71790D55"/>
    <w:rsid w:val="721A03AE"/>
    <w:rsid w:val="72734D90"/>
    <w:rsid w:val="7992012D"/>
    <w:rsid w:val="7D705F8E"/>
    <w:rsid w:val="7F256F88"/>
    <w:rsid w:val="7FEF44E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28"/>
    <w:unhideWhenUsed/>
    <w:qFormat/>
    <w:uiPriority w:val="9"/>
    <w:pPr>
      <w:keepNext/>
      <w:keepLines/>
      <w:spacing w:before="260" w:after="260" w:line="416" w:lineRule="auto"/>
      <w:outlineLvl w:val="2"/>
    </w:pPr>
    <w:rPr>
      <w:b/>
      <w:bCs/>
      <w:sz w:val="32"/>
      <w:szCs w:val="32"/>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6">
    <w:name w:val="Body Text"/>
    <w:basedOn w:val="1"/>
    <w:link w:val="22"/>
    <w:qFormat/>
    <w:uiPriority w:val="99"/>
    <w:pPr>
      <w:spacing w:beforeLines="30"/>
    </w:pPr>
    <w:rPr>
      <w:rFonts w:ascii="仿宋_GB2312" w:eastAsia="仿宋_GB2312"/>
      <w:kern w:val="0"/>
      <w:sz w:val="30"/>
    </w:rPr>
  </w:style>
  <w:style w:type="paragraph" w:styleId="7">
    <w:name w:val="toc 3"/>
    <w:basedOn w:val="1"/>
    <w:next w:val="1"/>
    <w:unhideWhenUsed/>
    <w:qFormat/>
    <w:uiPriority w:val="39"/>
    <w:pPr>
      <w:tabs>
        <w:tab w:val="right" w:leader="dot" w:pos="8296"/>
      </w:tabs>
      <w:ind w:left="840" w:leftChars="400"/>
    </w:pPr>
  </w:style>
  <w:style w:type="paragraph" w:styleId="8">
    <w:name w:val="Balloon Text"/>
    <w:basedOn w:val="1"/>
    <w:link w:val="27"/>
    <w:unhideWhenUsed/>
    <w:qFormat/>
    <w:uiPriority w:val="99"/>
    <w:rPr>
      <w:sz w:val="18"/>
      <w:szCs w:val="18"/>
    </w:rPr>
  </w:style>
  <w:style w:type="paragraph" w:styleId="9">
    <w:name w:val="footer"/>
    <w:basedOn w:val="1"/>
    <w:link w:val="20"/>
    <w:qFormat/>
    <w:uiPriority w:val="99"/>
    <w:pPr>
      <w:tabs>
        <w:tab w:val="center" w:pos="4153"/>
        <w:tab w:val="right" w:pos="8306"/>
      </w:tabs>
      <w:snapToGrid w:val="0"/>
      <w:jc w:val="left"/>
    </w:pPr>
    <w:rPr>
      <w:rFonts w:ascii="Calibri" w:hAnsi="Calibri"/>
      <w:kern w:val="0"/>
      <w:sz w:val="18"/>
      <w:szCs w:val="18"/>
    </w:rPr>
  </w:style>
  <w:style w:type="paragraph" w:styleId="10">
    <w:name w:val="header"/>
    <w:basedOn w:val="1"/>
    <w:link w:val="18"/>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1">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2">
    <w:name w:val="toc 2"/>
    <w:basedOn w:val="1"/>
    <w:next w:val="1"/>
    <w:unhideWhenUsed/>
    <w:qFormat/>
    <w:uiPriority w:val="39"/>
    <w:pPr>
      <w:tabs>
        <w:tab w:val="right" w:leader="dot" w:pos="8296"/>
      </w:tabs>
      <w:ind w:left="420" w:leftChars="200"/>
    </w:pPr>
  </w:style>
  <w:style w:type="character" w:styleId="15">
    <w:name w:val="Strong"/>
    <w:basedOn w:val="14"/>
    <w:qFormat/>
    <w:uiPriority w:val="99"/>
    <w:rPr>
      <w:b/>
    </w:rPr>
  </w:style>
  <w:style w:type="character" w:styleId="16">
    <w:name w:val="Hyperlink"/>
    <w:basedOn w:val="14"/>
    <w:unhideWhenUsed/>
    <w:qFormat/>
    <w:uiPriority w:val="99"/>
    <w:rPr>
      <w:color w:val="0000FF" w:themeColor="hyperlink"/>
      <w:u w:val="single"/>
      <w14:textFill>
        <w14:solidFill>
          <w14:schemeClr w14:val="hlink"/>
        </w14:solidFill>
      </w14:textFill>
    </w:rPr>
  </w:style>
  <w:style w:type="character" w:customStyle="1" w:styleId="17">
    <w:name w:val="Header Char"/>
    <w:basedOn w:val="14"/>
    <w:semiHidden/>
    <w:qFormat/>
    <w:uiPriority w:val="99"/>
    <w:rPr>
      <w:rFonts w:ascii="Times New Roman" w:hAnsi="Times New Roman"/>
      <w:sz w:val="18"/>
      <w:szCs w:val="18"/>
    </w:rPr>
  </w:style>
  <w:style w:type="character" w:customStyle="1" w:styleId="18">
    <w:name w:val="页眉 Char"/>
    <w:link w:val="10"/>
    <w:semiHidden/>
    <w:qFormat/>
    <w:locked/>
    <w:uiPriority w:val="99"/>
    <w:rPr>
      <w:sz w:val="18"/>
    </w:rPr>
  </w:style>
  <w:style w:type="character" w:customStyle="1" w:styleId="19">
    <w:name w:val="Footer Char"/>
    <w:basedOn w:val="14"/>
    <w:semiHidden/>
    <w:qFormat/>
    <w:uiPriority w:val="99"/>
    <w:rPr>
      <w:rFonts w:ascii="Times New Roman" w:hAnsi="Times New Roman"/>
      <w:sz w:val="18"/>
      <w:szCs w:val="18"/>
    </w:rPr>
  </w:style>
  <w:style w:type="character" w:customStyle="1" w:styleId="20">
    <w:name w:val="页脚 Char"/>
    <w:link w:val="9"/>
    <w:qFormat/>
    <w:locked/>
    <w:uiPriority w:val="99"/>
    <w:rPr>
      <w:sz w:val="18"/>
    </w:rPr>
  </w:style>
  <w:style w:type="character" w:customStyle="1" w:styleId="21">
    <w:name w:val="Body Text Char"/>
    <w:basedOn w:val="14"/>
    <w:semiHidden/>
    <w:qFormat/>
    <w:uiPriority w:val="99"/>
    <w:rPr>
      <w:rFonts w:ascii="Times New Roman" w:hAnsi="Times New Roman"/>
      <w:szCs w:val="24"/>
    </w:rPr>
  </w:style>
  <w:style w:type="character" w:customStyle="1" w:styleId="22">
    <w:name w:val="正文文本 Char"/>
    <w:link w:val="6"/>
    <w:qFormat/>
    <w:locked/>
    <w:uiPriority w:val="99"/>
    <w:rPr>
      <w:rFonts w:ascii="仿宋_GB2312" w:hAnsi="Times New Roman" w:eastAsia="仿宋_GB2312"/>
      <w:sz w:val="24"/>
    </w:rPr>
  </w:style>
  <w:style w:type="paragraph" w:customStyle="1" w:styleId="23">
    <w:name w:val="List Paragraph"/>
    <w:basedOn w:val="1"/>
    <w:qFormat/>
    <w:uiPriority w:val="34"/>
    <w:pPr>
      <w:ind w:firstLine="420" w:firstLineChars="200"/>
    </w:pPr>
  </w:style>
  <w:style w:type="character" w:customStyle="1" w:styleId="24">
    <w:name w:val="标题 1 Char"/>
    <w:basedOn w:val="14"/>
    <w:link w:val="3"/>
    <w:qFormat/>
    <w:uiPriority w:val="9"/>
    <w:rPr>
      <w:rFonts w:ascii="Times New Roman" w:hAnsi="Times New Roman"/>
      <w:b/>
      <w:bCs/>
      <w:kern w:val="44"/>
      <w:sz w:val="44"/>
      <w:szCs w:val="44"/>
    </w:rPr>
  </w:style>
  <w:style w:type="character" w:customStyle="1" w:styleId="25">
    <w:name w:val="标题 2 Char"/>
    <w:basedOn w:val="14"/>
    <w:link w:val="4"/>
    <w:qFormat/>
    <w:uiPriority w:val="9"/>
    <w:rPr>
      <w:rFonts w:asciiTheme="majorHAnsi" w:hAnsiTheme="majorHAnsi" w:eastAsiaTheme="majorEastAsia" w:cstheme="majorBidi"/>
      <w:b/>
      <w:bCs/>
      <w:kern w:val="2"/>
      <w:sz w:val="32"/>
      <w:szCs w:val="32"/>
    </w:rPr>
  </w:style>
  <w:style w:type="paragraph" w:customStyle="1" w:styleId="26">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7">
    <w:name w:val="批注框文本 Char"/>
    <w:basedOn w:val="14"/>
    <w:link w:val="8"/>
    <w:semiHidden/>
    <w:qFormat/>
    <w:uiPriority w:val="99"/>
    <w:rPr>
      <w:rFonts w:ascii="Times New Roman" w:hAnsi="Times New Roman"/>
      <w:kern w:val="2"/>
      <w:sz w:val="18"/>
      <w:szCs w:val="18"/>
    </w:rPr>
  </w:style>
  <w:style w:type="character" w:customStyle="1" w:styleId="28">
    <w:name w:val="标题 3 Char"/>
    <w:basedOn w:val="14"/>
    <w:link w:val="5"/>
    <w:qFormat/>
    <w:uiPriority w:val="9"/>
    <w:rPr>
      <w:rFonts w:ascii="Times New Roman" w:hAnsi="Times New Roman"/>
      <w:b/>
      <w:bCs/>
      <w:kern w:val="2"/>
      <w:sz w:val="32"/>
      <w:szCs w:val="32"/>
    </w:rPr>
  </w:style>
  <w:style w:type="paragraph" w:customStyle="1" w:styleId="29">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0">
    <w:name w:val="WPSOffice手动目录 1"/>
    <w:qFormat/>
    <w:uiPriority w:val="0"/>
    <w:rPr>
      <w:rFonts w:ascii="Times New Roman" w:hAnsi="Times New Roman" w:eastAsia="宋体" w:cs="Times New Roman"/>
      <w:lang w:val="en-US" w:eastAsia="zh-CN" w:bidi="ar-SA"/>
    </w:rPr>
  </w:style>
  <w:style w:type="paragraph" w:customStyle="1" w:styleId="31">
    <w:name w:val="WPSOffice手动目录 2"/>
    <w:qFormat/>
    <w:uiPriority w:val="0"/>
    <w:pPr>
      <w:ind w:left="200"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hart" Target="charts/chart4.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numbering" Target="numbering.xml"/><Relationship Id="rId12" Type="http://schemas.openxmlformats.org/officeDocument/2006/relationships/chart" Target="charts/chart7.xml"/><Relationship Id="rId11" Type="http://schemas.openxmlformats.org/officeDocument/2006/relationships/chart" Target="charts/chart6.xml"/><Relationship Id="rId10" Type="http://schemas.openxmlformats.org/officeDocument/2006/relationships/chart" Target="charts/chart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oleObject" Target="file:///C:\Users\Lenovo\Desktop\&#20146;&#23376;&#28216;.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Lenovo\Desktop\&#20146;&#23376;&#28216;.xlsx"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C:\Users\Lenovo\Desktop\&#20146;&#23376;&#28216;.xlsx"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oleObject" Target="file:///C:\Users\Lenovo\Desktop\&#20146;&#23376;&#28216;.xlsx" TargetMode="External"/></Relationships>
</file>

<file path=word/charts/_rels/chart5.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Lenovo\Desktop\&#20146;&#23376;&#28216;.xlsx" TargetMode="External"/></Relationships>
</file>

<file path=word/charts/_rels/chart6.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oleObject" Target="file:///E:\&#23380;&#26792;&#33805;\2020&#24180;&#20915;&#31639;\2020&#20195;&#24314;&#20013;&#24515;&#20915;&#31639;\2020&#24180;&#24230;&#20195;&#24314;&#20013;&#24515;&#37096;&#38376;&#20915;&#31639;&#25253;&#34920;&#22635;&#25253;&#35828;&#26126;&#38468;&#34920;.xlsx" TargetMode="External"/></Relationships>
</file>

<file path=word/charts/_rels/chart7.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oleObject" Target="file:///C:\Users\Lenovo\Desktop\&#20146;&#23376;&#2821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[亲子游.xlsx]Sheet2!$A$2</c:f>
              <c:strCache>
                <c:ptCount val="1"/>
                <c:pt idx="0">
                  <c:v>财政拨款收、支</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[亲子游.xlsx]Sheet2!$B$1:$C$1</c:f>
              <c:numCache>
                <c:formatCode>General</c:formatCode>
                <c:ptCount val="2"/>
                <c:pt idx="0">
                  <c:v>2019</c:v>
                </c:pt>
                <c:pt idx="1">
                  <c:v>2020</c:v>
                </c:pt>
              </c:numCache>
            </c:numRef>
          </c:cat>
          <c:val>
            <c:numRef>
              <c:f>[亲子游.xlsx]Sheet2!$B$2:$C$2</c:f>
              <c:numCache>
                <c:formatCode>General</c:formatCode>
                <c:ptCount val="2"/>
                <c:pt idx="0">
                  <c:v>414.49</c:v>
                </c:pt>
                <c:pt idx="1">
                  <c:v>424.82</c:v>
                </c:pt>
              </c:numCache>
            </c:numRef>
          </c:val>
        </c:ser>
        <c:dLbls>
          <c:showLegendKey val="0"/>
          <c:showVal val="1"/>
          <c:showCatName val="0"/>
          <c:showSerName val="0"/>
          <c:showPercent val="0"/>
          <c:showBubbleSize val="0"/>
        </c:dLbls>
        <c:gapWidth val="300"/>
        <c:overlap val="0"/>
        <c:axId val="265321016"/>
        <c:axId val="746309363"/>
      </c:barChart>
      <c:catAx>
        <c:axId val="265321016"/>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46309363"/>
        <c:crosses val="autoZero"/>
        <c:auto val="1"/>
        <c:lblAlgn val="ctr"/>
        <c:lblOffset val="100"/>
        <c:noMultiLvlLbl val="0"/>
      </c:catAx>
      <c:valAx>
        <c:axId val="74630936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6532101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a:noFill/>
              </a:ln>
              <a:effectLst/>
            </c:spPr>
          </c:dPt>
          <c:dPt>
            <c:idx val="1"/>
            <c:bubble3D val="0"/>
            <c:spPr>
              <a:solidFill>
                <a:schemeClr val="accent2"/>
              </a:solidFill>
              <a:ln>
                <a:noFill/>
              </a:ln>
              <a:effectLst/>
            </c:spPr>
          </c:dPt>
          <c:dLbls>
            <c:spPr>
              <a:noFill/>
              <a:ln>
                <a:noFill/>
              </a:ln>
              <a:effectLst/>
            </c:spPr>
            <c:txPr>
              <a:bodyPr rot="0" spcFirstLastPara="0" vertOverflow="ellipsis" vert="horz" wrap="square" lIns="38100" tIns="19050" rIns="38100" bIns="19050" anchor="ctr" anchorCtr="1"/>
              <a:lstStyle/>
              <a:p>
                <a:pPr>
                  <a:defRPr lang="zh-CN" sz="900" b="1" i="0" u="none" strike="noStrike" kern="1200" baseline="0">
                    <a:solidFill>
                      <a:schemeClr val="lt1"/>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[亲子游.xlsx]Sheet3!$B$1:$C$1</c:f>
              <c:strCache>
                <c:ptCount val="2"/>
                <c:pt idx="0">
                  <c:v>财政拨款收入</c:v>
                </c:pt>
                <c:pt idx="1">
                  <c:v>其他收入</c:v>
                </c:pt>
              </c:strCache>
            </c:strRef>
          </c:cat>
          <c:val>
            <c:numRef>
              <c:f>[亲子游.xlsx]Sheet3!$B$2:$C$2</c:f>
              <c:numCache>
                <c:formatCode>General</c:formatCode>
                <c:ptCount val="2"/>
                <c:pt idx="0">
                  <c:v>424.82</c:v>
                </c:pt>
                <c:pt idx="1">
                  <c:v>0</c:v>
                </c:pt>
              </c:numCache>
            </c:numRef>
          </c:val>
        </c:ser>
        <c:dLbls>
          <c:showLegendKey val="0"/>
          <c:showVal val="0"/>
          <c:showCatName val="1"/>
          <c:showSerName val="0"/>
          <c:showPercent val="1"/>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no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Lbls>
            <c:dLbl>
              <c:idx val="0"/>
              <c:layout/>
              <c:numFmt formatCode="General" sourceLinked="1"/>
              <c:spPr>
                <a:noFill/>
                <a:ln>
                  <a:noFill/>
                </a:ln>
                <a:effectLst/>
              </c:spPr>
              <c:txPr>
                <a:bodyPr rot="0" spcFirstLastPara="0" vertOverflow="ellipsis" vert="horz" wrap="square" lIns="38100" tIns="19050" rIns="38100" bIns="19050" anchor="ctr" anchorCtr="1"/>
                <a:lstStyle/>
                <a:p>
                  <a:pPr>
                    <a:defRPr lang="zh-CN" sz="1000" b="1" i="0" u="none" strike="noStrike" kern="1200" spc="0" baseline="0">
                      <a:solidFill>
                        <a:schemeClr val="accent1"/>
                      </a:solidFill>
                      <a:latin typeface="+mn-lt"/>
                      <a:ea typeface="+mn-ea"/>
                      <a:cs typeface="+mn-cs"/>
                    </a:defRPr>
                  </a:pPr>
                </a:p>
              </c:txPr>
              <c:dLblPos val="outEnd"/>
              <c:showLegendKey val="0"/>
              <c:showVal val="0"/>
              <c:showCatName val="1"/>
              <c:showSerName val="0"/>
              <c:showPercent val="1"/>
              <c:showBubbleSize val="0"/>
              <c:separator>
</c:separator>
              <c:extLst>
                <c:ext xmlns:c15="http://schemas.microsoft.com/office/drawing/2012/chart" uri="{CE6537A1-D6FC-4f65-9D91-7224C49458BB}"/>
              </c:extLst>
            </c:dLbl>
            <c:dLbl>
              <c:idx val="1"/>
              <c:layout/>
              <c:numFmt formatCode="General" sourceLinked="1"/>
              <c:spPr>
                <a:noFill/>
                <a:ln>
                  <a:noFill/>
                </a:ln>
                <a:effectLst/>
              </c:spPr>
              <c:txPr>
                <a:bodyPr rot="0" spcFirstLastPara="0" vertOverflow="ellipsis" vert="horz" wrap="square" lIns="38100" tIns="19050" rIns="38100" bIns="19050" anchor="ctr" anchorCtr="1"/>
                <a:lstStyle/>
                <a:p>
                  <a:pPr>
                    <a:defRPr lang="zh-CN" sz="1000" b="1" i="0" u="none" strike="noStrike" kern="1200" spc="0" baseline="0">
                      <a:solidFill>
                        <a:schemeClr val="accent2"/>
                      </a:solidFill>
                      <a:latin typeface="+mn-lt"/>
                      <a:ea typeface="+mn-ea"/>
                      <a:cs typeface="+mn-cs"/>
                    </a:defRPr>
                  </a:pPr>
                </a:p>
              </c:txPr>
              <c:dLblPos val="outEnd"/>
              <c:showLegendKey val="0"/>
              <c:showVal val="0"/>
              <c:showCatName val="1"/>
              <c:showSerName val="0"/>
              <c:showPercent val="1"/>
              <c:showBubbleSize val="0"/>
              <c:separator>
</c:separator>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1" i="0" u="none" strike="noStrike" kern="1200" spc="0" baseline="0">
                    <a:solidFill>
                      <a:schemeClr val="accent1"/>
                    </a:solidFill>
                    <a:latin typeface="+mn-lt"/>
                    <a:ea typeface="+mn-ea"/>
                    <a:cs typeface="+mn-cs"/>
                  </a:defRPr>
                </a:pPr>
              </a:p>
            </c:txPr>
            <c:dLblPos val="out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[亲子游.xlsx]Sheet3!$B$1:$C$1</c:f>
              <c:strCache>
                <c:ptCount val="2"/>
                <c:pt idx="0">
                  <c:v>基本支出</c:v>
                </c:pt>
                <c:pt idx="1">
                  <c:v>项目支出</c:v>
                </c:pt>
              </c:strCache>
            </c:strRef>
          </c:cat>
          <c:val>
            <c:numRef>
              <c:f>[亲子游.xlsx]Sheet3!$B$2:$C$2</c:f>
              <c:numCache>
                <c:formatCode>General</c:formatCode>
                <c:ptCount val="2"/>
                <c:pt idx="0">
                  <c:v>238.87</c:v>
                </c:pt>
                <c:pt idx="1">
                  <c:v>185.94</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[亲子游.xlsx]Sheet2!$A$2</c:f>
              <c:strCache>
                <c:ptCount val="1"/>
                <c:pt idx="0">
                  <c:v>财政拨款收、支</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[亲子游.xlsx]Sheet2!$B$1:$C$1</c:f>
              <c:numCache>
                <c:formatCode>General</c:formatCode>
                <c:ptCount val="2"/>
                <c:pt idx="0">
                  <c:v>2019</c:v>
                </c:pt>
                <c:pt idx="1">
                  <c:v>2020</c:v>
                </c:pt>
              </c:numCache>
            </c:numRef>
          </c:cat>
          <c:val>
            <c:numRef>
              <c:f>[亲子游.xlsx]Sheet2!$B$2:$C$2</c:f>
              <c:numCache>
                <c:formatCode>General</c:formatCode>
                <c:ptCount val="2"/>
                <c:pt idx="0">
                  <c:v>414.49</c:v>
                </c:pt>
                <c:pt idx="1">
                  <c:v>424.82</c:v>
                </c:pt>
              </c:numCache>
            </c:numRef>
          </c:val>
        </c:ser>
        <c:dLbls>
          <c:showLegendKey val="0"/>
          <c:showVal val="1"/>
          <c:showCatName val="0"/>
          <c:showSerName val="0"/>
          <c:showPercent val="0"/>
          <c:showBubbleSize val="0"/>
        </c:dLbls>
        <c:gapWidth val="300"/>
        <c:overlap val="0"/>
        <c:axId val="265321016"/>
        <c:axId val="746309363"/>
      </c:barChart>
      <c:catAx>
        <c:axId val="265321016"/>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46309363"/>
        <c:crosses val="autoZero"/>
        <c:auto val="1"/>
        <c:lblAlgn val="ctr"/>
        <c:lblOffset val="100"/>
        <c:noMultiLvlLbl val="0"/>
      </c:catAx>
      <c:valAx>
        <c:axId val="74630936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6532101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[亲子游.xlsx]Sheet2!$A$2</c:f>
              <c:strCache>
                <c:ptCount val="1"/>
                <c:pt idx="0">
                  <c:v>财政拨款收、支</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[亲子游.xlsx]Sheet2!$B$1:$C$1</c:f>
              <c:numCache>
                <c:formatCode>General</c:formatCode>
                <c:ptCount val="2"/>
                <c:pt idx="0">
                  <c:v>2019</c:v>
                </c:pt>
                <c:pt idx="1">
                  <c:v>2020</c:v>
                </c:pt>
              </c:numCache>
            </c:numRef>
          </c:cat>
          <c:val>
            <c:numRef>
              <c:f>[亲子游.xlsx]Sheet2!$B$2:$C$2</c:f>
              <c:numCache>
                <c:formatCode>General</c:formatCode>
                <c:ptCount val="2"/>
                <c:pt idx="0">
                  <c:v>414.49</c:v>
                </c:pt>
                <c:pt idx="1">
                  <c:v>424.82</c:v>
                </c:pt>
              </c:numCache>
            </c:numRef>
          </c:val>
        </c:ser>
        <c:dLbls>
          <c:showLegendKey val="0"/>
          <c:showVal val="1"/>
          <c:showCatName val="0"/>
          <c:showSerName val="0"/>
          <c:showPercent val="0"/>
          <c:showBubbleSize val="0"/>
        </c:dLbls>
        <c:gapWidth val="300"/>
        <c:overlap val="0"/>
        <c:axId val="265321016"/>
        <c:axId val="746309363"/>
      </c:barChart>
      <c:catAx>
        <c:axId val="265321016"/>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46309363"/>
        <c:crosses val="autoZero"/>
        <c:auto val="1"/>
        <c:lblAlgn val="ctr"/>
        <c:lblOffset val="100"/>
        <c:noMultiLvlLbl val="0"/>
      </c:catAx>
      <c:valAx>
        <c:axId val="74630936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6532101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[2020年度代建中心部门决算报表填报说明附表.xlsx]Sheet1!$B$1</c:f>
              <c:strCache>
                <c:ptCount val="1"/>
                <c:pt idx="0">
                  <c:v>金额</c:v>
                </c:pt>
              </c:strCache>
            </c:strRef>
          </c:tx>
          <c:spPr/>
          <c:explosion val="0"/>
          <c:dPt>
            <c:idx val="0"/>
            <c:bubble3D val="0"/>
            <c:spPr>
              <a:solidFill>
                <a:schemeClr val="accent1">
                  <a:shade val="76667"/>
                </a:schemeClr>
              </a:solidFill>
              <a:ln>
                <a:noFill/>
              </a:ln>
              <a:effectLst/>
            </c:spPr>
          </c:dPt>
          <c:dPt>
            <c:idx val="1"/>
            <c:bubble3D val="0"/>
            <c:spPr>
              <a:solidFill>
                <a:schemeClr val="accent2">
                  <a:shade val="76667"/>
                </a:schemeClr>
              </a:solidFill>
              <a:ln>
                <a:noFill/>
              </a:ln>
              <a:effectLst/>
            </c:spPr>
          </c:dPt>
          <c:dPt>
            <c:idx val="2"/>
            <c:bubble3D val="0"/>
            <c:spPr>
              <a:solidFill>
                <a:schemeClr val="accent3">
                  <a:shade val="76667"/>
                </a:schemeClr>
              </a:solidFill>
              <a:ln>
                <a:noFill/>
              </a:ln>
              <a:effectLst/>
            </c:spPr>
          </c:dPt>
          <c:dPt>
            <c:idx val="3"/>
            <c:bubble3D val="0"/>
            <c:spPr>
              <a:solidFill>
                <a:schemeClr val="accent4">
                  <a:shade val="76667"/>
                </a:schemeClr>
              </a:solidFill>
              <a:ln>
                <a:noFill/>
              </a:ln>
              <a:effectLst/>
            </c:spPr>
          </c:dPt>
          <c:dPt>
            <c:idx val="4"/>
            <c:bubble3D val="0"/>
            <c:spPr>
              <a:solidFill>
                <a:schemeClr val="accent5">
                  <a:shade val="76667"/>
                </a:schemeClr>
              </a:solidFill>
              <a:ln>
                <a:noFill/>
              </a:ln>
              <a:effectLst/>
            </c:spPr>
          </c:dPt>
          <c:dPt>
            <c:idx val="5"/>
            <c:bubble3D val="0"/>
            <c:spPr>
              <a:solidFill>
                <a:schemeClr val="accent6">
                  <a:shade val="76667"/>
                </a:schemeClr>
              </a:solidFill>
              <a:ln>
                <a:noFill/>
              </a:ln>
              <a:effectLst/>
            </c:spPr>
          </c:dPt>
          <c:dPt>
            <c:idx val="6"/>
            <c:bubble3D val="0"/>
            <c:spPr>
              <a:solidFill>
                <a:schemeClr val="accent1">
                  <a:tint val="76667"/>
                </a:schemeClr>
              </a:solidFill>
              <a:ln>
                <a:noFill/>
              </a:ln>
              <a:effectLst/>
            </c:spPr>
          </c:dPt>
          <c:dLbls>
            <c:spPr>
              <a:noFill/>
              <a:ln>
                <a:noFill/>
              </a:ln>
              <a:effectLst/>
            </c:spPr>
            <c:txPr>
              <a:bodyPr rot="0" spcFirstLastPara="0" vertOverflow="ellipsis" vert="horz" wrap="square" lIns="38100" tIns="19050" rIns="38100" bIns="19050" anchor="ctr" anchorCtr="1"/>
              <a:lstStyle/>
              <a:p>
                <a:pPr>
                  <a:defRPr lang="zh-CN" sz="900" b="1" i="0" u="none" strike="noStrike" kern="1200" baseline="0">
                    <a:solidFill>
                      <a:schemeClr val="lt1"/>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[2020年度代建中心部门决算报表填报说明附表.xlsx]Sheet1!$A$2:$A$8</c:f>
              <c:strCache>
                <c:ptCount val="7"/>
                <c:pt idx="0">
                  <c:v>一般公共服务（类）</c:v>
                </c:pt>
                <c:pt idx="1">
                  <c:v>教育支出（类）</c:v>
                </c:pt>
                <c:pt idx="2">
                  <c:v>社会保障和就业（类）</c:v>
                </c:pt>
                <c:pt idx="3">
                  <c:v>卫生健康</c:v>
                </c:pt>
                <c:pt idx="4">
                  <c:v>住房保障支出</c:v>
                </c:pt>
                <c:pt idx="5">
                  <c:v>城乡社区支出（类）</c:v>
                </c:pt>
                <c:pt idx="6">
                  <c:v>灾害防治及应急管理支出（类）</c:v>
                </c:pt>
              </c:strCache>
            </c:strRef>
          </c:cat>
          <c:val>
            <c:numRef>
              <c:f>[2020年度代建中心部门决算报表填报说明附表.xlsx]Sheet1!$B$2:$B$8</c:f>
              <c:numCache>
                <c:formatCode>General</c:formatCode>
                <c:ptCount val="7"/>
                <c:pt idx="0">
                  <c:v>143.66</c:v>
                </c:pt>
                <c:pt idx="1">
                  <c:v>0.25</c:v>
                </c:pt>
                <c:pt idx="2">
                  <c:v>25.6</c:v>
                </c:pt>
                <c:pt idx="3">
                  <c:v>12.13</c:v>
                </c:pt>
                <c:pt idx="4">
                  <c:v>49.25</c:v>
                </c:pt>
                <c:pt idx="5">
                  <c:v>193.77</c:v>
                </c:pt>
                <c:pt idx="6">
                  <c:v>0.16</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no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cap="all" spc="5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[亲子游.xlsx]Sheet4!$B$1</c:f>
              <c:strCache>
                <c:ptCount val="1"/>
                <c:pt idx="0">
                  <c:v>公务用车运行维护</c:v>
                </c:pt>
              </c:strCache>
            </c:strRef>
          </c:tx>
          <c:spPr/>
          <c:explosion val="0"/>
          <c:dPt>
            <c:idx val="0"/>
            <c:bubble3D val="0"/>
            <c:spPr>
              <a:solidFill>
                <a:schemeClr val="accent1"/>
              </a:solidFill>
              <a:ln>
                <a:noFill/>
              </a:ln>
              <a:effectLst/>
            </c:spPr>
          </c:dPt>
          <c:dLbls>
            <c:spPr>
              <a:noFill/>
              <a:ln>
                <a:noFill/>
              </a:ln>
              <a:effectLst/>
            </c:spPr>
            <c:txPr>
              <a:bodyPr rot="0" spcFirstLastPara="0" vertOverflow="ellipsis" vert="horz" wrap="square" lIns="38100" tIns="19050" rIns="38100" bIns="19050" anchor="ctr" anchorCtr="1"/>
              <a:lstStyle/>
              <a:p>
                <a:pPr>
                  <a:defRPr lang="zh-CN" sz="900" b="1" i="0" u="none" strike="noStrike" kern="1200" baseline="0">
                    <a:solidFill>
                      <a:schemeClr val="lt1"/>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val>
            <c:numRef>
              <c:f>[亲子游.xlsx]Sheet4!$B$2</c:f>
              <c:numCache>
                <c:formatCode>General</c:formatCode>
                <c:ptCount val="1"/>
                <c:pt idx="0">
                  <c:v>5.65</c:v>
                </c:pt>
              </c:numCache>
            </c:numRef>
          </c:val>
        </c:ser>
        <c:dLbls>
          <c:showLegendKey val="0"/>
          <c:showVal val="0"/>
          <c:showCatName val="0"/>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acrossLinear" id="2">
  <a:schemeClr val="accent1"/>
  <a:schemeClr val="accent2"/>
  <a:schemeClr val="accent3"/>
  <a:schemeClr val="accent4"/>
  <a:schemeClr val="accent5"/>
  <a:schemeClr val="accent6"/>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138-06F1-46C9-B688-6861D28CA2A1}">
  <ds:schemaRefs/>
</ds:datastoreItem>
</file>

<file path=docProps/app.xml><?xml version="1.0" encoding="utf-8"?>
<Properties xmlns="http://schemas.openxmlformats.org/officeDocument/2006/extended-properties" xmlns:vt="http://schemas.openxmlformats.org/officeDocument/2006/docPropsVTypes">
  <Template>Normal</Template>
  <Company>四川省财政厅</Company>
  <Pages>25</Pages>
  <Words>8860</Words>
  <Characters>9501</Characters>
  <Lines>80</Lines>
  <Paragraphs>22</Paragraphs>
  <TotalTime>6</TotalTime>
  <ScaleCrop>false</ScaleCrop>
  <LinksUpToDate>false</LinksUpToDate>
  <CharactersWithSpaces>9650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2020-08-04T01:49:00Z</dcterms:created>
  <dc:creator>曹颖</dc:creator>
  <cp:lastModifiedBy>微信用户</cp:lastModifiedBy>
  <cp:lastPrinted>2021-08-31T09:56:00Z</cp:lastPrinted>
  <dcterms:modified xsi:type="dcterms:W3CDTF">2022-11-11T02:57:36Z</dcterms:modified>
  <dc:title>四川省***</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65787E1D1B7E45A0AEBB98A3C5F23507</vt:lpwstr>
  </property>
</Properties>
</file>