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96597"/>
      <w:bookmarkStart w:id="2" w:name="_Toc15377193"/>
      <w:bookmarkStart w:id="3" w:name="_Toc15377425"/>
      <w:bookmarkStart w:id="4" w:name="_Toc15396475"/>
      <w:bookmarkStart w:id="5" w:name="_Toc15378441"/>
      <w:r>
        <w:rPr>
          <w:rFonts w:ascii="黑体" w:hAnsi="黑体" w:eastAsia="黑体"/>
          <w:sz w:val="72"/>
          <w:szCs w:val="72"/>
        </w:rPr>
        <w:t>20</w:t>
      </w:r>
      <w:r>
        <w:rPr>
          <w:rFonts w:hint="eastAsia" w:ascii="黑体" w:hAnsi="黑体" w:eastAsia="黑体"/>
          <w:sz w:val="72"/>
          <w:szCs w:val="72"/>
        </w:rPr>
        <w:t>20</w:t>
      </w:r>
      <w:r>
        <w:rPr>
          <w:rFonts w:hint="eastAsia" w:ascii="方正小标宋简体" w:hAnsi="宋体" w:eastAsia="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sz w:val="72"/>
          <w:szCs w:val="72"/>
        </w:rPr>
      </w:pPr>
      <w:bookmarkStart w:id="6" w:name="_Toc15378442"/>
      <w:bookmarkStart w:id="7" w:name="_Toc15396598"/>
      <w:bookmarkStart w:id="8" w:name="_Toc15396476"/>
      <w:bookmarkStart w:id="9" w:name="_Toc15377426"/>
      <w:bookmarkStart w:id="10" w:name="_Toc15377194"/>
      <w:r>
        <w:rPr>
          <w:rFonts w:hint="eastAsia" w:ascii="方正小标宋简体" w:hAnsi="宋体" w:eastAsia="方正小标宋简体"/>
          <w:sz w:val="72"/>
          <w:szCs w:val="72"/>
        </w:rPr>
        <w:t>四川省</w:t>
      </w:r>
      <w:bookmarkEnd w:id="0"/>
      <w:bookmarkStart w:id="11" w:name="_Toc15306268"/>
      <w:r>
        <w:rPr>
          <w:rFonts w:hint="eastAsia" w:ascii="方正小标宋简体" w:hAnsi="宋体" w:eastAsia="方正小标宋简体"/>
          <w:sz w:val="72"/>
          <w:szCs w:val="72"/>
        </w:rPr>
        <w:t>住房和城乡建设厅</w:t>
      </w:r>
    </w:p>
    <w:p>
      <w:pPr>
        <w:adjustRightInd w:val="0"/>
        <w:snapToGrid w:val="0"/>
        <w:spacing w:line="360" w:lineRule="auto"/>
        <w:jc w:val="center"/>
        <w:outlineLvl w:val="0"/>
        <w:rPr>
          <w:rFonts w:ascii="方正小标宋简体" w:hAnsi="宋体" w:eastAsia="方正小标宋简体"/>
          <w:sz w:val="72"/>
          <w:szCs w:val="72"/>
        </w:rPr>
      </w:pPr>
      <w:r>
        <w:rPr>
          <w:rFonts w:hint="eastAsia" w:ascii="方正小标宋简体" w:hAnsi="宋体" w:eastAsia="方正小标宋简体"/>
          <w:sz w:val="72"/>
          <w:szCs w:val="72"/>
        </w:rPr>
        <w:t>驻外建管处部门决算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公开时间：2021年9月10日</w:t>
      </w:r>
    </w:p>
    <w:p>
      <w:pPr>
        <w:rPr>
          <w:rFonts w:ascii="仿宋" w:hAnsi="仿宋" w:eastAsia="仿宋" w:cs="仿宋"/>
          <w:sz w:val="32"/>
          <w:szCs w:val="32"/>
        </w:rPr>
      </w:pPr>
    </w:p>
    <w:p>
      <w:pPr>
        <w:ind w:firstLine="642" w:firstLineChars="200"/>
        <w:rPr>
          <w:rFonts w:eastAsia="仿宋"/>
          <w:b/>
          <w:sz w:val="32"/>
          <w:szCs w:val="32"/>
        </w:rPr>
      </w:pPr>
      <w:r>
        <w:rPr>
          <w:rFonts w:hint="eastAsia" w:eastAsia="仿宋"/>
          <w:b/>
          <w:sz w:val="32"/>
          <w:szCs w:val="32"/>
        </w:rPr>
        <w:t>第一部分</w:t>
      </w:r>
      <w:r>
        <w:rPr>
          <w:rFonts w:eastAsia="仿宋"/>
          <w:b/>
          <w:sz w:val="32"/>
          <w:szCs w:val="32"/>
        </w:rPr>
        <w:t xml:space="preserve"> </w:t>
      </w:r>
      <w:r>
        <w:rPr>
          <w:rFonts w:hint="eastAsia" w:eastAsia="仿宋"/>
          <w:b/>
          <w:sz w:val="32"/>
          <w:szCs w:val="32"/>
        </w:rPr>
        <w:t>单位概况</w:t>
      </w:r>
    </w:p>
    <w:p>
      <w:pPr>
        <w:ind w:firstLine="640" w:firstLineChars="200"/>
        <w:rPr>
          <w:rFonts w:eastAsia="仿宋"/>
          <w:sz w:val="32"/>
          <w:szCs w:val="32"/>
        </w:rPr>
      </w:pPr>
      <w:r>
        <w:rPr>
          <w:rFonts w:hint="eastAsia" w:eastAsia="仿宋"/>
          <w:sz w:val="32"/>
          <w:szCs w:val="32"/>
        </w:rPr>
        <w:t>一、职能简介</w:t>
      </w:r>
    </w:p>
    <w:p>
      <w:pPr>
        <w:ind w:firstLine="640" w:firstLineChars="200"/>
        <w:rPr>
          <w:rFonts w:hint="eastAsia" w:eastAsia="仿宋"/>
          <w:sz w:val="32"/>
          <w:szCs w:val="32"/>
        </w:rPr>
      </w:pPr>
      <w:r>
        <w:rPr>
          <w:rFonts w:hint="eastAsia" w:eastAsia="仿宋"/>
          <w:sz w:val="32"/>
          <w:szCs w:val="32"/>
        </w:rPr>
        <w:t>二、2020年重点工作完成情况</w:t>
      </w:r>
    </w:p>
    <w:p>
      <w:pPr>
        <w:pStyle w:val="2"/>
        <w:rPr>
          <w:rFonts w:hint="eastAsia" w:eastAsia="仿宋"/>
          <w:lang w:eastAsia="zh-CN"/>
        </w:rPr>
      </w:pPr>
      <w:r>
        <w:rPr>
          <w:rFonts w:hint="eastAsia" w:eastAsia="仿宋"/>
          <w:sz w:val="32"/>
          <w:szCs w:val="32"/>
          <w:lang w:eastAsia="zh-CN"/>
        </w:rPr>
        <w:t>　　三、机构设置情况</w:t>
      </w:r>
    </w:p>
    <w:p>
      <w:pPr>
        <w:ind w:firstLine="642" w:firstLineChars="200"/>
        <w:rPr>
          <w:rFonts w:eastAsia="仿宋"/>
          <w:b/>
          <w:sz w:val="32"/>
          <w:szCs w:val="32"/>
        </w:rPr>
      </w:pPr>
      <w:r>
        <w:rPr>
          <w:rFonts w:hint="eastAsia" w:eastAsia="仿宋"/>
          <w:b/>
          <w:sz w:val="32"/>
          <w:szCs w:val="32"/>
        </w:rPr>
        <w:t>第二部分 2020年度部门决算情况说明</w:t>
      </w:r>
    </w:p>
    <w:p>
      <w:pPr>
        <w:ind w:firstLine="640" w:firstLineChars="200"/>
        <w:rPr>
          <w:rFonts w:eastAsia="仿宋"/>
          <w:sz w:val="32"/>
          <w:szCs w:val="32"/>
        </w:rPr>
      </w:pPr>
      <w:r>
        <w:rPr>
          <w:rFonts w:hint="eastAsia" w:eastAsia="仿宋"/>
          <w:sz w:val="32"/>
          <w:szCs w:val="32"/>
        </w:rPr>
        <w:t>一、收入支出决算总体情况说明</w:t>
      </w:r>
    </w:p>
    <w:p>
      <w:pPr>
        <w:ind w:firstLine="640" w:firstLineChars="200"/>
        <w:rPr>
          <w:rFonts w:eastAsia="仿宋"/>
          <w:sz w:val="32"/>
          <w:szCs w:val="32"/>
        </w:rPr>
      </w:pPr>
      <w:r>
        <w:rPr>
          <w:rFonts w:hint="eastAsia" w:eastAsia="仿宋"/>
          <w:sz w:val="32"/>
          <w:szCs w:val="32"/>
        </w:rPr>
        <w:t>二、收入决算情况说明</w:t>
      </w:r>
    </w:p>
    <w:p>
      <w:pPr>
        <w:ind w:firstLine="640" w:firstLineChars="200"/>
        <w:rPr>
          <w:rFonts w:eastAsia="仿宋"/>
          <w:sz w:val="32"/>
          <w:szCs w:val="32"/>
        </w:rPr>
      </w:pPr>
      <w:r>
        <w:rPr>
          <w:rFonts w:hint="eastAsia" w:eastAsia="仿宋"/>
          <w:sz w:val="32"/>
          <w:szCs w:val="32"/>
        </w:rPr>
        <w:t>三、支出决算情况说明</w:t>
      </w:r>
    </w:p>
    <w:p>
      <w:pPr>
        <w:ind w:firstLine="640" w:firstLineChars="200"/>
        <w:rPr>
          <w:rFonts w:eastAsia="仿宋"/>
          <w:sz w:val="32"/>
          <w:szCs w:val="32"/>
        </w:rPr>
      </w:pPr>
      <w:r>
        <w:rPr>
          <w:rFonts w:hint="eastAsia" w:eastAsia="仿宋"/>
          <w:sz w:val="32"/>
          <w:szCs w:val="32"/>
        </w:rPr>
        <w:t>四、财政拨款收入支出决算总体情况说明</w:t>
      </w:r>
    </w:p>
    <w:p>
      <w:pPr>
        <w:ind w:firstLine="640" w:firstLineChars="200"/>
        <w:rPr>
          <w:rFonts w:eastAsia="仿宋"/>
          <w:sz w:val="32"/>
          <w:szCs w:val="32"/>
        </w:rPr>
      </w:pPr>
      <w:r>
        <w:rPr>
          <w:rFonts w:hint="eastAsia" w:eastAsia="仿宋"/>
          <w:sz w:val="32"/>
          <w:szCs w:val="32"/>
        </w:rPr>
        <w:t>五、一般公共预算财政拨款支出决算情况说明</w:t>
      </w:r>
    </w:p>
    <w:p>
      <w:pPr>
        <w:ind w:firstLine="640" w:firstLineChars="200"/>
        <w:rPr>
          <w:rFonts w:eastAsia="仿宋"/>
          <w:sz w:val="32"/>
          <w:szCs w:val="32"/>
        </w:rPr>
      </w:pPr>
      <w:r>
        <w:rPr>
          <w:rFonts w:hint="eastAsia" w:eastAsia="仿宋"/>
          <w:sz w:val="32"/>
          <w:szCs w:val="32"/>
        </w:rPr>
        <w:t>六、一般公共预算财政拨款基本支出决算情况说明</w:t>
      </w:r>
    </w:p>
    <w:p>
      <w:pPr>
        <w:ind w:firstLine="640" w:firstLineChars="200"/>
        <w:rPr>
          <w:rFonts w:eastAsia="仿宋"/>
          <w:sz w:val="32"/>
          <w:szCs w:val="32"/>
        </w:rPr>
      </w:pPr>
      <w:r>
        <w:rPr>
          <w:rFonts w:hint="eastAsia" w:eastAsia="仿宋"/>
          <w:sz w:val="32"/>
          <w:szCs w:val="32"/>
        </w:rPr>
        <w:t>七、</w:t>
      </w:r>
      <w:r>
        <w:rPr>
          <w:rFonts w:eastAsia="仿宋"/>
          <w:sz w:val="32"/>
          <w:szCs w:val="32"/>
        </w:rPr>
        <w:t>“</w:t>
      </w:r>
      <w:r>
        <w:rPr>
          <w:rFonts w:hint="eastAsia" w:eastAsia="仿宋"/>
          <w:sz w:val="32"/>
          <w:szCs w:val="32"/>
        </w:rPr>
        <w:t>三公”经费财政拨款支出决算情况说明</w:t>
      </w:r>
    </w:p>
    <w:p>
      <w:pPr>
        <w:ind w:firstLine="640" w:firstLineChars="200"/>
        <w:rPr>
          <w:rFonts w:eastAsia="仿宋"/>
          <w:sz w:val="32"/>
          <w:szCs w:val="32"/>
        </w:rPr>
      </w:pPr>
      <w:r>
        <w:rPr>
          <w:rFonts w:hint="eastAsia" w:eastAsia="仿宋"/>
          <w:sz w:val="32"/>
          <w:szCs w:val="32"/>
        </w:rPr>
        <w:t>八、政府性基金预算支出决算情况说明</w:t>
      </w:r>
    </w:p>
    <w:p>
      <w:pPr>
        <w:ind w:firstLine="640" w:firstLineChars="200"/>
        <w:rPr>
          <w:rFonts w:eastAsia="仿宋"/>
          <w:sz w:val="32"/>
          <w:szCs w:val="32"/>
        </w:rPr>
      </w:pPr>
      <w:r>
        <w:rPr>
          <w:rFonts w:hint="eastAsia" w:eastAsia="仿宋"/>
          <w:sz w:val="32"/>
          <w:szCs w:val="32"/>
        </w:rPr>
        <w:t>九、国有资本经营预算支出决算情况说明</w:t>
      </w:r>
    </w:p>
    <w:p>
      <w:pPr>
        <w:ind w:firstLine="640" w:firstLineChars="200"/>
        <w:rPr>
          <w:rFonts w:eastAsia="仿宋"/>
          <w:sz w:val="32"/>
          <w:szCs w:val="32"/>
        </w:rPr>
      </w:pPr>
      <w:r>
        <w:rPr>
          <w:rFonts w:hint="eastAsia" w:eastAsia="仿宋"/>
          <w:sz w:val="32"/>
          <w:szCs w:val="32"/>
        </w:rPr>
        <w:t>十、其他重要事项的情况说明</w:t>
      </w:r>
    </w:p>
    <w:p>
      <w:pPr>
        <w:ind w:firstLine="642" w:firstLineChars="200"/>
        <w:rPr>
          <w:rFonts w:eastAsia="仿宋"/>
          <w:b/>
          <w:sz w:val="32"/>
          <w:szCs w:val="32"/>
        </w:rPr>
      </w:pPr>
      <w:r>
        <w:rPr>
          <w:rFonts w:hint="eastAsia" w:eastAsia="仿宋"/>
          <w:b/>
          <w:sz w:val="32"/>
          <w:szCs w:val="32"/>
        </w:rPr>
        <w:t>第三部分</w:t>
      </w:r>
      <w:r>
        <w:rPr>
          <w:rFonts w:eastAsia="仿宋"/>
          <w:b/>
          <w:sz w:val="32"/>
          <w:szCs w:val="32"/>
        </w:rPr>
        <w:t xml:space="preserve"> </w:t>
      </w:r>
      <w:r>
        <w:rPr>
          <w:rFonts w:hint="eastAsia" w:eastAsia="仿宋"/>
          <w:b/>
          <w:sz w:val="32"/>
          <w:szCs w:val="32"/>
        </w:rPr>
        <w:t>名词解释</w:t>
      </w:r>
    </w:p>
    <w:p>
      <w:pPr>
        <w:ind w:firstLine="642" w:firstLineChars="200"/>
        <w:rPr>
          <w:rFonts w:eastAsia="仿宋"/>
          <w:b/>
          <w:sz w:val="32"/>
          <w:szCs w:val="32"/>
        </w:rPr>
      </w:pPr>
      <w:r>
        <w:rPr>
          <w:rFonts w:hint="eastAsia" w:eastAsia="仿宋"/>
          <w:b/>
          <w:sz w:val="32"/>
          <w:szCs w:val="32"/>
        </w:rPr>
        <w:t>第四部分</w:t>
      </w:r>
      <w:r>
        <w:rPr>
          <w:rFonts w:eastAsia="仿宋"/>
          <w:b/>
          <w:sz w:val="32"/>
          <w:szCs w:val="32"/>
        </w:rPr>
        <w:t xml:space="preserve"> </w:t>
      </w:r>
      <w:r>
        <w:rPr>
          <w:rFonts w:hint="eastAsia" w:eastAsia="仿宋"/>
          <w:b/>
          <w:sz w:val="32"/>
          <w:szCs w:val="32"/>
        </w:rPr>
        <w:t>附件</w:t>
      </w:r>
    </w:p>
    <w:p>
      <w:pPr>
        <w:ind w:firstLine="642" w:firstLineChars="200"/>
        <w:rPr>
          <w:rFonts w:eastAsia="仿宋"/>
          <w:b/>
          <w:sz w:val="32"/>
          <w:szCs w:val="32"/>
        </w:rPr>
      </w:pPr>
      <w:r>
        <w:rPr>
          <w:rFonts w:hint="eastAsia" w:eastAsia="仿宋"/>
          <w:b/>
          <w:sz w:val="32"/>
          <w:szCs w:val="32"/>
        </w:rPr>
        <w:t>第五部分</w:t>
      </w:r>
      <w:r>
        <w:rPr>
          <w:rFonts w:eastAsia="仿宋"/>
          <w:b/>
          <w:sz w:val="32"/>
          <w:szCs w:val="32"/>
        </w:rPr>
        <w:t xml:space="preserve"> </w:t>
      </w:r>
      <w:r>
        <w:rPr>
          <w:rFonts w:hint="eastAsia" w:eastAsia="仿宋"/>
          <w:b/>
          <w:sz w:val="32"/>
          <w:szCs w:val="32"/>
        </w:rPr>
        <w:t>附表</w:t>
      </w:r>
    </w:p>
    <w:p>
      <w:pPr>
        <w:widowControl/>
        <w:spacing w:line="600" w:lineRule="exact"/>
        <w:ind w:firstLine="707" w:firstLineChars="221"/>
        <w:jc w:val="left"/>
        <w:rPr>
          <w:rFonts w:eastAsia="仿宋"/>
          <w:sz w:val="32"/>
          <w:szCs w:val="32"/>
        </w:rPr>
      </w:pPr>
      <w:r>
        <w:rPr>
          <w:rFonts w:hint="eastAsia" w:eastAsia="仿宋"/>
          <w:sz w:val="32"/>
          <w:szCs w:val="32"/>
        </w:rPr>
        <w:t>一、收入支出决算总表</w:t>
      </w:r>
    </w:p>
    <w:p>
      <w:pPr>
        <w:widowControl/>
        <w:spacing w:line="600" w:lineRule="exact"/>
        <w:ind w:firstLine="707" w:firstLineChars="221"/>
        <w:jc w:val="left"/>
        <w:rPr>
          <w:rFonts w:eastAsia="仿宋"/>
          <w:sz w:val="32"/>
          <w:szCs w:val="32"/>
        </w:rPr>
      </w:pPr>
      <w:r>
        <w:rPr>
          <w:rFonts w:hint="eastAsia" w:eastAsia="仿宋"/>
          <w:sz w:val="32"/>
          <w:szCs w:val="32"/>
        </w:rPr>
        <w:t>二、收入决算表</w:t>
      </w:r>
    </w:p>
    <w:p>
      <w:pPr>
        <w:widowControl/>
        <w:spacing w:line="600" w:lineRule="exact"/>
        <w:ind w:firstLine="707" w:firstLineChars="221"/>
        <w:jc w:val="left"/>
        <w:rPr>
          <w:rFonts w:eastAsia="仿宋"/>
          <w:sz w:val="32"/>
          <w:szCs w:val="32"/>
        </w:rPr>
      </w:pPr>
      <w:r>
        <w:rPr>
          <w:rFonts w:hint="eastAsia" w:eastAsia="仿宋"/>
          <w:sz w:val="32"/>
          <w:szCs w:val="32"/>
        </w:rPr>
        <w:t>三、支出决算表</w:t>
      </w:r>
    </w:p>
    <w:p>
      <w:pPr>
        <w:widowControl/>
        <w:spacing w:line="600" w:lineRule="exact"/>
        <w:ind w:firstLine="707" w:firstLineChars="221"/>
        <w:jc w:val="left"/>
        <w:rPr>
          <w:rFonts w:eastAsia="仿宋"/>
          <w:sz w:val="32"/>
          <w:szCs w:val="32"/>
        </w:rPr>
      </w:pPr>
      <w:r>
        <w:rPr>
          <w:rFonts w:hint="eastAsia" w:eastAsia="仿宋"/>
          <w:sz w:val="32"/>
          <w:szCs w:val="32"/>
        </w:rPr>
        <w:t>四、财政拨款收入支出决算总表</w:t>
      </w:r>
    </w:p>
    <w:p>
      <w:pPr>
        <w:widowControl/>
        <w:spacing w:line="600" w:lineRule="exact"/>
        <w:ind w:firstLine="707" w:firstLineChars="221"/>
        <w:jc w:val="left"/>
        <w:rPr>
          <w:rFonts w:eastAsia="仿宋"/>
          <w:sz w:val="32"/>
          <w:szCs w:val="32"/>
        </w:rPr>
      </w:pPr>
      <w:r>
        <w:rPr>
          <w:rFonts w:hint="eastAsia" w:eastAsia="仿宋"/>
          <w:sz w:val="32"/>
          <w:szCs w:val="32"/>
        </w:rPr>
        <w:t>五、财政拨款支出决算明细表</w:t>
      </w:r>
    </w:p>
    <w:p>
      <w:pPr>
        <w:widowControl/>
        <w:spacing w:line="600" w:lineRule="exact"/>
        <w:ind w:firstLine="707" w:firstLineChars="221"/>
        <w:jc w:val="left"/>
        <w:rPr>
          <w:rFonts w:eastAsia="仿宋"/>
          <w:sz w:val="32"/>
          <w:szCs w:val="32"/>
        </w:rPr>
      </w:pPr>
      <w:r>
        <w:rPr>
          <w:rFonts w:hint="eastAsia" w:eastAsia="仿宋"/>
          <w:sz w:val="32"/>
          <w:szCs w:val="32"/>
        </w:rPr>
        <w:t>六、一般公共预算财政拨款支出决算表</w:t>
      </w:r>
    </w:p>
    <w:p>
      <w:pPr>
        <w:widowControl/>
        <w:spacing w:line="600" w:lineRule="exact"/>
        <w:ind w:firstLine="707" w:firstLineChars="221"/>
        <w:jc w:val="left"/>
        <w:rPr>
          <w:rFonts w:eastAsia="仿宋"/>
          <w:sz w:val="32"/>
          <w:szCs w:val="32"/>
        </w:rPr>
      </w:pPr>
      <w:r>
        <w:rPr>
          <w:rFonts w:hint="eastAsia" w:eastAsia="仿宋"/>
          <w:sz w:val="32"/>
          <w:szCs w:val="32"/>
        </w:rPr>
        <w:t>七、一般公共预算财政拨款支出决算明细表</w:t>
      </w:r>
    </w:p>
    <w:p>
      <w:pPr>
        <w:widowControl/>
        <w:spacing w:line="600" w:lineRule="exact"/>
        <w:ind w:firstLine="707" w:firstLineChars="221"/>
        <w:jc w:val="left"/>
        <w:rPr>
          <w:rFonts w:eastAsia="仿宋"/>
          <w:sz w:val="32"/>
          <w:szCs w:val="32"/>
        </w:rPr>
      </w:pPr>
      <w:r>
        <w:rPr>
          <w:rFonts w:hint="eastAsia" w:eastAsia="仿宋"/>
          <w:sz w:val="32"/>
          <w:szCs w:val="32"/>
        </w:rPr>
        <w:t>八、一般公共预算财政拨款基本支出决算表</w:t>
      </w:r>
    </w:p>
    <w:p>
      <w:pPr>
        <w:widowControl/>
        <w:spacing w:line="600" w:lineRule="exact"/>
        <w:ind w:firstLine="707" w:firstLineChars="221"/>
        <w:jc w:val="left"/>
        <w:rPr>
          <w:rFonts w:eastAsia="仿宋"/>
          <w:sz w:val="32"/>
          <w:szCs w:val="32"/>
        </w:rPr>
      </w:pPr>
      <w:r>
        <w:rPr>
          <w:rFonts w:hint="eastAsia" w:eastAsia="仿宋"/>
          <w:sz w:val="32"/>
          <w:szCs w:val="32"/>
        </w:rPr>
        <w:t>九、一般公共预算财政拨款项目支出决算表</w:t>
      </w:r>
    </w:p>
    <w:p>
      <w:pPr>
        <w:widowControl/>
        <w:spacing w:line="600" w:lineRule="exact"/>
        <w:ind w:firstLine="707" w:firstLineChars="221"/>
        <w:jc w:val="left"/>
        <w:rPr>
          <w:rFonts w:eastAsia="仿宋"/>
          <w:sz w:val="32"/>
          <w:szCs w:val="32"/>
        </w:rPr>
      </w:pPr>
      <w:r>
        <w:rPr>
          <w:rFonts w:hint="eastAsia" w:eastAsia="仿宋"/>
          <w:sz w:val="32"/>
          <w:szCs w:val="32"/>
        </w:rPr>
        <w:t>十、一般公共预算财政拨款“三公”经费支出决算表</w:t>
      </w:r>
    </w:p>
    <w:p>
      <w:pPr>
        <w:widowControl/>
        <w:spacing w:line="600" w:lineRule="exact"/>
        <w:ind w:firstLine="707" w:firstLineChars="221"/>
        <w:jc w:val="left"/>
        <w:rPr>
          <w:rFonts w:eastAsia="仿宋"/>
          <w:sz w:val="32"/>
          <w:szCs w:val="32"/>
        </w:rPr>
      </w:pPr>
      <w:r>
        <w:rPr>
          <w:rFonts w:hint="eastAsia" w:eastAsia="仿宋"/>
          <w:sz w:val="32"/>
          <w:szCs w:val="32"/>
        </w:rPr>
        <w:t>十一、政府性基金预算财政拨款收入支出决算表</w:t>
      </w:r>
    </w:p>
    <w:p>
      <w:pPr>
        <w:widowControl/>
        <w:spacing w:line="600" w:lineRule="exact"/>
        <w:ind w:firstLine="707" w:firstLineChars="221"/>
        <w:jc w:val="left"/>
        <w:rPr>
          <w:rFonts w:eastAsia="仿宋"/>
          <w:sz w:val="32"/>
          <w:szCs w:val="32"/>
        </w:rPr>
      </w:pPr>
      <w:r>
        <w:rPr>
          <w:rFonts w:hint="eastAsia" w:eastAsia="仿宋"/>
          <w:sz w:val="32"/>
          <w:szCs w:val="32"/>
        </w:rPr>
        <w:t>十二、政府性基金预算财政拨款“三公”经费支出决算表</w:t>
      </w:r>
    </w:p>
    <w:p>
      <w:pPr>
        <w:widowControl/>
        <w:spacing w:line="600" w:lineRule="exact"/>
        <w:ind w:firstLine="707" w:firstLineChars="221"/>
        <w:jc w:val="left"/>
        <w:rPr>
          <w:rFonts w:eastAsia="仿宋"/>
          <w:sz w:val="32"/>
          <w:szCs w:val="32"/>
        </w:rPr>
      </w:pPr>
      <w:r>
        <w:rPr>
          <w:rFonts w:hint="eastAsia" w:eastAsia="仿宋"/>
          <w:sz w:val="32"/>
          <w:szCs w:val="32"/>
        </w:rPr>
        <w:t>十三、国有资本经营预算财政拨款收入支出决算表</w:t>
      </w:r>
    </w:p>
    <w:p>
      <w:pPr>
        <w:widowControl/>
        <w:spacing w:line="600" w:lineRule="exact"/>
        <w:ind w:firstLine="707" w:firstLineChars="221"/>
        <w:jc w:val="left"/>
        <w:rPr>
          <w:rFonts w:eastAsia="仿宋"/>
          <w:sz w:val="32"/>
          <w:szCs w:val="32"/>
        </w:rPr>
      </w:pPr>
      <w:r>
        <w:rPr>
          <w:rFonts w:hint="eastAsia" w:eastAsia="仿宋"/>
          <w:sz w:val="32"/>
          <w:szCs w:val="32"/>
        </w:rPr>
        <w:t>十四、国有资本经营预算财政拨款支出决算表</w:t>
      </w:r>
    </w:p>
    <w:p>
      <w:pPr>
        <w:pStyle w:val="2"/>
        <w:spacing w:before="93"/>
      </w:pPr>
    </w:p>
    <w:p>
      <w:pPr>
        <w:spacing w:line="600" w:lineRule="exact"/>
        <w:jc w:val="center"/>
        <w:rPr>
          <w:rStyle w:val="24"/>
          <w:rFonts w:ascii="方正小标宋简体" w:eastAsia="方正小标宋简体"/>
          <w:color w:val="000000" w:themeColor="text1"/>
        </w:rPr>
      </w:pPr>
    </w:p>
    <w:p>
      <w:pPr>
        <w:spacing w:line="600" w:lineRule="exact"/>
        <w:jc w:val="center"/>
        <w:rPr>
          <w:rStyle w:val="24"/>
          <w:rFonts w:ascii="方正小标宋简体" w:eastAsia="方正小标宋简体"/>
          <w:color w:val="000000" w:themeColor="text1"/>
        </w:rPr>
      </w:pPr>
    </w:p>
    <w:p>
      <w:pPr>
        <w:pStyle w:val="2"/>
        <w:spacing w:before="93"/>
      </w:pPr>
    </w:p>
    <w:p>
      <w:pPr>
        <w:pStyle w:val="2"/>
        <w:spacing w:before="93"/>
      </w:pPr>
    </w:p>
    <w:p>
      <w:pPr>
        <w:spacing w:line="600" w:lineRule="exact"/>
        <w:jc w:val="center"/>
        <w:rPr>
          <w:rStyle w:val="24"/>
          <w:rFonts w:ascii="方正小标宋简体" w:eastAsia="方正小标宋简体"/>
          <w:b w:val="0"/>
          <w:color w:val="000000" w:themeColor="text1"/>
        </w:rPr>
      </w:pPr>
      <w:r>
        <w:rPr>
          <w:rStyle w:val="24"/>
          <w:rFonts w:hint="eastAsia" w:ascii="方正小标宋简体" w:eastAsia="方正小标宋简体"/>
          <w:b w:val="0"/>
          <w:color w:val="000000" w:themeColor="text1"/>
        </w:rPr>
        <w:t>第一部分 单位概况</w:t>
      </w:r>
      <w:bookmarkStart w:id="12" w:name="_Toc15396600"/>
      <w:bookmarkStart w:id="13" w:name="_Toc15377197"/>
    </w:p>
    <w:p>
      <w:pPr>
        <w:spacing w:line="600" w:lineRule="exact"/>
        <w:ind w:firstLine="640" w:firstLineChars="200"/>
        <w:outlineLvl w:val="1"/>
        <w:rPr>
          <w:rStyle w:val="25"/>
          <w:rFonts w:ascii="黑体" w:hAnsi="黑体" w:eastAsia="黑体"/>
          <w:b w:val="0"/>
          <w:bCs w:val="0"/>
        </w:rPr>
      </w:pPr>
      <w:r>
        <w:rPr>
          <w:rStyle w:val="25"/>
          <w:rFonts w:hint="eastAsia" w:ascii="黑体" w:hAnsi="黑体" w:eastAsia="黑体"/>
          <w:b w:val="0"/>
          <w:bCs w:val="0"/>
        </w:rPr>
        <w:t>一、职能简介</w:t>
      </w:r>
    </w:p>
    <w:p>
      <w:pPr>
        <w:pStyle w:val="23"/>
        <w:spacing w:before="93"/>
        <w:ind w:firstLine="640"/>
        <w:rPr>
          <w:rFonts w:ascii="仿宋" w:hAnsi="仿宋" w:eastAsia="仿宋"/>
          <w:sz w:val="32"/>
          <w:szCs w:val="32"/>
        </w:rPr>
      </w:pPr>
      <w:r>
        <w:rPr>
          <w:rFonts w:hint="eastAsia" w:ascii="仿宋" w:hAnsi="仿宋" w:eastAsia="仿宋" w:cs="仿宋"/>
          <w:sz w:val="32"/>
          <w:szCs w:val="32"/>
        </w:rPr>
        <w:t>四川省住房和城乡建设厅驻外建管处是四川省住房和城乡建设厅的直属事业单位，参照公务员管理，由驻上海、重庆、贵州等外省（市、自治区）等九个驻外建管处组成。除财政拨款外，我单位</w:t>
      </w:r>
      <w:bookmarkStart w:id="65" w:name="_GoBack"/>
      <w:bookmarkEnd w:id="65"/>
      <w:r>
        <w:rPr>
          <w:rFonts w:hint="eastAsia" w:ascii="仿宋" w:hAnsi="仿宋" w:eastAsia="仿宋" w:cs="仿宋"/>
          <w:sz w:val="32"/>
          <w:szCs w:val="32"/>
        </w:rPr>
        <w:t>无其他资金来源。</w:t>
      </w:r>
    </w:p>
    <w:p>
      <w:pPr>
        <w:pStyle w:val="23"/>
        <w:ind w:firstLine="604" w:firstLineChars="189"/>
        <w:rPr>
          <w:rFonts w:ascii="仿宋" w:hAnsi="仿宋" w:eastAsia="仿宋" w:cs="仿宋"/>
          <w:sz w:val="32"/>
          <w:szCs w:val="32"/>
        </w:rPr>
      </w:pPr>
      <w:r>
        <w:rPr>
          <w:rFonts w:hint="eastAsia" w:ascii="仿宋" w:hAnsi="仿宋" w:eastAsia="仿宋" w:cs="仿宋"/>
          <w:sz w:val="32"/>
          <w:szCs w:val="32"/>
        </w:rPr>
        <w:t>单位主要职能：承担省内建筑队伍在当地的管理，协调与当地建设行政主管部门的关系，提供政策咨询、信息沟通等服务，组织输出本省建设劳务，对外承包工程。</w:t>
      </w:r>
    </w:p>
    <w:p>
      <w:pPr>
        <w:ind w:firstLine="480" w:firstLineChars="150"/>
        <w:rPr>
          <w:rStyle w:val="25"/>
          <w:rFonts w:ascii="黑体" w:hAnsi="黑体" w:eastAsia="黑体" w:cs="Times New Roman"/>
          <w:b w:val="0"/>
          <w:color w:val="000000" w:themeColor="text1"/>
        </w:rPr>
      </w:pPr>
      <w:r>
        <w:rPr>
          <w:rStyle w:val="25"/>
          <w:rFonts w:hint="eastAsia" w:ascii="黑体" w:hAnsi="黑体" w:eastAsia="黑体" w:cs="Times New Roman"/>
          <w:b w:val="0"/>
          <w:color w:val="000000" w:themeColor="text1"/>
        </w:rPr>
        <w:t>二、2020年重点工作</w:t>
      </w:r>
      <w:bookmarkEnd w:id="12"/>
      <w:bookmarkEnd w:id="13"/>
      <w:r>
        <w:rPr>
          <w:rStyle w:val="25"/>
          <w:rFonts w:hint="eastAsia" w:ascii="黑体" w:hAnsi="黑体" w:eastAsia="黑体" w:cs="Times New Roman"/>
          <w:b w:val="0"/>
          <w:color w:val="000000" w:themeColor="text1"/>
        </w:rPr>
        <w:t>完成情况</w:t>
      </w:r>
    </w:p>
    <w:p>
      <w:pPr>
        <w:ind w:firstLine="480" w:firstLineChars="150"/>
        <w:rPr>
          <w:rFonts w:ascii="仿宋_GB2312" w:hAnsi="仿宋" w:eastAsia="仿宋_GB2312"/>
          <w:sz w:val="32"/>
          <w:szCs w:val="32"/>
        </w:rPr>
      </w:pPr>
      <w:r>
        <w:rPr>
          <w:rFonts w:hint="eastAsia" w:ascii="仿宋_GB2312" w:hAnsi="仿宋" w:eastAsia="仿宋_GB2312"/>
          <w:sz w:val="32"/>
          <w:szCs w:val="32"/>
        </w:rPr>
        <w:t>四川省住房和城乡建设厅驻外建管处在厅党组坚强领导下，坚持以习近平新时代中国特色社会主义思想为指导，按照高质量发展要求，着力提升服务企业能力水平，着力推动企业外出发展，着力推动建筑业转型升级，较好的完成了各项目标任务。</w:t>
      </w:r>
    </w:p>
    <w:p>
      <w:pPr>
        <w:ind w:firstLine="640" w:firstLineChars="200"/>
        <w:rPr>
          <w:rFonts w:ascii="仿宋_GB2312" w:hAnsi="仿宋" w:eastAsia="仿宋_GB2312"/>
          <w:sz w:val="32"/>
          <w:szCs w:val="32"/>
        </w:rPr>
      </w:pPr>
      <w:r>
        <w:rPr>
          <w:rFonts w:hint="eastAsia" w:ascii="仿宋_GB2312" w:hAnsi="楷体" w:eastAsia="仿宋_GB2312"/>
          <w:kern w:val="0"/>
          <w:sz w:val="32"/>
          <w:szCs w:val="32"/>
        </w:rPr>
        <w:t>（一）疫情担当作为助力企业复工复产。</w:t>
      </w:r>
      <w:r>
        <w:rPr>
          <w:rFonts w:hint="eastAsia" w:ascii="仿宋_GB2312" w:hAnsi="仿宋" w:eastAsia="仿宋_GB2312"/>
          <w:sz w:val="32"/>
          <w:szCs w:val="32"/>
        </w:rPr>
        <w:t>面对百年未有之大疫情，省住房和城乡建设厅驻外建管处在做好干部职工</w:t>
      </w:r>
      <w:r>
        <w:rPr>
          <w:rFonts w:hint="eastAsia" w:ascii="仿宋_GB2312" w:hAnsi="仿宋" w:eastAsia="仿宋_GB2312" w:cs="仿宋"/>
          <w:sz w:val="32"/>
          <w:szCs w:val="32"/>
        </w:rPr>
        <w:t>自身防疫工作的同时，</w:t>
      </w:r>
      <w:r>
        <w:rPr>
          <w:rFonts w:hint="eastAsia" w:ascii="仿宋_GB2312" w:hAnsi="仿宋" w:eastAsia="仿宋_GB2312"/>
          <w:sz w:val="32"/>
          <w:szCs w:val="32"/>
        </w:rPr>
        <w:t>要求所有人员提高政治站位，立足本职岗位，帮助在外企业复工复产。</w:t>
      </w:r>
    </w:p>
    <w:p>
      <w:pPr>
        <w:pBdr>
          <w:top w:val="single" w:color="FFFFFF" w:sz="4" w:space="0"/>
          <w:left w:val="single" w:color="FFFFFF" w:sz="4" w:space="31"/>
          <w:bottom w:val="single" w:color="FFFFFF" w:sz="4" w:space="31"/>
          <w:right w:val="single" w:color="FFFFFF" w:sz="4" w:space="0"/>
        </w:pBdr>
        <w:snapToGrid w:val="0"/>
        <w:spacing w:line="640" w:lineRule="exact"/>
        <w:ind w:firstLine="643"/>
        <w:rPr>
          <w:rFonts w:ascii="仿宋_GB2312" w:eastAsia="仿宋_GB2312"/>
          <w:sz w:val="32"/>
          <w:szCs w:val="32"/>
        </w:rPr>
      </w:pPr>
      <w:r>
        <w:rPr>
          <w:rFonts w:hint="eastAsia" w:ascii="仿宋_GB2312" w:hAnsi="楷体" w:eastAsia="仿宋_GB2312"/>
          <w:kern w:val="0"/>
          <w:sz w:val="32"/>
          <w:szCs w:val="32"/>
        </w:rPr>
        <w:t>（二）高规格</w:t>
      </w:r>
      <w:r>
        <w:rPr>
          <w:rFonts w:hint="eastAsia" w:ascii="仿宋_GB2312" w:hAnsi="楷体" w:eastAsia="仿宋_GB2312"/>
          <w:sz w:val="32"/>
          <w:szCs w:val="32"/>
        </w:rPr>
        <w:t>座谈会了解企业外出发展需求</w:t>
      </w:r>
      <w:r>
        <w:rPr>
          <w:rFonts w:hint="eastAsia" w:ascii="仿宋_GB2312" w:eastAsia="仿宋_GB2312"/>
          <w:sz w:val="32"/>
          <w:szCs w:val="32"/>
        </w:rPr>
        <w:t>。5月2</w:t>
      </w:r>
      <w:r>
        <w:rPr>
          <w:rFonts w:ascii="仿宋_GB2312" w:eastAsia="仿宋_GB2312"/>
          <w:sz w:val="32"/>
          <w:szCs w:val="32"/>
        </w:rPr>
        <w:t>2日</w:t>
      </w:r>
      <w:r>
        <w:rPr>
          <w:rFonts w:hint="eastAsia" w:ascii="仿宋_GB2312" w:eastAsia="仿宋_GB2312"/>
          <w:sz w:val="32"/>
          <w:szCs w:val="32"/>
        </w:rPr>
        <w:t>、9月18，我单位分别在宜宾、眉山召开</w:t>
      </w:r>
      <w:r>
        <w:rPr>
          <w:rFonts w:ascii="仿宋_GB2312" w:eastAsia="仿宋_GB2312"/>
          <w:sz w:val="32"/>
          <w:szCs w:val="32"/>
        </w:rPr>
        <w:t xml:space="preserve"> “走出去”发展座谈会，</w:t>
      </w:r>
      <w:r>
        <w:rPr>
          <w:rFonts w:hint="eastAsia" w:ascii="仿宋_GB2312" w:eastAsia="仿宋_GB2312"/>
          <w:sz w:val="32"/>
          <w:szCs w:val="32"/>
        </w:rPr>
        <w:t>两次会议紧紧围绕“实施‘走出去'发展”这一战略部署，为企业“走出去”搭建平台做好服务工作进行座谈交流。</w:t>
      </w:r>
    </w:p>
    <w:p>
      <w:pPr>
        <w:pBdr>
          <w:top w:val="single" w:color="FFFFFF" w:sz="4" w:space="0"/>
          <w:left w:val="single" w:color="FFFFFF" w:sz="4" w:space="31"/>
          <w:bottom w:val="single" w:color="FFFFFF" w:sz="4" w:space="31"/>
          <w:right w:val="single" w:color="FFFFFF" w:sz="4" w:space="0"/>
        </w:pBdr>
        <w:snapToGrid w:val="0"/>
        <w:spacing w:line="640" w:lineRule="exact"/>
        <w:ind w:firstLine="643"/>
        <w:rPr>
          <w:rFonts w:ascii="仿宋_GB2312" w:eastAsia="仿宋_GB2312"/>
          <w:sz w:val="32"/>
          <w:szCs w:val="32"/>
        </w:rPr>
      </w:pPr>
      <w:r>
        <w:rPr>
          <w:rFonts w:hint="eastAsia" w:ascii="仿宋_GB2312" w:eastAsia="仿宋_GB2312"/>
          <w:sz w:val="32"/>
          <w:szCs w:val="32"/>
        </w:rPr>
        <w:t>（三）</w:t>
      </w:r>
      <w:r>
        <w:rPr>
          <w:rFonts w:hint="eastAsia" w:ascii="仿宋_GB2312" w:hAnsi="楷体" w:eastAsia="仿宋_GB2312"/>
          <w:kern w:val="0"/>
          <w:sz w:val="32"/>
          <w:szCs w:val="32"/>
        </w:rPr>
        <w:t>弘扬榜样力量营造外出发展浓厚氛围</w:t>
      </w:r>
      <w:r>
        <w:rPr>
          <w:rFonts w:ascii="仿宋_GB2312" w:hAnsi="楷体" w:eastAsia="仿宋_GB2312"/>
          <w:kern w:val="0"/>
          <w:sz w:val="32"/>
          <w:szCs w:val="32"/>
        </w:rPr>
        <w:t>。</w:t>
      </w:r>
      <w:r>
        <w:rPr>
          <w:rFonts w:hint="eastAsia" w:ascii="仿宋_GB2312" w:hAnsi="仿宋" w:eastAsia="仿宋_GB2312"/>
          <w:kern w:val="0"/>
          <w:sz w:val="32"/>
          <w:szCs w:val="32"/>
        </w:rPr>
        <w:t>一是开展评优评先活动。为大力实施“走出去”发展战略，鼓励建筑业企业拓展省外境外建筑市场，</w:t>
      </w:r>
      <w:r>
        <w:rPr>
          <w:rFonts w:hint="eastAsia" w:ascii="仿宋_GB2312" w:eastAsia="仿宋_GB2312"/>
          <w:sz w:val="32"/>
          <w:szCs w:val="32"/>
        </w:rPr>
        <w:t xml:space="preserve"> 11月10日，</w:t>
      </w:r>
      <w:r>
        <w:rPr>
          <w:rFonts w:hint="eastAsia" w:ascii="仿宋_GB2312" w:hAnsi="仿宋" w:eastAsia="仿宋_GB2312"/>
          <w:kern w:val="0"/>
          <w:sz w:val="32"/>
          <w:szCs w:val="32"/>
        </w:rPr>
        <w:t>在成都新华宾馆</w:t>
      </w:r>
      <w:r>
        <w:rPr>
          <w:rFonts w:hint="eastAsia" w:ascii="仿宋_GB2312" w:eastAsia="仿宋_GB2312"/>
          <w:sz w:val="32"/>
          <w:szCs w:val="32"/>
        </w:rPr>
        <w:t>召开“全省建筑业企业‘走出去’发展工作会”，会议回顾近年来我省建筑业企业“走出去”发展的成绩和经验，全面分析面临的形势和存在的问题，谋划今后一个时期的工作思路和要求，对大力实施“走出去”发展战略进行再动员、再部署，得到参会领导和企业的高度评价。</w:t>
      </w:r>
    </w:p>
    <w:p>
      <w:pPr>
        <w:pBdr>
          <w:top w:val="single" w:color="FFFFFF" w:sz="4" w:space="0"/>
          <w:left w:val="single" w:color="FFFFFF" w:sz="4" w:space="31"/>
          <w:bottom w:val="single" w:color="FFFFFF" w:sz="4" w:space="31"/>
          <w:right w:val="single" w:color="FFFFFF" w:sz="4" w:space="0"/>
        </w:pBdr>
        <w:snapToGrid w:val="0"/>
        <w:spacing w:line="640" w:lineRule="exact"/>
        <w:ind w:firstLine="643"/>
        <w:rPr>
          <w:rFonts w:hint="eastAsia" w:ascii="仿宋_GB2312" w:hAnsi="仿宋" w:eastAsia="仿宋_GB2312"/>
          <w:sz w:val="32"/>
          <w:szCs w:val="32"/>
          <w:lang w:eastAsia="zh-CN"/>
        </w:rPr>
      </w:pPr>
      <w:r>
        <w:rPr>
          <w:rFonts w:hint="eastAsia" w:ascii="仿宋_GB2312" w:eastAsia="仿宋_GB2312"/>
          <w:sz w:val="32"/>
          <w:szCs w:val="32"/>
        </w:rPr>
        <w:t>（四）</w:t>
      </w:r>
      <w:r>
        <w:rPr>
          <w:rFonts w:hint="eastAsia" w:ascii="仿宋_GB2312" w:hAnsi="楷体" w:eastAsia="仿宋_GB2312"/>
          <w:kern w:val="0"/>
          <w:sz w:val="32"/>
          <w:szCs w:val="32"/>
        </w:rPr>
        <w:t>强化沟通协调畅通企业外出发展渠道。</w:t>
      </w:r>
      <w:r>
        <w:rPr>
          <w:rFonts w:hint="eastAsia" w:ascii="仿宋_GB2312" w:eastAsia="仿宋_GB2312"/>
          <w:sz w:val="32"/>
          <w:szCs w:val="32"/>
        </w:rPr>
        <w:t>各驻外建管处结合机构改革实际，</w:t>
      </w:r>
      <w:r>
        <w:rPr>
          <w:rFonts w:hint="eastAsia" w:ascii="仿宋_GB2312" w:hAnsi="仿宋" w:eastAsia="仿宋_GB2312"/>
          <w:bCs/>
          <w:sz w:val="32"/>
          <w:szCs w:val="32"/>
        </w:rPr>
        <w:t>畅通联系渠道，加强信息互通，提升建筑业合作水平。各驻外办事处主动作为，加强沟通衔接，进一步开创我省企业在外发展的良好局面。</w:t>
      </w:r>
      <w:r>
        <w:rPr>
          <w:rFonts w:hint="eastAsia" w:ascii="仿宋_GB2312" w:eastAsia="仿宋_GB2312"/>
          <w:sz w:val="32"/>
          <w:szCs w:val="32"/>
        </w:rPr>
        <w:t>北京驻外建管处加强与北京市住建委、外施党委、工会等单位工作沟通，积极推荐我省进京建筑施工优秀企业及人员参加评优评奖活动，提升了“川建工”品牌效益。</w:t>
      </w:r>
      <w:r>
        <w:rPr>
          <w:rFonts w:hint="eastAsia" w:ascii="仿宋_GB2312" w:hAnsi="楷体" w:eastAsia="仿宋_GB2312"/>
          <w:bCs/>
          <w:kern w:val="0"/>
          <w:sz w:val="32"/>
          <w:szCs w:val="32"/>
        </w:rPr>
        <w:t>重庆驻外建管处与重庆建设主管部门建立沟通协调机制，做好事中事后的监管协调工作，初步达成两地建筑企业在对方行政管理区域开展生产经营活动中出现违法违规现象时，在对其进行相应行政处罚前，向对方行政主管部门征求意见。</w:t>
      </w:r>
      <w:r>
        <w:rPr>
          <w:rFonts w:hint="eastAsia" w:ascii="仿宋_GB2312" w:hAnsi="仿宋" w:eastAsia="仿宋_GB2312" w:cs="仿宋"/>
          <w:sz w:val="32"/>
          <w:szCs w:val="32"/>
        </w:rPr>
        <w:t>南京驻外建管处与当地建设主管部门积极沟通协调，了解当地市场准入流程和川籍企业总体情况。同时，各驻外建管处通过当地部门提供的川籍企业名单，建立各省川籍企业QQ群，电话联系负责人了解企业相关情况，</w:t>
      </w:r>
      <w:r>
        <w:rPr>
          <w:rFonts w:hint="eastAsia" w:ascii="仿宋_GB2312" w:hAnsi="仿宋" w:eastAsia="仿宋_GB2312"/>
          <w:sz w:val="32"/>
          <w:szCs w:val="32"/>
        </w:rPr>
        <w:t>配合做好四川建设企业市场监管、不良行为记录、拖欠民工工资和违法违纪查处等工作</w:t>
      </w:r>
      <w:bookmarkStart w:id="14" w:name="_Toc15377204"/>
      <w:bookmarkStart w:id="15" w:name="_Toc15396602"/>
      <w:r>
        <w:rPr>
          <w:rFonts w:hint="eastAsia" w:ascii="仿宋_GB2312" w:hAnsi="仿宋" w:eastAsia="仿宋_GB2312"/>
          <w:sz w:val="32"/>
          <w:szCs w:val="32"/>
          <w:lang w:eastAsia="zh-CN"/>
        </w:rPr>
        <w:t>。</w:t>
      </w:r>
    </w:p>
    <w:p>
      <w:pPr>
        <w:pBdr>
          <w:top w:val="single" w:color="FFFFFF" w:sz="4" w:space="0"/>
          <w:left w:val="single" w:color="FFFFFF" w:sz="4" w:space="31"/>
          <w:bottom w:val="single" w:color="FFFFFF" w:sz="4" w:space="31"/>
          <w:right w:val="single" w:color="FFFFFF" w:sz="4" w:space="0"/>
        </w:pBdr>
        <w:snapToGrid w:val="0"/>
        <w:spacing w:line="640" w:lineRule="exact"/>
        <w:ind w:firstLine="643"/>
        <w:rPr>
          <w:rStyle w:val="25"/>
          <w:rFonts w:hint="eastAsia" w:ascii="黑体" w:hAnsi="黑体" w:eastAsia="黑体" w:cs="Times New Roman"/>
          <w:b w:val="0"/>
          <w:color w:val="000000" w:themeColor="text1"/>
          <w:lang w:val="en-US" w:eastAsia="zh-CN" w:bidi="ar-SA"/>
        </w:rPr>
      </w:pPr>
      <w:r>
        <w:rPr>
          <w:rStyle w:val="25"/>
          <w:rFonts w:hint="eastAsia" w:ascii="黑体" w:hAnsi="黑体" w:eastAsia="黑体" w:cs="Times New Roman"/>
          <w:b w:val="0"/>
          <w:color w:val="000000" w:themeColor="text1"/>
          <w:lang w:val="en-US" w:eastAsia="zh-CN" w:bidi="ar-SA"/>
        </w:rPr>
        <w:t>三、机构设置情况</w:t>
      </w:r>
    </w:p>
    <w:p>
      <w:pPr>
        <w:pBdr>
          <w:top w:val="single" w:color="FFFFFF" w:sz="4" w:space="0"/>
          <w:left w:val="single" w:color="FFFFFF" w:sz="4" w:space="31"/>
          <w:bottom w:val="single" w:color="FFFFFF" w:sz="4" w:space="31"/>
          <w:right w:val="single" w:color="FFFFFF" w:sz="4" w:space="0"/>
        </w:pBdr>
        <w:snapToGrid w:val="0"/>
        <w:spacing w:line="640" w:lineRule="exact"/>
        <w:ind w:firstLine="643"/>
        <w:rPr>
          <w:rFonts w:hint="eastAsia" w:hAnsi="仿宋"/>
          <w:sz w:val="32"/>
          <w:szCs w:val="32"/>
          <w:lang w:val="en-US" w:eastAsia="zh-CN"/>
        </w:rPr>
      </w:pPr>
      <w:r>
        <w:rPr>
          <w:rFonts w:hint="eastAsia" w:ascii="仿宋" w:hAnsi="仿宋" w:eastAsia="仿宋" w:cs="仿宋"/>
          <w:sz w:val="32"/>
          <w:szCs w:val="32"/>
        </w:rPr>
        <w:t>四川省住房和城乡建设厅驻外建管处由九个驻外建管处</w:t>
      </w:r>
      <w:r>
        <w:rPr>
          <w:rFonts w:hint="eastAsia" w:ascii="仿宋" w:hAnsi="仿宋" w:eastAsia="仿宋" w:cs="仿宋"/>
          <w:sz w:val="32"/>
          <w:szCs w:val="32"/>
          <w:lang w:eastAsia="zh-CN"/>
        </w:rPr>
        <w:t>组成，分别是四川省住房和城乡建设厅</w:t>
      </w:r>
      <w:r>
        <w:rPr>
          <w:rFonts w:hint="eastAsia" w:ascii="仿宋" w:hAnsi="仿宋" w:eastAsia="仿宋" w:cs="仿宋"/>
          <w:sz w:val="32"/>
          <w:szCs w:val="32"/>
        </w:rPr>
        <w:t>驻上海</w:t>
      </w:r>
      <w:r>
        <w:rPr>
          <w:rFonts w:hint="eastAsia" w:ascii="仿宋" w:hAnsi="仿宋" w:eastAsia="仿宋" w:cs="仿宋"/>
          <w:sz w:val="32"/>
          <w:szCs w:val="32"/>
          <w:lang w:eastAsia="zh-CN"/>
        </w:rPr>
        <w:t>建管处</w:t>
      </w:r>
      <w:r>
        <w:rPr>
          <w:rFonts w:hint="eastAsia" w:ascii="仿宋" w:hAnsi="仿宋" w:eastAsia="仿宋" w:cs="仿宋"/>
          <w:sz w:val="32"/>
          <w:szCs w:val="32"/>
        </w:rPr>
        <w:t>、驻</w:t>
      </w:r>
      <w:r>
        <w:rPr>
          <w:rFonts w:hint="eastAsia" w:ascii="仿宋" w:hAnsi="仿宋" w:eastAsia="仿宋" w:cs="仿宋"/>
          <w:sz w:val="32"/>
          <w:szCs w:val="32"/>
          <w:lang w:eastAsia="zh-CN"/>
        </w:rPr>
        <w:t>重庆建管处、</w:t>
      </w:r>
      <w:r>
        <w:rPr>
          <w:rFonts w:hint="eastAsia" w:ascii="仿宋" w:hAnsi="仿宋" w:eastAsia="仿宋" w:cs="仿宋"/>
          <w:sz w:val="32"/>
          <w:szCs w:val="32"/>
        </w:rPr>
        <w:t>驻</w:t>
      </w:r>
      <w:r>
        <w:rPr>
          <w:rFonts w:hint="eastAsia" w:ascii="仿宋" w:hAnsi="仿宋" w:eastAsia="仿宋" w:cs="仿宋"/>
          <w:sz w:val="32"/>
          <w:szCs w:val="32"/>
          <w:lang w:eastAsia="zh-CN"/>
        </w:rPr>
        <w:t>贵州建管处、</w:t>
      </w:r>
      <w:r>
        <w:rPr>
          <w:rFonts w:hint="eastAsia" w:ascii="仿宋" w:hAnsi="仿宋" w:eastAsia="仿宋" w:cs="仿宋"/>
          <w:sz w:val="32"/>
          <w:szCs w:val="32"/>
        </w:rPr>
        <w:t>驻</w:t>
      </w:r>
      <w:r>
        <w:rPr>
          <w:rFonts w:hint="eastAsia" w:ascii="仿宋" w:hAnsi="仿宋" w:eastAsia="仿宋" w:cs="仿宋"/>
          <w:sz w:val="32"/>
          <w:szCs w:val="32"/>
          <w:lang w:eastAsia="zh-CN"/>
        </w:rPr>
        <w:t>云南建管处、</w:t>
      </w:r>
      <w:r>
        <w:rPr>
          <w:rFonts w:hint="eastAsia" w:ascii="仿宋" w:hAnsi="仿宋" w:eastAsia="仿宋" w:cs="仿宋"/>
          <w:sz w:val="32"/>
          <w:szCs w:val="32"/>
        </w:rPr>
        <w:t>驻</w:t>
      </w:r>
      <w:r>
        <w:rPr>
          <w:rFonts w:hint="eastAsia" w:ascii="仿宋" w:hAnsi="仿宋" w:eastAsia="仿宋" w:cs="仿宋"/>
          <w:sz w:val="32"/>
          <w:szCs w:val="32"/>
          <w:lang w:eastAsia="zh-CN"/>
        </w:rPr>
        <w:t>西藏建管处、</w:t>
      </w:r>
      <w:r>
        <w:rPr>
          <w:rFonts w:hint="eastAsia" w:ascii="仿宋" w:hAnsi="仿宋" w:eastAsia="仿宋" w:cs="仿宋"/>
          <w:sz w:val="32"/>
          <w:szCs w:val="32"/>
        </w:rPr>
        <w:t>驻</w:t>
      </w:r>
      <w:r>
        <w:rPr>
          <w:rFonts w:hint="eastAsia" w:ascii="仿宋" w:hAnsi="仿宋" w:eastAsia="仿宋" w:cs="仿宋"/>
          <w:sz w:val="32"/>
          <w:szCs w:val="32"/>
          <w:lang w:eastAsia="zh-CN"/>
        </w:rPr>
        <w:t>新疆建管处、</w:t>
      </w:r>
      <w:r>
        <w:rPr>
          <w:rFonts w:hint="eastAsia" w:ascii="仿宋" w:hAnsi="仿宋" w:eastAsia="仿宋" w:cs="仿宋"/>
          <w:sz w:val="32"/>
          <w:szCs w:val="32"/>
        </w:rPr>
        <w:t>驻</w:t>
      </w:r>
      <w:r>
        <w:rPr>
          <w:rFonts w:hint="eastAsia" w:ascii="仿宋" w:hAnsi="仿宋" w:eastAsia="仿宋" w:cs="仿宋"/>
          <w:sz w:val="32"/>
          <w:szCs w:val="32"/>
          <w:lang w:eastAsia="zh-CN"/>
        </w:rPr>
        <w:t>陕西建管处、</w:t>
      </w:r>
      <w:r>
        <w:rPr>
          <w:rFonts w:hint="eastAsia" w:ascii="仿宋" w:hAnsi="仿宋" w:eastAsia="仿宋" w:cs="仿宋"/>
          <w:sz w:val="32"/>
          <w:szCs w:val="32"/>
        </w:rPr>
        <w:t>驻</w:t>
      </w:r>
      <w:r>
        <w:rPr>
          <w:rFonts w:hint="eastAsia" w:ascii="仿宋" w:hAnsi="仿宋" w:eastAsia="仿宋" w:cs="仿宋"/>
          <w:sz w:val="32"/>
          <w:szCs w:val="32"/>
          <w:lang w:eastAsia="zh-CN"/>
        </w:rPr>
        <w:t>湖北建管处、</w:t>
      </w:r>
      <w:r>
        <w:rPr>
          <w:rFonts w:hint="eastAsia" w:ascii="仿宋" w:hAnsi="仿宋" w:eastAsia="仿宋" w:cs="仿宋"/>
          <w:sz w:val="32"/>
          <w:szCs w:val="32"/>
        </w:rPr>
        <w:t>驻</w:t>
      </w:r>
      <w:r>
        <w:rPr>
          <w:rFonts w:hint="eastAsia" w:ascii="仿宋" w:hAnsi="仿宋" w:eastAsia="仿宋" w:cs="仿宋"/>
          <w:sz w:val="32"/>
          <w:szCs w:val="32"/>
          <w:lang w:eastAsia="zh-CN"/>
        </w:rPr>
        <w:t>海南建管处。</w:t>
      </w:r>
      <w:r>
        <w:rPr>
          <w:rFonts w:hint="eastAsia" w:hAnsi="仿宋"/>
          <w:sz w:val="32"/>
          <w:szCs w:val="32"/>
          <w:lang w:eastAsia="zh-CN"/>
        </w:rPr>
        <w:t>　</w:t>
      </w:r>
    </w:p>
    <w:p>
      <w:pPr>
        <w:pStyle w:val="2"/>
        <w:rPr>
          <w:rFonts w:hint="eastAsia"/>
          <w:lang w:val="en-US" w:eastAsia="zh-CN"/>
        </w:rPr>
      </w:pPr>
    </w:p>
    <w:p>
      <w:pPr>
        <w:pStyle w:val="2"/>
        <w:rPr>
          <w:rFonts w:hint="eastAsia"/>
          <w:lang w:val="en-US" w:eastAsia="zh-CN"/>
        </w:rPr>
      </w:pPr>
    </w:p>
    <w:p>
      <w:pPr>
        <w:pBdr>
          <w:top w:val="single" w:color="FFFFFF" w:sz="4" w:space="0"/>
          <w:left w:val="single" w:color="FFFFFF" w:sz="4" w:space="31"/>
          <w:bottom w:val="single" w:color="FFFFFF" w:sz="4" w:space="31"/>
          <w:right w:val="single" w:color="FFFFFF" w:sz="4" w:space="0"/>
        </w:pBdr>
        <w:snapToGrid w:val="0"/>
        <w:spacing w:line="640" w:lineRule="exact"/>
        <w:ind w:firstLine="643"/>
        <w:rPr>
          <w:rStyle w:val="24"/>
          <w:rFonts w:ascii="黑体" w:hAnsi="黑体"/>
        </w:rPr>
      </w:pPr>
    </w:p>
    <w:p>
      <w:pPr>
        <w:pStyle w:val="2"/>
        <w:spacing w:before="93"/>
      </w:pPr>
    </w:p>
    <w:p>
      <w:pPr>
        <w:spacing w:line="600" w:lineRule="exact"/>
        <w:jc w:val="both"/>
        <w:rPr>
          <w:rFonts w:ascii="方正小标宋简体" w:eastAsia="方正小标宋简体"/>
          <w:bCs/>
          <w:sz w:val="44"/>
          <w:szCs w:val="44"/>
        </w:rPr>
      </w:pP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第二部分 2020年度部门决算情况说明</w:t>
      </w:r>
      <w:bookmarkEnd w:id="14"/>
      <w:bookmarkEnd w:id="15"/>
    </w:p>
    <w:p>
      <w:pPr>
        <w:spacing w:line="600" w:lineRule="exact"/>
        <w:ind w:firstLine="640" w:firstLineChars="200"/>
        <w:outlineLvl w:val="1"/>
        <w:rPr>
          <w:rStyle w:val="25"/>
          <w:rFonts w:ascii="黑体" w:hAnsi="黑体" w:eastAsia="黑体"/>
          <w:b w:val="0"/>
        </w:rPr>
      </w:pPr>
      <w:bookmarkStart w:id="16" w:name="_Toc15377205"/>
      <w:bookmarkStart w:id="17" w:name="_Toc15396603"/>
      <w:r>
        <w:rPr>
          <w:rFonts w:hint="eastAsia" w:ascii="黑体" w:hAnsi="黑体" w:eastAsia="黑体"/>
          <w:sz w:val="32"/>
          <w:szCs w:val="32"/>
        </w:rPr>
        <w:t>一、收</w:t>
      </w:r>
      <w:r>
        <w:rPr>
          <w:rStyle w:val="25"/>
          <w:rFonts w:hint="eastAsia" w:ascii="黑体" w:hAnsi="黑体" w:eastAsia="黑体"/>
          <w:b w:val="0"/>
        </w:rPr>
        <w:t>入支出决算总体情况说明</w:t>
      </w:r>
      <w:bookmarkEnd w:id="16"/>
      <w:bookmarkEnd w:id="17"/>
    </w:p>
    <w:p>
      <w:pPr>
        <w:ind w:firstLine="704" w:firstLineChars="220"/>
        <w:rPr>
          <w:rFonts w:ascii="仿宋" w:hAnsi="仿宋" w:eastAsia="仿宋"/>
          <w:color w:val="000000"/>
          <w:sz w:val="32"/>
          <w:szCs w:val="32"/>
        </w:rPr>
      </w:pPr>
      <w:r>
        <w:rPr>
          <w:rFonts w:hint="eastAsia" w:ascii="仿宋" w:hAnsi="仿宋" w:eastAsia="仿宋"/>
          <w:sz w:val="32"/>
          <w:szCs w:val="32"/>
        </w:rPr>
        <w:t>2020年度收入497.41万元，与2019年相比，收入减少22.19万元，下降4.2%，主要变动原因是：</w:t>
      </w:r>
      <w:r>
        <w:rPr>
          <w:rFonts w:hint="eastAsia" w:ascii="仿宋" w:hAnsi="仿宋" w:eastAsia="仿宋" w:cs="仿宋"/>
          <w:color w:val="000000"/>
          <w:sz w:val="32"/>
          <w:szCs w:val="32"/>
        </w:rPr>
        <w:t>由于机构改革，驻外建管处部分人员和公用经费指标调整到建筑业发展中心，导致人员经费和日常公用经费减少。</w:t>
      </w:r>
    </w:p>
    <w:p>
      <w:pPr>
        <w:pStyle w:val="23"/>
        <w:spacing w:before="93"/>
        <w:ind w:firstLine="604" w:firstLineChars="189"/>
        <w:rPr>
          <w:rFonts w:ascii="仿宋" w:hAnsi="仿宋" w:eastAsia="仿宋"/>
          <w:color w:val="000000"/>
          <w:sz w:val="32"/>
          <w:szCs w:val="32"/>
        </w:rPr>
      </w:pPr>
      <w:r>
        <w:rPr>
          <w:rFonts w:hint="eastAsia" w:ascii="仿宋" w:hAnsi="仿宋" w:eastAsia="仿宋"/>
          <w:sz w:val="32"/>
          <w:szCs w:val="32"/>
        </w:rPr>
        <w:t>2020年支出总计497.41万元。与2019年相比，支出减少22.89万元，下降4.3%，主要变动原因是：</w:t>
      </w:r>
      <w:r>
        <w:rPr>
          <w:rFonts w:hint="eastAsia" w:ascii="仿宋" w:hAnsi="仿宋" w:eastAsia="仿宋" w:cs="仿宋"/>
          <w:color w:val="000000"/>
          <w:sz w:val="32"/>
          <w:szCs w:val="32"/>
        </w:rPr>
        <w:t>由于机构改革，驻外建管处部分人员和公用经费指标调整到建筑业发展中心，导致人员经费和日常公用经费减少。</w:t>
      </w:r>
    </w:p>
    <w:p>
      <w:pPr>
        <w:ind w:firstLine="704" w:firstLineChars="22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pPr>
      <w:r>
        <w:drawing>
          <wp:inline distT="0" distB="0" distL="0" distR="0">
            <wp:extent cx="5486400" cy="32004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18" w:name="_Toc15377206"/>
      <w:bookmarkStart w:id="19" w:name="_Toc15396604"/>
      <w:r>
        <w:rPr>
          <w:rFonts w:hint="eastAsia" w:ascii="黑体" w:hAnsi="黑体" w:eastAsia="黑体"/>
          <w:sz w:val="32"/>
          <w:szCs w:val="32"/>
        </w:rPr>
        <w:t>收</w:t>
      </w:r>
      <w:r>
        <w:rPr>
          <w:rStyle w:val="25"/>
          <w:rFonts w:hint="eastAsia" w:ascii="黑体" w:hAnsi="黑体" w:eastAsia="黑体"/>
          <w:b w:val="0"/>
        </w:rPr>
        <w:t>入决算情况说明</w:t>
      </w:r>
      <w:bookmarkEnd w:id="18"/>
      <w:bookmarkEnd w:id="1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20年本年收入合计497.41万元，其中：一般公共预算财政拨款收入497.41万元，占100</w:t>
      </w:r>
      <w:r>
        <w:rPr>
          <w:rFonts w:ascii="仿宋" w:hAnsi="仿宋" w:eastAsia="仿宋"/>
          <w:sz w:val="32"/>
          <w:szCs w:val="32"/>
        </w:rPr>
        <w:t>%</w:t>
      </w:r>
      <w:r>
        <w:rPr>
          <w:rFonts w:hint="eastAsia" w:ascii="仿宋" w:hAnsi="仿宋" w:eastAsia="仿宋"/>
          <w:sz w:val="32"/>
          <w:szCs w:val="32"/>
        </w:rPr>
        <w:t>。</w:t>
      </w:r>
    </w:p>
    <w:p>
      <w:pPr>
        <w:spacing w:line="600" w:lineRule="exact"/>
        <w:ind w:firstLine="960" w:firstLineChars="300"/>
        <w:rPr>
          <w:rFonts w:ascii="仿宋" w:hAnsi="仿宋" w:eastAsia="仿宋"/>
          <w:sz w:val="32"/>
          <w:szCs w:val="32"/>
        </w:rPr>
      </w:pPr>
      <w:r>
        <w:rPr>
          <w:rFonts w:hint="eastAsia" w:ascii="仿宋" w:hAnsi="仿宋" w:eastAsia="仿宋"/>
          <w:sz w:val="32"/>
          <w:szCs w:val="32"/>
        </w:rPr>
        <w:t>（图2：收入决算结构图）（饼状图）</w:t>
      </w:r>
    </w:p>
    <w:p>
      <w:pPr>
        <w:pStyle w:val="2"/>
        <w:spacing w:before="93"/>
      </w:pPr>
      <w:r>
        <w:rPr>
          <w:rFonts w:hint="eastAsia"/>
        </w:rPr>
        <w:t xml:space="preserve">   </w:t>
      </w:r>
      <w: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0" w:name="_Toc15377207"/>
      <w:bookmarkStart w:id="21" w:name="_Toc15396605"/>
      <w:r>
        <w:rPr>
          <w:rFonts w:hint="eastAsia" w:ascii="黑体" w:hAnsi="黑体" w:eastAsia="黑体"/>
          <w:sz w:val="32"/>
          <w:szCs w:val="32"/>
        </w:rPr>
        <w:t>支</w:t>
      </w:r>
      <w:r>
        <w:rPr>
          <w:rStyle w:val="25"/>
          <w:rFonts w:hint="eastAsia" w:ascii="黑体" w:hAnsi="黑体" w:eastAsia="黑体"/>
          <w:b w:val="0"/>
        </w:rPr>
        <w:t>出决算情况说明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20年本年支出合计497.41万元，其中：基本支出474.31万元，占95.35</w:t>
      </w:r>
      <w:r>
        <w:rPr>
          <w:rFonts w:ascii="仿宋" w:hAnsi="仿宋" w:eastAsia="仿宋"/>
          <w:sz w:val="32"/>
          <w:szCs w:val="32"/>
        </w:rPr>
        <w:t>%</w:t>
      </w:r>
      <w:r>
        <w:rPr>
          <w:rFonts w:hint="eastAsia" w:ascii="仿宋" w:hAnsi="仿宋" w:eastAsia="仿宋"/>
          <w:sz w:val="32"/>
          <w:szCs w:val="32"/>
        </w:rPr>
        <w:t>；项目支出23.1万元，占4.65</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 xml:space="preserve"> </w:t>
      </w:r>
    </w:p>
    <w:p>
      <w:pPr>
        <w:spacing w:line="600" w:lineRule="exact"/>
        <w:ind w:firstLine="1120" w:firstLineChars="350"/>
        <w:rPr>
          <w:rFonts w:ascii="仿宋" w:hAnsi="仿宋" w:eastAsia="仿宋"/>
          <w:sz w:val="32"/>
          <w:szCs w:val="32"/>
        </w:rPr>
      </w:pPr>
      <w:r>
        <w:rPr>
          <w:rFonts w:hint="eastAsia" w:ascii="仿宋" w:hAnsi="仿宋" w:eastAsia="仿宋"/>
          <w:sz w:val="32"/>
          <w:szCs w:val="32"/>
        </w:rPr>
        <w:t>（图3：支出决算结构图）（饼状图）</w:t>
      </w:r>
    </w:p>
    <w:p>
      <w:pPr>
        <w:pStyle w:val="2"/>
        <w:spacing w:before="93"/>
      </w:pPr>
      <w:r>
        <w:rPr>
          <w:rFonts w:hint="eastAsia"/>
        </w:rPr>
        <w:t xml:space="preserve">     </w:t>
      </w:r>
      <w:r>
        <w:drawing>
          <wp:inline distT="0" distB="0" distL="0" distR="0">
            <wp:extent cx="4848225" cy="2381250"/>
            <wp:effectExtent l="19050" t="0" r="9525"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rPr>
      </w:pPr>
      <w:bookmarkStart w:id="22" w:name="_Toc15377208"/>
      <w:bookmarkStart w:id="23"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2"/>
      <w:bookmarkEnd w:id="23"/>
    </w:p>
    <w:p>
      <w:pPr>
        <w:ind w:firstLine="704" w:firstLineChars="220"/>
        <w:rPr>
          <w:rFonts w:ascii="仿宋" w:hAnsi="仿宋" w:eastAsia="仿宋"/>
          <w:color w:val="000000"/>
          <w:sz w:val="32"/>
          <w:szCs w:val="32"/>
        </w:rPr>
      </w:pPr>
      <w:r>
        <w:rPr>
          <w:rFonts w:hint="eastAsia" w:ascii="仿宋" w:hAnsi="仿宋" w:eastAsia="仿宋"/>
          <w:sz w:val="32"/>
          <w:szCs w:val="32"/>
        </w:rPr>
        <w:t>2020年度收入497.41万元，与2019年相比，收入减少22.19万元，下降4.2%，主要变动原因是：</w:t>
      </w:r>
      <w:r>
        <w:rPr>
          <w:rFonts w:hint="eastAsia" w:ascii="仿宋" w:hAnsi="仿宋" w:eastAsia="仿宋" w:cs="仿宋"/>
          <w:color w:val="000000"/>
          <w:sz w:val="32"/>
          <w:szCs w:val="32"/>
        </w:rPr>
        <w:t>基本支出收入人员经费上年度</w:t>
      </w:r>
      <w:r>
        <w:rPr>
          <w:rFonts w:ascii="仿宋" w:hAnsi="仿宋" w:eastAsia="仿宋" w:cs="仿宋"/>
          <w:color w:val="000000"/>
          <w:sz w:val="32"/>
          <w:szCs w:val="32"/>
        </w:rPr>
        <w:t>4</w:t>
      </w:r>
      <w:r>
        <w:rPr>
          <w:rFonts w:hint="eastAsia" w:ascii="仿宋" w:hAnsi="仿宋" w:eastAsia="仿宋" w:cs="仿宋"/>
          <w:color w:val="000000"/>
          <w:sz w:val="32"/>
          <w:szCs w:val="32"/>
        </w:rPr>
        <w:t>02.68万元，本年</w:t>
      </w:r>
      <w:r>
        <w:rPr>
          <w:rFonts w:ascii="仿宋" w:hAnsi="仿宋" w:eastAsia="仿宋" w:cs="仿宋"/>
          <w:color w:val="000000"/>
          <w:sz w:val="32"/>
          <w:szCs w:val="32"/>
        </w:rPr>
        <w:t>41</w:t>
      </w:r>
      <w:r>
        <w:rPr>
          <w:rFonts w:hint="eastAsia" w:ascii="仿宋" w:hAnsi="仿宋" w:eastAsia="仿宋" w:cs="仿宋"/>
          <w:color w:val="000000"/>
          <w:sz w:val="32"/>
          <w:szCs w:val="32"/>
        </w:rPr>
        <w:t>6.65万元，较上年减少12.96万元，主要为由于机构改革，驻外建管处部分人员和公用经费指标调整到建筑业发展中心，导致人员经费和日常公用经费减少。</w:t>
      </w:r>
    </w:p>
    <w:p>
      <w:pPr>
        <w:pStyle w:val="23"/>
        <w:spacing w:before="93"/>
        <w:ind w:firstLine="604" w:firstLineChars="189"/>
        <w:rPr>
          <w:rFonts w:ascii="仿宋" w:hAnsi="仿宋" w:eastAsia="仿宋"/>
          <w:color w:val="000000"/>
          <w:sz w:val="32"/>
          <w:szCs w:val="32"/>
        </w:rPr>
      </w:pPr>
      <w:r>
        <w:rPr>
          <w:rFonts w:hint="eastAsia" w:ascii="仿宋" w:hAnsi="仿宋" w:eastAsia="仿宋"/>
          <w:sz w:val="32"/>
          <w:szCs w:val="32"/>
        </w:rPr>
        <w:t>2020年支出总计497.41万元。与2019年相比，支出减少22.19万元，下降4.2%，主要变动原因是：</w:t>
      </w:r>
      <w:r>
        <w:rPr>
          <w:rFonts w:hint="eastAsia" w:ascii="仿宋" w:hAnsi="仿宋" w:eastAsia="仿宋" w:cs="仿宋"/>
          <w:color w:val="000000"/>
          <w:sz w:val="32"/>
          <w:szCs w:val="32"/>
        </w:rPr>
        <w:t>由于机构改革，驻外建管处部分人员和公用经费指标调整到建筑业发展中心，导致人员经费和日常公用经费减少。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2"/>
        <w:spacing w:before="93"/>
      </w:pPr>
      <w:r>
        <w:drawing>
          <wp:inline distT="0" distB="0" distL="0" distR="0">
            <wp:extent cx="5274310" cy="1676400"/>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rPr>
      </w:pPr>
      <w:bookmarkStart w:id="24" w:name="_Toc15377209"/>
      <w:bookmarkStart w:id="25" w:name="_Toc15396607"/>
      <w:r>
        <w:rPr>
          <w:rFonts w:hint="eastAsia" w:ascii="黑体" w:hAnsi="黑体" w:eastAsia="黑体"/>
          <w:sz w:val="32"/>
          <w:szCs w:val="32"/>
        </w:rPr>
        <w:t>五、</w:t>
      </w:r>
      <w:r>
        <w:rPr>
          <w:rFonts w:hint="eastAsia" w:ascii="黑体" w:hAnsi="黑体" w:eastAsia="黑体"/>
          <w:b w:val="0"/>
          <w:bCs/>
          <w:sz w:val="32"/>
          <w:szCs w:val="32"/>
        </w:rPr>
        <w:t>一</w:t>
      </w:r>
      <w:r>
        <w:rPr>
          <w:rStyle w:val="25"/>
          <w:rFonts w:hint="eastAsia" w:ascii="黑体" w:hAnsi="黑体" w:eastAsia="黑体"/>
          <w:b w:val="0"/>
          <w:bCs/>
        </w:rPr>
        <w:t>般</w:t>
      </w:r>
      <w:r>
        <w:rPr>
          <w:rStyle w:val="25"/>
          <w:rFonts w:hint="eastAsia" w:ascii="黑体" w:hAnsi="黑体" w:eastAsia="黑体"/>
          <w:b w:val="0"/>
        </w:rPr>
        <w:t>公共预算财政拨款支出决算情况说明</w:t>
      </w:r>
      <w:bookmarkEnd w:id="24"/>
      <w:bookmarkEnd w:id="25"/>
    </w:p>
    <w:p>
      <w:pPr>
        <w:spacing w:line="600" w:lineRule="exact"/>
        <w:ind w:firstLine="642" w:firstLineChars="200"/>
        <w:outlineLvl w:val="2"/>
        <w:rPr>
          <w:rFonts w:ascii="仿宋" w:hAnsi="仿宋" w:eastAsia="仿宋"/>
          <w:b/>
          <w:sz w:val="32"/>
          <w:szCs w:val="32"/>
        </w:rPr>
      </w:pPr>
      <w:bookmarkStart w:id="26" w:name="_Toc15377210"/>
      <w:r>
        <w:rPr>
          <w:rFonts w:hint="eastAsia" w:ascii="仿宋" w:hAnsi="仿宋" w:eastAsia="仿宋"/>
          <w:b/>
          <w:sz w:val="32"/>
          <w:szCs w:val="32"/>
        </w:rPr>
        <w:t>（一）一般公共预算财政拨款支出决算总体情况</w:t>
      </w:r>
      <w:bookmarkEnd w:id="26"/>
    </w:p>
    <w:p>
      <w:pPr>
        <w:ind w:firstLine="704" w:firstLineChars="220"/>
        <w:rPr>
          <w:rFonts w:ascii="仿宋" w:hAnsi="仿宋" w:eastAsia="仿宋"/>
          <w:color w:val="000000"/>
          <w:sz w:val="32"/>
          <w:szCs w:val="32"/>
        </w:rPr>
      </w:pPr>
      <w:r>
        <w:rPr>
          <w:rFonts w:ascii="仿宋" w:hAnsi="仿宋" w:eastAsia="仿宋"/>
          <w:sz w:val="32"/>
          <w:szCs w:val="32"/>
        </w:rPr>
        <w:t>20</w:t>
      </w:r>
      <w:r>
        <w:rPr>
          <w:rFonts w:hint="eastAsia" w:ascii="仿宋" w:hAnsi="仿宋" w:eastAsia="仿宋"/>
          <w:sz w:val="32"/>
          <w:szCs w:val="32"/>
        </w:rPr>
        <w:t>20年一般公共预算财政拨款支出497.41万元，占本年支出合计的100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201</w:t>
      </w:r>
      <w:r>
        <w:rPr>
          <w:rFonts w:hint="eastAsia" w:ascii="仿宋" w:hAnsi="仿宋" w:eastAsia="仿宋"/>
          <w:sz w:val="32"/>
          <w:szCs w:val="32"/>
        </w:rPr>
        <w:t>9年相比，一般公共预算财政拨款减少22.19万元，下降4.2</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s="仿宋"/>
          <w:color w:val="000000"/>
          <w:sz w:val="32"/>
          <w:szCs w:val="32"/>
        </w:rPr>
        <w:t>由于机构改革，驻外建管处部分人员和公用经费指标调整到建筑业发展中心，导致人员经费和日常公用经费减少。</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2"/>
        <w:spacing w:before="93"/>
      </w:pPr>
      <w:r>
        <w:rPr>
          <w:rFonts w:hint="eastAsia"/>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481" w:firstLineChars="150"/>
        <w:outlineLvl w:val="2"/>
        <w:rPr>
          <w:rFonts w:ascii="仿宋" w:hAnsi="仿宋" w:eastAsia="仿宋"/>
          <w:b/>
          <w:sz w:val="32"/>
          <w:szCs w:val="32"/>
        </w:rPr>
      </w:pPr>
      <w:bookmarkStart w:id="27" w:name="_Toc15377211"/>
      <w:r>
        <w:rPr>
          <w:rFonts w:hint="eastAsia" w:ascii="仿宋" w:hAnsi="仿宋" w:eastAsia="仿宋"/>
          <w:b/>
          <w:sz w:val="32"/>
          <w:szCs w:val="32"/>
        </w:rPr>
        <w:t>（二）一般公共预算财政拨款支出决算结构情况</w:t>
      </w:r>
      <w:bookmarkEnd w:id="27"/>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20年一般公共预算财政拨款支出497.41万元，主要用于以下方面</w:t>
      </w:r>
      <w:r>
        <w:rPr>
          <w:rFonts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0.99万元，占0.2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支出57.03万元，占11.47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29.3万元，占5.89</w:t>
      </w:r>
      <w:r>
        <w:rPr>
          <w:rFonts w:ascii="仿宋" w:hAnsi="仿宋" w:eastAsia="仿宋"/>
          <w:sz w:val="32"/>
          <w:szCs w:val="32"/>
        </w:rPr>
        <w:t>%</w:t>
      </w:r>
      <w:r>
        <w:rPr>
          <w:rFonts w:hint="eastAsia" w:ascii="仿宋" w:hAnsi="仿宋" w:eastAsia="仿宋"/>
          <w:sz w:val="32"/>
          <w:szCs w:val="32"/>
        </w:rPr>
        <w:t>；城乡社区支出376.4万元，占75.67</w:t>
      </w:r>
      <w:r>
        <w:rPr>
          <w:rFonts w:ascii="仿宋" w:hAnsi="仿宋" w:eastAsia="仿宋"/>
          <w:sz w:val="32"/>
          <w:szCs w:val="32"/>
        </w:rPr>
        <w:t>%</w:t>
      </w:r>
      <w:r>
        <w:rPr>
          <w:rFonts w:hint="eastAsia" w:ascii="仿宋" w:hAnsi="仿宋" w:eastAsia="仿宋"/>
          <w:sz w:val="32"/>
          <w:szCs w:val="32"/>
        </w:rPr>
        <w:t>；住房保障支出33.69万元，占6.77</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2"/>
        <w:spacing w:before="93"/>
      </w:pPr>
      <w:r>
        <w:rPr>
          <w:rFonts w:hint="eastAsia"/>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2" w:firstLineChars="200"/>
        <w:outlineLvl w:val="2"/>
        <w:rPr>
          <w:rFonts w:ascii="仿宋" w:hAnsi="仿宋" w:eastAsia="仿宋"/>
          <w:b/>
          <w:sz w:val="32"/>
          <w:szCs w:val="32"/>
        </w:rPr>
      </w:pPr>
      <w:bookmarkStart w:id="28" w:name="_Toc15377212"/>
      <w:r>
        <w:rPr>
          <w:rFonts w:hint="eastAsia" w:ascii="仿宋" w:hAnsi="仿宋" w:eastAsia="仿宋"/>
          <w:b/>
          <w:sz w:val="32"/>
          <w:szCs w:val="32"/>
        </w:rPr>
        <w:t>（三）一般公共预算财政拨款支出决算具体情况</w:t>
      </w:r>
      <w:bookmarkEnd w:id="28"/>
    </w:p>
    <w:p>
      <w:pPr>
        <w:spacing w:line="600" w:lineRule="exact"/>
        <w:ind w:firstLine="642" w:firstLineChars="200"/>
        <w:outlineLvl w:val="2"/>
        <w:rPr>
          <w:rFonts w:ascii="仿宋" w:hAnsi="仿宋" w:eastAsia="仿宋"/>
          <w:sz w:val="32"/>
          <w:szCs w:val="32"/>
        </w:rPr>
      </w:pPr>
      <w:bookmarkStart w:id="29" w:name="_Toc15377213"/>
      <w:bookmarkStart w:id="30" w:name="_Toc15378460"/>
      <w:bookmarkStart w:id="31" w:name="_Toc15377444"/>
      <w:r>
        <w:rPr>
          <w:rFonts w:hint="eastAsia" w:ascii="仿宋" w:hAnsi="仿宋" w:eastAsia="仿宋"/>
          <w:b/>
          <w:sz w:val="32"/>
          <w:szCs w:val="32"/>
        </w:rPr>
        <w:t>2020年一般公共预算支出决算数为</w:t>
      </w:r>
      <w:r>
        <w:rPr>
          <w:rFonts w:hint="eastAsia" w:ascii="仿宋" w:hAnsi="仿宋" w:eastAsia="仿宋" w:cs="仿宋"/>
          <w:color w:val="000000"/>
          <w:sz w:val="32"/>
          <w:szCs w:val="32"/>
        </w:rPr>
        <w:t>497.4万元（全部为财政拨款），完成预算93.9</w:t>
      </w:r>
      <w:r>
        <w:rPr>
          <w:rFonts w:ascii="仿宋" w:hAnsi="仿宋" w:eastAsia="仿宋" w:cs="仿宋"/>
          <w:color w:val="000000"/>
          <w:sz w:val="32"/>
          <w:szCs w:val="32"/>
        </w:rPr>
        <w:t>%</w:t>
      </w:r>
      <w:r>
        <w:rPr>
          <w:rStyle w:val="14"/>
          <w:rFonts w:hint="eastAsia" w:ascii="仿宋" w:hAnsi="仿宋" w:eastAsia="仿宋"/>
          <w:bCs/>
          <w:sz w:val="32"/>
          <w:szCs w:val="32"/>
        </w:rPr>
        <w:t>。其中：</w:t>
      </w:r>
      <w:bookmarkEnd w:id="29"/>
      <w:bookmarkEnd w:id="30"/>
      <w:bookmarkEnd w:id="31"/>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1.</w:t>
      </w:r>
      <w:r>
        <w:rPr>
          <w:rStyle w:val="14"/>
          <w:rFonts w:hint="eastAsia" w:ascii="仿宋" w:hAnsi="仿宋" w:eastAsia="仿宋"/>
          <w:bCs/>
          <w:sz w:val="32"/>
          <w:szCs w:val="32"/>
        </w:rPr>
        <w:t>教育支出（类）进修及培训（款）培训支出（项）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支出决算为0.99万元，完成预算15.23</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，决算数小于预算数的主要原因是由于2020年疫情原因，部分培训计划取消导致培训支出减少。</w:t>
      </w:r>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2.</w:t>
      </w:r>
      <w:r>
        <w:rPr>
          <w:rStyle w:val="14"/>
          <w:rFonts w:hint="eastAsia" w:ascii="仿宋" w:hAnsi="仿宋" w:eastAsia="仿宋"/>
          <w:bCs/>
          <w:sz w:val="32"/>
          <w:szCs w:val="32"/>
        </w:rPr>
        <w:t xml:space="preserve"> 社会保障和就业支出（类）行政事业单位养老支出（款）行政单位离退休（项）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支出决算为25.15万元，完成预算100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3.</w:t>
      </w:r>
      <w:r>
        <w:rPr>
          <w:rStyle w:val="14"/>
          <w:rFonts w:hint="eastAsia" w:ascii="仿宋" w:hAnsi="仿宋" w:eastAsia="仿宋"/>
          <w:bCs/>
          <w:sz w:val="32"/>
          <w:szCs w:val="32"/>
        </w:rPr>
        <w:t xml:space="preserve"> 社会保障和就业支出（类）行政事业单位养老支出（款）机关事业单位基本养老保险缴费支出（项）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支出决算为31.88万元，完成预算100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4.</w:t>
      </w:r>
      <w:r>
        <w:rPr>
          <w:rStyle w:val="14"/>
          <w:rFonts w:hint="eastAsia" w:ascii="仿宋" w:hAnsi="仿宋" w:eastAsia="仿宋"/>
          <w:bCs/>
          <w:sz w:val="32"/>
          <w:szCs w:val="32"/>
        </w:rPr>
        <w:t>卫生健康支出（类）行政事业单位医疗（款）行政单位医疗（项）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支出决算为23.41万元，完成预算100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ind w:firstLine="642" w:firstLineChars="200"/>
        <w:rPr>
          <w:rFonts w:eastAsia="仿宋"/>
          <w:b/>
          <w:color w:val="000000"/>
          <w:sz w:val="32"/>
          <w:szCs w:val="32"/>
        </w:rPr>
      </w:pPr>
      <w:r>
        <w:rPr>
          <w:rStyle w:val="14"/>
          <w:rFonts w:ascii="仿宋" w:hAnsi="仿宋" w:eastAsia="仿宋"/>
          <w:bCs/>
          <w:sz w:val="32"/>
          <w:szCs w:val="32"/>
        </w:rPr>
        <w:t>5.</w:t>
      </w:r>
      <w:r>
        <w:rPr>
          <w:rStyle w:val="14"/>
          <w:rFonts w:hint="eastAsia" w:ascii="仿宋" w:hAnsi="仿宋" w:eastAsia="仿宋"/>
          <w:bCs/>
          <w:sz w:val="32"/>
          <w:szCs w:val="32"/>
        </w:rPr>
        <w:t xml:space="preserve"> 卫生健康支出（类）行政事业单位医疗（款）公务员医疗补助（项）</w:t>
      </w:r>
      <w:r>
        <w:rPr>
          <w:rStyle w:val="14"/>
          <w:rFonts w:ascii="仿宋" w:hAnsi="仿宋" w:eastAsia="仿宋"/>
          <w:bCs/>
          <w:sz w:val="32"/>
          <w:szCs w:val="32"/>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支出决算为5.89万元，完成预算97.03</w:t>
      </w:r>
      <w:r>
        <w:rPr>
          <w:rStyle w:val="14"/>
          <w:rFonts w:ascii="仿宋" w:hAnsi="仿宋" w:eastAsia="仿宋"/>
          <w:b w:val="0"/>
          <w:bCs/>
          <w:sz w:val="32"/>
          <w:szCs w:val="32"/>
        </w:rPr>
        <w:t>%</w:t>
      </w:r>
      <w:r>
        <w:rPr>
          <w:rStyle w:val="14"/>
          <w:rFonts w:hint="eastAsia" w:ascii="仿宋" w:hAnsi="仿宋" w:eastAsia="仿宋"/>
          <w:b w:val="0"/>
          <w:bCs/>
          <w:sz w:val="32"/>
          <w:szCs w:val="32"/>
        </w:rPr>
        <w:t>，</w:t>
      </w:r>
      <w:r>
        <w:rPr>
          <w:rStyle w:val="14"/>
          <w:rFonts w:eastAsia="仿宋"/>
          <w:b w:val="0"/>
          <w:bCs/>
          <w:color w:val="000000"/>
          <w:sz w:val="32"/>
          <w:szCs w:val="32"/>
        </w:rPr>
        <w:t>决算数与预算数基本持平。</w:t>
      </w:r>
    </w:p>
    <w:p>
      <w:pPr>
        <w:spacing w:line="600" w:lineRule="exact"/>
        <w:ind w:firstLine="642" w:firstLineChars="200"/>
        <w:rPr>
          <w:rFonts w:ascii="仿宋" w:hAnsi="仿宋" w:eastAsia="仿宋"/>
          <w:b/>
          <w:sz w:val="32"/>
          <w:szCs w:val="32"/>
        </w:rPr>
      </w:pPr>
      <w:r>
        <w:rPr>
          <w:rStyle w:val="14"/>
          <w:rFonts w:ascii="仿宋" w:hAnsi="仿宋" w:eastAsia="仿宋"/>
          <w:bCs/>
          <w:sz w:val="32"/>
          <w:szCs w:val="32"/>
        </w:rPr>
        <w:t>6.</w:t>
      </w:r>
      <w:r>
        <w:rPr>
          <w:rFonts w:hint="eastAsia" w:ascii="仿宋" w:hAnsi="仿宋" w:eastAsia="仿宋"/>
          <w:b/>
          <w:bCs/>
          <w:sz w:val="32"/>
          <w:szCs w:val="32"/>
        </w:rPr>
        <w:t>城乡社区支出</w:t>
      </w:r>
      <w:r>
        <w:rPr>
          <w:rStyle w:val="14"/>
          <w:rFonts w:hint="eastAsia" w:ascii="仿宋" w:hAnsi="仿宋" w:eastAsia="仿宋"/>
          <w:bCs/>
          <w:sz w:val="32"/>
          <w:szCs w:val="32"/>
        </w:rPr>
        <w:t>（类）城乡社区管理事务（款）行政运行（项）</w:t>
      </w:r>
      <w:r>
        <w:rPr>
          <w:rStyle w:val="14"/>
          <w:rFonts w:ascii="仿宋" w:hAnsi="仿宋" w:eastAsia="仿宋"/>
          <w:bCs/>
          <w:sz w:val="32"/>
          <w:szCs w:val="32"/>
        </w:rPr>
        <w:t>:</w:t>
      </w:r>
      <w:r>
        <w:rPr>
          <w:rStyle w:val="14"/>
          <w:rFonts w:hint="eastAsia" w:ascii="仿宋" w:hAnsi="仿宋" w:eastAsia="仿宋"/>
          <w:b w:val="0"/>
          <w:bCs/>
          <w:sz w:val="32"/>
          <w:szCs w:val="32"/>
        </w:rPr>
        <w:t>支出决算为353.3万元，完成预算98.5</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，决算数小于预算数的主要原因是疫情原因，差旅费、会议费、培训费、公务接待费等费用支出减少。</w:t>
      </w:r>
    </w:p>
    <w:p>
      <w:pPr>
        <w:spacing w:line="600" w:lineRule="exact"/>
        <w:ind w:firstLine="642" w:firstLineChars="200"/>
        <w:rPr>
          <w:rFonts w:eastAsia="仿宋"/>
          <w:sz w:val="32"/>
          <w:szCs w:val="32"/>
        </w:rPr>
      </w:pPr>
      <w:r>
        <w:rPr>
          <w:rStyle w:val="14"/>
          <w:rFonts w:hint="eastAsia" w:ascii="仿宋" w:hAnsi="仿宋" w:eastAsia="仿宋"/>
          <w:bCs/>
          <w:sz w:val="32"/>
          <w:szCs w:val="32"/>
        </w:rPr>
        <w:t>7</w:t>
      </w:r>
      <w:r>
        <w:rPr>
          <w:rStyle w:val="14"/>
          <w:rFonts w:ascii="仿宋" w:hAnsi="仿宋" w:eastAsia="仿宋"/>
          <w:bCs/>
          <w:sz w:val="32"/>
          <w:szCs w:val="32"/>
        </w:rPr>
        <w:t>.</w:t>
      </w:r>
      <w:r>
        <w:rPr>
          <w:rFonts w:hint="eastAsia" w:ascii="仿宋" w:hAnsi="仿宋" w:eastAsia="仿宋"/>
          <w:b/>
          <w:bCs/>
          <w:sz w:val="32"/>
          <w:szCs w:val="32"/>
        </w:rPr>
        <w:t>城乡社区支出</w:t>
      </w:r>
      <w:r>
        <w:rPr>
          <w:rStyle w:val="14"/>
          <w:rFonts w:hint="eastAsia" w:ascii="仿宋" w:hAnsi="仿宋" w:eastAsia="仿宋"/>
          <w:bCs/>
          <w:sz w:val="32"/>
          <w:szCs w:val="32"/>
        </w:rPr>
        <w:t>（类）城乡社区管理事务（款）一般行政管理事务（项）</w:t>
      </w:r>
      <w:r>
        <w:rPr>
          <w:rStyle w:val="14"/>
          <w:rFonts w:ascii="仿宋" w:hAnsi="仿宋" w:eastAsia="仿宋"/>
          <w:bCs/>
          <w:sz w:val="32"/>
          <w:szCs w:val="32"/>
        </w:rPr>
        <w:t>:</w:t>
      </w:r>
      <w:r>
        <w:rPr>
          <w:rStyle w:val="14"/>
          <w:rFonts w:hint="eastAsia" w:ascii="仿宋" w:hAnsi="仿宋" w:eastAsia="仿宋"/>
          <w:b w:val="0"/>
          <w:bCs/>
          <w:sz w:val="32"/>
          <w:szCs w:val="32"/>
        </w:rPr>
        <w:t>支出决算为23.1万元，完成预算52.16</w:t>
      </w:r>
      <w:r>
        <w:rPr>
          <w:rStyle w:val="14"/>
          <w:rFonts w:ascii="仿宋" w:hAnsi="仿宋" w:eastAsia="仿宋"/>
          <w:b w:val="0"/>
          <w:bCs/>
          <w:sz w:val="32"/>
          <w:szCs w:val="32"/>
        </w:rPr>
        <w:t>%</w:t>
      </w:r>
      <w:r>
        <w:rPr>
          <w:rStyle w:val="14"/>
          <w:rFonts w:hint="eastAsia" w:ascii="仿宋" w:hAnsi="仿宋" w:eastAsia="仿宋"/>
          <w:b w:val="0"/>
          <w:bCs/>
          <w:sz w:val="32"/>
          <w:szCs w:val="32"/>
        </w:rPr>
        <w:t>，决算数小于预算数的主要原因是根据信创工程采购实施部署，我</w:t>
      </w:r>
      <w:r>
        <w:rPr>
          <w:rFonts w:hint="eastAsia" w:eastAsia="仿宋"/>
          <w:sz w:val="32"/>
          <w:szCs w:val="32"/>
        </w:rPr>
        <w:t>单位2020年信创工程未实施采购，需结转至2021年继续实施</w:t>
      </w:r>
      <w:r>
        <w:rPr>
          <w:rFonts w:eastAsia="仿宋"/>
          <w:sz w:val="32"/>
          <w:szCs w:val="32"/>
        </w:rPr>
        <w:t>。</w:t>
      </w:r>
    </w:p>
    <w:p>
      <w:pPr>
        <w:spacing w:line="600" w:lineRule="exact"/>
        <w:ind w:firstLine="420" w:firstLineChars="200"/>
        <w:rPr>
          <w:rStyle w:val="14"/>
          <w:bCs/>
        </w:rPr>
      </w:pPr>
      <w:r>
        <w:rPr>
          <w:rFonts w:hint="eastAsia"/>
        </w:rPr>
        <w:t xml:space="preserve"> </w:t>
      </w:r>
      <w:r>
        <w:rPr>
          <w:rStyle w:val="14"/>
          <w:rFonts w:hint="eastAsia" w:ascii="仿宋" w:hAnsi="仿宋" w:eastAsia="仿宋"/>
          <w:bCs/>
          <w:sz w:val="32"/>
          <w:szCs w:val="32"/>
        </w:rPr>
        <w:t xml:space="preserve"> 8.住房保障支出（类）住房改革支出（款）住房公积金（项）：</w:t>
      </w:r>
      <w:r>
        <w:rPr>
          <w:rStyle w:val="14"/>
          <w:rFonts w:hint="eastAsia" w:ascii="仿宋" w:hAnsi="仿宋" w:eastAsia="仿宋"/>
          <w:b w:val="0"/>
          <w:bCs/>
          <w:sz w:val="32"/>
          <w:szCs w:val="32"/>
        </w:rPr>
        <w:t>支出决算数33.69万元，完成预算100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，决算数等于预算数。</w:t>
      </w:r>
    </w:p>
    <w:p>
      <w:pPr>
        <w:tabs>
          <w:tab w:val="right" w:pos="8306"/>
        </w:tabs>
        <w:spacing w:line="600" w:lineRule="exact"/>
        <w:ind w:firstLine="640" w:firstLineChars="200"/>
        <w:outlineLvl w:val="1"/>
        <w:rPr>
          <w:rStyle w:val="25"/>
        </w:rPr>
      </w:pPr>
      <w:bookmarkStart w:id="32" w:name="_Toc15377214"/>
      <w:bookmarkStart w:id="33"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2"/>
      <w:bookmarkEnd w:id="33"/>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20年一般公共预算财政拨款基本支出474.33万元，其中：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377.93万元，主要包括：基本工资、津贴补贴、奖金、机关事业单位基本养老保险缴费、职工基本医疗保险缴费、公务员医疗补助缴费、住房公积金、其他工资福利支出、奖励金、其他对个人和家庭的补助支出等。</w:t>
      </w:r>
      <w:r>
        <w:rPr>
          <w:rFonts w:ascii="仿宋" w:hAnsi="仿宋" w:eastAsia="仿宋"/>
          <w:sz w:val="32"/>
          <w:szCs w:val="32"/>
        </w:rPr>
        <w:br w:type="textWrapping"/>
      </w:r>
      <w:r>
        <w:rPr>
          <w:rFonts w:hint="eastAsia" w:ascii="仿宋" w:hAnsi="仿宋" w:eastAsia="仿宋"/>
          <w:sz w:val="32"/>
          <w:szCs w:val="32"/>
        </w:rPr>
        <w:t>　　公用经费71.63万元，主要包括：办公费、电费、邮电费、取暖费、物业管理费、差旅费、维修（护）费、租赁费、培训费、劳务费、委托业务费、工会经费、福利费、其他交通费、其他商品和服务支出。</w:t>
      </w:r>
    </w:p>
    <w:p>
      <w:pPr>
        <w:spacing w:line="600" w:lineRule="exact"/>
        <w:ind w:firstLine="640"/>
        <w:outlineLvl w:val="1"/>
        <w:rPr>
          <w:rStyle w:val="25"/>
          <w:rFonts w:ascii="黑体" w:hAnsi="黑体" w:eastAsia="黑体"/>
          <w:b w:val="0"/>
        </w:rPr>
      </w:pPr>
      <w:bookmarkStart w:id="34" w:name="_Toc15396609"/>
      <w:bookmarkStart w:id="35" w:name="_Toc15377215"/>
      <w:r>
        <w:rPr>
          <w:rFonts w:hint="eastAsia" w:ascii="黑体" w:eastAsia="黑体"/>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34"/>
      <w:bookmarkEnd w:id="35"/>
    </w:p>
    <w:p>
      <w:pPr>
        <w:spacing w:line="600" w:lineRule="exact"/>
        <w:ind w:firstLine="640"/>
        <w:outlineLvl w:val="2"/>
        <w:rPr>
          <w:rFonts w:ascii="仿宋" w:hAnsi="仿宋" w:eastAsia="仿宋"/>
          <w:b/>
          <w:sz w:val="32"/>
          <w:szCs w:val="32"/>
        </w:rPr>
      </w:pPr>
      <w:bookmarkStart w:id="36" w:name="_Toc15377216"/>
      <w:r>
        <w:rPr>
          <w:rFonts w:hint="eastAsia" w:ascii="仿宋" w:hAnsi="仿宋" w:eastAsia="仿宋"/>
          <w:b/>
          <w:sz w:val="32"/>
          <w:szCs w:val="32"/>
        </w:rPr>
        <w:t>（一）“三公”经费财政拨款支出决算总体情况说明</w:t>
      </w:r>
      <w:bookmarkEnd w:id="36"/>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20年“三公”经费财政拨款支出决算为0万元，完成预算0</w:t>
      </w:r>
      <w:r>
        <w:rPr>
          <w:rFonts w:ascii="仿宋" w:hAnsi="仿宋" w:eastAsia="仿宋"/>
          <w:sz w:val="32"/>
          <w:szCs w:val="32"/>
        </w:rPr>
        <w:t>%</w:t>
      </w:r>
      <w:r>
        <w:rPr>
          <w:rFonts w:hint="eastAsia" w:ascii="仿宋" w:hAnsi="仿宋" w:eastAsia="仿宋"/>
          <w:sz w:val="32"/>
          <w:szCs w:val="32"/>
        </w:rPr>
        <w:t>，决算数小于预算数的主要原因是2020年未开展公务接待活动。</w:t>
      </w:r>
    </w:p>
    <w:p>
      <w:pPr>
        <w:spacing w:line="600" w:lineRule="exact"/>
        <w:ind w:firstLine="640"/>
        <w:outlineLvl w:val="2"/>
        <w:rPr>
          <w:rFonts w:ascii="仿宋" w:hAnsi="仿宋" w:eastAsia="仿宋"/>
          <w:b/>
          <w:sz w:val="32"/>
          <w:szCs w:val="32"/>
        </w:rPr>
      </w:pPr>
      <w:bookmarkStart w:id="37" w:name="_Toc15377217"/>
      <w:r>
        <w:rPr>
          <w:rFonts w:hint="eastAsia" w:ascii="仿宋" w:hAnsi="仿宋" w:eastAsia="仿宋"/>
          <w:b/>
          <w:sz w:val="32"/>
          <w:szCs w:val="32"/>
        </w:rPr>
        <w:t>（二）“三公”经费财政拨款支出决算具体情况说明</w:t>
      </w:r>
      <w:bookmarkEnd w:id="3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20年“三公”经费财政拨款支出决算中，因公出国（境）费支出决算0万元，占0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201</w:t>
      </w:r>
      <w:r>
        <w:rPr>
          <w:rFonts w:hint="eastAsia" w:ascii="仿宋_GB2312" w:eastAsia="仿宋_GB2312"/>
          <w:sz w:val="32"/>
          <w:szCs w:val="32"/>
        </w:rPr>
        <w:t>9年持平。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公务用车购置及运行维护费支出决算与</w:t>
      </w:r>
      <w:r>
        <w:rPr>
          <w:rFonts w:ascii="仿宋_GB2312" w:eastAsia="仿宋_GB2312"/>
          <w:sz w:val="32"/>
          <w:szCs w:val="32"/>
        </w:rPr>
        <w:t>201</w:t>
      </w:r>
      <w:r>
        <w:rPr>
          <w:rFonts w:hint="eastAsia" w:ascii="仿宋_GB2312" w:eastAsia="仿宋_GB2312"/>
          <w:sz w:val="32"/>
          <w:szCs w:val="32"/>
        </w:rPr>
        <w:t>9年持平。</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 w:hAnsi="仿宋" w:eastAsia="仿宋" w:cs="仿宋"/>
          <w:color w:val="000000"/>
          <w:sz w:val="32"/>
          <w:szCs w:val="32"/>
          <w:shd w:val="clear" w:color="auto" w:fill="FFFFFF"/>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201</w:t>
      </w:r>
      <w:r>
        <w:rPr>
          <w:rFonts w:hint="eastAsia" w:ascii="仿宋_GB2312" w:eastAsia="仿宋_GB2312"/>
          <w:sz w:val="32"/>
          <w:szCs w:val="32"/>
        </w:rPr>
        <w:t>9年减少0.3万元，下降100</w:t>
      </w:r>
      <w:r>
        <w:rPr>
          <w:rFonts w:ascii="仿宋_GB2312" w:eastAsia="仿宋_GB2312"/>
          <w:sz w:val="32"/>
          <w:szCs w:val="32"/>
        </w:rPr>
        <w:t>%</w:t>
      </w:r>
      <w:r>
        <w:rPr>
          <w:rFonts w:hint="eastAsia" w:ascii="仿宋_GB2312" w:eastAsia="仿宋_GB2312"/>
          <w:sz w:val="32"/>
          <w:szCs w:val="32"/>
        </w:rPr>
        <w:t>。主要原因是</w:t>
      </w:r>
      <w:r>
        <w:rPr>
          <w:rFonts w:ascii="仿宋" w:hAnsi="仿宋" w:eastAsia="仿宋" w:cs="仿宋"/>
          <w:color w:val="000000"/>
          <w:sz w:val="32"/>
          <w:szCs w:val="32"/>
          <w:shd w:val="clear" w:color="auto" w:fill="FFFFFF"/>
        </w:rPr>
        <w:t>受2020年疫情影响，我单位无公务接待费支出。</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 w:hAnsi="仿宋" w:eastAsia="仿宋"/>
          <w:b/>
          <w:sz w:val="32"/>
          <w:szCs w:val="32"/>
        </w:rPr>
        <w:t>国内公务接待支出</w:t>
      </w:r>
      <w:r>
        <w:rPr>
          <w:rFonts w:hint="eastAsia" w:ascii="仿宋" w:hAnsi="仿宋" w:eastAsia="仿宋"/>
          <w:sz w:val="32"/>
          <w:szCs w:val="32"/>
        </w:rPr>
        <w:t>0</w:t>
      </w:r>
      <w:r>
        <w:rPr>
          <w:rFonts w:hint="eastAsia" w:ascii="仿宋_GB2312" w:eastAsia="仿宋_GB2312"/>
          <w:sz w:val="32"/>
          <w:szCs w:val="32"/>
        </w:rPr>
        <w:t>万元。</w:t>
      </w: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bookmarkStart w:id="38" w:name="_Toc15396610"/>
      <w:bookmarkStart w:id="39" w:name="_Toc15377218"/>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38"/>
      <w:bookmarkEnd w:id="3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20年政府性基金预算财政拨款支出0万元。</w:t>
      </w:r>
    </w:p>
    <w:p>
      <w:pPr>
        <w:numPr>
          <w:ilvl w:val="0"/>
          <w:numId w:val="2"/>
        </w:numPr>
        <w:spacing w:line="600" w:lineRule="exact"/>
        <w:ind w:firstLine="640"/>
        <w:outlineLvl w:val="1"/>
        <w:rPr>
          <w:rStyle w:val="25"/>
          <w:rFonts w:ascii="黑体" w:hAnsi="黑体" w:eastAsia="黑体"/>
          <w:b w:val="0"/>
        </w:rPr>
      </w:pPr>
      <w:bookmarkStart w:id="40" w:name="_Toc15396611"/>
      <w:bookmarkStart w:id="41" w:name="_Toc15377219"/>
      <w:r>
        <w:rPr>
          <w:rStyle w:val="25"/>
          <w:rFonts w:hint="eastAsia" w:ascii="黑体" w:hAnsi="黑体" w:eastAsia="黑体"/>
          <w:b w:val="0"/>
        </w:rPr>
        <w:t>国有资本经营预算支出决算情况说明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20年国有资本经营预算财政拨款支出0万元。</w:t>
      </w:r>
    </w:p>
    <w:p>
      <w:pPr>
        <w:numPr>
          <w:ilvl w:val="0"/>
          <w:numId w:val="2"/>
        </w:numPr>
        <w:spacing w:line="600" w:lineRule="exact"/>
        <w:ind w:firstLine="640"/>
        <w:outlineLvl w:val="1"/>
        <w:rPr>
          <w:rStyle w:val="25"/>
          <w:rFonts w:ascii="黑体" w:hAnsi="黑体" w:eastAsia="黑体"/>
          <w:b w:val="0"/>
        </w:rPr>
      </w:pPr>
      <w:bookmarkStart w:id="42" w:name="_Toc15377221"/>
      <w:bookmarkStart w:id="43" w:name="_Toc15396612"/>
      <w:r>
        <w:rPr>
          <w:rStyle w:val="25"/>
          <w:rFonts w:hint="eastAsia" w:ascii="黑体" w:hAnsi="黑体" w:eastAsia="黑体"/>
          <w:b w:val="0"/>
        </w:rPr>
        <w:t>其他重要事项的情况说明</w:t>
      </w:r>
      <w:bookmarkEnd w:id="42"/>
      <w:bookmarkEnd w:id="43"/>
    </w:p>
    <w:p>
      <w:pPr>
        <w:spacing w:line="600" w:lineRule="exact"/>
        <w:ind w:firstLine="642" w:firstLineChars="200"/>
        <w:outlineLvl w:val="2"/>
        <w:rPr>
          <w:rFonts w:ascii="仿宋" w:hAnsi="仿宋" w:eastAsia="仿宋"/>
          <w:sz w:val="32"/>
          <w:szCs w:val="32"/>
        </w:rPr>
      </w:pPr>
      <w:bookmarkStart w:id="44" w:name="_Toc15377222"/>
      <w:r>
        <w:rPr>
          <w:rFonts w:hint="eastAsia" w:ascii="仿宋" w:hAnsi="仿宋" w:eastAsia="仿宋"/>
          <w:b/>
          <w:sz w:val="32"/>
          <w:szCs w:val="32"/>
        </w:rPr>
        <w:t>（一）机关运行经费支出情况</w:t>
      </w:r>
      <w:bookmarkEnd w:id="44"/>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20年，机关运行经费支出71.63万元，比</w:t>
      </w:r>
      <w:r>
        <w:rPr>
          <w:rFonts w:ascii="仿宋_GB2312" w:eastAsia="仿宋_GB2312"/>
          <w:sz w:val="32"/>
          <w:szCs w:val="32"/>
        </w:rPr>
        <w:t>201</w:t>
      </w:r>
      <w:r>
        <w:rPr>
          <w:rFonts w:hint="eastAsia" w:ascii="仿宋_GB2312" w:eastAsia="仿宋_GB2312"/>
          <w:sz w:val="32"/>
          <w:szCs w:val="32"/>
        </w:rPr>
        <w:t>9年减少9.67万元，下降11.89</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5" w:name="_Toc15377223"/>
      <w:r>
        <w:rPr>
          <w:rFonts w:hint="eastAsia" w:ascii="仿宋" w:hAnsi="仿宋" w:eastAsia="仿宋"/>
          <w:b/>
          <w:sz w:val="32"/>
          <w:szCs w:val="32"/>
        </w:rPr>
        <w:t>（二）政府采购支出情况</w:t>
      </w:r>
      <w:bookmarkEnd w:id="45"/>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20年，政府采购支出总额0万元，其中：政府采购货物支出0万元、政府采购工程支出0万元、政府采购服务支出0万元。授予中小企业合同金额0万元，占政府采购支出总额的0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6" w:name="_Toc15377224"/>
      <w:r>
        <w:rPr>
          <w:rFonts w:hint="eastAsia" w:ascii="仿宋" w:hAnsi="仿宋" w:eastAsia="仿宋"/>
          <w:b/>
          <w:sz w:val="32"/>
          <w:szCs w:val="32"/>
        </w:rPr>
        <w:t>（三）国有资产占有使用情况</w:t>
      </w:r>
      <w:bookmarkEnd w:id="46"/>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20年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日，四川省住建厅驻外建管处共有车辆0辆，其中：主要领导干部用车0辆、机要通信用车0辆、应急保障用车0辆、其他用车0辆。单价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本单位无专项预算项目，因此未组织开展项目支出绩效评价。</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47" w:name="_Toc15377225"/>
      <w:bookmarkStart w:id="48"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47"/>
      <w:bookmarkEnd w:id="48"/>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2</w:t>
      </w:r>
      <w:r>
        <w:rPr>
          <w:rFonts w:ascii="仿宋_GB2312" w:hAnsi="Calibri" w:eastAsia="仿宋_GB2312" w:cs="仿宋"/>
          <w:color w:val="000000"/>
          <w:kern w:val="0"/>
          <w:sz w:val="32"/>
          <w:szCs w:val="32"/>
        </w:rPr>
        <w:t>.教育支出（类）进修及培训（款）培训支出（项）：指用于职工培训的支出。</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3.</w:t>
      </w:r>
      <w:r>
        <w:rPr>
          <w:rFonts w:ascii="仿宋_GB2312" w:hAnsi="Calibri" w:eastAsia="仿宋_GB2312" w:cs="仿宋"/>
          <w:color w:val="000000"/>
          <w:kern w:val="0"/>
          <w:sz w:val="32"/>
          <w:szCs w:val="32"/>
        </w:rPr>
        <w:t xml:space="preserve"> 社会保障和就业支出（类）行政事业单位养老支出（款）</w:t>
      </w:r>
      <w:r>
        <w:rPr>
          <w:rFonts w:hint="eastAsia" w:ascii="仿宋_GB2312" w:hAnsi="Calibri" w:eastAsia="仿宋_GB2312" w:cs="仿宋"/>
          <w:color w:val="000000"/>
          <w:kern w:val="0"/>
          <w:sz w:val="32"/>
          <w:szCs w:val="32"/>
        </w:rPr>
        <w:t>行政单位离退休（项）</w:t>
      </w:r>
      <w:r>
        <w:rPr>
          <w:rFonts w:ascii="仿宋_GB2312" w:hAnsi="Calibri" w:eastAsia="仿宋_GB2312" w:cs="仿宋"/>
          <w:color w:val="000000"/>
          <w:kern w:val="0"/>
          <w:sz w:val="32"/>
          <w:szCs w:val="32"/>
        </w:rPr>
        <w:t>：</w:t>
      </w:r>
      <w:r>
        <w:rPr>
          <w:rFonts w:hint="eastAsia" w:ascii="仿宋_GB2312" w:hAnsi="Calibri" w:eastAsia="仿宋_GB2312" w:cs="仿宋"/>
          <w:color w:val="000000"/>
          <w:kern w:val="0"/>
          <w:sz w:val="32"/>
          <w:szCs w:val="32"/>
        </w:rPr>
        <w:t>指行政单位（包括实行公务员管理的事业单位）开支的离退休经费。</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4.</w:t>
      </w:r>
      <w:r>
        <w:rPr>
          <w:rFonts w:ascii="仿宋_GB2312" w:hAnsi="Calibri" w:eastAsia="仿宋_GB2312" w:cs="仿宋"/>
          <w:color w:val="000000"/>
          <w:kern w:val="0"/>
          <w:sz w:val="32"/>
          <w:szCs w:val="32"/>
        </w:rPr>
        <w:t>社会保障和就业支出（类）行政事业单位养老支出（款）机关事业单位基本养老保险缴费支出（项）</w:t>
      </w:r>
      <w:r>
        <w:rPr>
          <w:rFonts w:hint="eastAsia" w:ascii="仿宋_GB2312" w:hAnsi="Calibri" w:eastAsia="仿宋_GB2312" w:cs="仿宋"/>
          <w:color w:val="000000"/>
          <w:kern w:val="0"/>
          <w:sz w:val="32"/>
          <w:szCs w:val="32"/>
        </w:rPr>
        <w:t>：</w:t>
      </w:r>
      <w:r>
        <w:rPr>
          <w:rFonts w:ascii="仿宋_GB2312" w:hAnsi="Calibri" w:eastAsia="仿宋_GB2312" w:cs="仿宋"/>
          <w:color w:val="000000"/>
          <w:kern w:val="0"/>
          <w:sz w:val="32"/>
          <w:szCs w:val="32"/>
        </w:rPr>
        <w:t>指机关事业单位实施养老保险制度由单位缴纳的基本养老保险费支出。</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5.</w:t>
      </w:r>
      <w:r>
        <w:rPr>
          <w:rFonts w:ascii="仿宋_GB2312" w:hAnsi="Calibri" w:eastAsia="仿宋_GB2312" w:cs="仿宋"/>
          <w:color w:val="000000"/>
          <w:kern w:val="0"/>
          <w:sz w:val="32"/>
          <w:szCs w:val="32"/>
        </w:rPr>
        <w:t>卫生健康支出（类）行政事业单位医疗（款）行政单位医疗（项）：指由单位缴纳的基本医疗保险缴费支出。</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6.</w:t>
      </w:r>
      <w:r>
        <w:rPr>
          <w:rFonts w:ascii="仿宋_GB2312" w:hAnsi="Calibri" w:eastAsia="仿宋_GB2312" w:cs="仿宋"/>
          <w:color w:val="000000"/>
          <w:kern w:val="0"/>
          <w:sz w:val="32"/>
          <w:szCs w:val="32"/>
        </w:rPr>
        <w:t>卫生健康支出（类）行政事业单位医疗（款）公务员医疗补助（项）：指由单位缴纳的公务员医疗补助缴费支出。</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7.</w:t>
      </w:r>
      <w:r>
        <w:rPr>
          <w:rFonts w:ascii="仿宋_GB2312" w:hAnsi="Calibri" w:eastAsia="仿宋_GB2312" w:cs="仿宋"/>
          <w:color w:val="000000"/>
          <w:kern w:val="0"/>
          <w:sz w:val="32"/>
          <w:szCs w:val="32"/>
        </w:rPr>
        <w:t>城乡社区支出（类）城乡社区管理事务（款）行政运行（项）: 指行政单位（包括实行公务员管理的事业单位）的基本支出。</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8.</w:t>
      </w:r>
      <w:r>
        <w:rPr>
          <w:rFonts w:ascii="仿宋_GB2312" w:hAnsi="Calibri" w:eastAsia="仿宋_GB2312" w:cs="仿宋"/>
          <w:color w:val="000000"/>
          <w:kern w:val="0"/>
          <w:sz w:val="32"/>
          <w:szCs w:val="32"/>
        </w:rPr>
        <w:t>城乡社区支出（类）城乡社区管理事务（款）一般行政管理事务（项）: 指行政单位（包括实行公务员管理的事业单位）未单独设置项级科目的其他项目支出。</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hAnsi="Calibri" w:eastAsia="仿宋_GB2312" w:cs="仿宋"/>
          <w:color w:val="000000"/>
          <w:kern w:val="0"/>
          <w:sz w:val="32"/>
          <w:szCs w:val="32"/>
        </w:rPr>
        <w:t>9.</w:t>
      </w:r>
      <w:r>
        <w:rPr>
          <w:rFonts w:ascii="仿宋_GB2312" w:hAnsi="Calibri" w:eastAsia="仿宋_GB2312" w:cs="仿宋"/>
          <w:color w:val="000000"/>
          <w:kern w:val="0"/>
          <w:sz w:val="32"/>
          <w:szCs w:val="32"/>
        </w:rPr>
        <w:t>住房保障支出（类）住房改革支出（款）住房公积金（项）：指单位为职工缴纳的住房公积金。</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eastAsia="仿宋_GB2312"/>
          <w:color w:val="000000"/>
          <w:sz w:val="32"/>
          <w:szCs w:val="32"/>
        </w:rPr>
        <w:t>10</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11</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Bdr>
          <w:top w:val="single" w:color="FFFFFF" w:sz="4" w:space="0"/>
          <w:left w:val="single" w:color="FFFFFF" w:sz="4" w:space="31"/>
          <w:bottom w:val="single" w:color="FFFFFF" w:sz="4" w:space="31"/>
          <w:right w:val="single" w:color="FFFFFF" w:sz="4" w:space="0"/>
        </w:pBdr>
        <w:snapToGrid w:val="0"/>
        <w:spacing w:line="640" w:lineRule="exact"/>
        <w:ind w:firstLine="640" w:firstLineChars="200"/>
        <w:rPr>
          <w:rFonts w:ascii="仿宋_GB2312" w:hAnsi="Calibri" w:eastAsia="仿宋_GB2312" w:cs="仿宋"/>
          <w:color w:val="000000"/>
          <w:kern w:val="0"/>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办公用房水电费、办公用房取暖费、办公用房物业管理费。</w:t>
      </w:r>
    </w:p>
    <w:p>
      <w:pPr>
        <w:pStyle w:val="22"/>
        <w:spacing w:line="560" w:lineRule="exact"/>
        <w:ind w:firstLine="2429" w:firstLineChars="550"/>
        <w:rPr>
          <w:rStyle w:val="24"/>
          <w:rFonts w:ascii="黑体" w:hAnsi="黑体" w:eastAsia="黑体"/>
          <w:b w:val="0"/>
        </w:rPr>
      </w:pPr>
      <w:bookmarkStart w:id="49" w:name="_Toc15377226"/>
      <w:r>
        <w:rPr>
          <w:rFonts w:ascii="宋体"/>
          <w:b/>
          <w:sz w:val="44"/>
          <w:szCs w:val="44"/>
        </w:rPr>
        <w:br w:type="page"/>
      </w:r>
      <w:bookmarkStart w:id="50" w:name="_Toc15396614"/>
      <w:r>
        <w:rPr>
          <w:rFonts w:hint="eastAsia" w:ascii="黑体" w:hAnsi="黑体" w:eastAsia="黑体"/>
          <w:sz w:val="44"/>
          <w:szCs w:val="44"/>
        </w:rPr>
        <w:t>第</w:t>
      </w:r>
      <w:r>
        <w:rPr>
          <w:rStyle w:val="24"/>
          <w:rFonts w:hint="eastAsia" w:ascii="黑体" w:hAnsi="黑体" w:eastAsia="黑体"/>
          <w:b w:val="0"/>
        </w:rPr>
        <w:t>四部分 附件</w:t>
      </w:r>
      <w:bookmarkEnd w:id="50"/>
    </w:p>
    <w:p>
      <w:pPr>
        <w:pStyle w:val="22"/>
        <w:spacing w:line="560" w:lineRule="exact"/>
        <w:ind w:firstLine="2420" w:firstLineChars="550"/>
        <w:rPr>
          <w:rStyle w:val="24"/>
          <w:rFonts w:ascii="黑体" w:hAnsi="黑体" w:eastAsia="黑体"/>
          <w:b w:val="0"/>
        </w:rPr>
      </w:pPr>
    </w:p>
    <w:p>
      <w:pPr>
        <w:widowControl/>
        <w:spacing w:line="540" w:lineRule="exact"/>
        <w:ind w:left="440" w:hanging="440" w:hangingChars="100"/>
        <w:jc w:val="left"/>
        <w:rPr>
          <w:rFonts w:ascii="黑体" w:hAnsi="黑体" w:eastAsia="黑体"/>
          <w:bCs/>
          <w:kern w:val="44"/>
          <w:sz w:val="44"/>
          <w:szCs w:val="44"/>
        </w:rPr>
      </w:pPr>
      <w:r>
        <w:rPr>
          <w:rStyle w:val="24"/>
          <w:rFonts w:hint="eastAsia" w:ascii="黑体" w:hAnsi="黑体" w:eastAsia="黑体"/>
          <w:b w:val="0"/>
        </w:rPr>
        <w:t xml:space="preserve">  </w:t>
      </w:r>
      <w:bookmarkStart w:id="51" w:name="_Toc15396618"/>
      <w:r>
        <w:rPr>
          <w:rStyle w:val="24"/>
          <w:rFonts w:hint="eastAsia" w:ascii="黑体" w:hAnsi="黑体" w:eastAsia="黑体"/>
          <w:b w:val="0"/>
        </w:rPr>
        <w:t xml:space="preserve">   </w:t>
      </w:r>
      <w:r>
        <w:rPr>
          <w:rFonts w:eastAsia="仿宋"/>
          <w:color w:val="000000"/>
          <w:sz w:val="32"/>
          <w:szCs w:val="32"/>
        </w:rPr>
        <w:t>由于我单位2020年预算中无100万元以上项目，不涉及项目绩效目标，因此按财政厅口径未开展项目支出绩效自评工作。</w:t>
      </w: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pStyle w:val="2"/>
        <w:spacing w:before="93"/>
      </w:pPr>
    </w:p>
    <w:p>
      <w:pPr>
        <w:pStyle w:val="2"/>
        <w:spacing w:before="93"/>
      </w:pPr>
    </w:p>
    <w:p>
      <w:pPr>
        <w:spacing w:line="600" w:lineRule="exact"/>
        <w:jc w:val="center"/>
        <w:outlineLvl w:val="0"/>
        <w:rPr>
          <w:rFonts w:ascii="黑体" w:hAnsi="黑体" w:eastAsia="黑体"/>
          <w:color w:val="000000"/>
          <w:sz w:val="44"/>
          <w:szCs w:val="44"/>
        </w:rPr>
      </w:pPr>
    </w:p>
    <w:p>
      <w:pPr>
        <w:pStyle w:val="2"/>
        <w:spacing w:before="93"/>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49"/>
      <w:bookmarkEnd w:id="51"/>
      <w:bookmarkStart w:id="52" w:name="_Toc15396619"/>
    </w:p>
    <w:p>
      <w:pPr>
        <w:ind w:firstLine="640" w:firstLineChars="200"/>
        <w:rPr>
          <w:rFonts w:eastAsia="仿宋"/>
          <w:color w:val="000000"/>
          <w:sz w:val="32"/>
          <w:szCs w:val="32"/>
        </w:rPr>
      </w:pPr>
      <w:r>
        <w:rPr>
          <w:rFonts w:hint="eastAsia" w:eastAsia="仿宋"/>
          <w:color w:val="000000"/>
          <w:sz w:val="32"/>
          <w:szCs w:val="32"/>
        </w:rPr>
        <w:t>一、收入支出决算总表</w:t>
      </w:r>
      <w:bookmarkEnd w:id="52"/>
    </w:p>
    <w:p>
      <w:pPr>
        <w:ind w:firstLine="640" w:firstLineChars="200"/>
        <w:rPr>
          <w:rFonts w:eastAsia="仿宋"/>
          <w:color w:val="000000"/>
          <w:sz w:val="32"/>
          <w:szCs w:val="32"/>
        </w:rPr>
      </w:pPr>
      <w:bookmarkStart w:id="53" w:name="_Toc15396620"/>
      <w:r>
        <w:rPr>
          <w:rFonts w:hint="eastAsia" w:eastAsia="仿宋"/>
          <w:color w:val="000000"/>
          <w:sz w:val="32"/>
          <w:szCs w:val="32"/>
        </w:rPr>
        <w:t>二、收入决算表</w:t>
      </w:r>
      <w:bookmarkEnd w:id="53"/>
    </w:p>
    <w:p>
      <w:pPr>
        <w:ind w:firstLine="640" w:firstLineChars="200"/>
        <w:rPr>
          <w:rFonts w:eastAsia="仿宋"/>
          <w:color w:val="000000"/>
          <w:sz w:val="32"/>
          <w:szCs w:val="32"/>
        </w:rPr>
      </w:pPr>
      <w:bookmarkStart w:id="54" w:name="_Toc15396621"/>
      <w:r>
        <w:rPr>
          <w:rFonts w:hint="eastAsia" w:eastAsia="仿宋"/>
          <w:color w:val="000000"/>
          <w:sz w:val="32"/>
          <w:szCs w:val="32"/>
        </w:rPr>
        <w:t>三、支出决算表</w:t>
      </w:r>
      <w:bookmarkEnd w:id="54"/>
    </w:p>
    <w:p>
      <w:pPr>
        <w:ind w:firstLine="640" w:firstLineChars="200"/>
        <w:rPr>
          <w:rFonts w:eastAsia="仿宋"/>
          <w:color w:val="000000"/>
          <w:sz w:val="32"/>
          <w:szCs w:val="32"/>
        </w:rPr>
      </w:pPr>
      <w:bookmarkStart w:id="55" w:name="_Toc15396622"/>
      <w:r>
        <w:rPr>
          <w:rFonts w:hint="eastAsia" w:eastAsia="仿宋"/>
          <w:color w:val="000000"/>
          <w:sz w:val="32"/>
          <w:szCs w:val="32"/>
        </w:rPr>
        <w:t>四、财政拨款收入支出决算总表</w:t>
      </w:r>
      <w:bookmarkEnd w:id="55"/>
    </w:p>
    <w:p>
      <w:pPr>
        <w:ind w:firstLine="640" w:firstLineChars="200"/>
        <w:rPr>
          <w:rFonts w:eastAsia="仿宋"/>
          <w:color w:val="000000"/>
          <w:sz w:val="32"/>
          <w:szCs w:val="32"/>
        </w:rPr>
      </w:pPr>
      <w:bookmarkStart w:id="56" w:name="_Toc15396623"/>
      <w:r>
        <w:rPr>
          <w:rFonts w:hint="eastAsia" w:eastAsia="仿宋"/>
          <w:color w:val="000000"/>
          <w:sz w:val="32"/>
          <w:szCs w:val="32"/>
        </w:rPr>
        <w:t>五、财政拨款支出决算明细表</w:t>
      </w:r>
      <w:bookmarkEnd w:id="56"/>
      <w:bookmarkStart w:id="57" w:name="_Toc15396624"/>
    </w:p>
    <w:p>
      <w:pPr>
        <w:ind w:firstLine="640" w:firstLineChars="200"/>
        <w:rPr>
          <w:rFonts w:eastAsia="仿宋"/>
          <w:color w:val="000000"/>
          <w:sz w:val="32"/>
          <w:szCs w:val="32"/>
        </w:rPr>
      </w:pPr>
      <w:r>
        <w:rPr>
          <w:rFonts w:hint="eastAsia" w:eastAsia="仿宋"/>
          <w:color w:val="000000"/>
          <w:sz w:val="32"/>
          <w:szCs w:val="32"/>
        </w:rPr>
        <w:t>六、一般公共预算财政拨款支出决算表</w:t>
      </w:r>
      <w:bookmarkEnd w:id="57"/>
    </w:p>
    <w:p>
      <w:pPr>
        <w:ind w:firstLine="640" w:firstLineChars="200"/>
        <w:rPr>
          <w:rFonts w:eastAsia="仿宋"/>
          <w:color w:val="000000"/>
          <w:sz w:val="32"/>
          <w:szCs w:val="32"/>
        </w:rPr>
      </w:pPr>
      <w:bookmarkStart w:id="58" w:name="_Toc15396625"/>
      <w:r>
        <w:rPr>
          <w:rFonts w:hint="eastAsia" w:eastAsia="仿宋"/>
          <w:color w:val="000000"/>
          <w:sz w:val="32"/>
          <w:szCs w:val="32"/>
        </w:rPr>
        <w:t>七、一般公共预算财政拨款支出决算明细表</w:t>
      </w:r>
      <w:bookmarkEnd w:id="58"/>
    </w:p>
    <w:p>
      <w:pPr>
        <w:ind w:firstLine="640" w:firstLineChars="200"/>
        <w:rPr>
          <w:rFonts w:eastAsia="仿宋"/>
          <w:color w:val="000000"/>
          <w:sz w:val="32"/>
          <w:szCs w:val="32"/>
        </w:rPr>
      </w:pPr>
      <w:bookmarkStart w:id="59" w:name="_Toc15396626"/>
      <w:r>
        <w:rPr>
          <w:rFonts w:hint="eastAsia" w:eastAsia="仿宋"/>
          <w:color w:val="000000"/>
          <w:sz w:val="32"/>
          <w:szCs w:val="32"/>
        </w:rPr>
        <w:t>八、一般公共预算财政拨款基本支出决算表</w:t>
      </w:r>
      <w:bookmarkEnd w:id="59"/>
    </w:p>
    <w:p>
      <w:pPr>
        <w:ind w:firstLine="640" w:firstLineChars="200"/>
        <w:rPr>
          <w:rFonts w:eastAsia="仿宋"/>
          <w:color w:val="000000"/>
          <w:sz w:val="32"/>
          <w:szCs w:val="32"/>
        </w:rPr>
      </w:pPr>
      <w:bookmarkStart w:id="60" w:name="_Toc15396627"/>
      <w:r>
        <w:rPr>
          <w:rFonts w:hint="eastAsia" w:eastAsia="仿宋"/>
          <w:color w:val="000000"/>
          <w:sz w:val="32"/>
          <w:szCs w:val="32"/>
        </w:rPr>
        <w:t>九、一般公共预算财政拨款项目支出决算表</w:t>
      </w:r>
      <w:bookmarkEnd w:id="60"/>
    </w:p>
    <w:p>
      <w:pPr>
        <w:ind w:firstLine="640" w:firstLineChars="200"/>
        <w:rPr>
          <w:rFonts w:eastAsia="仿宋"/>
          <w:color w:val="000000"/>
          <w:sz w:val="32"/>
          <w:szCs w:val="32"/>
        </w:rPr>
      </w:pPr>
      <w:bookmarkStart w:id="61" w:name="_Toc15396628"/>
      <w:r>
        <w:rPr>
          <w:rFonts w:hint="eastAsia" w:eastAsia="仿宋"/>
          <w:color w:val="000000"/>
          <w:sz w:val="32"/>
          <w:szCs w:val="32"/>
        </w:rPr>
        <w:t>十、一般公共预算财政拨款“三公”经费支出决算表</w:t>
      </w:r>
      <w:bookmarkEnd w:id="61"/>
    </w:p>
    <w:p>
      <w:pPr>
        <w:ind w:firstLine="640" w:firstLineChars="200"/>
        <w:rPr>
          <w:rFonts w:eastAsia="仿宋"/>
          <w:color w:val="000000"/>
          <w:sz w:val="32"/>
          <w:szCs w:val="32"/>
        </w:rPr>
      </w:pPr>
      <w:bookmarkStart w:id="62" w:name="_Toc15396629"/>
      <w:r>
        <w:rPr>
          <w:rFonts w:hint="eastAsia" w:eastAsia="仿宋"/>
          <w:color w:val="000000"/>
          <w:sz w:val="32"/>
          <w:szCs w:val="32"/>
        </w:rPr>
        <w:t>十一、政府性基金预算财政拨款收入支出决算表</w:t>
      </w:r>
      <w:bookmarkEnd w:id="62"/>
    </w:p>
    <w:p>
      <w:pPr>
        <w:ind w:firstLine="640" w:firstLineChars="200"/>
        <w:rPr>
          <w:rFonts w:eastAsia="仿宋"/>
          <w:color w:val="000000"/>
          <w:sz w:val="32"/>
          <w:szCs w:val="32"/>
        </w:rPr>
      </w:pPr>
      <w:bookmarkStart w:id="63" w:name="_Toc15396630"/>
      <w:r>
        <w:rPr>
          <w:rFonts w:hint="eastAsia" w:eastAsia="仿宋"/>
          <w:color w:val="000000"/>
          <w:sz w:val="32"/>
          <w:szCs w:val="32"/>
        </w:rPr>
        <w:t>十二、政府性基金预算财政拨款“三公”经费支出决算表</w:t>
      </w:r>
      <w:bookmarkEnd w:id="63"/>
    </w:p>
    <w:p>
      <w:pPr>
        <w:ind w:firstLine="640" w:firstLineChars="200"/>
        <w:rPr>
          <w:rFonts w:eastAsia="仿宋"/>
          <w:color w:val="000000"/>
          <w:sz w:val="32"/>
          <w:szCs w:val="32"/>
        </w:rPr>
      </w:pPr>
      <w:bookmarkStart w:id="64" w:name="_Toc15396631"/>
      <w:r>
        <w:rPr>
          <w:rFonts w:hint="eastAsia" w:eastAsia="仿宋"/>
          <w:color w:val="000000"/>
          <w:sz w:val="32"/>
          <w:szCs w:val="32"/>
        </w:rPr>
        <w:t>十三、国有资本经营预算财政拨款收入支出决算表</w:t>
      </w:r>
      <w:bookmarkEnd w:id="64"/>
    </w:p>
    <w:p>
      <w:pPr>
        <w:ind w:firstLine="640" w:firstLineChars="200"/>
        <w:rPr>
          <w:rFonts w:eastAsia="仿宋"/>
          <w:color w:val="000000"/>
          <w:sz w:val="32"/>
          <w:szCs w:val="32"/>
        </w:rPr>
      </w:pPr>
      <w:r>
        <w:rPr>
          <w:rFonts w:hint="eastAsia" w:eastAsia="仿宋"/>
          <w:color w:val="000000"/>
          <w:sz w:val="32"/>
          <w:szCs w:val="32"/>
        </w:rPr>
        <w:t>十四、国有资本经营预算财政拨款支出决算表</w:t>
      </w:r>
    </w:p>
    <w:sectPr>
      <w:headerReference r:id="rId3" w:type="default"/>
      <w:footerReference r:id="rId4" w:type="default"/>
      <w:pgSz w:w="11906" w:h="16838"/>
      <w:pgMar w:top="2098" w:right="1474" w:bottom="1985" w:left="1588"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13</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438875DC"/>
    <w:multiLevelType w:val="multilevel"/>
    <w:tmpl w:val="438875DC"/>
    <w:lvl w:ilvl="0" w:tentative="0">
      <w:start w:val="2"/>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3F99"/>
    <w:rsid w:val="0002549F"/>
    <w:rsid w:val="000468DB"/>
    <w:rsid w:val="0005416B"/>
    <w:rsid w:val="0006487A"/>
    <w:rsid w:val="00065F8F"/>
    <w:rsid w:val="00070001"/>
    <w:rsid w:val="00070A43"/>
    <w:rsid w:val="000720EB"/>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1CF9"/>
    <w:rsid w:val="000E6613"/>
    <w:rsid w:val="000E7119"/>
    <w:rsid w:val="00102747"/>
    <w:rsid w:val="00112A46"/>
    <w:rsid w:val="00114E9B"/>
    <w:rsid w:val="00120EE2"/>
    <w:rsid w:val="00142216"/>
    <w:rsid w:val="00144D6A"/>
    <w:rsid w:val="0014729F"/>
    <w:rsid w:val="00157BAB"/>
    <w:rsid w:val="001654D1"/>
    <w:rsid w:val="00173F12"/>
    <w:rsid w:val="00174518"/>
    <w:rsid w:val="0018106D"/>
    <w:rsid w:val="001877A7"/>
    <w:rsid w:val="00191536"/>
    <w:rsid w:val="00196687"/>
    <w:rsid w:val="001C0962"/>
    <w:rsid w:val="001C3913"/>
    <w:rsid w:val="001D7531"/>
    <w:rsid w:val="001E38CF"/>
    <w:rsid w:val="001E737D"/>
    <w:rsid w:val="001F0592"/>
    <w:rsid w:val="001F7506"/>
    <w:rsid w:val="002006CD"/>
    <w:rsid w:val="00202B36"/>
    <w:rsid w:val="00204B7A"/>
    <w:rsid w:val="00204CDE"/>
    <w:rsid w:val="0021101A"/>
    <w:rsid w:val="00220536"/>
    <w:rsid w:val="00235629"/>
    <w:rsid w:val="0024357B"/>
    <w:rsid w:val="00260C38"/>
    <w:rsid w:val="002616C0"/>
    <w:rsid w:val="00265372"/>
    <w:rsid w:val="002662AA"/>
    <w:rsid w:val="0027288D"/>
    <w:rsid w:val="00280496"/>
    <w:rsid w:val="00286435"/>
    <w:rsid w:val="00294DC9"/>
    <w:rsid w:val="00295495"/>
    <w:rsid w:val="002A31DE"/>
    <w:rsid w:val="002B2613"/>
    <w:rsid w:val="002D6D05"/>
    <w:rsid w:val="002F1818"/>
    <w:rsid w:val="002F567B"/>
    <w:rsid w:val="003216A9"/>
    <w:rsid w:val="00335A74"/>
    <w:rsid w:val="003640CE"/>
    <w:rsid w:val="0036561B"/>
    <w:rsid w:val="0037013F"/>
    <w:rsid w:val="00377F70"/>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0A75"/>
    <w:rsid w:val="00406254"/>
    <w:rsid w:val="004223DE"/>
    <w:rsid w:val="00434489"/>
    <w:rsid w:val="00437085"/>
    <w:rsid w:val="00443880"/>
    <w:rsid w:val="0044587A"/>
    <w:rsid w:val="004464F4"/>
    <w:rsid w:val="00464FCC"/>
    <w:rsid w:val="00471401"/>
    <w:rsid w:val="00473F31"/>
    <w:rsid w:val="0048263A"/>
    <w:rsid w:val="00487E5D"/>
    <w:rsid w:val="00492CAF"/>
    <w:rsid w:val="004A711F"/>
    <w:rsid w:val="004B199D"/>
    <w:rsid w:val="004B4690"/>
    <w:rsid w:val="004E0A2D"/>
    <w:rsid w:val="004E206B"/>
    <w:rsid w:val="004E6DF7"/>
    <w:rsid w:val="004F0FBD"/>
    <w:rsid w:val="00505A47"/>
    <w:rsid w:val="00512FDA"/>
    <w:rsid w:val="00520DA0"/>
    <w:rsid w:val="00527F95"/>
    <w:rsid w:val="005664BB"/>
    <w:rsid w:val="00566FFA"/>
    <w:rsid w:val="005714BA"/>
    <w:rsid w:val="0057481D"/>
    <w:rsid w:val="0058486E"/>
    <w:rsid w:val="00585B33"/>
    <w:rsid w:val="0059014D"/>
    <w:rsid w:val="005A4EF7"/>
    <w:rsid w:val="005B5C64"/>
    <w:rsid w:val="005C24F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2CCE"/>
    <w:rsid w:val="00633463"/>
    <w:rsid w:val="00634C9A"/>
    <w:rsid w:val="006440E4"/>
    <w:rsid w:val="0066343B"/>
    <w:rsid w:val="00664777"/>
    <w:rsid w:val="006748A4"/>
    <w:rsid w:val="00681A31"/>
    <w:rsid w:val="00683E73"/>
    <w:rsid w:val="006A3141"/>
    <w:rsid w:val="006A5E34"/>
    <w:rsid w:val="006A6052"/>
    <w:rsid w:val="006B2422"/>
    <w:rsid w:val="006B2B9A"/>
    <w:rsid w:val="006C1937"/>
    <w:rsid w:val="006F020C"/>
    <w:rsid w:val="006F5679"/>
    <w:rsid w:val="007127B7"/>
    <w:rsid w:val="0071798E"/>
    <w:rsid w:val="00732A83"/>
    <w:rsid w:val="007416B6"/>
    <w:rsid w:val="00746F48"/>
    <w:rsid w:val="0075404D"/>
    <w:rsid w:val="0076182A"/>
    <w:rsid w:val="00767B7E"/>
    <w:rsid w:val="007770C3"/>
    <w:rsid w:val="00784D24"/>
    <w:rsid w:val="00785FBA"/>
    <w:rsid w:val="00786E4A"/>
    <w:rsid w:val="007875EB"/>
    <w:rsid w:val="0079426B"/>
    <w:rsid w:val="007C390C"/>
    <w:rsid w:val="007D1682"/>
    <w:rsid w:val="007D312A"/>
    <w:rsid w:val="007D3F19"/>
    <w:rsid w:val="007D6D80"/>
    <w:rsid w:val="007E23B0"/>
    <w:rsid w:val="007E23E5"/>
    <w:rsid w:val="007F1991"/>
    <w:rsid w:val="007F2C2F"/>
    <w:rsid w:val="007F55FC"/>
    <w:rsid w:val="007F5665"/>
    <w:rsid w:val="00800112"/>
    <w:rsid w:val="00813348"/>
    <w:rsid w:val="008213AF"/>
    <w:rsid w:val="008253BB"/>
    <w:rsid w:val="0083706E"/>
    <w:rsid w:val="008408F6"/>
    <w:rsid w:val="008423A5"/>
    <w:rsid w:val="00850625"/>
    <w:rsid w:val="00853718"/>
    <w:rsid w:val="00855221"/>
    <w:rsid w:val="00860645"/>
    <w:rsid w:val="00861B0E"/>
    <w:rsid w:val="00871F71"/>
    <w:rsid w:val="00872FD8"/>
    <w:rsid w:val="00885AF4"/>
    <w:rsid w:val="00887538"/>
    <w:rsid w:val="00890187"/>
    <w:rsid w:val="008939CD"/>
    <w:rsid w:val="008B0752"/>
    <w:rsid w:val="008B768C"/>
    <w:rsid w:val="008C4DB1"/>
    <w:rsid w:val="008C4EAF"/>
    <w:rsid w:val="008C5176"/>
    <w:rsid w:val="008C7FD0"/>
    <w:rsid w:val="008E1DE7"/>
    <w:rsid w:val="008E707C"/>
    <w:rsid w:val="008F1869"/>
    <w:rsid w:val="00900B08"/>
    <w:rsid w:val="00902155"/>
    <w:rsid w:val="00902FA3"/>
    <w:rsid w:val="00923564"/>
    <w:rsid w:val="0092392E"/>
    <w:rsid w:val="00923E3F"/>
    <w:rsid w:val="009315F9"/>
    <w:rsid w:val="00933499"/>
    <w:rsid w:val="00935C98"/>
    <w:rsid w:val="00946945"/>
    <w:rsid w:val="00951248"/>
    <w:rsid w:val="0095152F"/>
    <w:rsid w:val="00954C49"/>
    <w:rsid w:val="00955E37"/>
    <w:rsid w:val="0097099F"/>
    <w:rsid w:val="00971997"/>
    <w:rsid w:val="00971FA9"/>
    <w:rsid w:val="00971FFC"/>
    <w:rsid w:val="0098660A"/>
    <w:rsid w:val="009931C3"/>
    <w:rsid w:val="009B13E8"/>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3EA2"/>
    <w:rsid w:val="00A35FA7"/>
    <w:rsid w:val="00A40A00"/>
    <w:rsid w:val="00A4142F"/>
    <w:rsid w:val="00A422EB"/>
    <w:rsid w:val="00A45BB7"/>
    <w:rsid w:val="00A56DF2"/>
    <w:rsid w:val="00A56E6E"/>
    <w:rsid w:val="00A67AB5"/>
    <w:rsid w:val="00A733B2"/>
    <w:rsid w:val="00A741C2"/>
    <w:rsid w:val="00A91760"/>
    <w:rsid w:val="00A93B00"/>
    <w:rsid w:val="00A93C21"/>
    <w:rsid w:val="00A94E83"/>
    <w:rsid w:val="00AB1C3B"/>
    <w:rsid w:val="00AB64C9"/>
    <w:rsid w:val="00AC3C6A"/>
    <w:rsid w:val="00AC6EA4"/>
    <w:rsid w:val="00AD5620"/>
    <w:rsid w:val="00AD656B"/>
    <w:rsid w:val="00AD7C1B"/>
    <w:rsid w:val="00AE16BA"/>
    <w:rsid w:val="00AE1EBE"/>
    <w:rsid w:val="00B03C9D"/>
    <w:rsid w:val="00B060AE"/>
    <w:rsid w:val="00B10517"/>
    <w:rsid w:val="00B14E76"/>
    <w:rsid w:val="00B161B8"/>
    <w:rsid w:val="00B17D15"/>
    <w:rsid w:val="00B2048C"/>
    <w:rsid w:val="00B310B9"/>
    <w:rsid w:val="00B35F3F"/>
    <w:rsid w:val="00B36CBB"/>
    <w:rsid w:val="00B425E0"/>
    <w:rsid w:val="00B42AEB"/>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BF66F9"/>
    <w:rsid w:val="00C03E31"/>
    <w:rsid w:val="00C17DD6"/>
    <w:rsid w:val="00C17F3C"/>
    <w:rsid w:val="00C33E72"/>
    <w:rsid w:val="00C354B2"/>
    <w:rsid w:val="00C35554"/>
    <w:rsid w:val="00C421A9"/>
    <w:rsid w:val="00C42709"/>
    <w:rsid w:val="00C533CC"/>
    <w:rsid w:val="00C5751C"/>
    <w:rsid w:val="00C61BFC"/>
    <w:rsid w:val="00C62B85"/>
    <w:rsid w:val="00C65438"/>
    <w:rsid w:val="00C87FD8"/>
    <w:rsid w:val="00C91381"/>
    <w:rsid w:val="00C91CBB"/>
    <w:rsid w:val="00CB4E70"/>
    <w:rsid w:val="00CC09B6"/>
    <w:rsid w:val="00CC666F"/>
    <w:rsid w:val="00CD1E3F"/>
    <w:rsid w:val="00CD6A6A"/>
    <w:rsid w:val="00CE44F6"/>
    <w:rsid w:val="00CE49DA"/>
    <w:rsid w:val="00CE7B61"/>
    <w:rsid w:val="00D00095"/>
    <w:rsid w:val="00D0485A"/>
    <w:rsid w:val="00D065CD"/>
    <w:rsid w:val="00D114F0"/>
    <w:rsid w:val="00D1663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F52"/>
    <w:rsid w:val="00DD73B7"/>
    <w:rsid w:val="00DF28BC"/>
    <w:rsid w:val="00DF34B9"/>
    <w:rsid w:val="00DF4FA1"/>
    <w:rsid w:val="00DF5371"/>
    <w:rsid w:val="00DF763F"/>
    <w:rsid w:val="00E01053"/>
    <w:rsid w:val="00E07ACF"/>
    <w:rsid w:val="00E331A1"/>
    <w:rsid w:val="00E33202"/>
    <w:rsid w:val="00E336A9"/>
    <w:rsid w:val="00E472B1"/>
    <w:rsid w:val="00E50624"/>
    <w:rsid w:val="00E568DF"/>
    <w:rsid w:val="00E64269"/>
    <w:rsid w:val="00E649B9"/>
    <w:rsid w:val="00E71375"/>
    <w:rsid w:val="00E82267"/>
    <w:rsid w:val="00E83284"/>
    <w:rsid w:val="00E853CE"/>
    <w:rsid w:val="00E867B6"/>
    <w:rsid w:val="00EA010F"/>
    <w:rsid w:val="00ED1B63"/>
    <w:rsid w:val="00ED3C1F"/>
    <w:rsid w:val="00ED4085"/>
    <w:rsid w:val="00ED420E"/>
    <w:rsid w:val="00ED6FBE"/>
    <w:rsid w:val="00EE2F57"/>
    <w:rsid w:val="00EF4C34"/>
    <w:rsid w:val="00EF4FDB"/>
    <w:rsid w:val="00EF77C6"/>
    <w:rsid w:val="00F04EDD"/>
    <w:rsid w:val="00F05438"/>
    <w:rsid w:val="00F1361C"/>
    <w:rsid w:val="00F156F0"/>
    <w:rsid w:val="00F160C7"/>
    <w:rsid w:val="00F2408F"/>
    <w:rsid w:val="00F240E9"/>
    <w:rsid w:val="00F36D8F"/>
    <w:rsid w:val="00F417B1"/>
    <w:rsid w:val="00F45853"/>
    <w:rsid w:val="00F5192C"/>
    <w:rsid w:val="00F602DF"/>
    <w:rsid w:val="00F754A1"/>
    <w:rsid w:val="00F81FD9"/>
    <w:rsid w:val="00F82327"/>
    <w:rsid w:val="00F841AA"/>
    <w:rsid w:val="00F84A94"/>
    <w:rsid w:val="00F87E96"/>
    <w:rsid w:val="00FA23E8"/>
    <w:rsid w:val="00FA5724"/>
    <w:rsid w:val="00FD3CC1"/>
    <w:rsid w:val="00FE6FA5"/>
    <w:rsid w:val="00FF17D3"/>
    <w:rsid w:val="00FF1E02"/>
    <w:rsid w:val="00FF30B4"/>
    <w:rsid w:val="0A2032A3"/>
    <w:rsid w:val="10C055FF"/>
    <w:rsid w:val="118107EC"/>
    <w:rsid w:val="16BB723D"/>
    <w:rsid w:val="18015F3F"/>
    <w:rsid w:val="1BE8440E"/>
    <w:rsid w:val="1D155CEE"/>
    <w:rsid w:val="20F57F95"/>
    <w:rsid w:val="240371BF"/>
    <w:rsid w:val="27842671"/>
    <w:rsid w:val="29FD04D3"/>
    <w:rsid w:val="2ABE7A3E"/>
    <w:rsid w:val="319F7F4E"/>
    <w:rsid w:val="3C0C0783"/>
    <w:rsid w:val="493C27E9"/>
    <w:rsid w:val="496F39ED"/>
    <w:rsid w:val="49FF41D3"/>
    <w:rsid w:val="4BE068DB"/>
    <w:rsid w:val="4BF6002B"/>
    <w:rsid w:val="4ECE2238"/>
    <w:rsid w:val="64CA39A1"/>
    <w:rsid w:val="6C4A05C8"/>
    <w:rsid w:val="72734D90"/>
    <w:rsid w:val="7DFA9FD1"/>
    <w:rsid w:val="7E7F1FBC"/>
    <w:rsid w:val="B5BB85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99"/>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barChart>
        <c:barDir val="col"/>
        <c:grouping val="clustered"/>
        <c:varyColors val="false"/>
        <c:ser>
          <c:idx val="0"/>
          <c:order val="0"/>
          <c:tx>
            <c:strRef>
              <c:f>Sheet1!$B$1</c:f>
              <c:strCache>
                <c:ptCount val="1"/>
                <c:pt idx="0">
                  <c:v>2019</c:v>
                </c:pt>
              </c:strCache>
            </c:strRef>
          </c:tx>
          <c:invertIfNegative val="false"/>
          <c:dLbls>
            <c:delete val="true"/>
          </c:dLbls>
          <c:cat>
            <c:strRef>
              <c:f>Sheet1!$A$2:$A$3</c:f>
              <c:strCache>
                <c:ptCount val="2"/>
                <c:pt idx="0">
                  <c:v>收入</c:v>
                </c:pt>
                <c:pt idx="1">
                  <c:v>支出</c:v>
                </c:pt>
              </c:strCache>
            </c:strRef>
          </c:cat>
          <c:val>
            <c:numRef>
              <c:f>Sheet1!$B$2:$B$3</c:f>
              <c:numCache>
                <c:formatCode>General</c:formatCode>
                <c:ptCount val="2"/>
                <c:pt idx="0">
                  <c:v>520.3</c:v>
                </c:pt>
                <c:pt idx="1">
                  <c:v>520.3</c:v>
                </c:pt>
              </c:numCache>
            </c:numRef>
          </c:val>
        </c:ser>
        <c:ser>
          <c:idx val="1"/>
          <c:order val="1"/>
          <c:tx>
            <c:strRef>
              <c:f>Sheet1!$C$1</c:f>
              <c:strCache>
                <c:ptCount val="1"/>
                <c:pt idx="0">
                  <c:v>2020</c:v>
                </c:pt>
              </c:strCache>
            </c:strRef>
          </c:tx>
          <c:invertIfNegative val="false"/>
          <c:dLbls>
            <c:delete val="true"/>
          </c:dLbls>
          <c:cat>
            <c:strRef>
              <c:f>Sheet1!$A$2:$A$3</c:f>
              <c:strCache>
                <c:ptCount val="2"/>
                <c:pt idx="0">
                  <c:v>收入</c:v>
                </c:pt>
                <c:pt idx="1">
                  <c:v>支出</c:v>
                </c:pt>
              </c:strCache>
            </c:strRef>
          </c:cat>
          <c:val>
            <c:numRef>
              <c:f>Sheet1!$C$2:$C$3</c:f>
              <c:numCache>
                <c:formatCode>General</c:formatCode>
                <c:ptCount val="2"/>
                <c:pt idx="0">
                  <c:v>497.41</c:v>
                </c:pt>
                <c:pt idx="1">
                  <c:v>497.41</c:v>
                </c:pt>
              </c:numCache>
            </c:numRef>
          </c:val>
        </c:ser>
        <c:dLbls>
          <c:showLegendKey val="false"/>
          <c:showVal val="false"/>
          <c:showCatName val="false"/>
          <c:showSerName val="false"/>
          <c:showPercent val="false"/>
          <c:showBubbleSize val="false"/>
        </c:dLbls>
        <c:gapWidth val="150"/>
        <c:axId val="142352384"/>
        <c:axId val="142353920"/>
      </c:barChart>
      <c:catAx>
        <c:axId val="14235238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353920"/>
        <c:crosses val="autoZero"/>
        <c:auto val="true"/>
        <c:lblAlgn val="ctr"/>
        <c:lblOffset val="100"/>
        <c:noMultiLvlLbl val="false"/>
      </c:catAx>
      <c:valAx>
        <c:axId val="14235392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35238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2020年收入</c:v>
                </c:pt>
              </c:strCache>
            </c:strRef>
          </c:tx>
          <c:explosion val="0"/>
          <c:dPt>
            <c:idx val="0"/>
            <c:bubble3D val="false"/>
          </c:dPt>
          <c:dLbls>
            <c:delete val="true"/>
          </c:dLbls>
          <c:cat>
            <c:strRef>
              <c:f>Sheet1!$A$2</c:f>
              <c:strCache>
                <c:ptCount val="1"/>
                <c:pt idx="0">
                  <c:v>一般公共预算财政拨款收入</c:v>
                </c:pt>
              </c:strCache>
            </c:strRef>
          </c:cat>
          <c:val>
            <c:numRef>
              <c:f>Sheet1!$B$2</c:f>
              <c:numCache>
                <c:formatCode>General</c:formatCode>
                <c:ptCount val="1"/>
                <c:pt idx="0">
                  <c:v>497.41</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2020年支出</c:v>
                </c:pt>
              </c:strCache>
            </c:strRef>
          </c:tx>
          <c:explosion val="0"/>
          <c:dPt>
            <c:idx val="0"/>
            <c:bubble3D val="false"/>
          </c:dPt>
          <c:dPt>
            <c:idx val="1"/>
            <c:bubble3D val="false"/>
          </c:dPt>
          <c:dLbls>
            <c:delete val="true"/>
          </c:dLbls>
          <c:cat>
            <c:strRef>
              <c:f>Sheet1!$A$2:$A$3</c:f>
              <c:strCache>
                <c:ptCount val="2"/>
                <c:pt idx="0">
                  <c:v>基本支出</c:v>
                </c:pt>
                <c:pt idx="1">
                  <c:v>项目支出</c:v>
                </c:pt>
              </c:strCache>
            </c:strRef>
          </c:cat>
          <c:val>
            <c:numRef>
              <c:f>Sheet1!$B$2:$B$3</c:f>
              <c:numCache>
                <c:formatCode>General</c:formatCode>
                <c:ptCount val="2"/>
                <c:pt idx="0">
                  <c:v>474.31</c:v>
                </c:pt>
                <c:pt idx="1">
                  <c:v>23.1</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22028094670203"/>
          <c:y val="0.0458308346131656"/>
          <c:w val="0.797133843099856"/>
          <c:h val="0.855731129584035"/>
        </c:manualLayout>
      </c:layout>
      <c:barChart>
        <c:barDir val="col"/>
        <c:grouping val="clustered"/>
        <c:varyColors val="false"/>
        <c:ser>
          <c:idx val="0"/>
          <c:order val="0"/>
          <c:tx>
            <c:strRef>
              <c:f>Sheet1!$B$1</c:f>
              <c:strCache>
                <c:ptCount val="1"/>
                <c:pt idx="0">
                  <c:v>2019</c:v>
                </c:pt>
              </c:strCache>
            </c:strRef>
          </c:tx>
          <c:invertIfNegative val="false"/>
          <c:dLbls>
            <c:delete val="true"/>
          </c:dLbls>
          <c:cat>
            <c:strRef>
              <c:f>Sheet1!$A$2:$A$3</c:f>
              <c:strCache>
                <c:ptCount val="2"/>
                <c:pt idx="0">
                  <c:v>收入</c:v>
                </c:pt>
                <c:pt idx="1">
                  <c:v>支出</c:v>
                </c:pt>
              </c:strCache>
            </c:strRef>
          </c:cat>
          <c:val>
            <c:numRef>
              <c:f>Sheet1!$B$2:$B$3</c:f>
              <c:numCache>
                <c:formatCode>General</c:formatCode>
                <c:ptCount val="2"/>
                <c:pt idx="0">
                  <c:v>497.41</c:v>
                </c:pt>
                <c:pt idx="1">
                  <c:v>497.41</c:v>
                </c:pt>
              </c:numCache>
            </c:numRef>
          </c:val>
        </c:ser>
        <c:ser>
          <c:idx val="1"/>
          <c:order val="1"/>
          <c:tx>
            <c:strRef>
              <c:f>Sheet1!$C$1</c:f>
              <c:strCache>
                <c:ptCount val="1"/>
                <c:pt idx="0">
                  <c:v>2020</c:v>
                </c:pt>
              </c:strCache>
            </c:strRef>
          </c:tx>
          <c:invertIfNegative val="false"/>
          <c:dLbls>
            <c:delete val="true"/>
          </c:dLbls>
          <c:cat>
            <c:strRef>
              <c:f>Sheet1!$A$2:$A$3</c:f>
              <c:strCache>
                <c:ptCount val="2"/>
                <c:pt idx="0">
                  <c:v>收入</c:v>
                </c:pt>
                <c:pt idx="1">
                  <c:v>支出</c:v>
                </c:pt>
              </c:strCache>
            </c:strRef>
          </c:cat>
          <c:val>
            <c:numRef>
              <c:f>Sheet1!$C$2:$C$3</c:f>
              <c:numCache>
                <c:formatCode>General</c:formatCode>
                <c:ptCount val="2"/>
                <c:pt idx="0">
                  <c:v>519.6</c:v>
                </c:pt>
                <c:pt idx="1">
                  <c:v>519.6</c:v>
                </c:pt>
              </c:numCache>
            </c:numRef>
          </c:val>
        </c:ser>
        <c:dLbls>
          <c:showLegendKey val="false"/>
          <c:showVal val="false"/>
          <c:showCatName val="false"/>
          <c:showSerName val="false"/>
          <c:showPercent val="false"/>
          <c:showBubbleSize val="false"/>
        </c:dLbls>
        <c:gapWidth val="150"/>
        <c:axId val="142858496"/>
        <c:axId val="142864384"/>
      </c:barChart>
      <c:catAx>
        <c:axId val="142858496"/>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864384"/>
        <c:crosses val="autoZero"/>
        <c:auto val="true"/>
        <c:lblAlgn val="ctr"/>
        <c:lblOffset val="100"/>
        <c:noMultiLvlLbl val="false"/>
      </c:catAx>
      <c:valAx>
        <c:axId val="142864384"/>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2858496"/>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autoTitleDeleted val="true"/>
    <c:plotArea>
      <c:layout>
        <c:manualLayout>
          <c:layoutTarget val="inner"/>
          <c:xMode val="edge"/>
          <c:yMode val="edge"/>
          <c:x val="0.077018605277278"/>
          <c:y val="0.0458308346131656"/>
          <c:w val="0.792318047289599"/>
          <c:h val="0.847475195631507"/>
        </c:manualLayout>
      </c:layout>
      <c:barChart>
        <c:barDir val="col"/>
        <c:grouping val="clustered"/>
        <c:varyColors val="false"/>
        <c:ser>
          <c:idx val="0"/>
          <c:order val="0"/>
          <c:tx>
            <c:strRef>
              <c:f>Sheet1!$B$1</c:f>
              <c:strCache>
                <c:ptCount val="1"/>
                <c:pt idx="0">
                  <c:v>2019</c:v>
                </c:pt>
              </c:strCache>
            </c:strRef>
          </c:tx>
          <c:invertIfNegative val="false"/>
          <c:dLbls>
            <c:delete val="true"/>
          </c:dLbls>
          <c:cat>
            <c:strRef>
              <c:f>Sheet1!$A$2</c:f>
              <c:strCache>
                <c:ptCount val="1"/>
                <c:pt idx="0">
                  <c:v>一般公共预算财政拨款支出</c:v>
                </c:pt>
              </c:strCache>
            </c:strRef>
          </c:cat>
          <c:val>
            <c:numRef>
              <c:f>Sheet1!$B$2</c:f>
              <c:numCache>
                <c:formatCode>General</c:formatCode>
                <c:ptCount val="1"/>
                <c:pt idx="0">
                  <c:v>519.6</c:v>
                </c:pt>
              </c:numCache>
            </c:numRef>
          </c:val>
        </c:ser>
        <c:ser>
          <c:idx val="1"/>
          <c:order val="1"/>
          <c:tx>
            <c:strRef>
              <c:f>Sheet1!$C$1</c:f>
              <c:strCache>
                <c:ptCount val="1"/>
                <c:pt idx="0">
                  <c:v>2020</c:v>
                </c:pt>
              </c:strCache>
            </c:strRef>
          </c:tx>
          <c:invertIfNegative val="false"/>
          <c:dLbls>
            <c:delete val="true"/>
          </c:dLbls>
          <c:cat>
            <c:strRef>
              <c:f>Sheet1!$A$2</c:f>
              <c:strCache>
                <c:ptCount val="1"/>
                <c:pt idx="0">
                  <c:v>一般公共预算财政拨款支出</c:v>
                </c:pt>
              </c:strCache>
            </c:strRef>
          </c:cat>
          <c:val>
            <c:numRef>
              <c:f>Sheet1!$C$2</c:f>
              <c:numCache>
                <c:formatCode>General</c:formatCode>
                <c:ptCount val="1"/>
                <c:pt idx="0">
                  <c:v>497.41</c:v>
                </c:pt>
              </c:numCache>
            </c:numRef>
          </c:val>
        </c:ser>
        <c:dLbls>
          <c:showLegendKey val="false"/>
          <c:showVal val="false"/>
          <c:showCatName val="false"/>
          <c:showSerName val="false"/>
          <c:showPercent val="false"/>
          <c:showBubbleSize val="false"/>
        </c:dLbls>
        <c:gapWidth val="150"/>
        <c:axId val="143155584"/>
        <c:axId val="143157120"/>
      </c:barChart>
      <c:catAx>
        <c:axId val="143155584"/>
        <c:scaling>
          <c:orientation val="minMax"/>
        </c:scaling>
        <c:delete val="false"/>
        <c:axPos val="b"/>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3157120"/>
        <c:crosses val="autoZero"/>
        <c:auto val="true"/>
        <c:lblAlgn val="ctr"/>
        <c:lblOffset val="100"/>
        <c:noMultiLvlLbl val="false"/>
      </c:catAx>
      <c:valAx>
        <c:axId val="143157120"/>
        <c:scaling>
          <c:orientation val="minMax"/>
        </c:scaling>
        <c:delete val="false"/>
        <c:axPos val="l"/>
        <c:majorGridlines/>
        <c:numFmt formatCode="General" sourceLinked="true"/>
        <c:majorTickMark val="out"/>
        <c:minorTickMark val="none"/>
        <c:tickLblPos val="nextTo"/>
        <c:txPr>
          <a:bodyPr rot="-6000000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crossAx val="143155584"/>
        <c:crosses val="autoZero"/>
        <c:crossBetween val="between"/>
      </c:valAx>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txPr>
        <a:bodyPr rot="0" spcFirstLastPara="0" vertOverflow="ellipsis" vert="horz" wrap="square" anchor="ctr" anchorCtr="true"/>
        <a:lstStyle/>
        <a:p>
          <a:pPr>
            <a:defRPr lang="zh-CN" sz="1800" b="1" i="0" u="none" strike="noStrike" kern="1200" baseline="0">
              <a:solidFill>
                <a:schemeClr val="tx1"/>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c:v>
                </c:pt>
              </c:strCache>
            </c:strRef>
          </c:tx>
          <c:explosion val="0"/>
          <c:dPt>
            <c:idx val="0"/>
            <c:bubble3D val="false"/>
          </c:dPt>
          <c:dPt>
            <c:idx val="1"/>
            <c:bubble3D val="false"/>
          </c:dPt>
          <c:dPt>
            <c:idx val="2"/>
            <c:bubble3D val="false"/>
          </c:dPt>
          <c:dPt>
            <c:idx val="3"/>
            <c:bubble3D val="false"/>
          </c:dPt>
          <c:dPt>
            <c:idx val="4"/>
            <c:bubble3D val="false"/>
          </c:dPt>
          <c:dLbls>
            <c:delete val="true"/>
          </c:dLbls>
          <c:cat>
            <c:strRef>
              <c:f>Sheet1!$A$2:$A$6</c:f>
              <c:strCache>
                <c:ptCount val="5"/>
                <c:pt idx="0">
                  <c:v>教育支出</c:v>
                </c:pt>
                <c:pt idx="1">
                  <c:v>社会保障和就业</c:v>
                </c:pt>
                <c:pt idx="2">
                  <c:v>卫生健康支出</c:v>
                </c:pt>
                <c:pt idx="3">
                  <c:v>城乡社区支出</c:v>
                </c:pt>
                <c:pt idx="4">
                  <c:v>住房保障支出</c:v>
                </c:pt>
              </c:strCache>
            </c:strRef>
          </c:cat>
          <c:val>
            <c:numRef>
              <c:f>Sheet1!$B$2:$B$6</c:f>
              <c:numCache>
                <c:formatCode>General</c:formatCode>
                <c:ptCount val="5"/>
                <c:pt idx="0">
                  <c:v>0.99</c:v>
                </c:pt>
                <c:pt idx="1">
                  <c:v>57.03</c:v>
                </c:pt>
                <c:pt idx="2">
                  <c:v>29.3</c:v>
                </c:pt>
                <c:pt idx="3">
                  <c:v>376.4</c:v>
                </c:pt>
                <c:pt idx="4">
                  <c:v>33.69</c:v>
                </c:pt>
              </c:numCache>
            </c:numRef>
          </c:val>
        </c:ser>
        <c:dLbls>
          <c:showLegendKey val="false"/>
          <c:showVal val="false"/>
          <c:showCatName val="false"/>
          <c:showSerName val="false"/>
          <c:showPercent val="false"/>
          <c:showBubbleSize val="false"/>
          <c:showLeaderLines val="true"/>
        </c:dLbls>
        <c:firstSliceAng val="0"/>
      </c:pieChart>
    </c:plotArea>
    <c:legend>
      <c:legendPos val="r"/>
      <c:layout/>
      <c:overlay val="false"/>
      <c:txPr>
        <a:bodyPr rot="0" spcFirstLastPara="0" vertOverflow="ellipsis" vert="horz" wrap="square" anchor="ctr" anchorCtr="true"/>
        <a:lstStyle/>
        <a:p>
          <a:pPr>
            <a:defRPr lang="zh-CN" sz="1000" b="0" i="0" u="none" strike="noStrike" kern="1200" baseline="0">
              <a:solidFill>
                <a:schemeClr val="tx1"/>
              </a:solidFill>
              <a:latin typeface="+mn-lt"/>
              <a:ea typeface="+mn-ea"/>
              <a:cs typeface="+mn-cs"/>
            </a:defRPr>
          </a:pPr>
        </a:p>
      </c:txPr>
    </c:legend>
    <c:plotVisOnly val="true"/>
    <c:dispBlanksAs val="gap"/>
    <c:showDLblsOverMax val="false"/>
  </c:chart>
  <c:txPr>
    <a:bodyPr/>
    <a:lstStyle/>
    <a:p>
      <a:pPr>
        <a:defRPr lang="zh-CN"/>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5442</Words>
  <Characters>644</Characters>
  <Lines>5</Lines>
  <Paragraphs>12</Paragraphs>
  <TotalTime>61</TotalTime>
  <ScaleCrop>false</ScaleCrop>
  <LinksUpToDate>false</LinksUpToDate>
  <CharactersWithSpaces>6074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2021-08-26T17:04:00Z</dcterms:created>
  <dc:creator>曹颖</dc:creator>
  <cp:lastModifiedBy>user</cp:lastModifiedBy>
  <cp:lastPrinted>2021-08-17T16:06:00Z</cp:lastPrinted>
  <dcterms:modified xsi:type="dcterms:W3CDTF">2022-11-11T12:18:51Z</dcterms:modified>
  <dc:title>四川省***</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