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7193"/>
      <w:bookmarkStart w:id="3" w:name="_Toc15378441"/>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96598"/>
      <w:bookmarkStart w:id="8" w:name="_Toc15377426"/>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建设建材工会委员会</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lang w:eastAsia="zh-CN"/>
        </w:rPr>
        <w:t>二、</w:t>
      </w:r>
      <w:r>
        <w:rPr>
          <w:rFonts w:hint="eastAsia"/>
          <w:color w:val="auto"/>
          <w:sz w:val="24"/>
          <w:highlight w:val="none"/>
          <w:lang w:val="en-US" w:eastAsia="zh-CN"/>
        </w:rPr>
        <w:t>2021年重点</w:t>
      </w:r>
      <w:r>
        <w:rPr>
          <w:rFonts w:hint="eastAsia"/>
          <w:color w:val="auto"/>
          <w:sz w:val="24"/>
          <w:highlight w:val="none"/>
        </w:rPr>
        <w:t>工作</w:t>
      </w:r>
      <w:r>
        <w:rPr>
          <w:rFonts w:hint="eastAsia"/>
          <w:color w:val="auto"/>
          <w:sz w:val="24"/>
          <w:highlight w:val="none"/>
          <w:lang w:eastAsia="zh-CN"/>
        </w:rPr>
        <w:t>完成情况</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三、机构设置情况</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12"/>
      <w:bookmarkEnd w:id="13"/>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eastAsia="zh-CN"/>
        </w:rPr>
      </w:pPr>
      <w:bookmarkStart w:id="14" w:name="_Toc15377197"/>
      <w:bookmarkStart w:id="15" w:name="_Toc15396600"/>
      <w:r>
        <w:rPr>
          <w:rFonts w:hint="eastAsia" w:ascii="黑体" w:hAnsi="黑体" w:eastAsia="黑体" w:cs="黑体"/>
          <w:color w:val="auto"/>
          <w:sz w:val="32"/>
          <w:szCs w:val="32"/>
          <w:highlight w:val="none"/>
        </w:rPr>
        <w:t>一、职能</w:t>
      </w:r>
      <w:r>
        <w:rPr>
          <w:rFonts w:hint="eastAsia" w:ascii="黑体" w:hAnsi="黑体" w:eastAsia="黑体" w:cs="黑体"/>
          <w:color w:val="auto"/>
          <w:sz w:val="32"/>
          <w:szCs w:val="32"/>
          <w:highlight w:val="none"/>
          <w:lang w:eastAsia="zh-CN"/>
        </w:rPr>
        <w:t>简介</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1.参与涉及本产业职工切身利益重大问题的法规和政策的研究制定，维护本产业职工的合法权益。</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2．组织动员职工开展具有本产业特点的劳动竞赛、合理化建议和技术协作、技术革新等活动。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3.检查监督职工劳动保护、安全生产等法律、法规和政策措施的执行情况。</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4．掌握本产业职工思想动态，协同有关部门抓好职工的职业道德、职业责任、职业纪律、职业技术的培训教育，提高职工队伍素质。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5.领导四川省住房和城乡建设厅直属单位工会和有关省管企事业单位工会工作，指导地方产业和有关行业、组织、企业工会工作，负责本产业和有关行业、组织企业工会干部的培训工作。</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6.根据四川省总工会的统一安排，开展产业工会的国际活动。</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7.承担四川省住房和城乡建设厅党组和省总工会交办的其他事项。</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8.审议和批准常务委员会的工作报告，研究决定四川省建设建材工会委员会的工作方针、任务以及其它重大问题。</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9.选举四川省建设建材工会委员会主席、副主席和常务委员会委员，确认委员替补、增补等事项。</w:t>
      </w:r>
      <w:bookmarkEnd w:id="14"/>
      <w:bookmarkEnd w:id="15"/>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二、重点工作完成情况</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eastAsia="zh-TW"/>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广泛开展劳动技能竞赛活动。</w:t>
      </w:r>
      <w:r>
        <w:rPr>
          <w:rFonts w:hint="eastAsia" w:ascii="仿宋" w:hAnsi="仿宋" w:eastAsia="仿宋" w:cs="仿宋"/>
          <w:sz w:val="32"/>
          <w:szCs w:val="32"/>
          <w:lang w:val="zh-TW" w:eastAsia="zh-TW"/>
        </w:rPr>
        <w:t>以“建功‘十四五’</w:t>
      </w:r>
      <w:r>
        <w:rPr>
          <w:rFonts w:hint="eastAsia" w:ascii="仿宋" w:hAnsi="仿宋" w:eastAsia="仿宋" w:cs="仿宋"/>
          <w:sz w:val="32"/>
          <w:szCs w:val="32"/>
        </w:rPr>
        <w:t xml:space="preserve"> </w:t>
      </w:r>
      <w:r>
        <w:rPr>
          <w:rFonts w:hint="eastAsia" w:ascii="仿宋" w:hAnsi="仿宋" w:eastAsia="仿宋" w:cs="仿宋"/>
          <w:sz w:val="32"/>
          <w:szCs w:val="32"/>
          <w:lang w:val="zh-TW" w:eastAsia="zh-TW"/>
        </w:rPr>
        <w:t>奋进新征程</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为主题，突出技术引领</w:t>
      </w:r>
      <w:r>
        <w:rPr>
          <w:rFonts w:hint="eastAsia" w:ascii="仿宋" w:hAnsi="仿宋" w:eastAsia="仿宋" w:cs="仿宋"/>
          <w:sz w:val="32"/>
          <w:szCs w:val="32"/>
          <w:lang w:val="zh-TW"/>
        </w:rPr>
        <w:t>。</w:t>
      </w:r>
      <w:r>
        <w:rPr>
          <w:rFonts w:hint="eastAsia" w:ascii="仿宋" w:hAnsi="仿宋" w:eastAsia="仿宋" w:cs="仿宋"/>
          <w:b/>
          <w:sz w:val="32"/>
          <w:szCs w:val="32"/>
        </w:rPr>
        <w:t>一是</w:t>
      </w:r>
      <w:r>
        <w:rPr>
          <w:rFonts w:hint="eastAsia" w:ascii="仿宋" w:hAnsi="仿宋" w:eastAsia="仿宋" w:cs="仿宋"/>
          <w:sz w:val="32"/>
          <w:szCs w:val="32"/>
        </w:rPr>
        <w:t>承办了第七届四川省职工职业技能大赛砌筑工决赛。第七届四川省</w:t>
      </w:r>
      <w:r>
        <w:rPr>
          <w:rFonts w:hint="eastAsia" w:ascii="仿宋" w:hAnsi="仿宋" w:eastAsia="仿宋" w:cs="仿宋"/>
          <w:sz w:val="32"/>
          <w:szCs w:val="32"/>
          <w:lang w:val="zh-TW" w:eastAsia="zh-TW"/>
        </w:rPr>
        <w:t>职工职业技能大赛由省总工会、人力资源和社会保障厅、经济和信息化厅、科学技术厅、住房城乡建设厅、公安厅、省通信管理局联合主办，省建设建材工会承办六个工种之一的砌筑工比赛，共有来自全省各市（州）以及相关企业的16支队伍36名选手参赛。</w:t>
      </w:r>
      <w:r>
        <w:rPr>
          <w:rFonts w:hint="eastAsia" w:ascii="仿宋" w:hAnsi="仿宋" w:eastAsia="仿宋" w:cs="仿宋"/>
          <w:b/>
          <w:sz w:val="32"/>
          <w:szCs w:val="32"/>
        </w:rPr>
        <w:t>二是</w:t>
      </w:r>
      <w:r>
        <w:rPr>
          <w:rFonts w:hint="eastAsia" w:ascii="仿宋" w:hAnsi="仿宋" w:eastAsia="仿宋" w:cs="仿宋"/>
          <w:sz w:val="32"/>
          <w:szCs w:val="32"/>
          <w:lang w:val="zh-TW" w:eastAsia="zh-TW"/>
        </w:rPr>
        <w:t>组织全省职工职业技能砌筑工比赛选拔出的4名优秀选手参加第七届全国职工职业技能大赛砌筑工比赛。为在国赛取得良好成绩，对参赛选手集中进行了赛前集中培训</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四川代表队砌筑工赛项取得全国团体第四的好成绩。</w:t>
      </w:r>
      <w:r>
        <w:rPr>
          <w:rFonts w:hint="eastAsia" w:ascii="仿宋" w:hAnsi="仿宋" w:eastAsia="仿宋" w:cs="仿宋"/>
          <w:b/>
          <w:sz w:val="32"/>
          <w:szCs w:val="32"/>
        </w:rPr>
        <w:t>三是</w:t>
      </w:r>
      <w:r>
        <w:rPr>
          <w:rFonts w:hint="eastAsia" w:ascii="仿宋" w:hAnsi="仿宋" w:eastAsia="仿宋" w:cs="仿宋"/>
          <w:sz w:val="32"/>
          <w:szCs w:val="32"/>
          <w:lang w:val="zh-TW" w:eastAsia="zh-TW"/>
        </w:rPr>
        <w:t>开展中国民航飞行学院天府校区重点项目劳动竞赛。为激励广大职工积极投身中国民航飞行学院天府校区建设主战场，省建设建材工会主办</w:t>
      </w:r>
      <w:r>
        <w:rPr>
          <w:rFonts w:hint="eastAsia" w:ascii="仿宋" w:hAnsi="仿宋" w:eastAsia="仿宋" w:cs="仿宋"/>
          <w:sz w:val="32"/>
          <w:szCs w:val="32"/>
          <w:lang w:val="zh-TW"/>
        </w:rPr>
        <w:t>了</w:t>
      </w:r>
      <w:r>
        <w:rPr>
          <w:rFonts w:hint="eastAsia" w:ascii="仿宋" w:hAnsi="仿宋" w:eastAsia="仿宋" w:cs="仿宋"/>
          <w:sz w:val="32"/>
          <w:szCs w:val="32"/>
          <w:lang w:val="zh-TW" w:eastAsia="zh-TW"/>
        </w:rPr>
        <w:t>以“‘建功十四五 奋进新征程’——助力高飞梦”为主题的重点项目劳动竞赛</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厅党组成员</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机关党委书记孔燕</w:t>
      </w:r>
      <w:r>
        <w:rPr>
          <w:rFonts w:hint="eastAsia" w:ascii="仿宋" w:hAnsi="仿宋" w:eastAsia="仿宋" w:cs="仿宋"/>
          <w:sz w:val="32"/>
          <w:szCs w:val="32"/>
          <w:lang w:val="zh-TW"/>
        </w:rPr>
        <w:t>及</w:t>
      </w:r>
      <w:r>
        <w:rPr>
          <w:rFonts w:hint="eastAsia" w:ascii="仿宋" w:hAnsi="仿宋" w:eastAsia="仿宋" w:cs="仿宋"/>
          <w:sz w:val="32"/>
          <w:szCs w:val="32"/>
          <w:lang w:val="zh-TW" w:eastAsia="zh-TW"/>
        </w:rPr>
        <w:t>省总工会相关领导到场指导。</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eastAsia="zh-TW"/>
        </w:rPr>
      </w:pPr>
      <w:r>
        <w:rPr>
          <w:rFonts w:hint="eastAsia" w:ascii="仿宋" w:hAnsi="仿宋" w:eastAsia="仿宋" w:cs="仿宋"/>
          <w:b/>
          <w:bCs/>
          <w:sz w:val="32"/>
          <w:szCs w:val="32"/>
        </w:rPr>
        <w:t>2.大力弘扬劳模工匠精神。</w:t>
      </w:r>
      <w:r>
        <w:rPr>
          <w:rFonts w:hint="eastAsia" w:ascii="仿宋" w:hAnsi="仿宋" w:eastAsia="仿宋" w:cs="仿宋"/>
          <w:sz w:val="32"/>
          <w:szCs w:val="32"/>
          <w:lang w:val="zh-TW" w:eastAsia="zh-TW"/>
        </w:rPr>
        <w:t>努力在系统营造“</w:t>
      </w:r>
      <w:r>
        <w:rPr>
          <w:rFonts w:hint="eastAsia" w:ascii="仿宋" w:hAnsi="仿宋" w:eastAsia="仿宋" w:cs="仿宋"/>
          <w:sz w:val="32"/>
          <w:szCs w:val="32"/>
          <w:lang w:val="zh-CN" w:eastAsia="zh-TW"/>
        </w:rPr>
        <w:t>劳动最光荣、劳动最崇高、劳动最伟大、劳动最美丽</w:t>
      </w:r>
      <w:r>
        <w:rPr>
          <w:rFonts w:hint="eastAsia" w:ascii="仿宋" w:hAnsi="仿宋" w:eastAsia="仿宋" w:cs="仿宋"/>
          <w:sz w:val="32"/>
          <w:szCs w:val="32"/>
          <w:lang w:val="zh-TW" w:eastAsia="zh-TW"/>
        </w:rPr>
        <w:t>”的</w:t>
      </w:r>
      <w:r>
        <w:rPr>
          <w:rFonts w:hint="eastAsia" w:ascii="仿宋" w:hAnsi="仿宋" w:eastAsia="仿宋" w:cs="仿宋"/>
          <w:sz w:val="32"/>
          <w:szCs w:val="32"/>
          <w:lang w:val="zh-CN" w:eastAsia="zh-TW"/>
        </w:rPr>
        <w:t>浓厚氛围</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着力推动劳模精神、劳动精神、工匠精神进工地、进班组，</w:t>
      </w:r>
      <w:r>
        <w:rPr>
          <w:rFonts w:hint="eastAsia" w:ascii="仿宋" w:hAnsi="仿宋" w:eastAsia="仿宋" w:cs="仿宋"/>
          <w:sz w:val="32"/>
          <w:szCs w:val="32"/>
          <w:lang w:val="zh-CN" w:eastAsia="zh-TW"/>
        </w:rPr>
        <w:t>积极</w:t>
      </w:r>
      <w:r>
        <w:rPr>
          <w:rFonts w:hint="eastAsia" w:ascii="仿宋" w:hAnsi="仿宋" w:eastAsia="仿宋" w:cs="仿宋"/>
          <w:sz w:val="32"/>
          <w:szCs w:val="32"/>
          <w:lang w:val="zh-TW" w:eastAsia="zh-TW"/>
        </w:rPr>
        <w:t>为劳动模范和工匠人才发挥作用搭建平台、提供舞台，推进劳模、工匠和人才创新工作室创建工作</w:t>
      </w:r>
      <w:r>
        <w:rPr>
          <w:rFonts w:hint="eastAsia" w:ascii="仿宋" w:hAnsi="仿宋" w:eastAsia="仿宋" w:cs="仿宋"/>
          <w:sz w:val="32"/>
          <w:szCs w:val="32"/>
          <w:lang w:val="zh-CN"/>
        </w:rPr>
        <w:t>。经省建设建材工会</w:t>
      </w:r>
      <w:r>
        <w:rPr>
          <w:rFonts w:hint="eastAsia" w:ascii="仿宋" w:hAnsi="仿宋" w:eastAsia="仿宋" w:cs="仿宋"/>
          <w:sz w:val="32"/>
          <w:szCs w:val="32"/>
          <w:lang w:val="zh-TW" w:eastAsia="zh-TW"/>
        </w:rPr>
        <w:t>评选并申报，中建五局三公司四川分公司</w:t>
      </w:r>
      <w:r>
        <w:rPr>
          <w:rFonts w:hint="eastAsia" w:ascii="仿宋" w:hAnsi="仿宋" w:eastAsia="仿宋" w:cs="仿宋"/>
          <w:sz w:val="32"/>
          <w:szCs w:val="32"/>
          <w:lang w:val="zh-TW"/>
        </w:rPr>
        <w:t>获得</w:t>
      </w:r>
      <w:r>
        <w:rPr>
          <w:rFonts w:hint="eastAsia" w:ascii="仿宋" w:hAnsi="仿宋" w:eastAsia="仿宋" w:cs="仿宋"/>
          <w:sz w:val="32"/>
          <w:szCs w:val="32"/>
          <w:lang w:val="zh-TW" w:eastAsia="zh-TW"/>
        </w:rPr>
        <w:t>全国五一劳动奖状，中建二局三公司西南分公司陈军获得全国五一劳动奖章，中建二局四川分公司获得四川省五一劳动奖状，中建西部建设西南有限公司谭勇获四川省五一劳动奖章，中建西南设计研究体育建筑设计研究中心获四川省工人先锋号，中国电力工程顾问集团西南电力设计院余波、四川石油天然气建设工程有限公司杨平、中建四局三公司总承包公司肖玉锋获第三届“四川工匠”称号。</w:t>
      </w:r>
    </w:p>
    <w:p>
      <w:pPr>
        <w:pStyle w:val="12"/>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eastAsia" w:ascii="仿宋" w:hAnsi="仿宋" w:eastAsia="仿宋" w:cs="仿宋"/>
          <w:sz w:val="32"/>
          <w:szCs w:val="32"/>
          <w:lang w:val="zh-TW"/>
        </w:rPr>
      </w:pPr>
      <w:r>
        <w:rPr>
          <w:rFonts w:hint="eastAsia" w:ascii="仿宋" w:hAnsi="仿宋" w:eastAsia="仿宋" w:cs="仿宋"/>
          <w:b/>
          <w:bCs/>
          <w:sz w:val="32"/>
          <w:szCs w:val="32"/>
          <w:lang w:val="zh-TW"/>
        </w:rPr>
        <w:t>3.积极</w:t>
      </w:r>
      <w:r>
        <w:rPr>
          <w:rFonts w:hint="eastAsia" w:ascii="仿宋" w:hAnsi="仿宋" w:eastAsia="仿宋" w:cs="仿宋"/>
          <w:b/>
          <w:bCs/>
          <w:sz w:val="32"/>
          <w:szCs w:val="32"/>
          <w:lang w:val="zh-TW" w:eastAsia="zh-TW"/>
        </w:rPr>
        <w:t>深化产业工人队伍建设改革。</w:t>
      </w:r>
      <w:r>
        <w:rPr>
          <w:rFonts w:hint="eastAsia" w:ascii="仿宋" w:hAnsi="仿宋" w:eastAsia="仿宋" w:cs="仿宋"/>
          <w:sz w:val="32"/>
          <w:szCs w:val="32"/>
          <w:lang w:val="zh-TW" w:eastAsia="zh-TW"/>
        </w:rPr>
        <w:t>省建设建材工会多次召开专题会研究产业工人队伍建设改革方案推进落实情况；多次在工会全委会、常委会上安排布署贯彻工会改革任务；多次下发文件，要求全省建设建材各级工会组织</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充分认识产业工人队伍建设改革的重大意义</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高度重视产业工人队伍建设改革，认真做好产业工人队伍建设改革工作。</w:t>
      </w:r>
      <w:r>
        <w:rPr>
          <w:rFonts w:hint="eastAsia" w:ascii="仿宋" w:hAnsi="仿宋" w:eastAsia="仿宋" w:cs="仿宋"/>
          <w:b/>
          <w:sz w:val="32"/>
          <w:szCs w:val="32"/>
          <w:lang w:val="zh-TW" w:eastAsia="zh-TW"/>
        </w:rPr>
        <w:t>一是</w:t>
      </w:r>
      <w:r>
        <w:rPr>
          <w:rFonts w:hint="eastAsia" w:ascii="仿宋" w:hAnsi="仿宋" w:eastAsia="仿宋" w:cs="仿宋"/>
          <w:sz w:val="32"/>
          <w:szCs w:val="32"/>
          <w:lang w:val="zh-TW" w:eastAsia="zh-TW"/>
        </w:rPr>
        <w:t>着力在健全产业工人主人翁地位上下功夫</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98名委员中，有35名是基层一线职工和劳模先进代表，一线职工代表和劳模先进的比例超过了规定下限</w:t>
      </w:r>
      <w:r>
        <w:rPr>
          <w:rFonts w:hint="eastAsia" w:ascii="仿宋" w:hAnsi="仿宋" w:eastAsia="仿宋" w:cs="仿宋"/>
          <w:sz w:val="32"/>
          <w:szCs w:val="32"/>
          <w:lang w:val="zh-TW"/>
        </w:rPr>
        <w:t>30%达到</w:t>
      </w:r>
      <w:r>
        <w:rPr>
          <w:rFonts w:hint="eastAsia" w:ascii="仿宋" w:hAnsi="仿宋" w:eastAsia="仿宋" w:cs="仿宋"/>
          <w:sz w:val="32"/>
          <w:szCs w:val="32"/>
          <w:lang w:val="zh-TW" w:eastAsia="zh-TW"/>
        </w:rPr>
        <w:t>3</w:t>
      </w:r>
      <w:r>
        <w:rPr>
          <w:rFonts w:hint="eastAsia" w:ascii="仿宋" w:hAnsi="仿宋" w:eastAsia="仿宋" w:cs="仿宋"/>
          <w:sz w:val="32"/>
          <w:szCs w:val="32"/>
          <w:lang w:val="zh-TW"/>
        </w:rPr>
        <w:t>5</w:t>
      </w:r>
      <w:r>
        <w:rPr>
          <w:rFonts w:hint="eastAsia" w:ascii="仿宋" w:hAnsi="仿宋" w:eastAsia="仿宋" w:cs="仿宋"/>
          <w:sz w:val="32"/>
          <w:szCs w:val="32"/>
          <w:lang w:val="zh-TW" w:eastAsia="zh-TW"/>
        </w:rPr>
        <w:t>%。23名常务委员中，有</w:t>
      </w:r>
      <w:r>
        <w:rPr>
          <w:rFonts w:hint="eastAsia" w:ascii="仿宋" w:hAnsi="仿宋" w:eastAsia="仿宋" w:cs="仿宋"/>
          <w:sz w:val="32"/>
          <w:szCs w:val="32"/>
          <w:lang w:val="zh-TW"/>
        </w:rPr>
        <w:t>10名是基层一线职工和劳模先进代表，</w:t>
      </w:r>
      <w:r>
        <w:rPr>
          <w:rFonts w:hint="eastAsia" w:ascii="仿宋" w:hAnsi="仿宋" w:eastAsia="仿宋" w:cs="仿宋"/>
          <w:sz w:val="32"/>
          <w:szCs w:val="32"/>
          <w:lang w:val="zh-TW" w:eastAsia="zh-TW"/>
        </w:rPr>
        <w:t>一线职工代表和劳模先进的比例超过了规定下限的20%达到</w:t>
      </w:r>
      <w:r>
        <w:rPr>
          <w:rFonts w:hint="eastAsia" w:ascii="仿宋" w:hAnsi="仿宋" w:eastAsia="仿宋" w:cs="仿宋"/>
          <w:sz w:val="32"/>
          <w:szCs w:val="32"/>
          <w:lang w:val="zh-TW"/>
        </w:rPr>
        <w:t>43%</w:t>
      </w:r>
      <w:r>
        <w:rPr>
          <w:rFonts w:hint="eastAsia" w:ascii="仿宋" w:hAnsi="仿宋" w:eastAsia="仿宋" w:cs="仿宋"/>
          <w:sz w:val="32"/>
          <w:szCs w:val="32"/>
          <w:lang w:val="zh-TW" w:eastAsia="zh-TW"/>
        </w:rPr>
        <w:t>。</w:t>
      </w:r>
      <w:r>
        <w:rPr>
          <w:rFonts w:hint="eastAsia" w:ascii="仿宋" w:hAnsi="仿宋" w:eastAsia="仿宋" w:cs="仿宋"/>
          <w:b/>
          <w:sz w:val="32"/>
          <w:szCs w:val="32"/>
          <w:lang w:val="zh-TW" w:eastAsia="zh-TW"/>
        </w:rPr>
        <w:t>二是</w:t>
      </w:r>
      <w:r>
        <w:rPr>
          <w:rFonts w:hint="eastAsia" w:ascii="仿宋" w:hAnsi="仿宋" w:eastAsia="仿宋" w:cs="仿宋"/>
          <w:sz w:val="32"/>
          <w:szCs w:val="32"/>
          <w:lang w:val="zh-TW"/>
        </w:rPr>
        <w:t>积极开展</w:t>
      </w:r>
      <w:r>
        <w:rPr>
          <w:rFonts w:hint="eastAsia" w:ascii="仿宋" w:hAnsi="仿宋" w:eastAsia="仿宋" w:cs="仿宋"/>
          <w:sz w:val="32"/>
          <w:szCs w:val="32"/>
          <w:lang w:val="zh-TW" w:eastAsia="zh-TW"/>
        </w:rPr>
        <w:t>建会入会工作</w:t>
      </w:r>
      <w:r>
        <w:rPr>
          <w:rFonts w:hint="eastAsia" w:ascii="仿宋" w:hAnsi="仿宋" w:eastAsia="仿宋" w:cs="仿宋"/>
          <w:sz w:val="32"/>
          <w:szCs w:val="32"/>
          <w:lang w:val="zh-TW"/>
        </w:rPr>
        <w:t>，把产业工人组织到工会中来，更好的维权服务</w:t>
      </w:r>
      <w:r>
        <w:rPr>
          <w:rFonts w:hint="eastAsia" w:ascii="仿宋" w:hAnsi="仿宋" w:eastAsia="仿宋" w:cs="仿宋"/>
          <w:sz w:val="32"/>
          <w:szCs w:val="32"/>
          <w:lang w:val="zh-TW" w:eastAsia="zh-TW"/>
        </w:rPr>
        <w:t>。</w:t>
      </w:r>
      <w:r>
        <w:rPr>
          <w:rFonts w:hint="eastAsia" w:ascii="仿宋" w:hAnsi="仿宋" w:eastAsia="仿宋" w:cs="仿宋"/>
          <w:b/>
          <w:sz w:val="32"/>
          <w:szCs w:val="32"/>
          <w:lang w:val="zh-TW" w:eastAsia="zh-TW"/>
        </w:rPr>
        <w:t>三是</w:t>
      </w:r>
      <w:r>
        <w:rPr>
          <w:rFonts w:hint="eastAsia" w:ascii="仿宋" w:hAnsi="仿宋" w:eastAsia="仿宋" w:cs="仿宋"/>
          <w:sz w:val="32"/>
          <w:szCs w:val="32"/>
          <w:lang w:val="zh-TW" w:eastAsia="zh-TW"/>
        </w:rPr>
        <w:t>加强工会网络学习平台建设，优化数字学习环境，促进线上线下学习平台融合，满足广大产业工人个性化学习需求</w:t>
      </w:r>
      <w:r>
        <w:rPr>
          <w:rFonts w:hint="eastAsia" w:ascii="仿宋" w:hAnsi="仿宋" w:eastAsia="仿宋" w:cs="仿宋"/>
          <w:sz w:val="32"/>
          <w:szCs w:val="32"/>
          <w:lang w:val="zh-TW"/>
        </w:rPr>
        <w:t>。</w:t>
      </w: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p>
    <w:p>
      <w:pPr>
        <w:pStyle w:val="12"/>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黑体" w:hAnsi="黑体" w:eastAsia="黑体" w:cs="黑体"/>
          <w:color w:val="auto"/>
          <w:sz w:val="32"/>
          <w:szCs w:val="32"/>
          <w:highlight w:val="none"/>
          <w:lang w:val="en-US" w:eastAsia="zh-CN"/>
        </w:rPr>
      </w:pPr>
      <w:bookmarkStart w:id="65" w:name="_GoBack"/>
      <w:bookmarkEnd w:id="65"/>
      <w:r>
        <w:rPr>
          <w:rFonts w:hint="eastAsia" w:ascii="黑体" w:hAnsi="黑体" w:eastAsia="黑体" w:cs="黑体"/>
          <w:color w:val="auto"/>
          <w:sz w:val="32"/>
          <w:szCs w:val="32"/>
          <w:highlight w:val="none"/>
          <w:lang w:val="en-US" w:eastAsia="zh-CN"/>
        </w:rPr>
        <w:t>三、机构设置情况</w:t>
      </w:r>
    </w:p>
    <w:p>
      <w:pPr>
        <w:ind w:firstLine="960" w:firstLineChars="300"/>
        <w:rPr>
          <w:rFonts w:hint="default"/>
          <w:lang w:val="en-US" w:eastAsia="zh-CN"/>
        </w:rPr>
      </w:pPr>
      <w:r>
        <w:rPr>
          <w:rFonts w:hint="eastAsia" w:ascii="仿宋" w:hAnsi="仿宋" w:eastAsia="仿宋" w:cs="方正仿宋_GB2312"/>
          <w:bCs/>
          <w:sz w:val="32"/>
          <w:szCs w:val="32"/>
          <w:lang w:val="en-US" w:eastAsia="zh-CN"/>
        </w:rPr>
        <w:t>根据三定方案，省建设建材工会无内设机构。</w:t>
      </w:r>
    </w:p>
    <w:p>
      <w:pPr>
        <w:pageBreakBefore w:val="0"/>
        <w:widowControl/>
        <w:kinsoku/>
        <w:wordWrap/>
        <w:overflowPunct/>
        <w:topLinePunct w:val="0"/>
        <w:autoSpaceDE/>
        <w:autoSpaceDN/>
        <w:bidi w:val="0"/>
        <w:adjustRightInd/>
        <w:snapToGrid/>
        <w:spacing w:line="640" w:lineRule="exact"/>
        <w:jc w:val="left"/>
        <w:textAlignment w:val="auto"/>
        <w:rPr>
          <w:rFonts w:ascii="仿宋" w:hAnsi="仿宋" w:eastAsia="仿宋"/>
          <w:color w:val="auto"/>
          <w:sz w:val="32"/>
          <w:szCs w:val="32"/>
          <w:highlight w:val="none"/>
        </w:rPr>
      </w:pPr>
      <w:r>
        <w:rPr>
          <w:rFonts w:ascii="仿宋" w:hAnsi="仿宋" w:eastAsia="仿宋"/>
          <w:color w:val="auto"/>
          <w:sz w:val="32"/>
          <w:szCs w:val="32"/>
          <w:highlight w:val="none"/>
        </w:rPr>
        <w:br w:type="page"/>
      </w:r>
    </w:p>
    <w:p>
      <w:pPr>
        <w:pStyle w:val="3"/>
        <w:ind w:right="440" w:firstLine="440" w:firstLineChars="100"/>
        <w:jc w:val="both"/>
        <w:rPr>
          <w:rStyle w:val="28"/>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16"/>
      <w:bookmarkEnd w:id="17"/>
    </w:p>
    <w:p>
      <w:pPr>
        <w:rPr>
          <w:color w:val="auto"/>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8"/>
      <w:bookmarkEnd w:id="19"/>
    </w:p>
    <w:p>
      <w:pPr>
        <w:spacing w:line="600" w:lineRule="exact"/>
        <w:ind w:firstLine="640" w:firstLineChars="200"/>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：收入决算结构图）（饼状图）</w:t>
      </w:r>
    </w:p>
    <w:p>
      <w:pPr>
        <w:pStyle w:val="15"/>
      </w:pPr>
      <w:r>
        <w:drawing>
          <wp:inline distT="0" distB="0" distL="0" distR="0">
            <wp:extent cx="5274310" cy="3076575"/>
            <wp:effectExtent l="5080" t="4445" r="1651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_GB2312" w:eastAsia="仿宋_GB2312"/>
          <w:color w:val="auto"/>
          <w:sz w:val="32"/>
          <w:szCs w:val="32"/>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Style w:val="15"/>
      </w:pPr>
      <w:r>
        <w:drawing>
          <wp:inline distT="0" distB="0" distL="0" distR="0">
            <wp:extent cx="5274310" cy="3076575"/>
            <wp:effectExtent l="5080"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9"/>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24.71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51.43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在编人员绩效奖发放。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sz w:val="32"/>
          <w:szCs w:val="32"/>
        </w:rPr>
        <w:t>社会保障和就业（类）</w:t>
      </w:r>
      <w:r>
        <w:rPr>
          <w:rFonts w:hint="eastAsia" w:ascii="仿宋" w:hAnsi="仿宋" w:eastAsia="仿宋"/>
          <w:sz w:val="32"/>
          <w:szCs w:val="32"/>
        </w:rPr>
        <w:t>支出1</w:t>
      </w:r>
      <w:r>
        <w:rPr>
          <w:rFonts w:hint="eastAsia" w:ascii="仿宋" w:hAnsi="仿宋" w:eastAsia="仿宋"/>
          <w:sz w:val="32"/>
          <w:szCs w:val="32"/>
          <w:lang w:val="en-US" w:eastAsia="zh-CN"/>
        </w:rPr>
        <w:t>6.69</w:t>
      </w:r>
      <w:r>
        <w:rPr>
          <w:rFonts w:hint="eastAsia" w:ascii="仿宋" w:hAnsi="仿宋" w:eastAsia="仿宋"/>
          <w:sz w:val="32"/>
          <w:szCs w:val="32"/>
        </w:rPr>
        <w:t>万元，占</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94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6.68</w:t>
      </w:r>
      <w:r>
        <w:rPr>
          <w:rFonts w:hint="eastAsia" w:ascii="仿宋" w:hAnsi="仿宋" w:eastAsia="仿宋"/>
          <w:sz w:val="32"/>
          <w:szCs w:val="32"/>
        </w:rPr>
        <w:t>万元，占9.</w:t>
      </w:r>
      <w:r>
        <w:rPr>
          <w:rFonts w:hint="eastAsia" w:ascii="仿宋" w:hAnsi="仿宋" w:eastAsia="仿宋"/>
          <w:sz w:val="32"/>
          <w:szCs w:val="32"/>
          <w:lang w:val="en-US" w:eastAsia="zh-CN"/>
        </w:rPr>
        <w:t>18</w:t>
      </w:r>
      <w:r>
        <w:rPr>
          <w:rFonts w:ascii="仿宋" w:hAnsi="仿宋" w:eastAsia="仿宋"/>
          <w:sz w:val="32"/>
          <w:szCs w:val="32"/>
        </w:rPr>
        <w:t>%</w:t>
      </w:r>
      <w:r>
        <w:rPr>
          <w:rFonts w:hint="eastAsia" w:ascii="仿宋" w:hAnsi="仿宋" w:eastAsia="仿宋"/>
          <w:sz w:val="32"/>
          <w:szCs w:val="32"/>
        </w:rPr>
        <w:t>；城乡社区支出</w:t>
      </w:r>
      <w:r>
        <w:rPr>
          <w:rFonts w:hint="eastAsia" w:ascii="仿宋" w:hAnsi="仿宋" w:eastAsia="仿宋"/>
          <w:sz w:val="32"/>
          <w:szCs w:val="32"/>
          <w:lang w:val="en-US" w:eastAsia="zh-CN"/>
        </w:rPr>
        <w:t>43.39</w:t>
      </w:r>
      <w:r>
        <w:rPr>
          <w:rFonts w:hint="eastAsia" w:ascii="仿宋" w:hAnsi="仿宋" w:eastAsia="仿宋"/>
          <w:sz w:val="32"/>
          <w:szCs w:val="32"/>
        </w:rPr>
        <w:t>万元，占</w:t>
      </w:r>
      <w:r>
        <w:rPr>
          <w:rFonts w:hint="eastAsia" w:ascii="仿宋" w:hAnsi="仿宋" w:eastAsia="仿宋"/>
          <w:sz w:val="32"/>
          <w:szCs w:val="32"/>
          <w:lang w:val="en-US" w:eastAsia="zh-CN"/>
        </w:rPr>
        <w:t>59</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；住房保障支出</w:t>
      </w:r>
      <w:r>
        <w:rPr>
          <w:rFonts w:hint="eastAsia" w:ascii="仿宋" w:hAnsi="仿宋" w:eastAsia="仿宋"/>
          <w:sz w:val="32"/>
          <w:szCs w:val="32"/>
          <w:lang w:val="en-US" w:eastAsia="zh-CN"/>
        </w:rPr>
        <w:t>6</w:t>
      </w:r>
      <w:r>
        <w:rPr>
          <w:rFonts w:hint="eastAsia" w:ascii="仿宋" w:hAnsi="仿宋" w:eastAsia="仿宋"/>
          <w:sz w:val="32"/>
          <w:szCs w:val="32"/>
        </w:rPr>
        <w:t>万元，占</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25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2"/>
      </w:pPr>
      <w:r>
        <w:rPr>
          <w:rFonts w:hint="eastAsia"/>
        </w:rPr>
        <w:drawing>
          <wp:inline distT="0" distB="0" distL="0" distR="0">
            <wp:extent cx="4740275" cy="2725420"/>
            <wp:effectExtent l="4445" t="4445" r="17780" b="13335"/>
            <wp:docPr id="6" name="图表 6" descr="&#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1.社会保障和就业（类）行政事业单位养老支出（款）机关事业单位基本养老保险缴费（项）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w:t>
      </w:r>
      <w:r>
        <w:rPr>
          <w:rStyle w:val="18"/>
          <w:rFonts w:hint="eastAsia" w:ascii="仿宋" w:hAnsi="仿宋" w:eastAsia="仿宋"/>
          <w:b w:val="0"/>
          <w:bCs/>
          <w:sz w:val="32"/>
          <w:szCs w:val="32"/>
        </w:rPr>
        <w:t>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2.社会保障和就业（类）行政事业单位养老支出（款）</w:t>
      </w:r>
      <w:r>
        <w:rPr>
          <w:rFonts w:hint="eastAsia" w:ascii="仿宋" w:hAnsi="仿宋" w:eastAsia="仿宋"/>
          <w:b/>
          <w:sz w:val="32"/>
          <w:szCs w:val="32"/>
          <w:lang w:val="en-US" w:eastAsia="zh-CN"/>
        </w:rPr>
        <w:t>行政</w:t>
      </w:r>
      <w:r>
        <w:rPr>
          <w:rFonts w:hint="eastAsia" w:ascii="仿宋" w:hAnsi="仿宋" w:eastAsia="仿宋"/>
          <w:b/>
          <w:sz w:val="32"/>
          <w:szCs w:val="32"/>
        </w:rPr>
        <w:t>单位离退休（项）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10.69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3.卫生健康支出</w:t>
      </w:r>
      <w:r>
        <w:rPr>
          <w:rFonts w:hint="eastAsia" w:ascii="仿宋" w:hAnsi="仿宋" w:eastAsia="仿宋"/>
          <w:b/>
          <w:sz w:val="32"/>
          <w:szCs w:val="32"/>
        </w:rPr>
        <w:t>（类）行政事业单位医疗（款）行政单位医疗（项）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5.21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4.卫生健康支出</w:t>
      </w:r>
      <w:r>
        <w:rPr>
          <w:rFonts w:hint="eastAsia" w:ascii="仿宋" w:hAnsi="仿宋" w:eastAsia="仿宋"/>
          <w:b/>
          <w:sz w:val="32"/>
          <w:szCs w:val="32"/>
        </w:rPr>
        <w:t>（类）行政事业单位医疗（款）公务员医疗补助（项）</w:t>
      </w:r>
      <w:r>
        <w:rPr>
          <w:rStyle w:val="18"/>
          <w:rFonts w:hint="eastAsia" w:ascii="仿宋" w:hAnsi="仿宋" w:eastAsia="仿宋"/>
          <w:b w:val="0"/>
          <w:bCs/>
          <w:sz w:val="32"/>
          <w:szCs w:val="32"/>
        </w:rPr>
        <w:t>支出决算为1.</w:t>
      </w:r>
      <w:r>
        <w:rPr>
          <w:rStyle w:val="18"/>
          <w:rFonts w:hint="eastAsia" w:ascii="仿宋" w:hAnsi="仿宋" w:eastAsia="仿宋"/>
          <w:b w:val="0"/>
          <w:bCs/>
          <w:sz w:val="32"/>
          <w:szCs w:val="32"/>
          <w:lang w:val="en-US" w:eastAsia="zh-CN"/>
        </w:rPr>
        <w:t>47</w:t>
      </w:r>
      <w:r>
        <w:rPr>
          <w:rStyle w:val="18"/>
          <w:rFonts w:hint="eastAsia" w:ascii="仿宋" w:hAnsi="仿宋" w:eastAsia="仿宋"/>
          <w:b w:val="0"/>
          <w:bCs/>
          <w:sz w:val="32"/>
          <w:szCs w:val="32"/>
        </w:rPr>
        <w:t>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5.</w:t>
      </w:r>
      <w:r>
        <w:rPr>
          <w:rFonts w:hint="eastAsia" w:ascii="仿宋" w:hAnsi="仿宋" w:eastAsia="仿宋"/>
          <w:b/>
          <w:sz w:val="32"/>
          <w:szCs w:val="32"/>
        </w:rPr>
        <w:t>城乡社区支出（类）城乡社区管理事务（款）行政运行（项）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43.39</w:t>
      </w:r>
      <w:r>
        <w:rPr>
          <w:rStyle w:val="18"/>
          <w:rFonts w:hint="eastAsia" w:ascii="仿宋" w:hAnsi="仿宋" w:eastAsia="仿宋"/>
          <w:b w:val="0"/>
          <w:bCs/>
          <w:sz w:val="32"/>
          <w:szCs w:val="32"/>
        </w:rPr>
        <w:t>万元，完成预算100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r>
        <w:rPr>
          <w:rFonts w:hint="eastAsia" w:ascii="仿宋" w:hAnsi="仿宋" w:eastAsia="仿宋"/>
          <w:b/>
          <w:bCs/>
          <w:sz w:val="32"/>
          <w:szCs w:val="32"/>
        </w:rPr>
        <w:t>6.住房保障支出</w:t>
      </w:r>
      <w:r>
        <w:rPr>
          <w:rFonts w:hint="eastAsia" w:ascii="仿宋" w:hAnsi="仿宋" w:eastAsia="仿宋"/>
          <w:b/>
          <w:sz w:val="32"/>
          <w:szCs w:val="32"/>
        </w:rPr>
        <w:t>（类）住房改革支出（款）住房公积金（项）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6.00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9"/>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4"/>
      <w:bookmarkEnd w:id="35"/>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72.76</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67.31</w:t>
      </w:r>
      <w:r>
        <w:rPr>
          <w:rFonts w:hint="eastAsia" w:ascii="仿宋" w:hAnsi="仿宋" w:eastAsia="仿宋"/>
          <w:sz w:val="32"/>
          <w:szCs w:val="32"/>
        </w:rPr>
        <w:t>万元，主要包括：机关事业单位基本养老保险缴费、职工基本医疗保险缴费、公务员医疗补助缴费、住房公积金、其他工资福利支出、其他对个人和家庭的补助支出等。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sz w:val="32"/>
          <w:szCs w:val="32"/>
        </w:rPr>
        <w:t>　　公用经费</w:t>
      </w:r>
      <w:r>
        <w:rPr>
          <w:rFonts w:hint="eastAsia" w:ascii="仿宋" w:hAnsi="仿宋" w:eastAsia="仿宋"/>
          <w:sz w:val="32"/>
          <w:szCs w:val="32"/>
          <w:lang w:val="en-US" w:eastAsia="zh-CN"/>
        </w:rPr>
        <w:t>5.45</w:t>
      </w:r>
      <w:r>
        <w:rPr>
          <w:rFonts w:hint="eastAsia" w:ascii="仿宋" w:hAnsi="仿宋" w:eastAsia="仿宋"/>
          <w:sz w:val="32"/>
          <w:szCs w:val="32"/>
        </w:rPr>
        <w:t>万元，主要包括：其他交通费、其他商品和服务支出。</w:t>
      </w:r>
    </w:p>
    <w:p>
      <w:pPr>
        <w:spacing w:line="600" w:lineRule="exact"/>
        <w:ind w:firstLine="640"/>
        <w:jc w:val="left"/>
        <w:outlineLvl w:val="1"/>
        <w:rPr>
          <w:rStyle w:val="29"/>
          <w:rFonts w:ascii="黑体" w:hAnsi="黑体" w:eastAsia="黑体"/>
          <w:b w:val="0"/>
        </w:rPr>
      </w:pPr>
      <w:bookmarkStart w:id="36" w:name="_Toc15396609"/>
      <w:bookmarkStart w:id="37" w:name="_Toc15377215"/>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p>
    <w:p>
      <w:pPr>
        <w:pStyle w:val="13"/>
        <w:widowControl/>
        <w:spacing w:before="93" w:after="240" w:line="600" w:lineRule="exact"/>
        <w:ind w:right="147" w:firstLine="640" w:firstLineChars="200"/>
        <w:rPr>
          <w:rFonts w:ascii="黑体" w:eastAsia="黑体"/>
          <w:color w:val="auto"/>
          <w:sz w:val="32"/>
          <w:szCs w:val="32"/>
          <w:highlight w:val="none"/>
        </w:rPr>
      </w:pPr>
      <w:r>
        <w:rPr>
          <w:rFonts w:ascii="仿宋" w:hAnsi="仿宋" w:eastAsia="仿宋" w:cs="仿宋"/>
          <w:color w:val="000000"/>
          <w:sz w:val="32"/>
          <w:szCs w:val="32"/>
          <w:shd w:val="clear" w:color="auto" w:fill="FFFFFF"/>
        </w:rPr>
        <w:t>四川省建设建材工会委员会202</w:t>
      </w:r>
      <w:r>
        <w:rPr>
          <w:rFonts w:hint="eastAsia" w:ascii="仿宋" w:hAnsi="仿宋" w:eastAsia="仿宋" w:cs="仿宋"/>
          <w:color w:val="000000"/>
          <w:sz w:val="32"/>
          <w:szCs w:val="32"/>
          <w:shd w:val="clear" w:color="auto" w:fill="FFFFFF"/>
          <w:lang w:val="en-US" w:eastAsia="zh-CN"/>
        </w:rPr>
        <w:t>1</w:t>
      </w:r>
      <w:r>
        <w:rPr>
          <w:rFonts w:ascii="仿宋" w:hAnsi="仿宋" w:eastAsia="仿宋" w:cs="仿宋"/>
          <w:color w:val="000000"/>
          <w:sz w:val="32"/>
          <w:szCs w:val="32"/>
          <w:shd w:val="clear" w:color="auto" w:fill="FFFFFF"/>
        </w:rPr>
        <w:t>年财政拨款支出决算中无“三公”经费支出。</w:t>
      </w:r>
      <w:bookmarkEnd w:id="36"/>
      <w:bookmarkEnd w:id="37"/>
      <w:bookmarkStart w:id="38" w:name="_Toc15396610"/>
      <w:bookmarkStart w:id="39" w:name="_Toc15377218"/>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38"/>
      <w:bookmarkEnd w:id="39"/>
    </w:p>
    <w:p>
      <w:pPr>
        <w:spacing w:line="600" w:lineRule="exact"/>
        <w:ind w:firstLine="640"/>
        <w:rPr>
          <w:rFonts w:ascii="仿宋_GB2312" w:eastAsia="仿宋_GB2312"/>
          <w:color w:val="auto"/>
          <w:sz w:val="32"/>
          <w:szCs w:val="32"/>
          <w:highlight w:val="none"/>
        </w:rPr>
      </w:pPr>
      <w:r>
        <w:rPr>
          <w:rFonts w:ascii="仿宋" w:hAnsi="仿宋" w:eastAsia="仿宋" w:cs="仿宋"/>
          <w:color w:val="000000"/>
          <w:sz w:val="32"/>
          <w:szCs w:val="32"/>
          <w:shd w:val="clear" w:color="auto" w:fill="FFFFFF"/>
        </w:rPr>
        <w:t>四川省建设建材工会委员会202</w:t>
      </w:r>
      <w:r>
        <w:rPr>
          <w:rFonts w:hint="eastAsia" w:ascii="仿宋" w:hAnsi="仿宋" w:eastAsia="仿宋" w:cs="仿宋"/>
          <w:color w:val="000000"/>
          <w:sz w:val="32"/>
          <w:szCs w:val="32"/>
          <w:shd w:val="clear" w:color="auto" w:fill="FFFFFF"/>
          <w:lang w:val="en-US" w:eastAsia="zh-CN"/>
        </w:rPr>
        <w:t>1</w:t>
      </w:r>
      <w:r>
        <w:rPr>
          <w:rFonts w:ascii="仿宋" w:hAnsi="仿宋" w:eastAsia="仿宋" w:cs="仿宋"/>
          <w:color w:val="000000"/>
          <w:sz w:val="32"/>
          <w:szCs w:val="32"/>
          <w:shd w:val="clear" w:color="auto" w:fill="FFFFFF"/>
        </w:rPr>
        <w:t>年无</w:t>
      </w:r>
      <w:r>
        <w:rPr>
          <w:rFonts w:ascii="仿宋_GB2312" w:eastAsia="仿宋_GB2312"/>
          <w:sz w:val="32"/>
          <w:szCs w:val="32"/>
        </w:rPr>
        <w:t>政府性基金预算财政拨款支出</w:t>
      </w:r>
      <w:r>
        <w:rPr>
          <w:rFonts w:hint="eastAsia" w:ascii="仿宋_GB2312" w:eastAsia="仿宋_GB2312"/>
          <w:sz w:val="32"/>
          <w:szCs w:val="32"/>
          <w:lang w:eastAsia="zh-CN"/>
        </w:rPr>
        <w:t>。</w:t>
      </w:r>
    </w:p>
    <w:p>
      <w:pPr>
        <w:numPr>
          <w:ilvl w:val="0"/>
          <w:numId w:val="2"/>
        </w:numPr>
        <w:spacing w:line="600" w:lineRule="exact"/>
        <w:ind w:firstLine="640"/>
        <w:outlineLvl w:val="1"/>
        <w:rPr>
          <w:rStyle w:val="29"/>
          <w:rFonts w:ascii="黑体" w:hAnsi="黑体" w:eastAsia="黑体"/>
          <w:b w:val="0"/>
          <w:color w:val="auto"/>
          <w:highlight w:val="none"/>
        </w:rPr>
      </w:pPr>
      <w:bookmarkStart w:id="40" w:name="_Toc15396611"/>
      <w:bookmarkStart w:id="41" w:name="_Toc15377219"/>
      <w:r>
        <w:rPr>
          <w:rStyle w:val="29"/>
          <w:rFonts w:hint="eastAsia" w:ascii="黑体" w:hAnsi="黑体" w:eastAsia="黑体"/>
          <w:b w:val="0"/>
          <w:color w:val="auto"/>
          <w:highlight w:val="none"/>
        </w:rPr>
        <w:t>国有资本经营预算支出决算情况说明</w:t>
      </w:r>
      <w:bookmarkEnd w:id="40"/>
      <w:bookmarkEnd w:id="41"/>
    </w:p>
    <w:p>
      <w:pPr>
        <w:pStyle w:val="13"/>
        <w:widowControl/>
        <w:spacing w:before="93" w:after="240" w:line="600" w:lineRule="exact"/>
        <w:ind w:right="147" w:firstLine="640" w:firstLineChars="200"/>
        <w:rPr>
          <w:rFonts w:ascii="方正小标宋简体" w:hAnsi="方正小标宋简体" w:eastAsia="方正小标宋简体" w:cs="方正小标宋简体"/>
          <w:color w:val="auto"/>
          <w:sz w:val="44"/>
          <w:szCs w:val="44"/>
          <w:highlight w:val="none"/>
        </w:rPr>
      </w:pPr>
      <w:r>
        <w:rPr>
          <w:rFonts w:ascii="仿宋" w:hAnsi="仿宋" w:eastAsia="仿宋" w:cs="仿宋"/>
          <w:color w:val="000000"/>
          <w:sz w:val="32"/>
          <w:szCs w:val="32"/>
          <w:shd w:val="clear" w:color="auto" w:fill="FFFFFF"/>
        </w:rPr>
        <w:t>四川省建设建材工会委员会2020年无</w:t>
      </w:r>
      <w:r>
        <w:rPr>
          <w:rFonts w:ascii="仿宋_GB2312" w:eastAsia="仿宋_GB2312"/>
          <w:sz w:val="32"/>
          <w:szCs w:val="32"/>
        </w:rPr>
        <w:t>国有资本经营预算财政拨款支出。</w:t>
      </w:r>
    </w:p>
    <w:p>
      <w:pPr>
        <w:numPr>
          <w:ilvl w:val="0"/>
          <w:numId w:val="2"/>
        </w:numPr>
        <w:spacing w:line="600" w:lineRule="exact"/>
        <w:ind w:firstLine="640"/>
        <w:outlineLvl w:val="1"/>
        <w:rPr>
          <w:rStyle w:val="29"/>
          <w:rFonts w:hint="eastAsia" w:ascii="黑体" w:hAnsi="黑体" w:eastAsia="黑体"/>
          <w:b w:val="0"/>
          <w:color w:val="auto"/>
          <w:highlight w:val="none"/>
        </w:rPr>
      </w:pPr>
      <w:bookmarkStart w:id="42" w:name="_Toc15377221"/>
      <w:bookmarkStart w:id="43" w:name="_Toc15396612"/>
      <w:r>
        <w:rPr>
          <w:rStyle w:val="29"/>
          <w:rFonts w:hint="eastAsia" w:ascii="黑体" w:hAnsi="黑体" w:eastAsia="黑体"/>
          <w:b w:val="0"/>
          <w:color w:val="auto"/>
          <w:highlight w:val="none"/>
        </w:rPr>
        <w:t>其他重要事项的情况说明</w:t>
      </w:r>
      <w:bookmarkEnd w:id="42"/>
      <w:bookmarkEnd w:id="43"/>
    </w:p>
    <w:p>
      <w:pPr>
        <w:spacing w:line="600" w:lineRule="exact"/>
        <w:ind w:firstLine="643" w:firstLineChars="200"/>
        <w:outlineLvl w:val="2"/>
        <w:rPr>
          <w:rFonts w:ascii="仿宋" w:hAnsi="仿宋" w:eastAsia="仿宋"/>
          <w:color w:val="auto"/>
          <w:sz w:val="32"/>
          <w:szCs w:val="32"/>
          <w:highlight w:val="none"/>
        </w:rPr>
      </w:pPr>
      <w:bookmarkStart w:id="44" w:name="_Toc15377222"/>
      <w:r>
        <w:rPr>
          <w:rFonts w:hint="eastAsia" w:ascii="仿宋" w:hAnsi="仿宋" w:eastAsia="仿宋"/>
          <w:b/>
          <w:color w:val="auto"/>
          <w:sz w:val="32"/>
          <w:szCs w:val="32"/>
          <w:highlight w:val="none"/>
        </w:rPr>
        <w:t>（一）机关运行经费支出情况</w:t>
      </w:r>
      <w:bookmarkEnd w:id="44"/>
    </w:p>
    <w:p>
      <w:pPr>
        <w:spacing w:line="600" w:lineRule="exact"/>
        <w:ind w:firstLine="640"/>
        <w:rPr>
          <w:rFonts w:ascii="仿宋" w:hAnsi="仿宋" w:eastAsia="仿宋"/>
          <w:color w:val="FFFFFF" w:themeColor="background1"/>
          <w:sz w:val="32"/>
          <w:szCs w:val="32"/>
          <w14:textFill>
            <w14:solidFill>
              <w14:schemeClr w14:val="bg1"/>
            </w14:solidFill>
          </w14:textFill>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年，四川省</w:t>
      </w:r>
      <w:r>
        <w:rPr>
          <w:rFonts w:ascii="仿宋_GB2312" w:eastAsia="仿宋_GB2312"/>
          <w:sz w:val="32"/>
          <w:szCs w:val="32"/>
        </w:rPr>
        <w:t>建设建材工会委员会</w:t>
      </w:r>
      <w:r>
        <w:rPr>
          <w:rFonts w:hint="eastAsia" w:ascii="仿宋_GB2312" w:eastAsia="仿宋_GB2312"/>
          <w:sz w:val="32"/>
          <w:szCs w:val="32"/>
        </w:rPr>
        <w:t>机关运行经费支出</w:t>
      </w:r>
      <w:r>
        <w:rPr>
          <w:rFonts w:hint="eastAsia" w:ascii="仿宋_GB2312" w:eastAsia="仿宋_GB2312"/>
          <w:sz w:val="32"/>
          <w:szCs w:val="32"/>
          <w:lang w:val="en-US" w:eastAsia="zh-CN"/>
        </w:rPr>
        <w:t>5.45</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年减少</w:t>
      </w:r>
      <w:r>
        <w:rPr>
          <w:rFonts w:hint="eastAsia" w:ascii="仿宋_GB2312" w:eastAsia="仿宋_GB2312"/>
          <w:sz w:val="32"/>
          <w:szCs w:val="32"/>
          <w:lang w:val="en-US" w:eastAsia="zh-CN"/>
        </w:rPr>
        <w:t>5.72</w:t>
      </w:r>
      <w:r>
        <w:rPr>
          <w:rFonts w:hint="eastAsia" w:ascii="仿宋_GB2312" w:eastAsia="仿宋_GB2312"/>
          <w:sz w:val="32"/>
          <w:szCs w:val="32"/>
        </w:rPr>
        <w:t>万元，下降5</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。主要原因是人员减少导致运转经费下降。</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5" w:name="_Toc15377223"/>
      <w:r>
        <w:rPr>
          <w:rFonts w:hint="eastAsia" w:ascii="仿宋" w:hAnsi="仿宋" w:eastAsia="仿宋"/>
          <w:b/>
          <w:color w:val="auto"/>
          <w:sz w:val="32"/>
          <w:szCs w:val="32"/>
          <w:highlight w:val="none"/>
        </w:rPr>
        <w:t>（二）政府采购支出情况</w:t>
      </w:r>
      <w:bookmarkEnd w:id="45"/>
    </w:p>
    <w:p>
      <w:pPr>
        <w:pStyle w:val="13"/>
        <w:widowControl/>
        <w:spacing w:before="93" w:after="240" w:line="600" w:lineRule="exact"/>
        <w:ind w:right="147" w:firstLine="640" w:firstLineChars="200"/>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四川省建设建材工会委员会2020年无政府采购支出。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6" w:name="_Toc15377224"/>
      <w:r>
        <w:rPr>
          <w:rFonts w:hint="eastAsia" w:ascii="仿宋" w:hAnsi="仿宋" w:eastAsia="仿宋"/>
          <w:b/>
          <w:color w:val="auto"/>
          <w:sz w:val="32"/>
          <w:szCs w:val="32"/>
          <w:highlight w:val="none"/>
        </w:rPr>
        <w:t>（三）国有资产占有使用情况</w:t>
      </w:r>
      <w:bookmarkEnd w:id="46"/>
    </w:p>
    <w:p>
      <w:pPr>
        <w:pStyle w:val="13"/>
        <w:widowControl/>
        <w:spacing w:before="93" w:after="240" w:line="600" w:lineRule="exact"/>
        <w:ind w:right="147" w:firstLine="640" w:firstLineChars="200"/>
        <w:rPr>
          <w:rFonts w:hint="default"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截至2020年12月31日，四川省建设建材工会委员会无国有资产。</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14"/>
        <w:widowControl/>
        <w:spacing w:before="0" w:beforeAutospacing="0" w:after="0" w:afterAutospacing="0" w:line="616" w:lineRule="atLeast"/>
        <w:ind w:firstLine="640" w:firstLineChars="200"/>
        <w:rPr>
          <w:rFonts w:ascii="仿宋" w:hAnsi="仿宋" w:eastAsia="仿宋"/>
          <w:kern w:val="2"/>
          <w:sz w:val="32"/>
          <w:szCs w:val="32"/>
        </w:rPr>
      </w:pPr>
      <w:r>
        <w:rPr>
          <w:rFonts w:hint="eastAsia" w:ascii="仿宋" w:hAnsi="仿宋" w:eastAsia="仿宋"/>
          <w:kern w:val="2"/>
          <w:sz w:val="32"/>
          <w:szCs w:val="32"/>
        </w:rPr>
        <w:t>本单位按要求对202</w:t>
      </w:r>
      <w:r>
        <w:rPr>
          <w:rFonts w:hint="eastAsia" w:ascii="仿宋" w:hAnsi="仿宋" w:eastAsia="仿宋"/>
          <w:kern w:val="2"/>
          <w:sz w:val="32"/>
          <w:szCs w:val="32"/>
          <w:lang w:val="en-US" w:eastAsia="zh-CN"/>
        </w:rPr>
        <w:t>1</w:t>
      </w:r>
      <w:r>
        <w:rPr>
          <w:rFonts w:hint="eastAsia" w:ascii="仿宋" w:hAnsi="仿宋" w:eastAsia="仿宋"/>
          <w:kern w:val="2"/>
          <w:sz w:val="32"/>
          <w:szCs w:val="32"/>
        </w:rPr>
        <w:t>年整体支出开展绩效自评，从评价情况来看，</w:t>
      </w:r>
      <w:r>
        <w:rPr>
          <w:rFonts w:ascii="仿宋" w:hAnsi="仿宋" w:eastAsia="仿宋"/>
          <w:kern w:val="2"/>
          <w:sz w:val="32"/>
          <w:szCs w:val="32"/>
        </w:rPr>
        <w:t>贯彻了落实节约、降低一般运行经费的要求，</w:t>
      </w:r>
      <w:r>
        <w:rPr>
          <w:rFonts w:hint="eastAsia" w:ascii="仿宋" w:hAnsi="仿宋" w:eastAsia="仿宋"/>
          <w:kern w:val="2"/>
          <w:sz w:val="32"/>
          <w:szCs w:val="32"/>
        </w:rPr>
        <w:t>对</w:t>
      </w:r>
      <w:r>
        <w:rPr>
          <w:rFonts w:ascii="仿宋" w:hAnsi="仿宋" w:eastAsia="仿宋"/>
          <w:kern w:val="2"/>
          <w:sz w:val="32"/>
          <w:szCs w:val="32"/>
        </w:rPr>
        <w:t>整体支出进行了有效控制和节约，合理安排部门整体经费支出，严格执行中央厉行节约禁止铺张浪费的要求，无“三公经费”</w:t>
      </w:r>
      <w:r>
        <w:rPr>
          <w:rFonts w:hint="eastAsia" w:ascii="仿宋" w:hAnsi="仿宋" w:eastAsia="仿宋"/>
          <w:kern w:val="2"/>
          <w:sz w:val="32"/>
          <w:szCs w:val="32"/>
        </w:rPr>
        <w:t>使用</w:t>
      </w:r>
      <w:r>
        <w:rPr>
          <w:rFonts w:ascii="仿宋" w:hAnsi="仿宋" w:eastAsia="仿宋"/>
          <w:kern w:val="2"/>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本单位未开展项目支出绩效评价，主要原因是：本单位无专项预算项目，因此未组织开展项目支出绩效评价。</w:t>
      </w:r>
    </w:p>
    <w:p>
      <w:pPr>
        <w:pStyle w:val="2"/>
        <w:spacing w:before="93" w:line="600" w:lineRule="exact"/>
        <w:rPr>
          <w:rFonts w:ascii="仿宋" w:hAnsi="仿宋" w:eastAsia="仿宋"/>
          <w:kern w:val="2"/>
          <w:sz w:val="32"/>
          <w:szCs w:val="32"/>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8"/>
          <w:rFonts w:ascii="黑体" w:hAnsi="黑体" w:eastAsia="黑体"/>
          <w:b w:val="0"/>
          <w:color w:val="auto"/>
          <w:highlight w:val="none"/>
        </w:rPr>
      </w:pPr>
      <w:bookmarkStart w:id="47" w:name="_Toc15377225"/>
      <w:bookmarkStart w:id="48"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7"/>
      <w:bookmarkEnd w:id="48"/>
    </w:p>
    <w:p>
      <w:pPr>
        <w:spacing w:line="600" w:lineRule="exact"/>
        <w:jc w:val="left"/>
        <w:rPr>
          <w:rFonts w:ascii="宋体"/>
          <w:b/>
          <w:color w:val="auto"/>
          <w:sz w:val="44"/>
          <w:szCs w:val="44"/>
          <w:highlight w:val="none"/>
        </w:rPr>
      </w:pPr>
    </w:p>
    <w:p>
      <w:pPr>
        <w:spacing w:line="600" w:lineRule="exact"/>
        <w:ind w:firstLine="643" w:firstLineChars="200"/>
        <w:rPr>
          <w:rFonts w:ascii="仿宋" w:hAnsi="仿宋" w:eastAsia="仿宋"/>
          <w:sz w:val="32"/>
          <w:szCs w:val="32"/>
        </w:rPr>
      </w:pPr>
      <w:r>
        <w:rPr>
          <w:rFonts w:ascii="楷体" w:hAnsi="楷体" w:eastAsia="楷体"/>
          <w:b/>
          <w:sz w:val="32"/>
          <w:szCs w:val="32"/>
        </w:rPr>
        <w:t>（一）财政拨款收入：</w:t>
      </w:r>
      <w:r>
        <w:rPr>
          <w:rFonts w:ascii="仿宋" w:hAnsi="仿宋" w:eastAsia="仿宋"/>
          <w:sz w:val="32"/>
          <w:szCs w:val="32"/>
        </w:rPr>
        <w:t xml:space="preserve">指省级财政当年拨付的资金。 </w:t>
      </w:r>
    </w:p>
    <w:p>
      <w:pPr>
        <w:spacing w:line="600" w:lineRule="exact"/>
        <w:ind w:firstLine="643" w:firstLineChars="200"/>
        <w:rPr>
          <w:rFonts w:ascii="仿宋" w:hAnsi="仿宋" w:eastAsia="仿宋"/>
          <w:sz w:val="32"/>
          <w:szCs w:val="32"/>
        </w:rPr>
      </w:pPr>
      <w:r>
        <w:rPr>
          <w:rFonts w:ascii="楷体" w:hAnsi="楷体" w:eastAsia="楷体"/>
          <w:b/>
          <w:sz w:val="32"/>
          <w:szCs w:val="32"/>
        </w:rPr>
        <w:t>（二）年初结转和结余：</w:t>
      </w:r>
      <w:r>
        <w:rPr>
          <w:rFonts w:ascii="仿宋" w:hAnsi="仿宋" w:eastAsia="仿宋"/>
          <w:sz w:val="32"/>
          <w:szCs w:val="32"/>
        </w:rPr>
        <w:t>指以前年度尚未完成、结转到本年按有关规定继续使用的资金。</w:t>
      </w:r>
    </w:p>
    <w:p>
      <w:pPr>
        <w:spacing w:line="600" w:lineRule="exact"/>
        <w:ind w:firstLine="643" w:firstLineChars="200"/>
        <w:rPr>
          <w:rFonts w:ascii="仿宋" w:hAnsi="仿宋" w:eastAsia="仿宋"/>
          <w:sz w:val="32"/>
          <w:szCs w:val="32"/>
        </w:rPr>
      </w:pPr>
      <w:r>
        <w:rPr>
          <w:rFonts w:ascii="楷体" w:hAnsi="楷体" w:eastAsia="楷体"/>
          <w:b/>
          <w:sz w:val="32"/>
          <w:szCs w:val="32"/>
        </w:rPr>
        <w:t>（三）城乡社区支出（类）城乡社区管理事务（款）行政运行（项）:</w:t>
      </w:r>
      <w:r>
        <w:rPr>
          <w:rFonts w:ascii="仿宋" w:hAnsi="仿宋" w:eastAsia="仿宋"/>
          <w:b/>
          <w:sz w:val="32"/>
          <w:szCs w:val="32"/>
        </w:rPr>
        <w:t xml:space="preserve"> </w:t>
      </w:r>
      <w:r>
        <w:rPr>
          <w:rFonts w:ascii="仿宋" w:hAnsi="仿宋" w:eastAsia="仿宋"/>
          <w:sz w:val="32"/>
          <w:szCs w:val="32"/>
        </w:rPr>
        <w:t>指</w:t>
      </w:r>
      <w:r>
        <w:rPr>
          <w:rFonts w:hint="eastAsia" w:ascii="仿宋" w:hAnsi="仿宋" w:eastAsia="仿宋"/>
          <w:sz w:val="32"/>
          <w:szCs w:val="32"/>
        </w:rPr>
        <w:t>四川省</w:t>
      </w:r>
      <w:r>
        <w:rPr>
          <w:rFonts w:ascii="仿宋" w:hAnsi="仿宋" w:eastAsia="仿宋"/>
          <w:sz w:val="32"/>
          <w:szCs w:val="32"/>
        </w:rPr>
        <w:t>建设建材工会委员会的基本支出。</w:t>
      </w:r>
    </w:p>
    <w:p>
      <w:pPr>
        <w:spacing w:line="600" w:lineRule="exact"/>
        <w:ind w:firstLine="643" w:firstLineChars="200"/>
        <w:rPr>
          <w:rFonts w:ascii="仿宋" w:hAnsi="仿宋" w:eastAsia="仿宋"/>
          <w:sz w:val="32"/>
          <w:szCs w:val="32"/>
        </w:rPr>
      </w:pPr>
      <w:r>
        <w:rPr>
          <w:rFonts w:ascii="楷体" w:hAnsi="楷体" w:eastAsia="楷体"/>
          <w:b/>
          <w:sz w:val="32"/>
          <w:szCs w:val="32"/>
        </w:rPr>
        <w:t>（四）“三公”经费：</w:t>
      </w:r>
      <w:r>
        <w:rPr>
          <w:rFonts w:ascii="仿宋" w:hAnsi="仿宋" w:eastAsia="仿宋"/>
          <w:sz w:val="32"/>
          <w:szCs w:val="32"/>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3" w:firstLineChars="200"/>
        <w:rPr>
          <w:rFonts w:ascii="仿宋" w:hAnsi="仿宋" w:eastAsia="仿宋"/>
          <w:sz w:val="32"/>
          <w:szCs w:val="32"/>
        </w:rPr>
      </w:pPr>
      <w:r>
        <w:rPr>
          <w:rFonts w:ascii="楷体" w:hAnsi="楷体" w:eastAsia="楷体"/>
          <w:b/>
          <w:sz w:val="32"/>
          <w:szCs w:val="32"/>
        </w:rPr>
        <w:t>（五）机关运行经费：</w:t>
      </w:r>
      <w:r>
        <w:rPr>
          <w:rFonts w:ascii="仿宋" w:hAnsi="仿宋" w:eastAsia="仿宋"/>
          <w:sz w:val="32"/>
          <w:szCs w:val="32"/>
        </w:rPr>
        <w:t>为保障行政单位（含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49" w:name="_Toc15396614"/>
      <w:bookmarkStart w:id="50"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ascii="黑体" w:hAnsi="黑体" w:eastAsia="黑体"/>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49"/>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widowControl/>
        <w:adjustRightInd w:val="0"/>
        <w:snapToGrid w:val="0"/>
        <w:spacing w:line="580" w:lineRule="exact"/>
        <w:ind w:firstLine="640" w:firstLineChars="200"/>
        <w:contextualSpacing/>
        <w:jc w:val="left"/>
      </w:pPr>
      <w:bookmarkStart w:id="51" w:name="_Toc15396618"/>
      <w:r>
        <w:rPr>
          <w:rFonts w:hint="eastAsia" w:ascii="仿宋" w:hAnsi="仿宋" w:eastAsia="仿宋"/>
          <w:kern w:val="2"/>
          <w:sz w:val="32"/>
          <w:szCs w:val="32"/>
        </w:rPr>
        <w:t>由于我单位2020年预算中无100万元以上项目，不涉及项目绩效目标，因此按财政厅口径未开展项目支出绩效自评工作。</w:t>
      </w: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0"/>
      <w:bookmarkEnd w:id="51"/>
      <w:bookmarkStart w:id="52"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52"/>
    </w:p>
    <w:p>
      <w:pPr>
        <w:pStyle w:val="4"/>
        <w:rPr>
          <w:rFonts w:ascii="仿宋" w:hAnsi="仿宋" w:eastAsia="仿宋"/>
          <w:color w:val="auto"/>
          <w:highlight w:val="none"/>
        </w:rPr>
      </w:pPr>
      <w:bookmarkStart w:id="53"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53"/>
    </w:p>
    <w:p>
      <w:pPr>
        <w:pStyle w:val="4"/>
        <w:rPr>
          <w:rFonts w:ascii="仿宋" w:hAnsi="仿宋" w:eastAsia="仿宋"/>
          <w:color w:val="auto"/>
          <w:highlight w:val="none"/>
        </w:rPr>
      </w:pPr>
      <w:bookmarkStart w:id="54"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54"/>
    </w:p>
    <w:p>
      <w:pPr>
        <w:pStyle w:val="4"/>
        <w:rPr>
          <w:rFonts w:ascii="仿宋" w:hAnsi="仿宋" w:eastAsia="仿宋"/>
          <w:b w:val="0"/>
          <w:color w:val="auto"/>
          <w:highlight w:val="none"/>
        </w:rPr>
      </w:pPr>
      <w:bookmarkStart w:id="55"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5"/>
    </w:p>
    <w:p>
      <w:pPr>
        <w:pStyle w:val="4"/>
        <w:rPr>
          <w:rStyle w:val="29"/>
          <w:rFonts w:ascii="仿宋" w:hAnsi="仿宋" w:eastAsia="仿宋"/>
          <w:b w:val="0"/>
          <w:bCs w:val="0"/>
          <w:color w:val="auto"/>
          <w:highlight w:val="none"/>
        </w:rPr>
      </w:pPr>
      <w:bookmarkStart w:id="56"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6"/>
      <w:bookmarkStart w:id="57" w:name="_Toc15396624"/>
    </w:p>
    <w:p>
      <w:pPr>
        <w:pStyle w:val="4"/>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7"/>
    </w:p>
    <w:p>
      <w:pPr>
        <w:pStyle w:val="4"/>
        <w:rPr>
          <w:rFonts w:ascii="仿宋" w:hAnsi="仿宋" w:eastAsia="仿宋"/>
          <w:color w:val="auto"/>
          <w:highlight w:val="none"/>
        </w:rPr>
      </w:pPr>
      <w:bookmarkStart w:id="58"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58"/>
    </w:p>
    <w:p>
      <w:pPr>
        <w:pStyle w:val="4"/>
        <w:rPr>
          <w:rFonts w:ascii="仿宋" w:hAnsi="仿宋" w:eastAsia="仿宋"/>
          <w:color w:val="auto"/>
          <w:highlight w:val="none"/>
        </w:rPr>
      </w:pPr>
      <w:bookmarkStart w:id="59"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59"/>
    </w:p>
    <w:p>
      <w:pPr>
        <w:pStyle w:val="4"/>
        <w:rPr>
          <w:rFonts w:ascii="仿宋" w:hAnsi="仿宋" w:eastAsia="仿宋"/>
          <w:color w:val="auto"/>
          <w:highlight w:val="none"/>
        </w:rPr>
      </w:pPr>
      <w:bookmarkStart w:id="60"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0"/>
    </w:p>
    <w:p>
      <w:pPr>
        <w:pStyle w:val="4"/>
        <w:rPr>
          <w:rFonts w:ascii="仿宋" w:hAnsi="仿宋" w:eastAsia="仿宋"/>
          <w:color w:val="auto"/>
          <w:highlight w:val="none"/>
        </w:rPr>
      </w:pPr>
      <w:bookmarkStart w:id="61"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61"/>
    </w:p>
    <w:p>
      <w:pPr>
        <w:pStyle w:val="4"/>
        <w:rPr>
          <w:rFonts w:ascii="仿宋" w:hAnsi="仿宋" w:eastAsia="仿宋"/>
          <w:color w:val="auto"/>
          <w:highlight w:val="none"/>
        </w:rPr>
      </w:pPr>
      <w:bookmarkStart w:id="62"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62"/>
    </w:p>
    <w:p>
      <w:pPr>
        <w:pStyle w:val="4"/>
        <w:rPr>
          <w:rFonts w:ascii="仿宋" w:hAnsi="仿宋" w:eastAsia="仿宋"/>
          <w:color w:val="auto"/>
          <w:highlight w:val="none"/>
        </w:rPr>
      </w:pPr>
      <w:bookmarkStart w:id="63"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63"/>
    </w:p>
    <w:p>
      <w:pPr>
        <w:pStyle w:val="4"/>
        <w:rPr>
          <w:rStyle w:val="29"/>
          <w:rFonts w:hint="eastAsia" w:ascii="仿宋" w:hAnsi="仿宋" w:eastAsia="仿宋"/>
          <w:b w:val="0"/>
          <w:bCs w:val="0"/>
          <w:color w:val="auto"/>
          <w:highlight w:val="none"/>
        </w:rPr>
      </w:pPr>
      <w:bookmarkStart w:id="64"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64"/>
    </w:p>
    <w:p>
      <w:pPr>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altName w:val="Malgun Gothic Semilight"/>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mNTdiN2JiMmZiOGI2Yzc2MDI3ZjUyMTg5OGZlM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61E416F"/>
    <w:rsid w:val="27842671"/>
    <w:rsid w:val="29FD04D3"/>
    <w:rsid w:val="2ABE7A3E"/>
    <w:rsid w:val="2EFA178C"/>
    <w:rsid w:val="30B46D73"/>
    <w:rsid w:val="319F7F4E"/>
    <w:rsid w:val="33B501B6"/>
    <w:rsid w:val="39AE70AB"/>
    <w:rsid w:val="3C0C0783"/>
    <w:rsid w:val="3F9F3A96"/>
    <w:rsid w:val="43434B9D"/>
    <w:rsid w:val="493C27E9"/>
    <w:rsid w:val="496F39ED"/>
    <w:rsid w:val="49FF41D3"/>
    <w:rsid w:val="4BE068DB"/>
    <w:rsid w:val="4BF6002B"/>
    <w:rsid w:val="4ECE2238"/>
    <w:rsid w:val="51DB4B86"/>
    <w:rsid w:val="55333C3E"/>
    <w:rsid w:val="56AD1A05"/>
    <w:rsid w:val="64CA39A1"/>
    <w:rsid w:val="6A2D472E"/>
    <w:rsid w:val="6C4A05C8"/>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Body Text First Indent 2"/>
    <w:basedOn w:val="6"/>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8"/>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202</a:t>
            </a:r>
            <a:r>
              <a:rPr lang="en-US" altLang="zh-CN"/>
              <a:t>1</a:t>
            </a:r>
            <a:r>
              <a:t>年收入</a:t>
            </a:r>
          </a:p>
        </c:rich>
      </c:tx>
      <c:layout/>
      <c:overlay val="0"/>
    </c:title>
    <c:autoTitleDeleted val="0"/>
    <c:plotArea>
      <c:layout/>
      <c:pieChart>
        <c:varyColors val="1"/>
        <c:ser>
          <c:idx val="0"/>
          <c:order val="0"/>
          <c:tx>
            <c:strRef>
              <c:f>Sheet1!$B$1</c:f>
              <c:strCache>
                <c:ptCount val="1"/>
                <c:pt idx="0">
                  <c:v>2020年收入</c:v>
                </c:pt>
              </c:strCache>
            </c:strRef>
          </c:tx>
          <c:explosion val="0"/>
          <c:dPt>
            <c:idx val="0"/>
            <c:bubble3D val="0"/>
          </c:dPt>
          <c:dLbls>
            <c:delete val="1"/>
          </c:dLbls>
          <c:cat>
            <c:strRef>
              <c:f>Sheet1!$A$2</c:f>
              <c:strCache>
                <c:ptCount val="1"/>
                <c:pt idx="0">
                  <c:v>一般公共预算财政拨款收入</c:v>
                </c:pt>
              </c:strCache>
            </c:strRef>
          </c:cat>
          <c:val>
            <c:numRef>
              <c:f>Sheet1!$B$2</c:f>
              <c:numCache>
                <c:formatCode>General</c:formatCode>
                <c:ptCount val="1"/>
                <c:pt idx="0">
                  <c:v>58.67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t>202</a:t>
            </a:r>
            <a:r>
              <a:rPr lang="en-US" altLang="zh-CN"/>
              <a:t>1</a:t>
            </a:r>
            <a:r>
              <a:t>年支出</a:t>
            </a:r>
          </a:p>
        </c:rich>
      </c:tx>
      <c:layout/>
      <c:overlay val="0"/>
    </c:title>
    <c:autoTitleDeleted val="0"/>
    <c:plotArea>
      <c:layout/>
      <c:pieChart>
        <c:varyColors val="1"/>
        <c:ser>
          <c:idx val="0"/>
          <c:order val="0"/>
          <c:tx>
            <c:strRef>
              <c:f>Sheet1!$B$1</c:f>
              <c:strCache>
                <c:ptCount val="1"/>
                <c:pt idx="0">
                  <c:v>2020年支出</c:v>
                </c:pt>
              </c:strCache>
            </c:strRef>
          </c:tx>
          <c:explosion val="0"/>
          <c:dPt>
            <c:idx val="0"/>
            <c:bubble3D val="0"/>
          </c:dPt>
          <c:dLbls>
            <c:delete val="1"/>
          </c:dLbls>
          <c:cat>
            <c:strRef>
              <c:f>Sheet1!$A$2</c:f>
              <c:strCache>
                <c:ptCount val="1"/>
                <c:pt idx="0">
                  <c:v>基本支出</c:v>
                </c:pt>
              </c:strCache>
            </c:strRef>
          </c:cat>
          <c:val>
            <c:numRef>
              <c:f>Sheet1!$B$2</c:f>
              <c:numCache>
                <c:formatCode>General</c:formatCode>
                <c:ptCount val="1"/>
                <c:pt idx="0">
                  <c:v>58.67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Pt>
            <c:idx val="4"/>
            <c:bubble3D val="0"/>
            <c:spPr>
              <a:noFill/>
            </c:spPr>
          </c:dPt>
          <c:dLbls>
            <c:delete val="1"/>
          </c:dLbls>
          <c:cat>
            <c:strRef>
              <c:f>Sheet1!$A$2:$A$6</c:f>
              <c:strCache>
                <c:ptCount val="5"/>
                <c:pt idx="0">
                  <c:v>社会保障和就业</c:v>
                </c:pt>
                <c:pt idx="1">
                  <c:v>卫生健康支出</c:v>
                </c:pt>
                <c:pt idx="2">
                  <c:v>城乡社区支出</c:v>
                </c:pt>
                <c:pt idx="3">
                  <c:v>住房保障支出</c:v>
                </c:pt>
              </c:strCache>
            </c:strRef>
          </c:cat>
          <c:val>
            <c:numRef>
              <c:f>Sheet1!$B$2:$B$6</c:f>
              <c:numCache>
                <c:formatCode>General</c:formatCode>
                <c:ptCount val="5"/>
                <c:pt idx="0">
                  <c:v>22.94</c:v>
                </c:pt>
                <c:pt idx="1">
                  <c:v>9.18</c:v>
                </c:pt>
                <c:pt idx="2">
                  <c:v>59.63</c:v>
                </c:pt>
                <c:pt idx="3">
                  <c:v>8.25</c:v>
                </c:pt>
              </c:numCache>
            </c:numRef>
          </c:val>
        </c:ser>
        <c:dLbls>
          <c:showLegendKey val="0"/>
          <c:showVal val="0"/>
          <c:showCatName val="0"/>
          <c:showSerName val="0"/>
          <c:showPercent val="0"/>
          <c:showBubbleSize val="0"/>
          <c:showLeaderLines val="1"/>
        </c:dLbls>
        <c:firstSliceAng val="0"/>
      </c:pieChart>
    </c:plotArea>
    <c:legend>
      <c:legendPos val="r"/>
      <c:legendEntry>
        <c:idx val="4"/>
        <c:txPr>
          <a:bodyPr rot="0" spcFirstLastPara="0" vertOverflow="ellipsis" vert="horz" wrap="square" anchor="ctr" anchorCtr="1"/>
          <a:lstStyle/>
          <a:p>
            <a:pPr>
              <a:defRPr lang="zh-CN" sz="1000" b="0" i="0" u="none" strike="noStrike" kern="1200" baseline="0">
                <a:blipFill>
                  <a:blip r:embed="rId2"/>
                  <a:tile tx="0" ty="0" sx="100000" sy="100000" flip="none" algn="tl"/>
                </a:blipFill>
                <a:latin typeface="+mn-lt"/>
                <a:ea typeface="+mn-ea"/>
                <a:cs typeface="+mn-cs"/>
              </a:defRPr>
            </a:pPr>
          </a:p>
        </c:txPr>
      </c:legendEntry>
      <c:layout>
        <c:manualLayout>
          <c:xMode val="edge"/>
          <c:yMode val="edge"/>
          <c:x val="0.72201946729753"/>
          <c:y val="0.235461633472287"/>
          <c:w val="0.260043312971529"/>
          <c:h val="0.66829241932993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0" cap="flat" cmpd="sng" algn="ctr">
      <a:solidFill>
        <a:schemeClr val="accent1"/>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4309</Words>
  <Characters>4582</Characters>
  <Lines>61</Lines>
  <Paragraphs>17</Paragraphs>
  <TotalTime>0</TotalTime>
  <ScaleCrop>false</ScaleCrop>
  <LinksUpToDate>false</LinksUpToDate>
  <CharactersWithSpaces>4600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^_^</cp:lastModifiedBy>
  <cp:lastPrinted>2022-08-06T02:23:00Z</cp:lastPrinted>
  <dcterms:modified xsi:type="dcterms:W3CDTF">2022-11-11T03:20:37Z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B7F85877A493484B9000118E93507902</vt:lpwstr>
  </property>
</Properties>
</file>