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Style w:val="24"/>
          <w:rFonts w:ascii="黑体" w:hAnsi="黑体" w:eastAsia="黑体"/>
          <w:b w:val="0"/>
        </w:rPr>
      </w:pPr>
      <w:bookmarkStart w:id="0" w:name="_Toc29390"/>
      <w:bookmarkStart w:id="1" w:name="_Toc15396614"/>
      <w:bookmarkStart w:id="2" w:name="_Toc15377226"/>
      <w:r>
        <w:rPr>
          <w:rFonts w:hint="eastAsia" w:ascii="黑体" w:hAnsi="黑体" w:eastAsia="黑体"/>
          <w:sz w:val="44"/>
          <w:szCs w:val="44"/>
        </w:rPr>
        <w:t>第</w:t>
      </w:r>
      <w:r>
        <w:rPr>
          <w:rStyle w:val="24"/>
          <w:rFonts w:hint="eastAsia" w:ascii="黑体" w:hAnsi="黑体" w:eastAsia="黑体"/>
          <w:b w:val="0"/>
        </w:rPr>
        <w:t>四部分 附件</w:t>
      </w:r>
      <w:bookmarkEnd w:id="0"/>
      <w:bookmarkEnd w:id="1"/>
    </w:p>
    <w:tbl>
      <w:tblPr>
        <w:tblStyle w:val="12"/>
        <w:tblpPr w:leftFromText="180" w:rightFromText="180" w:vertAnchor="text" w:horzAnchor="page" w:tblpX="880" w:tblpY="-158"/>
        <w:tblOverlap w:val="never"/>
        <w:tblW w:w="10640" w:type="dxa"/>
        <w:tblInd w:w="0" w:type="dxa"/>
        <w:tblLayout w:type="autofit"/>
        <w:tblCellMar>
          <w:top w:w="0" w:type="dxa"/>
          <w:left w:w="108" w:type="dxa"/>
          <w:bottom w:w="0" w:type="dxa"/>
          <w:right w:w="108" w:type="dxa"/>
        </w:tblCellMar>
      </w:tblPr>
      <w:tblGrid>
        <w:gridCol w:w="576"/>
        <w:gridCol w:w="1316"/>
        <w:gridCol w:w="1206"/>
        <w:gridCol w:w="1494"/>
        <w:gridCol w:w="396"/>
        <w:gridCol w:w="1140"/>
        <w:gridCol w:w="756"/>
        <w:gridCol w:w="857"/>
        <w:gridCol w:w="486"/>
        <w:gridCol w:w="666"/>
        <w:gridCol w:w="1747"/>
      </w:tblGrid>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51000021T000000014363-大型基础设施维修改造费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通过此项目改善教学生活环境，保证师生日常教学生活安全。维护学校社会形象，保障教学场地的使用。　</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根据学院年初工作计划，2022年假期集中维修主要是保障学院各项设施设备始终保持良好状态，通过维修内容的完成，学院教学和办公秩序得到有力的保障，完成了年度新生顺利入住。</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7月通过公开招标由四川正翔建筑装饰有限公司中标承担假期集中维修，维修内容主要涉及：德阳、成都两校区学生公寓大三毕业生寝室家具及风扇等附属设施维修、工程训练中心4区、教务处、招生就业处、学生公寓各楼栋屋面防水维修、德阳校区东、西两区消防水管阀门更换维修维护。金额：49.84万元</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49.84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99.69%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49.84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99.69%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维修项目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保证全院师生正常使用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满足教学需要，满足师生需求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 xml:space="preserve">99.19 </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通过对学院水电设施、消防设施及房屋基础结构设施、学生公寓寝室家具及风扇等附属设施维修达到了学院基础设施及设备状态良好，功能运行正常，有力的保障学院教学和办公秩序正常开展。维修工作从管理制度、财经要求，工程质量、技术人员配置到维修质量检查验收均达到维修设计及行业标准要求。</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项目负责人：魏强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51000021T000000014367-高墩连续结构施工及运营阶段空间等科研经费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完成学院外来经费科研课题的研发，并投入生产运营，促进各项工作更好地开展。　</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2022年学院高墩连续结构施工及运营阶段空间等科研经费项目运行良好，但预算执行率有待提高。</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2022年学院外来科研经费充足，各课题负责人积极开展科研工作。</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2,302.98</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254.34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11.04%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预算调整原因为2022年底，产教融合财政拨款2000万全部结转，以及自有资金收支调整</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302.98</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254.34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8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科研课题数量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85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增强教师科研水平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该项目自评得分为97分。2022年学院外来科研经费充足，课题负责人积极展开工作，但预算执行率有待提高。年底财政拨款2000万为学院产教融合项目资金，全部结转并于2023年开展工作并支付。</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科研项目负责人对科研经费预算的理解存在一定的偏差。重项目资金的争取、项目建设工作，轻视项目资金的执行工作。</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组织科技处工作人员参加国家、省级政策文件的 相关解读会议，熟悉、掌握各级科研政策后，在院内召开宣讲会。加强部门预算整体绩效评价报告编写工作和科研预算的培训，科研专项经费实行季报制。</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项目负责人：李涛</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51000021T000000014370-归还青白江校区建设借款</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合理统筹学院办学经费，按照借款协议，按期还本付息，维护学院信誉。</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学院根据资金计划安排，并按照合同要求按时还款，未逾期任何一笔款项，维护了学院信誉。</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学院根据还款合同及各机构贷款通知书按时完成贷款还款及利息支付，借款方按时收取款项。</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还款单位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家</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按时还本付息</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维护学院信誉</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借款对象满意度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项目自评100分，即学院合理统筹资金保证学院正常运转，同时也按时归还借款，从未逾期，维护了学院的信誉。</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项目负责人：李涛</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51000021T000000014374-继续教育学院培训项目</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3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保证培训项目顺利开展。</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2022年，顺利完成各类培训项目开展。</w:t>
            </w:r>
          </w:p>
        </w:tc>
      </w:tr>
      <w:tr>
        <w:tblPrEx>
          <w:tblCellMar>
            <w:top w:w="0" w:type="dxa"/>
            <w:left w:w="108" w:type="dxa"/>
            <w:bottom w:w="0" w:type="dxa"/>
            <w:right w:w="108" w:type="dxa"/>
          </w:tblCellMar>
        </w:tblPrEx>
        <w:trPr>
          <w:trHeight w:val="91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共计开展各类培训37075人次。主要开展了以下几类培训：一是德阳建设工程集团有限公司、雅安城市投资有限责任公司、德阳经开区发展集团有限公司等建筑企业开展的员工培训；二是亚度家具手工木工工种培训、航天航空学院在校大学生测量工培训的职业技能等级三方认定培训；三是三台县刘营职高、重庆工业职业技术学院、四川省2021年度职业院校教师素质提高计划“国培”项目等师资培训；四是开展了在校大学生的各类1＋X职业技能等级证书培训、自考培训；五是校地合作，开展了广汉市住建局、叙永县住建局的住建系统干部培训，与德阳市公安局开展的辅警培训等；六是服务行业、服务地方、服务社区，开展的各类零星公益培训；七是开展的施工现场专业技术人员培训。</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培训学员满意度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2022年，顺利完成各类培训项目，实现年初36000人次培训目标，实现学院培训服务地方、服务行业、服务社会功能。</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2022年，培训工作开展受疫情影响较大；此外，在培训工作开展过程中总结出以下问题：一是学院师资力量还需进一步提升，与行业接轨，实现培训的实用性和高效性。二是学院培训硬件可适当提高，培训吃、住环境建议提高改善；三是培训业务市场积极作为，主动出击，联系企业发展培训业务。</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1.走访企业，联系校企合作单位，拓展培训业务；2.加强培训师资提升，老带新，加强团队建设</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项目负责人：戚燕</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51000021T000000014391-人才引进费用</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根据学院教学需求和专业设置要求，完成学院急需高端人才的引进，不断增强师资水平，提升教师队伍综合素质，提高教学质量，更好的为学生服务。</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154.82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学院2022年招了4人，但最终有2人没来影响该项目资金发放，财政拨款支付率为100%。</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54.82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68.52%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1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引进人才数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招了4人，但最终有2人没来。</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博士教授维持人数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2022年，我院完成了71人事业编制招聘工作和3名高层次人才的引进，使得学院各单位各部门教师队伍和管理队伍得到有效补充，进一步健全了师资队伍梯队和管理体系，提升了我院教育质量和服务水平，从而满足社会对高技能人才的需求。</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综合历年人才引进工作的经验与总结，我们得出了以下三点原因：第一，无地域优势；第二，薪资待遇相对偏低，难以与其他高等院校和企业竞争优秀人才；第三，学院工作氛围和文化（凝聚力和认同感）建设需进一步加强。这些成为了我院人才引进的难点。</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加大资金投入，提高薪资待遇和福利保障；优化科研平台和硬件设施，提供更好的教学和科研条件；加强与企业的合作，为优秀人才提供更多的实践机会。提供更好的培训和发展机会； 当然人才引进是一项长期系统的工程，需要政府、社会各方面和我院的共同努力。</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项目负责人：李金丹</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51000021T000000014410-实习实训材料费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及时购置学生实习实训所需耗材，保证学生实训实习正常开展，提升学生实际操作能力，为学生就业打下良好的实践操作能力基础。</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各系部根据实际需要及时购置了学生实习实训所需耗材，保证学生实训实习正常开展，提升学生实际操作能力，为学生就业打下良好的实践操作能力基础。</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专项由二级教学单位根据专业、学生数量、专业特点和实训要求，上报实验实训室材料费计划和预算，教务处统筹进行评估和审批。二级教学单位自行根据金额和要求完成材料的采购，超过2万元的项目均通过招标等方式执行，项目实施过程中由二级单位公开招标并履行招标评标、合同签订和执行的职责。</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149.08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99.39%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49.08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98.16%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采购实训材料批次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批次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实验实训室搬迁数量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提升学生实训水平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提升学生实际动手能力，服务社会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6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依据自评表，本项目进行自评得到自评分99.9分，本项目是国家要求在学院教学组织中具体落地的经费保障，是学院正常运行和保障基本人才培养质量的必要条件。实验实训的消防、安全、管理等也涉及到一些材料和辅助材料的购置，也一并纳入了实验实训材料费中。2022年，全院学生超过20周的实验实训耗材，管理耗材和少量与教学通用的低值技能竞赛耗材均通过本专项得以保障，未出现实验实训安全事故和学生关于实验实训材料不足的投诉。</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因学校专业设置结构的调整，</w:t>
            </w:r>
            <w:r>
              <w:rPr>
                <w:rFonts w:hint="eastAsia" w:ascii="微软雅黑" w:hAnsi="微软雅黑" w:eastAsia="微软雅黑" w:cs="微软雅黑"/>
                <w:i/>
                <w:iCs/>
                <w:color w:val="000000"/>
                <w:kern w:val="0"/>
                <w:sz w:val="16"/>
                <w:szCs w:val="16"/>
                <w:lang w:eastAsia="zh-CN" w:bidi="ar"/>
              </w:rPr>
              <w:t>“</w:t>
            </w:r>
            <w:bookmarkStart w:id="3" w:name="_GoBack"/>
            <w:bookmarkEnd w:id="3"/>
            <w:r>
              <w:rPr>
                <w:rFonts w:ascii="微软雅黑" w:hAnsi="微软雅黑" w:eastAsia="微软雅黑" w:cs="微软雅黑"/>
                <w:i/>
                <w:iCs/>
                <w:color w:val="000000"/>
                <w:kern w:val="0"/>
                <w:sz w:val="16"/>
                <w:szCs w:val="16"/>
                <w:lang w:bidi="ar"/>
              </w:rPr>
              <w:t>十四五</w:t>
            </w:r>
            <w:r>
              <w:rPr>
                <w:rFonts w:hint="eastAsia" w:ascii="微软雅黑" w:hAnsi="微软雅黑" w:eastAsia="微软雅黑" w:cs="微软雅黑"/>
                <w:i/>
                <w:iCs/>
                <w:color w:val="000000"/>
                <w:kern w:val="0"/>
                <w:sz w:val="16"/>
                <w:szCs w:val="16"/>
                <w:lang w:eastAsia="zh-CN" w:bidi="ar"/>
              </w:rPr>
              <w:t>”</w:t>
            </w:r>
            <w:r>
              <w:rPr>
                <w:rFonts w:ascii="微软雅黑" w:hAnsi="微软雅黑" w:eastAsia="微软雅黑" w:cs="微软雅黑"/>
                <w:i/>
                <w:iCs/>
                <w:color w:val="000000"/>
                <w:kern w:val="0"/>
                <w:sz w:val="16"/>
                <w:szCs w:val="16"/>
                <w:lang w:bidi="ar"/>
              </w:rPr>
              <w:t>期间，每年学院将新开设新专业1-3个，涉及新建设实验实训室，并提出了更高的实验实训材料费用的要求。学院两地办学，为减少通勤费用，部分实验实训室存在着两校区都有的情况，且两校区耗材不方便通用（运输费用高于重新再购买），所以在评估预算时，可能存在少量误差。</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进行实验实训室材料费用预算时尽量结合新计划开设专业，明确系部及学院实验实训室建设情况进行预算；在两个校区都有的实验实训室进行耗材预算时，加强交流，避免重复也避免漏项，力求更准确。</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项目负责人：彭丽</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51000021T000000014414-四川建筑职业技术学院成都校区二期工程后续建设</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工程是四川建筑职业技术学院成都校区迁建工程（二期）项目，位于成都市青白江区高楼村，其中：图书综合楼，建筑面积为32392.00㎡。实训楼1，建筑面积为9992.62m2。实训楼2，建筑面积为8517.6m2，设计使用年限50年，抗震等级为三级，局部抗震等级加强为二级，抗震烈度为七度。该工程主体工程现已完工，图书馆消防工程需进一步完善后进行验收，加快办理工程结算。</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已完成图书综合楼，建筑面积为32392.00㎡。实训楼1，建筑面积为9992.62m2。实训楼2，建筑面积为8517.6m2，设计使用年限50年，抗震等级为三级，局部抗震等级加强为二级，抗震烈度为七度。室外消防道路已完成。</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室内防火棉铝板封闭，室外消防道路施工已完成。</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270.07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90.02%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270.07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90.02%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运行质量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抗震烈度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支付时间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原因：1、因疫情导致开标时间一再推迟；2、年底财务因疫情提前结账，导致12月份进度款无法支付</w:t>
            </w: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96</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项目评分96分，已完成预定内容，已达成预期目标。</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项目负责人：魏强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51000021T000000014430-提前下达2021年学生资助补助经费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严格按照相关政策，对贫困学生进行资助，保障其在校期间基本生活需要，使其按时完成学业。学院确保资助政策落实到位，惠及每一位贫困学生，不让贫困成为学生正常上学的阻碍，在确保其基本生活的情况下，培养成才回报社会。　</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我院按照上级文件精神，已完成年度目标。</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严格执行国家和省对贫困学生的资助文件精神。落实相关政策，保障贫困学生在校期间基本生活需要，使其按时完成学业。学院领导高度重视资助政策的落实到位，并制定相关制度；同时还要求各级各部门落实资助资金发放到位，确实惠及到每一位贫困学生。</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2,112.00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预算调整原因川财教（2022）43号文，下达资金613.92万元。</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2,112.00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2,759.29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资助人次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6315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资助贫困学生</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对家庭经济困难学生的影响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 xml:space="preserve">学生满意度  </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我院按照上级文件精神，已完成相关业务的评审和相关资金发放工作，并及时将拨付资金发放到位。取得了学生一致好评。</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项目负责人：刘继强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51000021T000000014431-图书购置</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91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根据学院发展需要，订购多个高校常用电子资源库，满足师生对电子文献的需求。</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采购知网数据库、外文期刊数据库1年，万方、维普、京东阅读、读秀数据库2年，歌德数字图书借阅机系统资源更新维护3年。</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3月开启采购项目；4月因财务系统在计算平均值求和后总金额不能整除未达到50万元整，未达到政府采购最低金额标准，暂停采购；后提出经费调整申请，9月通过调整申请；10月进行单一来源采购专家论证，并发出采购公告；11月签订采购合同并完成验收报账。</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数据资源库</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数据资源库质量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读者素质的提高</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在数据库价格连年上涨的环境下，用与上年相同的价格续订学院常用数据库，为学院师生科研学习提供电子文献资源保障。</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社会效益范围有限。因数据库版权问题，仅可提供校内师生使用提高校内读者的学术素养，不能提供校外人员使用扩大使用范围。</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学术文献数据库是高校科研教学必备的教育资源，各高校每年花费大量经费采购，建议地区教育主管部门统一采购，降低采购成本，供地区内各高校共同使用。</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项目负责人：刘鸿</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51000021T000000014434-现代建筑工业化实训基地建设项目</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82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四川建筑职业技术学院现代建筑工业化实训基地建设项目规划总建筑面积 20141㎡，项目功能设置以强化基础性、通用性技术技能实训为重点项目功能设置，教学型基础技能实训平台新增实验实训设备等。</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该项目2020年已完成四川建筑职业技术学院现代建筑工业化实训基地建设项目规划总建筑面积 20141㎡，项目功能设置以强化基础性、通用性技术技能实训为重点项目功能设置，教学型基础技能实训平台新增实验实训设备等，本年度300万资金仅用于支付工程尾款。</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该项目2020年已完成四川建筑职业技术学院现代建筑工业化实训基地建设项目规划总建筑面积 20141㎡，本年度300万资金仅用于支付工程尾款。</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抗震烈度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级</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付款时间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实现教学需要，满足师生需求。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使用年限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项目评分100分，已完成预定内容，已达成预期目标。</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项目负责人：魏强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51000021T000000014435-现代职业教育质量提升计划</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建设建筑工程技术国家级高水平专业群；2、完成学院技术技能人才培养高地、技术技能创新服务平台、高水平双师型师资团队、提升校企合作水平、提升社会服务水平、提升学校治理水平、提升国际化水平等重点任务建设。</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2022年该项目下所有子项目均开展工作，但因疫情缘故，部分子项目延缓支付、开标延迟、工期延期竣工等因素当年导致当年无法完成，部分资金进行了结转。</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该项目下所有子项目多数由二级教学单位实施，根据各项目实施内容的要求合理上报采购计划和预算，分管部门及学校层面统筹进行评估和审批，二级教学单位根据需求进行招投标方式执行了采购，项目实施过程中由二级单位公开招标并履行招标评标、签订合同和执行的职责。</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3,001.68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4,221.09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3,619.03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85.74%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预算调整原因：根据川财教（2022）149号文及川财教（2022）172号文，下达部分教育补助资金。执行率未到90%因疫情缘故，导致延缓支付。</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3,001.68</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4,221.09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3,619.03</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85.74%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99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建设高水平实践教学基地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人才培养质量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98.5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得分98.5分，2022年该项目完成情况较好，各子项目均开展工作，部分项目如期完成，提高了学院人才培养质量的必要条件，能满足学生的技能比赛，日常实训训练，为培养高质量技能技术人才提供保障。部分项目因疫情因素影响延缓开标、工程延期至2023年完工，资金进行了结转。</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由于疫情原因，项目的推进工作出现了困难。部分软件类的维护及升级支出估算可能不准确。数据传输不稳定等</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在进行项目执行过程中，总结经验，保证项目的保质保量，按照规定的时间完成。合同更加细致，通过校企合作方式，逐步完善后期使用和维护工作落实。进一步探索智能化实践课程开发路径，实现教学质量提升。</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项目负责人：李超</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51000021T000000014436-校园文化建设专项经费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通过加强校园文化建设，进一步凝聚人心、展示学校形象、提高学校文明程度，进一步加大公众对我校的认知度，进一步为广大师生营造健康、向上、丰富的校园文化氛围，实现以文化人、以文育人。</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党的二十</w:t>
            </w:r>
            <w:r>
              <w:rPr>
                <w:rFonts w:hint="eastAsia" w:ascii="黑体" w:hAnsi="黑体" w:eastAsia="黑体" w:cs="黑体"/>
                <w:color w:val="000000"/>
                <w:kern w:val="0"/>
                <w:sz w:val="18"/>
                <w:szCs w:val="18"/>
                <w:lang w:bidi="ar"/>
              </w:rPr>
              <w:t>大</w:t>
            </w:r>
            <w:r>
              <w:rPr>
                <w:rFonts w:ascii="黑体" w:hAnsi="黑体" w:eastAsia="黑体" w:cs="黑体"/>
                <w:color w:val="000000"/>
                <w:kern w:val="0"/>
                <w:sz w:val="18"/>
                <w:szCs w:val="18"/>
                <w:lang w:bidi="ar"/>
              </w:rPr>
              <w:t>精神宣传学习贯彻、文明单位建设等校园文化氛围营造，“三全育人“学校、乡村振兴等视频拍摄，第十三届文化艺术作品展及学院大事记永久标识制作等按期完成。</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校园文化氛围营造：全面加强了党的二十</w:t>
            </w:r>
            <w:r>
              <w:rPr>
                <w:rFonts w:hint="eastAsia" w:ascii="宋体" w:hAnsi="宋体" w:cs="宋体"/>
                <w:color w:val="000000"/>
                <w:kern w:val="0"/>
                <w:sz w:val="18"/>
                <w:szCs w:val="18"/>
                <w:lang w:bidi="ar"/>
              </w:rPr>
              <w:t>大</w:t>
            </w:r>
            <w:r>
              <w:rPr>
                <w:rFonts w:ascii="宋体" w:hAnsi="宋体" w:cs="宋体"/>
                <w:color w:val="000000"/>
                <w:kern w:val="0"/>
                <w:sz w:val="18"/>
                <w:szCs w:val="18"/>
                <w:lang w:bidi="ar"/>
              </w:rPr>
              <w:t>精神宣传学习贯彻，开展了文明单位建设项目；活动开展：举办了学院第十三届文化艺术作品展，拍摄了三全育人“学校、乡村振兴等视频拍摄；标识制作：学院大事记永久标识和部分办公场地门牌标识更换等。</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49.99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49.99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高雅艺术进校园工作</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受疫情影响，不可开展聚集性演出活动，工作受限制。</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校园文化氛围营造</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第十三届文化艺术作品展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场次</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以文化人、以文育人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在校园内营造了良好的学习党的二十大精神、文明单位建设氛围；举办了学院第十三届文化艺术作品展，丰富了师生精神文化生活；拍摄了三全育人“学校、乡村振兴等视频拍摄，提升了学院良好形象；制作了学院大事记永久标识，为传承学院67年办学精神打造了载体。</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预算经费不准确和个别项目未实施完成，其原因是业务水平有限和受客观环境影响。</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加强预算业务学习，提高业务水平；加强对实施项目的科学谋划。</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项目负责人：赵新华</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51000021T000000014440-学院双高计划专项建设</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为扎实推进学院中国特色高水平高职学校和专业建设计划项目的实施，确保高质量完成建设任务，依据《教育部 财政部关于实施中国特色高水平高职学校和专业建设计划的意见》（教职成〔2019〕5号）和《教育部 财政部关于公布中国特色高水平高职学校和专业建设计划建设单位名单的通知》（教职成函〔2019〕14号），特设立本项目。根据专项建设年度任务计划，参照同类型目建设费用标准，经过前期调研和专家论证，测定出专项建设任务费用。</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2022年该项目下的所有子项目均顺利开展，根据专项建设年度任务计划，参照同类型目建设费用标准，经过前期调研和专家论证，测定出专项建设任务费用，2022年该项目高质量完成建设任务。</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3,023.00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3,015.12</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2,857.85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94.78%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预算调整原因为政采结余收回</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1,546.33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1,538.45</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1,538.45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1,476.67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1,476.67</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1,319.40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89.35%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建设高水平实践教学基地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人才培养质量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该项目得分100分，2022年该项目顺利开展，各部门教学单位积极投入工作，严格按照学院要求及项目要求开展及推进工作，但由于资金估算不准确，存在结余资金收回。</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子项目工程类存在预算不准确的情况，但前期费用已支付完毕，2022年12月进入施工招标流程。部分项目信息化资源还不够丰富，还需要进一步丰富和完善。</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进一步优化建设方案，可采取第三方介入进行项目评价，讲预算估算准备度提高。学院需加大平台的搭设和管理，结合校内相应课程资源，丰富体验中心内涵。</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项目负责人：李超</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51000021T000000014441-学院院级立项课题及配套科研经费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2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经过认真评审论证，合理安排院级立项配套课题经费补助，提升教师科研水平，鼓励师生发明创造、落实配套奖励，切实服务社会。</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科研项目经过认真评审论证，合理安排院级立项配套课题经费补助，提升教师科研水平，鼓励师生发明创造、落实配套奖励，切实服务社会。项目资金专项专用，无截留、无挪用等现象。</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2022年学院持续推进200余项各级各类科研课题的研发工作，新立项各级各类科研课题125项，其中国家级课题1项，省部级课题2项；完成结题75项。授权专利22项，发表论文222篇，其中中文核心期刊及以上占69篇。</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96.57%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9.7</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86.00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83.05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96.57%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专利发明</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科研课题数量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评审合格率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加大科研力度，增强教师学生科研水平</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师生满意度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99.7</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院级立项课题及配套科研经费执行优良，各项指标完成度高，满意度高。</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科研经费预算略低。</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提高科研项目预算总额。</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项目负责人：胡驰</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51000021T000000014446-招生就业宣传广告经费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积极宣传我院，开展相关招生宣传，并对学生做好就业指导工作。</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招生画册，内容包括招生专业、招生计划、往年录取分数等，在招生宣传方面起到积极作用；毕业生宣传指南，内容包括分专业毕业生人数，各专业主干课程，各教学单位具体联系人等，有助于用人单位招聘相关专业毕业生。</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每年1月-2月设计并制作学院单招宣传画册2万册、4月-5月份设计并印制学院毕业生选录指南画册5000册、5月-6月设计并印制学院普招宣传画册2万册。</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44.97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44.97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制作毕业生选录指南画册</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份</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印制招生画册数量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份</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40000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印制内容满足招生就业指导工作需要</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6月</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提高学院招生就业宣传力度，为学生们做好服务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画册设计内容符合学校实际情况，能够满足招生宣传和就业工作需要，考生、家长、用人单位在使用上能够及时找到所需信息。</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项目负责人：伍小平</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51000021T000000014454-支付建大学生公寓投资款</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按照公寓投资协议，按时付款，保障学生公寓运行情况正常，维护学院信誉。</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学院按照投资协议，于2022年9月完成该项目支付，保障学院学生公寓的正常运转，维护学院声誉。</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学院按照与建大公司的投资协议，于2022年9月完成该项目支付，保障学生公寓的正常运转，维护了学院信誉。</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932.84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98.37%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948.30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932.84</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98.37%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学生公寓投资数量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学生公寓运行状况</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学生公寓运行状况对学校的促进</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学生满意度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该项目自评得分为100分。2022年学院按照与建大公司的投资协议，于当年9月完成项目支付，保障学院学生公寓的正常运转。</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项目负责人：李涛</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51000021T000000014455-支付联合办学单位办学费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按照协议，按时支付，保障教学质量。满足受教育学生学历教育需要，同时通过联合办学学校之间相互交流学习，提升师资水平，更好的为学生服务。　</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依照项目目标时间节点，按时完成学费支付，履行合作协议义务。教学质量稳步保障，中外校际间合作交流正常开展，提升我方教师国际化素养同时为学生提供了更好地教学服务。</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合作办学项目认真履行协议内容，从专业设置、人才培养、课程内容、教师资源、教学管理、财务管理等各个方面遵循规章制度与管理流程，项目内部制度系列完整，且制定过程流程公开透明。中外双方以协议规定为基础，以合作平等为原则，以合作办学项目为平台，为学生提供更为优质的教学资源，为教师国际化能力提升提供助力。</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997.47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82.11%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1.部分项目外教因疫情签证管控无法到校面授，实际发生成本与预算存在出入；2.受疫情影响，合作项目双方院校师生游学、交流活动受限，无法按照原计划开展。</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1,214.80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997.47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82.11%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联合办学学生总人数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1414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支付外方学费时间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影响年限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合作单位满意度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98</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合作办学项目运行平稳，中外方沟通及时顺畅，教学质量稳定，项目内部管理有章可循，通过多方努力项目达到预期成效：通过中澳双方共建BIM+VR仿真实训中心建设与“云游学”讲座开展等合作项目为载体，将教师职业发展，师资交流项目写入中外合作办学项目协议，多方位保障专业教师团队的国际化发展路径，共同助力国际化师资培养与建设。凝练国际合作经验，形成具有建院特色的国际合作办学标准，“服务国际产能合作，培养高职土建类国际化人才的探索与实践”获2021年四川省职业教育教学成果特等奖。</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1.合作办学项目外方支出明细尚缺乏较为系统的记录与反馈；2.涉及合作办学费用支付信息沟通不畅，易出现信息不对等等情况，从而加大费用支付难度和时长。</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1.建议外方提供较为明细的支出记录或台账，为项目费用支出提供更为详尽的记录；2.建议财务部门继续保持与银行、税务部门的联动机制，优化多方信息沟通，持续提升办事效率。</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项目负责人：董思萌</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51000022T000000250876-成都校区标准运动场土地款</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35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青白江区铁路港管委会已申报土地指标54.9031亩，2022年办理土地手续。</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今年已完成新增地54.9031亩。</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今年已完成新增地54.9031亩。</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561.66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93.61%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61.66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61.66%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土地指标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54.9031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亩</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54.9031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帮助学院达到职业本科院校相关要求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项目评分100分，已完成预定内容，已达成预期目标。</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项目负责人：魏强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51000022T000000260202-退休人员地方生活补贴</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按月及时发放原华西集团未进编离退休职工工资差额，保护好职工切身利益。</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根据《四川建筑职业技术学院关于印发&lt;原华西集团子弟中学退休教师执行义务教育退休教师生活补贴的实施办法&gt;》（川建院（2013）5号）文件及其他关于华西集团退休教师待遇的问题，学院按规定按月足额及时发放了了他们的地方生活补贴。</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根据规定每月按期及时的发放了原华西集团未进编离退休职工的工资差额，在发放原华西集团未进编退休职工的相关待遇时，严格按照上级文件规定，无截留、无挪用、不多发。</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受益人数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46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解决历史遗留问题，维护稳定</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教师满意度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根据规定， 人事处按期按标准完成待遇发放，切实保护好了原华西集团未进编退休职工的切实利益。</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因华西集团的月度补差金额需要根据每年政策规定进行调整，2022年在了解成都退休人员相关待遇信息方面需要进一步再加强，以便能够更及时的根据政策变化给予华西集团退休人员相关待遇政策兑现的反馈。</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建议上级能够建立与成都市及成都市金牛区关于原华西退休人员待遇问题的沟通机制，以便能更有效更及时的落实相关待遇兑现问题。</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项目负责人：李金丹</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51000022T000000270225-设备购置</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满足学院发展所需的办公需求，改善教学环境。</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所购置设备已全部按需分配到学院相关部门，完成年度目标</w:t>
            </w:r>
          </w:p>
        </w:tc>
      </w:tr>
      <w:tr>
        <w:tblPrEx>
          <w:tblCellMar>
            <w:top w:w="0" w:type="dxa"/>
            <w:left w:w="108" w:type="dxa"/>
            <w:bottom w:w="0" w:type="dxa"/>
            <w:right w:w="108" w:type="dxa"/>
          </w:tblCellMar>
        </w:tblPrEx>
        <w:trPr>
          <w:trHeight w:val="34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主要采购办公通用设备，属于政府集中采购项目，通过四川省预算管理系统和采购一体化平台操作完成审批流程，采用网上竞价方式采购，于2022年5月16日在四川省竞价采购系统里挂招标公告进行招标采购，5月17日完成采购。</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49.36</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47.36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办公家具采购数量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件</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办公设备采购数量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113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采购质量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促进工作更好地开展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教师满意度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项目圆满完成年初制定计划，采购设备质量优，解决学院办公急需的设备问题，改善办公条件，使用部门反馈良好。</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对政府采购文件政策的理解尚有不足，以至于走了许多弯路，拖延采购时间，采购进度略显缓慢。</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加强政策文件的学习，熟练掌握采购系统操作，落实正确的采购实施方式，以确保尽早购买高性价比的办公设备，更好服务学院发展。</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项目负责人：余伟</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51000022T000000411252-巩固拓展脱贫攻坚成果同乡村振兴有效衔接专项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四川省省直部门和有关单位定点帮扶工作方案》（川委厅〔2021〕24号）要求，扎实开展定点帮扶工作，切实发挥高校社会服务职能，在职业技术技能培训、技能人才培养培训、产业经济发展等方面助力乡村经济社会发展，持续促进平昌县华山村产业和集体经济发展，巩固拓展脱贫攻坚成果，助力乡村振兴，实现平稳过渡。</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2022年度，学院认真履行省直定点帮扶单位职责，发挥学院自身优势，认真开展乡村振兴帮扶工作。</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年度向土兴镇捐赠路灯10盏，向华山村委捐助党建帮扶经费5万元，购置拓展村集体经济发展的“全套木炭生产设备”1套，资助华山村26名大学新生1.7万元；乡村振兴学院积极帮扶平昌通用职业技术学校。深化校地合作机制。与广汉签订校地合作协议，在城乡规划等方面推动政校合作。与荣县职高签订战略合作协议，在中高职人才培养一体化、师资教学资源建设等方面通力合作。</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21.63%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由于受疫情影响，部分帮扶项目未开展，导致预算执行率偏低。</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21.63%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帮扶人数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帮扶项目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完成定点帮扶工作，巩固拓展脱贫攻坚成果，助力乡村振兴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可持续影响指标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影响年限</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本年度得分为92分，通过实施帮扶项目，进一步推动了帮扶地的产业发展，增强了自我造血能力，为乡村振兴推进夯实了基础。</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预算执行率较低。</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加强帮扶项目统筹推动，进一步提高预算执行率。</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项目负责人：李达</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51000022T000004997700-设施设备维修费</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152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改善教学生活环境，保证师生日常教学生活安全。维护学校社会形象，保障教学场地的使用。</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根据学院年度工作计划，学院2022年8月至12月设施设备日常零星维修维护保障保持良好状态。通过日常学院报修系统及时处理设施设备维修维护，学院教学和办公秩序得到有力的保障，支付金额33.59万元</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2022年8月-12月 项目主要内容：维修维护学院区域内所有室内外照明设施、人行道路、广场地面设施、排涝设施、给水设施、教室教室设施、学生寝室家具及门窗锁附属设施等。通过日常零星设施设备的维修维护，确保了设施设备良好正常使用，保障了教学、办公及学生日常生活的正常运行。</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33.59</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维修项目</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运行质量</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维护学院社会形象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对工作的促进</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项目评分99.9分，已完成预定内容，已达成预期目标。</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无</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项目负责人：魏强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51000022T000004997755-现代职业教育质量提升计划资金</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91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土木工程防灾减灾技术技能平台的双台阵其中一个不动台，即6mx6m三向六自由度地震模拟台的二期设备采购。继一期完成振动台水平加载部分后，升级垂直加载作动器部分，新增液压动力油源，集成地震模拟控制系统。</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完成2021年四川省教育厅职业院校教师素质提升计划相关培训项目（含“双师型”名师工作室、紧缺领域教师技艺技能传承创新平台、1+X证书试点院校教师培训（装配式建筑构件制作与安装）、1+X证书试点院校教师培训（建筑工程识图）</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该项目为上年结转资金项目，包含防震减灾二期政府采购及培训。完成振动台的垂直加载作动器部分，新增液压动力油源，集成地震模拟控制系统等进口设备的专家组论证及公开采购流程，实现本年度预算执行目标。2022年10月，经教育厅遴选通过，学院承接两项职教省培项目，因疫情原因，培训未在2022年完成</w:t>
            </w:r>
          </w:p>
        </w:tc>
      </w:tr>
      <w:tr>
        <w:tblPrEx>
          <w:tblCellMar>
            <w:top w:w="0" w:type="dxa"/>
            <w:left w:w="108" w:type="dxa"/>
            <w:bottom w:w="0" w:type="dxa"/>
            <w:right w:w="108" w:type="dxa"/>
          </w:tblCellMar>
        </w:tblPrEx>
        <w:trPr>
          <w:trHeight w:val="61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防震减灾项目按照进口设备的采购要求，该项目于2021年9月底完成进口产品专家组论证并进行公示；报请财政厅审批后正式启动公开采购流程，2021年12月9日完成公开招标，最终确定中标单位，合同签订程序于2022年1月6日完成。项目依据合同实施相关内容。现代职教培训项目由四川省教育厅拨款，因疫情原因2022年培训推迟到2023年春期，培训经费完成了结转手续，在2023年继续执行。</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811.77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809.77</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98.89%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预算调整原因收回政府采购项目结余资金</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811.77</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809.77</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800.75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98.89%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79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设备验收合格率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提升省内中高职院校教师专业素质</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经济成本指标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设备成本控制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该项目得分100分，2022年顺利开展各子项目，年底前完成支付。学院严格执行教育厅有关培训经费管理办法，完成1+X证书省培项目培训，加强省内中高职土建施工专业师资培训。</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防震减灾项目涉及从国外进口采购的特制设备，其备货周期长、入关手续复杂、不可控因素较多，因此项目的执行期较长。培训项目遴选时间较晚，培训项目较难在当年度内完成</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提前作好项目技术论证，提高工作效率。加强沟通汇报，积极推进培训项目在年度内完成</w:t>
            </w:r>
          </w:p>
        </w:tc>
      </w:tr>
      <w:tr>
        <w:tblPrEx>
          <w:tblCellMar>
            <w:top w:w="0" w:type="dxa"/>
            <w:left w:w="108" w:type="dxa"/>
            <w:bottom w:w="0" w:type="dxa"/>
            <w:right w:w="108" w:type="dxa"/>
          </w:tblCellMar>
        </w:tblPrEx>
        <w:trPr>
          <w:trHeight w:val="309"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项目负责人：李超</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r>
        <w:tblPrEx>
          <w:tblCellMar>
            <w:top w:w="0" w:type="dxa"/>
            <w:left w:w="108" w:type="dxa"/>
            <w:bottom w:w="0" w:type="dxa"/>
            <w:right w:w="108" w:type="dxa"/>
          </w:tblCellMar>
        </w:tblPrEx>
        <w:trPr>
          <w:trHeight w:val="157" w:hRule="atLeast"/>
        </w:trPr>
        <w:tc>
          <w:tcPr>
            <w:tcW w:w="57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2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2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50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145"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62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761"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5" w:hRule="atLeast"/>
        </w:trPr>
        <w:tc>
          <w:tcPr>
            <w:tcW w:w="106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157"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51000022T000004998934-乡村建设管理人员培训项目</w:t>
            </w:r>
          </w:p>
        </w:tc>
      </w:tr>
      <w:tr>
        <w:tblPrEx>
          <w:tblCellMar>
            <w:top w:w="0" w:type="dxa"/>
            <w:left w:w="108" w:type="dxa"/>
            <w:bottom w:w="0" w:type="dxa"/>
            <w:right w:w="108" w:type="dxa"/>
          </w:tblCellMar>
        </w:tblPrEx>
        <w:trPr>
          <w:trHeight w:val="613" w:hRule="atLeast"/>
        </w:trPr>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四川省住房和城乡建设厅部门</w:t>
            </w:r>
          </w:p>
        </w:tc>
        <w:tc>
          <w:tcPr>
            <w:tcW w:w="857"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实施单位 （盖章）</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四川建筑职业技术学院</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76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根据四川省住房和城乡建设厅要求，为深入学习贯彻习近平新时代中国特色社会主义思想，贯彻落实习近平生态文明思想、中央城市工作会议精神和习近平总书记关于住房和城乡建设工作的重要批示指示精神，推进</w:t>
            </w:r>
            <w:r>
              <w:rPr>
                <w:rFonts w:hint="eastAsia" w:ascii="宋体" w:hAnsi="宋体" w:cs="宋体"/>
                <w:color w:val="000000"/>
                <w:kern w:val="0"/>
                <w:sz w:val="18"/>
                <w:szCs w:val="18"/>
                <w:lang w:eastAsia="zh-CN" w:bidi="ar"/>
              </w:rPr>
              <w:t>“</w:t>
            </w:r>
            <w:r>
              <w:rPr>
                <w:rFonts w:ascii="宋体" w:hAnsi="宋体" w:cs="宋体"/>
                <w:color w:val="000000"/>
                <w:kern w:val="0"/>
                <w:sz w:val="18"/>
                <w:szCs w:val="18"/>
                <w:lang w:bidi="ar"/>
              </w:rPr>
              <w:t>十四五</w:t>
            </w:r>
            <w:r>
              <w:rPr>
                <w:rFonts w:hint="eastAsia" w:ascii="宋体" w:hAnsi="宋体" w:cs="宋体"/>
                <w:color w:val="000000"/>
                <w:kern w:val="0"/>
                <w:sz w:val="18"/>
                <w:szCs w:val="18"/>
                <w:lang w:eastAsia="zh-CN" w:bidi="ar"/>
              </w:rPr>
              <w:t>”</w:t>
            </w:r>
            <w:r>
              <w:rPr>
                <w:rFonts w:ascii="宋体" w:hAnsi="宋体" w:cs="宋体"/>
                <w:color w:val="000000"/>
                <w:kern w:val="0"/>
                <w:sz w:val="18"/>
                <w:szCs w:val="18"/>
                <w:lang w:bidi="ar"/>
              </w:rPr>
              <w:t>规划有效实施，全面落实全省住房和城乡建设精神，提升住房城乡系统领导干部专业化能力。</w:t>
            </w:r>
          </w:p>
        </w:tc>
        <w:tc>
          <w:tcPr>
            <w:tcW w:w="37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由于疫情因素导致第三期培训未能如期完成；学院深度贫困定项补助按规定发放完毕。</w:t>
            </w: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87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学院由于疫情的不确定性和不可控，导致工作存在很大的被动性，也是因此第三期培训多次延期最后仍未开展。学生处按照省资助政策完成了乡村建设管理人员培训项目（原深贫定向生）生活补助发放相关工作，涉及的资金省财政拨付后及时将相关资金发放到学生手中。</w:t>
            </w:r>
          </w:p>
        </w:tc>
      </w:tr>
      <w:tr>
        <w:tblPrEx>
          <w:tblCellMar>
            <w:top w:w="0" w:type="dxa"/>
            <w:left w:w="108" w:type="dxa"/>
            <w:bottom w:w="0" w:type="dxa"/>
            <w:right w:w="108" w:type="dxa"/>
          </w:tblCellMar>
        </w:tblPrEx>
        <w:trPr>
          <w:trHeight w:val="309"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194"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267.47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1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ascii="黑体" w:hAnsi="黑体" w:eastAsia="黑体" w:cs="黑体"/>
                <w:i/>
                <w:iCs/>
                <w:color w:val="000000"/>
                <w:kern w:val="0"/>
                <w:sz w:val="18"/>
                <w:szCs w:val="18"/>
                <w:lang w:bidi="ar"/>
              </w:rPr>
              <w:t>该项目混合了学院培训及深贫定向生生活补助。预算执行率低的原因为：1.疫情因素导致学院培训第三期延期未能完成；2.经测算，贫困补助下达资金过多年底已归还财政</w:t>
            </w:r>
          </w:p>
        </w:tc>
      </w:tr>
      <w:tr>
        <w:tblPrEx>
          <w:tblCellMar>
            <w:top w:w="0" w:type="dxa"/>
            <w:left w:w="108" w:type="dxa"/>
            <w:bottom w:w="0" w:type="dxa"/>
            <w:right w:w="108" w:type="dxa"/>
          </w:tblCellMar>
        </w:tblPrEx>
        <w:trPr>
          <w:trHeight w:val="21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461.23</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267.47</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57.99%</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2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0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3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2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1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17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培训人数</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人</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522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6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培训工作完成时间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月</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由于疫情原因，本计划三期，实际完成2期，余1期未开展</w:t>
            </w:r>
          </w:p>
        </w:tc>
      </w:tr>
      <w:tr>
        <w:tblPrEx>
          <w:tblCellMar>
            <w:top w:w="0" w:type="dxa"/>
            <w:left w:w="108" w:type="dxa"/>
            <w:bottom w:w="0" w:type="dxa"/>
            <w:right w:w="108" w:type="dxa"/>
          </w:tblCellMar>
        </w:tblPrEx>
        <w:trPr>
          <w:trHeight w:val="30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提升住房城乡系统领导干部专业化能力</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 w:hRule="atLeast"/>
        </w:trPr>
        <w:tc>
          <w:tcPr>
            <w:tcW w:w="77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该项目得分91分。继续教育学院第一期、第二期培训开展规范有序开展，组织培训内容有针对性、实用性，对参训学员日常工作开展起到了良好的指导作用。学生处按照省资助政策要求和资金拨付情况，完成了乡村建设管理人员培训项目（原深贫定向生）生活补助发放相关工作。</w:t>
            </w:r>
          </w:p>
        </w:tc>
      </w:tr>
      <w:tr>
        <w:tblPrEx>
          <w:tblCellMar>
            <w:top w:w="0" w:type="dxa"/>
            <w:left w:w="108" w:type="dxa"/>
            <w:bottom w:w="0" w:type="dxa"/>
            <w:right w:w="108" w:type="dxa"/>
          </w:tblCellMar>
        </w:tblPrEx>
        <w:trPr>
          <w:trHeight w:val="30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继续教育学院因第一期、第二期是在疫情期间开展，由于疫情的不确定性和不可控，导致工作存在很大的被动性，也是因此第三期培训多次延期最后仍未开展。</w:t>
            </w:r>
          </w:p>
        </w:tc>
      </w:tr>
      <w:tr>
        <w:tblPrEx>
          <w:tblCellMar>
            <w:top w:w="0" w:type="dxa"/>
            <w:left w:w="108" w:type="dxa"/>
            <w:bottom w:w="0" w:type="dxa"/>
            <w:right w:w="108" w:type="dxa"/>
          </w:tblCellMar>
        </w:tblPrEx>
        <w:trPr>
          <w:trHeight w:val="31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100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ascii="微软雅黑" w:hAnsi="微软雅黑" w:eastAsia="微软雅黑" w:cs="微软雅黑"/>
                <w:i/>
                <w:iCs/>
                <w:color w:val="000000"/>
                <w:kern w:val="0"/>
                <w:sz w:val="16"/>
                <w:szCs w:val="16"/>
                <w:lang w:bidi="ar"/>
              </w:rPr>
              <w:t>目前疫情防控真正常态化，按照相关要求持续做好培训筹备工作，包括培训内容的调研、培训组织合理、合法、合规，加强培训举办相关业务政策法规的学习。</w:t>
            </w:r>
          </w:p>
        </w:tc>
      </w:tr>
      <w:tr>
        <w:tblPrEx>
          <w:tblCellMar>
            <w:top w:w="0" w:type="dxa"/>
            <w:left w:w="108" w:type="dxa"/>
            <w:bottom w:w="0" w:type="dxa"/>
            <w:right w:w="108" w:type="dxa"/>
          </w:tblCellMar>
        </w:tblPrEx>
        <w:trPr>
          <w:trHeight w:val="314" w:hRule="atLeast"/>
        </w:trPr>
        <w:tc>
          <w:tcPr>
            <w:tcW w:w="5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项目负责人：戚燕、刘继强</w:t>
            </w:r>
          </w:p>
        </w:tc>
        <w:tc>
          <w:tcPr>
            <w:tcW w:w="56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ascii="黑体" w:hAnsi="黑体" w:eastAsia="黑体" w:cs="黑体"/>
                <w:color w:val="000000"/>
                <w:kern w:val="0"/>
                <w:sz w:val="18"/>
                <w:szCs w:val="18"/>
                <w:lang w:bidi="ar"/>
              </w:rPr>
              <w:t>财务负责人：李涛</w:t>
            </w:r>
          </w:p>
        </w:tc>
      </w:tr>
    </w:tbl>
    <w:p>
      <w:pPr>
        <w:spacing w:line="572" w:lineRule="exact"/>
        <w:jc w:val="left"/>
        <w:rPr>
          <w:rFonts w:ascii="仿宋_GB2312" w:hAnsi="仿宋_GB2312" w:eastAsia="仿宋_GB2312" w:cs="仿宋_GB2312"/>
          <w:sz w:val="32"/>
          <w:szCs w:val="32"/>
        </w:rPr>
      </w:pPr>
    </w:p>
    <w:bookmarkEnd w:id="2"/>
    <w:p>
      <w:pPr>
        <w:jc w:val="left"/>
        <w:rPr>
          <w:rFonts w:ascii="仿宋_GB2312" w:hAnsi="Calibri" w:eastAsia="仿宋_GB2312" w:cs="仿宋"/>
          <w:kern w:val="0"/>
          <w:sz w:val="32"/>
          <w:szCs w:val="32"/>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298D2EC4-C4F2-46A3-BF37-E1C1BED5E2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3491B72-C433-4FA9-BA40-7A64B4CE7E66}"/>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80F4923-BB5D-4D39-9989-D9806BC4D5A5}"/>
  </w:font>
  <w:font w:name="仿宋">
    <w:panose1 w:val="02010609060101010101"/>
    <w:charset w:val="86"/>
    <w:family w:val="modern"/>
    <w:pitch w:val="default"/>
    <w:sig w:usb0="800002BF" w:usb1="38CF7CFA" w:usb2="00000016" w:usb3="00000000" w:csb0="00040001" w:csb1="00000000"/>
    <w:embedRegular r:id="rId4" w:fontKey="{2F29FDA7-385C-4372-AAA7-E3317A516E40}"/>
  </w:font>
  <w:font w:name="微软雅黑">
    <w:panose1 w:val="020B0503020204020204"/>
    <w:charset w:val="86"/>
    <w:family w:val="swiss"/>
    <w:pitch w:val="default"/>
    <w:sig w:usb0="80000287" w:usb1="280F3C52" w:usb2="00000016" w:usb3="00000000" w:csb0="0004001F" w:csb1="00000000"/>
    <w:embedRegular r:id="rId5" w:fontKey="{DDCC7B08-9388-4703-B502-E59B50BC70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spacing w:before="7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spacing w:before="7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GExN2Y1ZDU2OTc2NDQxNGEyZWQyZjAxYjI3N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26B"/>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17410"/>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0DB"/>
    <w:rsid w:val="00E07ACF"/>
    <w:rsid w:val="00E331A1"/>
    <w:rsid w:val="00E33202"/>
    <w:rsid w:val="00E336A9"/>
    <w:rsid w:val="00E3602A"/>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08D4"/>
    <w:rsid w:val="00F417B1"/>
    <w:rsid w:val="00F45853"/>
    <w:rsid w:val="00F602DF"/>
    <w:rsid w:val="00F754A1"/>
    <w:rsid w:val="00F81FD9"/>
    <w:rsid w:val="00F841AA"/>
    <w:rsid w:val="00F84A94"/>
    <w:rsid w:val="00F87E96"/>
    <w:rsid w:val="00FA23E8"/>
    <w:rsid w:val="00FD3CC1"/>
    <w:rsid w:val="00FF1E02"/>
    <w:rsid w:val="00FF30B4"/>
    <w:rsid w:val="010A38A6"/>
    <w:rsid w:val="01733CCC"/>
    <w:rsid w:val="07B45DB1"/>
    <w:rsid w:val="0946114A"/>
    <w:rsid w:val="0A2032A3"/>
    <w:rsid w:val="0B8A37D8"/>
    <w:rsid w:val="0CEE76CD"/>
    <w:rsid w:val="0DBA74F0"/>
    <w:rsid w:val="0E6F1343"/>
    <w:rsid w:val="101A606C"/>
    <w:rsid w:val="10C055FF"/>
    <w:rsid w:val="118107EC"/>
    <w:rsid w:val="11DD6519"/>
    <w:rsid w:val="13E92070"/>
    <w:rsid w:val="146A39EB"/>
    <w:rsid w:val="16BB723D"/>
    <w:rsid w:val="17C03A1C"/>
    <w:rsid w:val="18015F3F"/>
    <w:rsid w:val="19432E97"/>
    <w:rsid w:val="1B6A25A2"/>
    <w:rsid w:val="1BE8440E"/>
    <w:rsid w:val="1C834001"/>
    <w:rsid w:val="1D155CEE"/>
    <w:rsid w:val="1DDA0719"/>
    <w:rsid w:val="1FB9CDC8"/>
    <w:rsid w:val="20AC2D10"/>
    <w:rsid w:val="20F57F95"/>
    <w:rsid w:val="21810EBE"/>
    <w:rsid w:val="23471B32"/>
    <w:rsid w:val="240371BF"/>
    <w:rsid w:val="25711CC6"/>
    <w:rsid w:val="25C741E6"/>
    <w:rsid w:val="27842671"/>
    <w:rsid w:val="29FD04D3"/>
    <w:rsid w:val="2A687195"/>
    <w:rsid w:val="2ABE7A3E"/>
    <w:rsid w:val="2B0A27C4"/>
    <w:rsid w:val="2B19126C"/>
    <w:rsid w:val="2CA234A8"/>
    <w:rsid w:val="2EFA178C"/>
    <w:rsid w:val="2FD14541"/>
    <w:rsid w:val="30B46D73"/>
    <w:rsid w:val="319F7F4E"/>
    <w:rsid w:val="3550121D"/>
    <w:rsid w:val="36910587"/>
    <w:rsid w:val="383D272C"/>
    <w:rsid w:val="39AE70AB"/>
    <w:rsid w:val="3C0C0783"/>
    <w:rsid w:val="3C2C742D"/>
    <w:rsid w:val="3CAC37E1"/>
    <w:rsid w:val="3E19E6B0"/>
    <w:rsid w:val="3F6118F3"/>
    <w:rsid w:val="3F9F3A96"/>
    <w:rsid w:val="40C24AD3"/>
    <w:rsid w:val="41451530"/>
    <w:rsid w:val="41EA1417"/>
    <w:rsid w:val="453C24C7"/>
    <w:rsid w:val="48BF60AB"/>
    <w:rsid w:val="493C27E9"/>
    <w:rsid w:val="496F39ED"/>
    <w:rsid w:val="49A0313A"/>
    <w:rsid w:val="49FF41D3"/>
    <w:rsid w:val="4A71160D"/>
    <w:rsid w:val="4BE068DB"/>
    <w:rsid w:val="4BF6002B"/>
    <w:rsid w:val="4D746D8D"/>
    <w:rsid w:val="4ECE2238"/>
    <w:rsid w:val="50F30636"/>
    <w:rsid w:val="51DB4B86"/>
    <w:rsid w:val="53D00B72"/>
    <w:rsid w:val="55333C3E"/>
    <w:rsid w:val="5595716F"/>
    <w:rsid w:val="56F41F34"/>
    <w:rsid w:val="57FA71CD"/>
    <w:rsid w:val="585E6911"/>
    <w:rsid w:val="58704833"/>
    <w:rsid w:val="59301E5D"/>
    <w:rsid w:val="5B3B68B4"/>
    <w:rsid w:val="5CD2613E"/>
    <w:rsid w:val="5FE1924E"/>
    <w:rsid w:val="61B02786"/>
    <w:rsid w:val="61C6707F"/>
    <w:rsid w:val="62852A75"/>
    <w:rsid w:val="63801C32"/>
    <w:rsid w:val="64CA39A1"/>
    <w:rsid w:val="6524075B"/>
    <w:rsid w:val="658E1FB1"/>
    <w:rsid w:val="65B761F3"/>
    <w:rsid w:val="663414F6"/>
    <w:rsid w:val="66FC3D47"/>
    <w:rsid w:val="68923B67"/>
    <w:rsid w:val="69630ADE"/>
    <w:rsid w:val="6B1F776C"/>
    <w:rsid w:val="6C4A05C8"/>
    <w:rsid w:val="6D3B1A89"/>
    <w:rsid w:val="6E643DA1"/>
    <w:rsid w:val="71414B3F"/>
    <w:rsid w:val="71BF4EC2"/>
    <w:rsid w:val="71E6168F"/>
    <w:rsid w:val="72734D90"/>
    <w:rsid w:val="73ED5DA0"/>
    <w:rsid w:val="7412278C"/>
    <w:rsid w:val="74542974"/>
    <w:rsid w:val="77BFFFE5"/>
    <w:rsid w:val="78663CC5"/>
    <w:rsid w:val="78C53E7E"/>
    <w:rsid w:val="79E7B28D"/>
    <w:rsid w:val="7B073FEC"/>
    <w:rsid w:val="7B573DED"/>
    <w:rsid w:val="7F9E0BEB"/>
    <w:rsid w:val="7F9F20EE"/>
    <w:rsid w:val="7FAD3CE1"/>
    <w:rsid w:val="7FFD869C"/>
    <w:rsid w:val="8CD5BF69"/>
    <w:rsid w:val="9E3A10E2"/>
    <w:rsid w:val="BA4681FB"/>
    <w:rsid w:val="BFBC6DC5"/>
    <w:rsid w:val="D7FE6CBC"/>
    <w:rsid w:val="DDEE1D9F"/>
    <w:rsid w:val="E0F7F4E1"/>
    <w:rsid w:val="ED7F033E"/>
    <w:rsid w:val="F1CE9F39"/>
    <w:rsid w:val="F2E1F9D4"/>
    <w:rsid w:val="F7880819"/>
    <w:rsid w:val="F7FDBAAA"/>
    <w:rsid w:val="FC7C85CE"/>
    <w:rsid w:val="FD758439"/>
    <w:rsid w:val="FD7E6CF5"/>
    <w:rsid w:val="FEB7E5C1"/>
    <w:rsid w:val="FEBE87CA"/>
    <w:rsid w:val="FFBF45ED"/>
    <w:rsid w:val="FFCF4A7E"/>
    <w:rsid w:val="FFEE69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
    <w:autoRedefine/>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autoRedefine/>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autoRedefine/>
    <w:unhideWhenUsed/>
    <w:qFormat/>
    <w:uiPriority w:val="39"/>
    <w:pPr>
      <w:tabs>
        <w:tab w:val="right" w:leader="dot" w:pos="8296"/>
      </w:tabs>
      <w:ind w:left="420" w:leftChars="200"/>
    </w:pPr>
  </w:style>
  <w:style w:type="character" w:styleId="14">
    <w:name w:val="Strong"/>
    <w:basedOn w:val="13"/>
    <w:autoRedefine/>
    <w:qFormat/>
    <w:uiPriority w:val="99"/>
    <w:rPr>
      <w:b/>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6">
    <w:name w:val="Header Char"/>
    <w:basedOn w:val="13"/>
    <w:autoRedefine/>
    <w:semiHidden/>
    <w:qFormat/>
    <w:uiPriority w:val="99"/>
    <w:rPr>
      <w:rFonts w:ascii="Times New Roman" w:hAnsi="Times New Roman"/>
      <w:sz w:val="18"/>
      <w:szCs w:val="18"/>
    </w:rPr>
  </w:style>
  <w:style w:type="character" w:customStyle="1" w:styleId="17">
    <w:name w:val="页眉 字符"/>
    <w:link w:val="9"/>
    <w:autoRedefine/>
    <w:semiHidden/>
    <w:qFormat/>
    <w:locked/>
    <w:uiPriority w:val="99"/>
    <w:rPr>
      <w:sz w:val="18"/>
    </w:rPr>
  </w:style>
  <w:style w:type="character" w:customStyle="1" w:styleId="18">
    <w:name w:val="Footer Char"/>
    <w:basedOn w:val="13"/>
    <w:autoRedefine/>
    <w:semiHidden/>
    <w:qFormat/>
    <w:uiPriority w:val="99"/>
    <w:rPr>
      <w:rFonts w:ascii="Times New Roman" w:hAnsi="Times New Roman"/>
      <w:sz w:val="18"/>
      <w:szCs w:val="18"/>
    </w:rPr>
  </w:style>
  <w:style w:type="character" w:customStyle="1" w:styleId="19">
    <w:name w:val="页脚 字符"/>
    <w:link w:val="8"/>
    <w:autoRedefine/>
    <w:qFormat/>
    <w:locked/>
    <w:uiPriority w:val="99"/>
    <w:rPr>
      <w:sz w:val="18"/>
    </w:rPr>
  </w:style>
  <w:style w:type="character" w:customStyle="1" w:styleId="20">
    <w:name w:val="Body Text Char"/>
    <w:basedOn w:val="13"/>
    <w:autoRedefine/>
    <w:semiHidden/>
    <w:qFormat/>
    <w:uiPriority w:val="99"/>
    <w:rPr>
      <w:rFonts w:ascii="Times New Roman" w:hAnsi="Times New Roman"/>
      <w:szCs w:val="24"/>
    </w:rPr>
  </w:style>
  <w:style w:type="character" w:customStyle="1" w:styleId="21">
    <w:name w:val="正文文本 字符"/>
    <w:link w:val="2"/>
    <w:autoRedefine/>
    <w:qFormat/>
    <w:locked/>
    <w:uiPriority w:val="99"/>
    <w:rPr>
      <w:rFonts w:ascii="仿宋_GB2312" w:hAnsi="Times New Roman" w:eastAsia="仿宋_GB2312"/>
      <w:sz w:val="24"/>
    </w:rPr>
  </w:style>
  <w:style w:type="paragraph" w:customStyle="1" w:styleId="22">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autoRedefine/>
    <w:qFormat/>
    <w:uiPriority w:val="34"/>
    <w:pPr>
      <w:ind w:firstLine="420" w:firstLineChars="200"/>
    </w:pPr>
  </w:style>
  <w:style w:type="character" w:customStyle="1" w:styleId="24">
    <w:name w:val="标题 1 字符"/>
    <w:basedOn w:val="13"/>
    <w:link w:val="3"/>
    <w:autoRedefine/>
    <w:qFormat/>
    <w:uiPriority w:val="9"/>
    <w:rPr>
      <w:rFonts w:ascii="Times New Roman" w:hAnsi="Times New Roman"/>
      <w:b/>
      <w:bCs/>
      <w:kern w:val="44"/>
      <w:sz w:val="44"/>
      <w:szCs w:val="44"/>
    </w:rPr>
  </w:style>
  <w:style w:type="character" w:customStyle="1" w:styleId="25">
    <w:name w:val="标题 2 字符"/>
    <w:basedOn w:val="13"/>
    <w:link w:val="4"/>
    <w:autoRedefine/>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autoRedefine/>
    <w:semiHidden/>
    <w:qFormat/>
    <w:uiPriority w:val="99"/>
    <w:rPr>
      <w:rFonts w:ascii="Times New Roman" w:hAnsi="Times New Roman"/>
      <w:kern w:val="2"/>
      <w:sz w:val="18"/>
      <w:szCs w:val="18"/>
    </w:rPr>
  </w:style>
  <w:style w:type="character" w:customStyle="1" w:styleId="28">
    <w:name w:val="标题 3 字符"/>
    <w:basedOn w:val="13"/>
    <w:link w:val="5"/>
    <w:autoRedefine/>
    <w:qFormat/>
    <w:uiPriority w:val="9"/>
    <w:rPr>
      <w:rFonts w:ascii="Times New Roman" w:hAnsi="Times New Roman"/>
      <w:b/>
      <w:bCs/>
      <w:kern w:val="2"/>
      <w:sz w:val="32"/>
      <w:szCs w:val="32"/>
    </w:rPr>
  </w:style>
  <w:style w:type="paragraph" w:customStyle="1" w:styleId="29">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4006</Words>
  <Characters>22839</Characters>
  <Lines>190</Lines>
  <Paragraphs>53</Paragraphs>
  <TotalTime>0</TotalTime>
  <ScaleCrop>false</ScaleCrop>
  <LinksUpToDate>false</LinksUpToDate>
  <CharactersWithSpaces>26792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2020-08-07T09:49:00Z</dcterms:created>
  <dc:creator>曹颖</dc:creator>
  <cp:lastModifiedBy>⌒寻⌒</cp:lastModifiedBy>
  <cp:lastPrinted>2023-08-02T10:35:00Z</cp:lastPrinted>
  <dcterms:modified xsi:type="dcterms:W3CDTF">2024-04-09T09:27:54Z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B347366C571D40E89E0E3DA03E7C763A_13</vt:lpwstr>
  </property>
</Properties>
</file>