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E354" w14:textId="77777777" w:rsidR="00E54CF3" w:rsidRDefault="00751CC8">
      <w:pPr>
        <w:spacing w:line="560" w:lineRule="exact"/>
        <w:ind w:firstLineChars="50" w:firstLine="20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川渝两地工程建设地方标准互认管理办法</w:t>
      </w:r>
    </w:p>
    <w:p w14:paraId="18F50674" w14:textId="77777777" w:rsidR="00E54CF3" w:rsidRDefault="00E54CF3">
      <w:pPr>
        <w:spacing w:line="560" w:lineRule="exact"/>
        <w:rPr>
          <w:rFonts w:ascii="Times New Roman" w:eastAsia="方正仿宋_GBK" w:hAnsi="Times New Roman" w:cs="Times New Roman"/>
          <w:sz w:val="32"/>
          <w:szCs w:val="32"/>
        </w:rPr>
      </w:pPr>
    </w:p>
    <w:p w14:paraId="0B054A37" w14:textId="77777777" w:rsidR="00E54CF3" w:rsidRDefault="00751CC8">
      <w:pPr>
        <w:spacing w:line="560" w:lineRule="exact"/>
        <w:ind w:firstLineChars="200" w:firstLine="643"/>
        <w:rPr>
          <w:rFonts w:ascii="仿宋" w:eastAsia="仿宋" w:hAnsi="仿宋" w:cs="仿宋"/>
          <w:sz w:val="32"/>
          <w:szCs w:val="32"/>
        </w:rPr>
      </w:pPr>
      <w:r>
        <w:rPr>
          <w:rFonts w:ascii="楷体" w:eastAsia="楷体" w:hAnsi="楷体" w:cs="楷体" w:hint="eastAsia"/>
          <w:b/>
          <w:bCs/>
          <w:color w:val="000000" w:themeColor="text1"/>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w:t>
      </w:r>
      <w:r>
        <w:rPr>
          <w:rFonts w:ascii="仿宋" w:eastAsia="仿宋" w:hAnsi="仿宋" w:cs="仿宋" w:hint="eastAsia"/>
          <w:sz w:val="32"/>
          <w:szCs w:val="32"/>
        </w:rPr>
        <w:t>推动</w:t>
      </w:r>
      <w:r>
        <w:rPr>
          <w:rFonts w:ascii="仿宋" w:eastAsia="仿宋" w:hAnsi="仿宋" w:cs="仿宋" w:hint="eastAsia"/>
          <w:sz w:val="32"/>
          <w:szCs w:val="32"/>
        </w:rPr>
        <w:t>成渝地区双城经济圈建设，充分发挥工程建设标准对住建行业的支撑和引领作用，</w:t>
      </w:r>
      <w:r>
        <w:rPr>
          <w:rFonts w:ascii="仿宋" w:eastAsia="仿宋" w:hAnsi="仿宋" w:cs="仿宋" w:hint="eastAsia"/>
          <w:sz w:val="32"/>
          <w:szCs w:val="32"/>
        </w:rPr>
        <w:t>促进</w:t>
      </w:r>
      <w:r>
        <w:rPr>
          <w:rFonts w:ascii="仿宋" w:eastAsia="仿宋" w:hAnsi="仿宋" w:cs="仿宋" w:hint="eastAsia"/>
          <w:sz w:val="32"/>
          <w:szCs w:val="32"/>
        </w:rPr>
        <w:t>两地工程建设标准一体化发展，制定本办法。</w:t>
      </w:r>
    </w:p>
    <w:p w14:paraId="64FCCAB0" w14:textId="77777777" w:rsidR="00E54CF3" w:rsidRDefault="00751CC8">
      <w:pPr>
        <w:spacing w:line="560" w:lineRule="exact"/>
        <w:ind w:firstLineChars="200" w:firstLine="643"/>
        <w:rPr>
          <w:rFonts w:ascii="仿宋" w:eastAsia="仿宋" w:hAnsi="仿宋" w:cs="仿宋"/>
          <w:sz w:val="32"/>
          <w:szCs w:val="32"/>
        </w:rPr>
      </w:pPr>
      <w:r>
        <w:rPr>
          <w:rFonts w:ascii="楷体" w:eastAsia="楷体" w:hAnsi="楷体" w:cs="楷体" w:hint="eastAsia"/>
          <w:b/>
          <w:bCs/>
          <w:color w:val="000000" w:themeColor="text1"/>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本办法适用于由四川省住房和城乡建设厅与重庆市住房和城乡建设委员会分别发布实施的工程建设地方标准在川</w:t>
      </w:r>
      <w:proofErr w:type="gramStart"/>
      <w:r>
        <w:rPr>
          <w:rFonts w:ascii="仿宋" w:eastAsia="仿宋" w:hAnsi="仿宋" w:cs="仿宋" w:hint="eastAsia"/>
          <w:sz w:val="32"/>
          <w:szCs w:val="32"/>
        </w:rPr>
        <w:t>渝</w:t>
      </w:r>
      <w:proofErr w:type="gramEnd"/>
      <w:r>
        <w:rPr>
          <w:rFonts w:ascii="仿宋" w:eastAsia="仿宋" w:hAnsi="仿宋" w:cs="仿宋" w:hint="eastAsia"/>
          <w:sz w:val="32"/>
          <w:szCs w:val="32"/>
        </w:rPr>
        <w:t>两地跨地区应用的互认工作。</w:t>
      </w:r>
    </w:p>
    <w:p w14:paraId="50F8B04E" w14:textId="77777777" w:rsidR="00E54CF3" w:rsidRDefault="00751CC8">
      <w:pPr>
        <w:spacing w:line="560" w:lineRule="exact"/>
        <w:ind w:firstLineChars="200" w:firstLine="643"/>
        <w:rPr>
          <w:rFonts w:ascii="仿宋" w:eastAsia="仿宋" w:hAnsi="仿宋" w:cs="仿宋"/>
          <w:sz w:val="32"/>
          <w:szCs w:val="32"/>
        </w:rPr>
      </w:pPr>
      <w:r>
        <w:rPr>
          <w:rFonts w:ascii="楷体" w:eastAsia="楷体" w:hAnsi="楷体" w:cs="楷体" w:hint="eastAsia"/>
          <w:b/>
          <w:bCs/>
          <w:color w:val="000000" w:themeColor="text1"/>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四川省住房和城乡建设厅与重庆市住房和城乡建设委员会分别负责需要在本地区应用的地方标准互认工作。四川</w:t>
      </w:r>
      <w:r>
        <w:rPr>
          <w:rFonts w:ascii="仿宋" w:eastAsia="仿宋" w:hAnsi="仿宋" w:cs="仿宋" w:hint="eastAsia"/>
          <w:sz w:val="32"/>
          <w:szCs w:val="32"/>
        </w:rPr>
        <w:t>省</w:t>
      </w:r>
      <w:r>
        <w:rPr>
          <w:rFonts w:ascii="仿宋" w:eastAsia="仿宋" w:hAnsi="仿宋" w:cs="仿宋" w:hint="eastAsia"/>
          <w:sz w:val="32"/>
          <w:szCs w:val="32"/>
        </w:rPr>
        <w:t>各市（州）住房城乡建设主管部门</w:t>
      </w:r>
      <w:r>
        <w:rPr>
          <w:rFonts w:ascii="仿宋" w:eastAsia="仿宋" w:hAnsi="仿宋" w:cs="仿宋" w:hint="eastAsia"/>
          <w:sz w:val="32"/>
          <w:szCs w:val="32"/>
        </w:rPr>
        <w:t>、</w:t>
      </w:r>
      <w:r>
        <w:rPr>
          <w:rFonts w:ascii="仿宋" w:eastAsia="仿宋" w:hAnsi="仿宋" w:cs="仿宋" w:hint="eastAsia"/>
          <w:sz w:val="32"/>
          <w:szCs w:val="32"/>
        </w:rPr>
        <w:t>重庆</w:t>
      </w:r>
      <w:r>
        <w:rPr>
          <w:rFonts w:ascii="仿宋" w:eastAsia="仿宋" w:hAnsi="仿宋" w:cs="仿宋" w:hint="eastAsia"/>
          <w:sz w:val="32"/>
          <w:szCs w:val="32"/>
        </w:rPr>
        <w:t>市</w:t>
      </w:r>
      <w:r>
        <w:rPr>
          <w:rFonts w:ascii="仿宋" w:eastAsia="仿宋" w:hAnsi="仿宋" w:cs="仿宋" w:hint="eastAsia"/>
          <w:sz w:val="32"/>
          <w:szCs w:val="32"/>
        </w:rPr>
        <w:t>各区县负责本辖区已经省级住房城乡建设主管部门互认地方标准的实施监督工作。</w:t>
      </w:r>
    </w:p>
    <w:p w14:paraId="6F908F87" w14:textId="77777777" w:rsidR="00E54CF3" w:rsidRDefault="00751CC8">
      <w:pPr>
        <w:spacing w:line="560" w:lineRule="exact"/>
        <w:ind w:firstLineChars="200" w:firstLine="643"/>
        <w:rPr>
          <w:rFonts w:ascii="仿宋" w:eastAsia="仿宋" w:hAnsi="仿宋" w:cs="仿宋"/>
          <w:sz w:val="32"/>
          <w:szCs w:val="32"/>
        </w:rPr>
      </w:pPr>
      <w:r>
        <w:rPr>
          <w:rFonts w:ascii="楷体" w:eastAsia="楷体" w:hAnsi="楷体" w:cs="楷体" w:hint="eastAsia"/>
          <w:b/>
          <w:bCs/>
          <w:color w:val="000000" w:themeColor="text1"/>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川渝两地工程建设地方标准互认工作应当确保工程建设质量与安全，并遵循资源共享、优势互补、良性互动、共赢发展的原则，共同推动建筑业高质量发展。</w:t>
      </w:r>
    </w:p>
    <w:p w14:paraId="17DF1D2A" w14:textId="77777777" w:rsidR="00E54CF3" w:rsidRDefault="00751CC8">
      <w:pPr>
        <w:spacing w:line="560" w:lineRule="exact"/>
        <w:ind w:firstLineChars="200"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第五条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川渝两地工程建设地方标准互认工作应符合当地工程建设标准化管理办法。</w:t>
      </w:r>
    </w:p>
    <w:p w14:paraId="656E961E" w14:textId="77777777" w:rsidR="00E54CF3" w:rsidRDefault="00751CC8">
      <w:pPr>
        <w:spacing w:line="560" w:lineRule="exact"/>
        <w:ind w:firstLineChars="200"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第六条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需要跨地区使用的工程建设地方标准，应由主编单位在征得原批准部门同意后，向实施区域省级建设行政主管部门提出申请。</w:t>
      </w:r>
    </w:p>
    <w:p w14:paraId="5E81F023"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第七条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实施区域省级建设行政主管部门收到申请后应组织行业专家、主编单位等召开地方标准论证会。</w:t>
      </w:r>
    </w:p>
    <w:p w14:paraId="39E6567E"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第八条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地方标准论证会的专家应为</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人及以上奇数，专家组设组长</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人，副组长</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人，实行专家负责制。地方标准应由专</w:t>
      </w:r>
      <w:r>
        <w:rPr>
          <w:rFonts w:ascii="仿宋" w:eastAsia="仿宋" w:hAnsi="仿宋" w:cs="仿宋" w:hint="eastAsia"/>
          <w:color w:val="000000" w:themeColor="text1"/>
          <w:sz w:val="32"/>
          <w:szCs w:val="32"/>
        </w:rPr>
        <w:lastRenderedPageBreak/>
        <w:t>家组成员协商一致，且无重大技术争议或原则分歧，方可同意通过论证。</w:t>
      </w:r>
    </w:p>
    <w:p w14:paraId="5490E934" w14:textId="77777777" w:rsidR="00E54CF3" w:rsidRDefault="00751CC8">
      <w:pPr>
        <w:pStyle w:val="ab"/>
        <w:spacing w:line="560" w:lineRule="exact"/>
        <w:ind w:firstLine="643"/>
        <w:rPr>
          <w:rFonts w:ascii="仿宋" w:eastAsia="仿宋" w:hAnsi="仿宋" w:cs="仿宋"/>
          <w:color w:val="000000" w:themeColor="text1"/>
          <w:kern w:val="0"/>
          <w:sz w:val="32"/>
          <w:szCs w:val="32"/>
        </w:rPr>
      </w:pPr>
      <w:r>
        <w:rPr>
          <w:rFonts w:ascii="楷体" w:eastAsia="楷体" w:hAnsi="楷体" w:cs="楷体" w:hint="eastAsia"/>
          <w:b/>
          <w:bCs/>
          <w:color w:val="000000" w:themeColor="text1"/>
          <w:sz w:val="32"/>
          <w:szCs w:val="32"/>
        </w:rPr>
        <w:t>第九条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kern w:val="0"/>
          <w:sz w:val="32"/>
          <w:szCs w:val="32"/>
        </w:rPr>
        <w:t>论证的内容包括资料的完整性和有效性</w:t>
      </w:r>
      <w:r>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技术内容的地方适应性，以及工程建设质量、安全等其他技术内容，且不得与国家及当地现行工程建设标准相抵触或矛盾。</w:t>
      </w:r>
    </w:p>
    <w:p w14:paraId="564F4A07"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第十条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论证通过的地方标准，由实施区域省级建设行政主管部门批准发布；若地方标准有局部修订的，应在批准发布时予以说明。</w:t>
      </w:r>
    </w:p>
    <w:p w14:paraId="3AD7DC17"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第十一条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地方标准由实施区域省级建设行政主管部门统一编号后发布实施，并报住房城乡建设部备案。未经备案的地方标准，不得在建设活动中使用。</w:t>
      </w:r>
    </w:p>
    <w:p w14:paraId="06232744" w14:textId="77777777" w:rsidR="00E54CF3" w:rsidRDefault="00751CC8">
      <w:pPr>
        <w:pStyle w:val="ab"/>
        <w:spacing w:line="560" w:lineRule="exact"/>
        <w:ind w:firstLine="643"/>
        <w:rPr>
          <w:rFonts w:ascii="仿宋" w:eastAsia="仿宋" w:hAnsi="仿宋" w:cs="仿宋"/>
          <w:color w:val="000000" w:themeColor="text1"/>
          <w:sz w:val="32"/>
          <w:szCs w:val="32"/>
          <w:u w:val="single"/>
        </w:rPr>
      </w:pPr>
      <w:r>
        <w:rPr>
          <w:rFonts w:ascii="楷体" w:eastAsia="楷体" w:hAnsi="楷体" w:cs="楷体" w:hint="eastAsia"/>
          <w:b/>
          <w:bCs/>
          <w:color w:val="000000" w:themeColor="text1"/>
          <w:sz w:val="32"/>
          <w:szCs w:val="32"/>
        </w:rPr>
        <w:t>第十二条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跨地区实施的工程建设地方标准原则上应保持原标准主编单位不变，其主要内容不发生原则性改变，调整内容应在前言中予以说明。</w:t>
      </w:r>
    </w:p>
    <w:p w14:paraId="0DA60511"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第十三条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地方标准的印刷、解释、实施及实施监督应严格按照当地工程建设标准化相关规定执行。</w:t>
      </w:r>
    </w:p>
    <w:p w14:paraId="351D1AD8" w14:textId="77777777" w:rsidR="00E54CF3" w:rsidRDefault="00751CC8">
      <w:pPr>
        <w:pStyle w:val="ab"/>
        <w:spacing w:line="560" w:lineRule="exact"/>
        <w:ind w:firstLine="643"/>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第十四条</w:t>
      </w:r>
      <w:r>
        <w:rPr>
          <w:rFonts w:ascii="楷体" w:eastAsia="楷体" w:hAnsi="楷体" w:cs="楷体" w:hint="eastAsia"/>
          <w:b/>
          <w:bCs/>
          <w:color w:val="000000" w:themeColor="text1"/>
          <w:sz w:val="32"/>
          <w:szCs w:val="32"/>
        </w:rPr>
        <w:t xml:space="preserve"> </w:t>
      </w:r>
      <w:r>
        <w:rPr>
          <w:rFonts w:ascii="仿宋" w:eastAsia="仿宋" w:hAnsi="仿宋" w:cs="仿宋" w:hint="eastAsia"/>
          <w:color w:val="000000" w:themeColor="text1"/>
          <w:sz w:val="32"/>
          <w:szCs w:val="32"/>
        </w:rPr>
        <w:t>对于地方标准在互认过程中的其它问题，由四川省住房和城乡建设厅和重庆市住房和城乡建设委员会协商解决。</w:t>
      </w:r>
    </w:p>
    <w:p w14:paraId="389B96C1" w14:textId="77777777" w:rsidR="00E54CF3" w:rsidRDefault="00E54CF3">
      <w:pPr>
        <w:pStyle w:val="ab"/>
        <w:spacing w:line="560" w:lineRule="exact"/>
        <w:ind w:firstLineChars="0" w:firstLine="0"/>
        <w:rPr>
          <w:rFonts w:ascii="Times New Roman" w:eastAsia="方正仿宋_GBK" w:hAnsi="Times New Roman" w:cs="Times New Roman"/>
          <w:color w:val="000000" w:themeColor="text1"/>
          <w:sz w:val="32"/>
          <w:szCs w:val="32"/>
        </w:rPr>
      </w:pPr>
    </w:p>
    <w:sectPr w:rsidR="00E54CF3">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DB4E" w14:textId="77777777" w:rsidR="00751CC8" w:rsidRDefault="00751CC8">
      <w:r>
        <w:separator/>
      </w:r>
    </w:p>
  </w:endnote>
  <w:endnote w:type="continuationSeparator" w:id="0">
    <w:p w14:paraId="27B841A9" w14:textId="77777777" w:rsidR="00751CC8" w:rsidRDefault="007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ED2B" w14:textId="77777777" w:rsidR="00E54CF3" w:rsidRDefault="00751CC8">
    <w:pPr>
      <w:pStyle w:val="a6"/>
      <w:jc w:val="center"/>
    </w:pPr>
    <w:r>
      <w:rPr>
        <w:noProof/>
      </w:rPr>
      <mc:AlternateContent>
        <mc:Choice Requires="wps">
          <w:drawing>
            <wp:anchor distT="0" distB="0" distL="114300" distR="114300" simplePos="0" relativeHeight="251659264" behindDoc="0" locked="0" layoutInCell="1" allowOverlap="1" wp14:anchorId="0427CF8D" wp14:editId="0651F5D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20E7B" w14:textId="77777777" w:rsidR="00E54CF3" w:rsidRDefault="00751CC8">
                          <w:pPr>
                            <w:pStyle w:val="a6"/>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27CF8D"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1520E7B" w14:textId="77777777" w:rsidR="00E54CF3" w:rsidRDefault="00751CC8">
                    <w:pPr>
                      <w:pStyle w:val="a6"/>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p w14:paraId="77B363A2" w14:textId="77777777" w:rsidR="00E54CF3" w:rsidRDefault="00E54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6DF4" w14:textId="77777777" w:rsidR="00751CC8" w:rsidRDefault="00751CC8">
      <w:r>
        <w:separator/>
      </w:r>
    </w:p>
  </w:footnote>
  <w:footnote w:type="continuationSeparator" w:id="0">
    <w:p w14:paraId="0C0E8922" w14:textId="77777777" w:rsidR="00751CC8" w:rsidRDefault="0075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24"/>
    <w:rsid w:val="FFF67405"/>
    <w:rsid w:val="0000115C"/>
    <w:rsid w:val="00021241"/>
    <w:rsid w:val="0002607B"/>
    <w:rsid w:val="000305CD"/>
    <w:rsid w:val="00073803"/>
    <w:rsid w:val="00087280"/>
    <w:rsid w:val="000A3CC0"/>
    <w:rsid w:val="000D5535"/>
    <w:rsid w:val="000F0098"/>
    <w:rsid w:val="000F1A7C"/>
    <w:rsid w:val="000F5D67"/>
    <w:rsid w:val="000F5F36"/>
    <w:rsid w:val="000F725D"/>
    <w:rsid w:val="00161CDB"/>
    <w:rsid w:val="00167D6D"/>
    <w:rsid w:val="00175263"/>
    <w:rsid w:val="001B0A3A"/>
    <w:rsid w:val="001E51EC"/>
    <w:rsid w:val="001E5DC5"/>
    <w:rsid w:val="001F3021"/>
    <w:rsid w:val="002238A4"/>
    <w:rsid w:val="002242AA"/>
    <w:rsid w:val="00256F76"/>
    <w:rsid w:val="00265D3B"/>
    <w:rsid w:val="00274D40"/>
    <w:rsid w:val="00291B8B"/>
    <w:rsid w:val="002B5BB8"/>
    <w:rsid w:val="002C7DE1"/>
    <w:rsid w:val="002D3B68"/>
    <w:rsid w:val="002D5242"/>
    <w:rsid w:val="002E3151"/>
    <w:rsid w:val="002E5AD0"/>
    <w:rsid w:val="002F21DB"/>
    <w:rsid w:val="00304925"/>
    <w:rsid w:val="00326FC6"/>
    <w:rsid w:val="003471E5"/>
    <w:rsid w:val="003552E4"/>
    <w:rsid w:val="003629A2"/>
    <w:rsid w:val="003674A3"/>
    <w:rsid w:val="00373B7E"/>
    <w:rsid w:val="00376A4E"/>
    <w:rsid w:val="0039565F"/>
    <w:rsid w:val="003C0170"/>
    <w:rsid w:val="003F604E"/>
    <w:rsid w:val="004000C7"/>
    <w:rsid w:val="00414D87"/>
    <w:rsid w:val="0045208C"/>
    <w:rsid w:val="00482F3E"/>
    <w:rsid w:val="004A574E"/>
    <w:rsid w:val="004A70D1"/>
    <w:rsid w:val="004A7444"/>
    <w:rsid w:val="004B52DB"/>
    <w:rsid w:val="004C1372"/>
    <w:rsid w:val="004C36D9"/>
    <w:rsid w:val="00503F1F"/>
    <w:rsid w:val="00566F3F"/>
    <w:rsid w:val="00586C24"/>
    <w:rsid w:val="005C3E56"/>
    <w:rsid w:val="005C4451"/>
    <w:rsid w:val="005D2DA3"/>
    <w:rsid w:val="005F2141"/>
    <w:rsid w:val="005F3BCA"/>
    <w:rsid w:val="00611D11"/>
    <w:rsid w:val="0063666E"/>
    <w:rsid w:val="00647557"/>
    <w:rsid w:val="00691144"/>
    <w:rsid w:val="006B1AF0"/>
    <w:rsid w:val="006D0916"/>
    <w:rsid w:val="006D5CAA"/>
    <w:rsid w:val="006E2476"/>
    <w:rsid w:val="006E4D52"/>
    <w:rsid w:val="006F2538"/>
    <w:rsid w:val="006F33AD"/>
    <w:rsid w:val="0072233F"/>
    <w:rsid w:val="00737318"/>
    <w:rsid w:val="00751CC8"/>
    <w:rsid w:val="00755EFD"/>
    <w:rsid w:val="00761C94"/>
    <w:rsid w:val="00764B63"/>
    <w:rsid w:val="007815F6"/>
    <w:rsid w:val="00783C1E"/>
    <w:rsid w:val="00784399"/>
    <w:rsid w:val="007914E9"/>
    <w:rsid w:val="007C3D75"/>
    <w:rsid w:val="007F1268"/>
    <w:rsid w:val="007F2886"/>
    <w:rsid w:val="00806F7B"/>
    <w:rsid w:val="008267C5"/>
    <w:rsid w:val="008360CA"/>
    <w:rsid w:val="008871E9"/>
    <w:rsid w:val="008D0382"/>
    <w:rsid w:val="008D0B1F"/>
    <w:rsid w:val="009379CF"/>
    <w:rsid w:val="00941B6C"/>
    <w:rsid w:val="00954D8E"/>
    <w:rsid w:val="00967516"/>
    <w:rsid w:val="009879F4"/>
    <w:rsid w:val="009B1B15"/>
    <w:rsid w:val="009D179C"/>
    <w:rsid w:val="009F6FCB"/>
    <w:rsid w:val="00A1002F"/>
    <w:rsid w:val="00A1486B"/>
    <w:rsid w:val="00A2241D"/>
    <w:rsid w:val="00A24B50"/>
    <w:rsid w:val="00A54480"/>
    <w:rsid w:val="00A61879"/>
    <w:rsid w:val="00A753EC"/>
    <w:rsid w:val="00AD24F1"/>
    <w:rsid w:val="00AD4574"/>
    <w:rsid w:val="00B03E69"/>
    <w:rsid w:val="00B14634"/>
    <w:rsid w:val="00B14A35"/>
    <w:rsid w:val="00B14C45"/>
    <w:rsid w:val="00B179C1"/>
    <w:rsid w:val="00B82F50"/>
    <w:rsid w:val="00B86A8E"/>
    <w:rsid w:val="00B8738B"/>
    <w:rsid w:val="00BB04DB"/>
    <w:rsid w:val="00BC154F"/>
    <w:rsid w:val="00BD085B"/>
    <w:rsid w:val="00C00E7E"/>
    <w:rsid w:val="00C0667F"/>
    <w:rsid w:val="00C82C4F"/>
    <w:rsid w:val="00C9363D"/>
    <w:rsid w:val="00CA7B5B"/>
    <w:rsid w:val="00CC13D7"/>
    <w:rsid w:val="00CC2DA7"/>
    <w:rsid w:val="00CD460F"/>
    <w:rsid w:val="00CD573C"/>
    <w:rsid w:val="00CE0134"/>
    <w:rsid w:val="00D010D7"/>
    <w:rsid w:val="00D1101D"/>
    <w:rsid w:val="00D35AE2"/>
    <w:rsid w:val="00D52E73"/>
    <w:rsid w:val="00D54ECD"/>
    <w:rsid w:val="00D72785"/>
    <w:rsid w:val="00D73878"/>
    <w:rsid w:val="00D73B48"/>
    <w:rsid w:val="00D96CBC"/>
    <w:rsid w:val="00DC6DE5"/>
    <w:rsid w:val="00DD4BC4"/>
    <w:rsid w:val="00DE20A0"/>
    <w:rsid w:val="00DE3147"/>
    <w:rsid w:val="00E04A0A"/>
    <w:rsid w:val="00E05441"/>
    <w:rsid w:val="00E23EEC"/>
    <w:rsid w:val="00E47707"/>
    <w:rsid w:val="00E5009F"/>
    <w:rsid w:val="00E54CF3"/>
    <w:rsid w:val="00E826BD"/>
    <w:rsid w:val="00E912E6"/>
    <w:rsid w:val="00EB1A45"/>
    <w:rsid w:val="00EC1FFB"/>
    <w:rsid w:val="00EC6744"/>
    <w:rsid w:val="00F000C0"/>
    <w:rsid w:val="00F04591"/>
    <w:rsid w:val="00F13A82"/>
    <w:rsid w:val="00F14CAB"/>
    <w:rsid w:val="00F15E5B"/>
    <w:rsid w:val="00F1700E"/>
    <w:rsid w:val="00F20A45"/>
    <w:rsid w:val="00F40F76"/>
    <w:rsid w:val="00F56434"/>
    <w:rsid w:val="00F6541E"/>
    <w:rsid w:val="00F71262"/>
    <w:rsid w:val="00FA5B6E"/>
    <w:rsid w:val="00FB21F6"/>
    <w:rsid w:val="00FE494B"/>
    <w:rsid w:val="00FF6AF8"/>
    <w:rsid w:val="05A11354"/>
    <w:rsid w:val="0C404A8B"/>
    <w:rsid w:val="0FEE3943"/>
    <w:rsid w:val="12AB5F1B"/>
    <w:rsid w:val="1326612C"/>
    <w:rsid w:val="199C7E96"/>
    <w:rsid w:val="25C82AC9"/>
    <w:rsid w:val="312A759F"/>
    <w:rsid w:val="32021A78"/>
    <w:rsid w:val="3E5C1725"/>
    <w:rsid w:val="40073B0D"/>
    <w:rsid w:val="432265DA"/>
    <w:rsid w:val="44FC3CCD"/>
    <w:rsid w:val="49003F86"/>
    <w:rsid w:val="587D093E"/>
    <w:rsid w:val="638204F7"/>
    <w:rsid w:val="645C3F03"/>
    <w:rsid w:val="6D4213F6"/>
    <w:rsid w:val="6D6B631F"/>
    <w:rsid w:val="6FC53565"/>
    <w:rsid w:val="73A33C15"/>
    <w:rsid w:val="75D74FE6"/>
    <w:rsid w:val="7D5C3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55FC"/>
  <w15:docId w15:val="{F73FF019-B781-458E-A3F3-B57D4A23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spacing w:beforeAutospacing="1" w:afterAutospacing="1"/>
      <w:jc w:val="left"/>
    </w:pPr>
    <w:rPr>
      <w:rFonts w:ascii="Calibri" w:eastAsia="宋体" w:hAnsi="Calibri" w:cs="Times New Roman"/>
      <w:kern w:val="0"/>
      <w:sz w:val="24"/>
      <w:szCs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刘林</dc:creator>
  <cp:lastModifiedBy>XXZX</cp:lastModifiedBy>
  <cp:revision>2</cp:revision>
  <cp:lastPrinted>2021-11-15T09:14:00Z</cp:lastPrinted>
  <dcterms:created xsi:type="dcterms:W3CDTF">2021-12-13T03:13:00Z</dcterms:created>
  <dcterms:modified xsi:type="dcterms:W3CDTF">2021-12-13T03:13:00Z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8EE455AE257A4E1897593DC7E7D3C754</vt:lpwstr>
  </property>
</Properties>
</file>