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30"/>
          <w:szCs w:val="30"/>
        </w:rPr>
      </w:pPr>
      <w:r>
        <w:rPr>
          <w:rFonts w:ascii="Times New Roman" w:hAnsi="Times New Roman" w:eastAsia="方正小标宋简体"/>
          <w:color w:val="000000"/>
          <w:sz w:val="30"/>
          <w:szCs w:val="30"/>
        </w:rPr>
        <w:t>2020-2021年度四川对外开拓先进建筑业企业申报名额分配表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891"/>
        <w:gridCol w:w="1845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地区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先进企业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成都市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泸州市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南充市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绵阳市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 xml:space="preserve">      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宜宾市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达州市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巴中市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遂宁市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广安市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自贡市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眉山市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德阳市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内江市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乐山市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攀枝花市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凉山彝族自治州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广元市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资阳市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雅安市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阿坝藏族羌族自治州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甘孜藏族自治州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省建筑业发展中心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fldChar w:fldCharType="begin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instrText xml:space="preserve"> = sum(C2:C23) \* MERGEFORMAT </w:instrTex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fldChar w:fldCharType="separate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t>65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  <w:fldChar w:fldCharType="end"/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spacing w:line="280" w:lineRule="exact"/>
        <w:ind w:left="1677" w:leftChars="174" w:hanging="1120" w:hangingChars="4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注：1、省属及中央在川建筑业企业分配13家申报名额，在申报名额当中评选10家；2、市（州）建筑业企业分配52家申报名额，在申报名额当中评选40家进行表彰。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liZjVmYjZlNzFkODdhNmUwODI2MWE3YjJhNGYifQ=="/>
  </w:docVars>
  <w:rsids>
    <w:rsidRoot w:val="6D793C41"/>
    <w:rsid w:val="6D7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2022-05-26T03:16:00Z</dcterms:created>
  <dc:creator>海一</dc:creator>
  <cp:lastModifiedBy>海一</cp:lastModifiedBy>
  <dcterms:modified xsi:type="dcterms:W3CDTF">2022-05-26T03:17:31Z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B3E6E223FD2045199B3CE70593F9FF99</vt:lpwstr>
  </property>
</Properties>
</file>