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before="0" w:line="580" w:lineRule="exact"/>
        <w:textAlignment w:val="auto"/>
        <w:rPr>
          <w:rFonts w:hint="eastAsia"/>
          <w:color w:val="auto"/>
          <w:lang w:val="en-US" w:eastAsia="zh-CN"/>
        </w:rPr>
      </w:pPr>
    </w:p>
    <w:p>
      <w:pPr>
        <w:pStyle w:val="2"/>
        <w:keepNext w:val="0"/>
        <w:keepLines w:val="0"/>
        <w:pageBreakBefore w:val="0"/>
        <w:kinsoku/>
        <w:wordWrap/>
        <w:overflowPunct/>
        <w:topLinePunct w:val="0"/>
        <w:autoSpaceDE/>
        <w:autoSpaceDN/>
        <w:bidi w:val="0"/>
        <w:adjustRightInd/>
        <w:snapToGrid/>
        <w:spacing w:before="0" w:line="580" w:lineRule="exact"/>
        <w:textAlignment w:val="auto"/>
        <w:rPr>
          <w:rFonts w:hint="eastAsia"/>
          <w:color w:val="auto"/>
          <w:lang w:val="en-US" w:eastAsia="zh-CN"/>
        </w:rPr>
      </w:pPr>
      <w:r>
        <w:rPr>
          <w:rFonts w:hint="eastAsia"/>
          <w:color w:val="auto"/>
          <w:lang w:val="en-US" w:eastAsia="zh-CN"/>
        </w:rPr>
        <w:t>四川省住房和城乡建设厅关于</w:t>
      </w:r>
    </w:p>
    <w:p>
      <w:pPr>
        <w:pStyle w:val="2"/>
        <w:keepNext w:val="0"/>
        <w:keepLines w:val="0"/>
        <w:pageBreakBefore w:val="0"/>
        <w:kinsoku/>
        <w:wordWrap/>
        <w:overflowPunct/>
        <w:topLinePunct w:val="0"/>
        <w:autoSpaceDE/>
        <w:autoSpaceDN/>
        <w:bidi w:val="0"/>
        <w:adjustRightInd/>
        <w:snapToGrid/>
        <w:spacing w:before="0" w:line="580" w:lineRule="exact"/>
        <w:textAlignment w:val="auto"/>
        <w:rPr>
          <w:rFonts w:hint="eastAsia"/>
          <w:color w:val="auto"/>
          <w:lang w:val="en-US" w:eastAsia="zh-CN"/>
        </w:rPr>
      </w:pPr>
      <w:r>
        <w:rPr>
          <w:rFonts w:hint="eastAsia"/>
          <w:color w:val="auto"/>
          <w:lang w:val="en-US" w:eastAsia="zh-CN"/>
        </w:rPr>
        <w:t>开展建设工程企业资质和安全生产许可</w:t>
      </w:r>
    </w:p>
    <w:p>
      <w:pPr>
        <w:pStyle w:val="2"/>
        <w:keepNext w:val="0"/>
        <w:keepLines w:val="0"/>
        <w:pageBreakBefore w:val="0"/>
        <w:kinsoku/>
        <w:wordWrap/>
        <w:overflowPunct/>
        <w:topLinePunct w:val="0"/>
        <w:autoSpaceDE/>
        <w:autoSpaceDN/>
        <w:bidi w:val="0"/>
        <w:adjustRightInd/>
        <w:snapToGrid/>
        <w:spacing w:before="0" w:line="580" w:lineRule="exact"/>
        <w:textAlignment w:val="auto"/>
        <w:rPr>
          <w:rFonts w:hint="eastAsia"/>
          <w:color w:val="auto"/>
        </w:rPr>
      </w:pPr>
      <w:r>
        <w:rPr>
          <w:rFonts w:hint="eastAsia"/>
          <w:color w:val="auto"/>
          <w:lang w:val="en-US" w:eastAsia="zh-CN"/>
        </w:rPr>
        <w:t>动态预警工作的通知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center"/>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（征求意见稿）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center"/>
        <w:textAlignment w:val="auto"/>
        <w:rPr>
          <w:rFonts w:hint="eastAsia" w:ascii="仿宋_GB2312" w:hAnsi="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r>
        <w:rPr>
          <w:rFonts w:hint="eastAsia"/>
          <w:color w:val="auto"/>
        </w:rPr>
        <w:t>各市</w:t>
      </w:r>
      <w:r>
        <w:rPr>
          <w:rFonts w:hint="eastAsia"/>
          <w:color w:val="auto"/>
          <w:lang w:eastAsia="zh-CN"/>
        </w:rPr>
        <w:t>（州）</w:t>
      </w:r>
      <w:r>
        <w:rPr>
          <w:rFonts w:hint="eastAsia"/>
          <w:color w:val="auto"/>
        </w:rPr>
        <w:t>住房</w:t>
      </w:r>
      <w:r>
        <w:rPr>
          <w:rFonts w:hint="eastAsia"/>
          <w:color w:val="auto"/>
          <w:lang w:eastAsia="zh-CN"/>
        </w:rPr>
        <w:t>和</w:t>
      </w:r>
      <w:r>
        <w:rPr>
          <w:rFonts w:hint="eastAsia"/>
          <w:color w:val="auto"/>
        </w:rPr>
        <w:t>城乡建设局</w:t>
      </w:r>
      <w:r>
        <w:rPr>
          <w:rFonts w:hint="eastAsia"/>
          <w:color w:val="auto"/>
          <w:lang w:eastAsia="zh-CN"/>
        </w:rPr>
        <w:t>（委），</w:t>
      </w:r>
      <w:r>
        <w:rPr>
          <w:rFonts w:hint="eastAsia"/>
          <w:color w:val="auto"/>
        </w:rPr>
        <w:t>有关企业</w:t>
      </w:r>
      <w:r>
        <w:rPr>
          <w:rFonts w:hint="eastAsia"/>
          <w:color w:val="auto"/>
          <w:lang w:eastAsia="zh-CN"/>
        </w:rPr>
        <w:t>，有关单位</w:t>
      </w:r>
      <w:r>
        <w:rPr>
          <w:rFonts w:hint="eastAsia"/>
          <w:color w:val="auto"/>
        </w:rPr>
        <w:t>：</w:t>
      </w:r>
    </w:p>
    <w:p>
      <w:pPr>
        <w:keepNext w:val="0"/>
        <w:keepLines w:val="0"/>
        <w:pageBreakBefore w:val="0"/>
        <w:kinsoku/>
        <w:wordWrap/>
        <w:overflowPunct/>
        <w:topLinePunct w:val="0"/>
        <w:autoSpaceDE/>
        <w:autoSpaceDN/>
        <w:bidi w:val="0"/>
        <w:adjustRightInd/>
        <w:snapToGrid/>
        <w:spacing w:line="580" w:lineRule="exact"/>
        <w:textAlignment w:val="auto"/>
        <w:rPr>
          <w:rFonts w:hint="eastAsia" w:eastAsia="仿宋_GB2312"/>
          <w:color w:val="auto"/>
          <w:lang w:eastAsia="zh-CN"/>
        </w:rPr>
      </w:pPr>
      <w:r>
        <w:rPr>
          <w:rFonts w:hint="eastAsia"/>
          <w:color w:val="auto"/>
        </w:rPr>
        <w:t>为</w:t>
      </w:r>
      <w:r>
        <w:rPr>
          <w:rFonts w:hint="eastAsia"/>
          <w:color w:val="auto"/>
          <w:lang w:eastAsia="zh-CN"/>
        </w:rPr>
        <w:t>落实住房城乡建设部对建筑市场“宽进、严管、重罚”的工作要求，</w:t>
      </w:r>
      <w:r>
        <w:rPr>
          <w:rFonts w:hint="eastAsia"/>
          <w:color w:val="auto"/>
        </w:rPr>
        <w:t>进一步</w:t>
      </w:r>
      <w:r>
        <w:rPr>
          <w:rFonts w:hint="eastAsia"/>
          <w:color w:val="auto"/>
          <w:lang w:eastAsia="zh-CN"/>
        </w:rPr>
        <w:t>规范建设工程</w:t>
      </w:r>
      <w:r>
        <w:rPr>
          <w:rFonts w:hint="eastAsia"/>
          <w:color w:val="auto"/>
        </w:rPr>
        <w:t>企业资质</w:t>
      </w:r>
      <w:r>
        <w:rPr>
          <w:rFonts w:hint="eastAsia"/>
          <w:color w:val="auto"/>
          <w:lang w:eastAsia="zh-CN"/>
        </w:rPr>
        <w:t>和安全生产许可申办行为，加强</w:t>
      </w:r>
      <w:r>
        <w:rPr>
          <w:rFonts w:hint="eastAsia"/>
          <w:color w:val="auto"/>
        </w:rPr>
        <w:t>企业资质</w:t>
      </w:r>
      <w:r>
        <w:rPr>
          <w:rFonts w:hint="eastAsia"/>
          <w:color w:val="auto"/>
          <w:lang w:eastAsia="zh-CN"/>
        </w:rPr>
        <w:t>和安全生产许可</w:t>
      </w:r>
      <w:r>
        <w:rPr>
          <w:rFonts w:hint="eastAsia"/>
          <w:color w:val="auto"/>
        </w:rPr>
        <w:t>事中事后监管，</w:t>
      </w:r>
      <w:r>
        <w:rPr>
          <w:rFonts w:hint="eastAsia"/>
          <w:color w:val="auto"/>
          <w:lang w:eastAsia="zh-CN"/>
        </w:rPr>
        <w:t>促进我省</w:t>
      </w:r>
      <w:r>
        <w:rPr>
          <w:rFonts w:hint="eastAsia"/>
          <w:color w:val="auto"/>
        </w:rPr>
        <w:t>建筑市场</w:t>
      </w:r>
      <w:r>
        <w:rPr>
          <w:rFonts w:hint="eastAsia"/>
          <w:color w:val="auto"/>
          <w:lang w:eastAsia="zh-CN"/>
        </w:rPr>
        <w:t>健康有序发展</w:t>
      </w:r>
      <w:r>
        <w:rPr>
          <w:rFonts w:hint="eastAsia"/>
          <w:color w:val="auto"/>
        </w:rPr>
        <w:t>，经研究，决定在全省范围内开展</w:t>
      </w:r>
      <w:r>
        <w:rPr>
          <w:rFonts w:hint="eastAsia"/>
          <w:color w:val="auto"/>
          <w:lang w:eastAsia="zh-CN"/>
        </w:rPr>
        <w:t>建设工程</w:t>
      </w:r>
      <w:r>
        <w:rPr>
          <w:rFonts w:hint="eastAsia"/>
          <w:color w:val="auto"/>
        </w:rPr>
        <w:t>企业资质</w:t>
      </w:r>
      <w:r>
        <w:rPr>
          <w:rFonts w:hint="eastAsia"/>
          <w:color w:val="auto"/>
          <w:lang w:eastAsia="zh-CN"/>
        </w:rPr>
        <w:t>和安全生产许可</w:t>
      </w:r>
      <w:r>
        <w:rPr>
          <w:rFonts w:hint="eastAsia"/>
          <w:color w:val="auto"/>
        </w:rPr>
        <w:t>动态预警工作，现将有关</w:t>
      </w:r>
      <w:r>
        <w:rPr>
          <w:rFonts w:hint="eastAsia"/>
          <w:color w:val="auto"/>
          <w:lang w:eastAsia="zh-CN"/>
        </w:rPr>
        <w:t>事宜</w:t>
      </w:r>
      <w:r>
        <w:rPr>
          <w:rFonts w:hint="eastAsia"/>
          <w:color w:val="auto"/>
        </w:rPr>
        <w:t>通知如下</w:t>
      </w:r>
      <w:r>
        <w:rPr>
          <w:rFonts w:hint="eastAsia"/>
          <w:color w:val="auto"/>
          <w:lang w:eastAsia="zh-CN"/>
        </w:rPr>
        <w:t>。</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黑体" w:hAnsi="黑体" w:eastAsia="黑体" w:cs="黑体"/>
          <w:color w:val="auto"/>
        </w:rPr>
      </w:pPr>
      <w:r>
        <w:rPr>
          <w:rFonts w:hint="eastAsia" w:ascii="黑体" w:hAnsi="黑体" w:eastAsia="黑体" w:cs="黑体"/>
          <w:color w:val="auto"/>
        </w:rPr>
        <w:t>一、资质</w:t>
      </w:r>
      <w:r>
        <w:rPr>
          <w:rFonts w:hint="eastAsia" w:ascii="黑体" w:hAnsi="黑体" w:eastAsia="黑体" w:cs="黑体"/>
          <w:color w:val="auto"/>
          <w:lang w:eastAsia="zh-CN"/>
        </w:rPr>
        <w:t>和安全生产许可动态</w:t>
      </w:r>
      <w:r>
        <w:rPr>
          <w:rFonts w:hint="eastAsia" w:ascii="黑体" w:hAnsi="黑体" w:eastAsia="黑体" w:cs="黑体"/>
          <w:color w:val="auto"/>
        </w:rPr>
        <w:t>预警范围</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lang w:eastAsia="zh-CN"/>
        </w:rPr>
      </w:pPr>
      <w:r>
        <w:rPr>
          <w:rFonts w:hint="eastAsia"/>
          <w:color w:val="auto"/>
          <w:lang w:eastAsia="zh-CN"/>
        </w:rPr>
        <w:t>建设工程</w:t>
      </w:r>
      <w:r>
        <w:rPr>
          <w:rFonts w:hint="eastAsia"/>
          <w:color w:val="auto"/>
        </w:rPr>
        <w:t>企业资质</w:t>
      </w:r>
      <w:r>
        <w:rPr>
          <w:rFonts w:hint="eastAsia"/>
          <w:color w:val="auto"/>
          <w:lang w:eastAsia="zh-CN"/>
        </w:rPr>
        <w:t>和安全生产许可</w:t>
      </w:r>
      <w:r>
        <w:rPr>
          <w:rFonts w:hint="eastAsia"/>
          <w:color w:val="auto"/>
        </w:rPr>
        <w:t>动态预警是以我省</w:t>
      </w:r>
      <w:r>
        <w:rPr>
          <w:rFonts w:hint="eastAsia"/>
          <w:color w:val="auto"/>
          <w:lang w:eastAsia="zh-CN"/>
        </w:rPr>
        <w:t>建筑市场监管公共服务平台（以下简称平台）为依托，</w:t>
      </w:r>
      <w:r>
        <w:rPr>
          <w:rFonts w:hint="eastAsia"/>
          <w:color w:val="auto"/>
        </w:rPr>
        <w:t>应用信息化技术</w:t>
      </w:r>
      <w:r>
        <w:rPr>
          <w:rFonts w:hint="eastAsia"/>
          <w:color w:val="auto"/>
          <w:lang w:eastAsia="zh-CN"/>
        </w:rPr>
        <w:t>和大数据分析等手段</w:t>
      </w:r>
      <w:r>
        <w:rPr>
          <w:rFonts w:hint="eastAsia"/>
          <w:color w:val="auto"/>
        </w:rPr>
        <w:t>，对照</w:t>
      </w:r>
      <w:r>
        <w:rPr>
          <w:rFonts w:hint="eastAsia"/>
          <w:color w:val="auto"/>
          <w:lang w:eastAsia="zh-CN"/>
        </w:rPr>
        <w:t>现行</w:t>
      </w:r>
      <w:r>
        <w:rPr>
          <w:rFonts w:hint="eastAsia"/>
          <w:color w:val="auto"/>
        </w:rPr>
        <w:t>企业资质</w:t>
      </w:r>
      <w:r>
        <w:rPr>
          <w:rFonts w:hint="eastAsia"/>
          <w:color w:val="auto"/>
          <w:lang w:eastAsia="zh-CN"/>
        </w:rPr>
        <w:t>和安全生产许可</w:t>
      </w:r>
      <w:r>
        <w:rPr>
          <w:rFonts w:hint="eastAsia"/>
          <w:color w:val="auto"/>
        </w:rPr>
        <w:t>标准，</w:t>
      </w:r>
      <w:r>
        <w:rPr>
          <w:rFonts w:hint="eastAsia"/>
          <w:color w:val="auto"/>
          <w:lang w:val="en-US" w:eastAsia="zh-CN"/>
        </w:rPr>
        <w:t>在实施企业资质和安全生产许可电子证书基础上，</w:t>
      </w:r>
      <w:r>
        <w:rPr>
          <w:rFonts w:hint="eastAsia"/>
          <w:color w:val="auto"/>
        </w:rPr>
        <w:t>对</w:t>
      </w:r>
      <w:r>
        <w:rPr>
          <w:rFonts w:hint="eastAsia"/>
          <w:color w:val="auto"/>
          <w:lang w:eastAsia="zh-CN"/>
        </w:rPr>
        <w:t>有关人员数量不达标企业的资质或安全生产许可进行实时动态预警</w:t>
      </w:r>
      <w:r>
        <w:rPr>
          <w:rFonts w:hint="eastAsia"/>
          <w:color w:val="auto"/>
          <w:lang w:val="en-US" w:eastAsia="zh-CN"/>
        </w:rPr>
        <w:t>并公开</w:t>
      </w:r>
      <w:r>
        <w:rPr>
          <w:rFonts w:hint="eastAsia"/>
          <w:color w:val="auto"/>
          <w:lang w:eastAsia="zh-CN"/>
        </w:rPr>
        <w:t>的管理机制。</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rPr>
      </w:pPr>
      <w:r>
        <w:rPr>
          <w:rFonts w:hint="eastAsia"/>
          <w:color w:val="auto"/>
        </w:rPr>
        <w:t>预警范围：注册地在我省行政区域内，取得</w:t>
      </w:r>
      <w:r>
        <w:rPr>
          <w:rFonts w:hint="eastAsia"/>
          <w:color w:val="auto"/>
          <w:lang w:eastAsia="zh-CN"/>
        </w:rPr>
        <w:t>由我省各级住房城乡建设行政主管部门（或行政审批局）许可颁发的建筑业企业</w:t>
      </w:r>
      <w:r>
        <w:rPr>
          <w:rFonts w:hint="eastAsia"/>
          <w:color w:val="auto"/>
        </w:rPr>
        <w:t>资质</w:t>
      </w:r>
      <w:r>
        <w:rPr>
          <w:rFonts w:hint="eastAsia"/>
          <w:color w:val="auto"/>
          <w:lang w:eastAsia="zh-CN"/>
        </w:rPr>
        <w:t>证书、工程监理企业资质证书和安全生产许可证书</w:t>
      </w:r>
      <w:r>
        <w:rPr>
          <w:rFonts w:hint="eastAsia"/>
          <w:color w:val="auto"/>
        </w:rPr>
        <w:t>的企业。</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lang w:eastAsia="zh-CN"/>
        </w:rPr>
      </w:pPr>
      <w:r>
        <w:rPr>
          <w:rFonts w:hint="eastAsia"/>
          <w:color w:val="auto"/>
          <w:lang w:eastAsia="zh-CN"/>
        </w:rPr>
        <w:t>预警内容：企业注册人员（注册建造师、注册监理工程师）和安全生产管理人员（</w:t>
      </w:r>
      <w:r>
        <w:rPr>
          <w:rFonts w:hint="eastAsia"/>
          <w:color w:val="auto"/>
          <w:lang w:val="en-US" w:eastAsia="zh-CN"/>
        </w:rPr>
        <w:t>A、B、C三类人员）</w:t>
      </w:r>
      <w:r>
        <w:rPr>
          <w:rFonts w:hint="eastAsia"/>
          <w:color w:val="auto"/>
          <w:lang w:eastAsia="zh-CN"/>
        </w:rPr>
        <w:t>。</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lang w:eastAsia="zh-CN"/>
        </w:rPr>
      </w:pPr>
      <w:r>
        <w:rPr>
          <w:rFonts w:hint="eastAsia"/>
          <w:color w:val="auto"/>
          <w:lang w:eastAsia="zh-CN"/>
        </w:rPr>
        <w:t>省外入川建设工程企业（以下简称入川企业）同步纳入预警管理范围。</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黑体" w:hAnsi="黑体" w:eastAsia="黑体" w:cs="黑体"/>
          <w:color w:val="auto"/>
          <w:lang w:eastAsia="zh-CN"/>
        </w:rPr>
      </w:pPr>
      <w:r>
        <w:rPr>
          <w:rFonts w:hint="eastAsia" w:ascii="黑体" w:hAnsi="黑体" w:eastAsia="黑体" w:cs="黑体"/>
          <w:color w:val="auto"/>
        </w:rPr>
        <w:t>二、资质</w:t>
      </w:r>
      <w:r>
        <w:rPr>
          <w:rFonts w:hint="eastAsia" w:ascii="黑体" w:hAnsi="黑体" w:eastAsia="黑体" w:cs="黑体"/>
          <w:color w:val="auto"/>
          <w:lang w:eastAsia="zh-CN"/>
        </w:rPr>
        <w:t>和安全生产许可动态</w:t>
      </w:r>
      <w:r>
        <w:rPr>
          <w:rFonts w:hint="eastAsia" w:ascii="黑体" w:hAnsi="黑体" w:eastAsia="黑体" w:cs="黑体"/>
          <w:color w:val="auto"/>
        </w:rPr>
        <w:t>预警</w:t>
      </w:r>
      <w:r>
        <w:rPr>
          <w:rFonts w:hint="eastAsia" w:ascii="黑体" w:hAnsi="黑体" w:eastAsia="黑体" w:cs="黑体"/>
          <w:color w:val="auto"/>
          <w:lang w:eastAsia="zh-CN"/>
        </w:rPr>
        <w:t>规则</w:t>
      </w:r>
    </w:p>
    <w:p>
      <w:pPr>
        <w:keepNext w:val="0"/>
        <w:keepLines w:val="0"/>
        <w:pageBreakBefore w:val="0"/>
        <w:kinsoku/>
        <w:wordWrap/>
        <w:overflowPunct/>
        <w:topLinePunct w:val="0"/>
        <w:autoSpaceDE/>
        <w:autoSpaceDN/>
        <w:bidi w:val="0"/>
        <w:adjustRightInd/>
        <w:snapToGrid/>
        <w:spacing w:line="580" w:lineRule="exact"/>
        <w:textAlignment w:val="auto"/>
        <w:rPr>
          <w:rFonts w:hint="default"/>
          <w:color w:val="auto"/>
          <w:lang w:val="en-US" w:eastAsia="zh-CN"/>
        </w:rPr>
      </w:pPr>
      <w:r>
        <w:rPr>
          <w:rFonts w:hint="eastAsia" w:ascii="楷体_GB2312" w:hAnsi="楷体_GB2312" w:eastAsia="楷体_GB2312" w:cs="楷体_GB2312"/>
          <w:b/>
          <w:bCs/>
          <w:color w:val="auto"/>
          <w:lang w:eastAsia="zh-CN"/>
        </w:rPr>
        <w:t>（一）建筑业企业资质预警规则。</w:t>
      </w:r>
      <w:r>
        <w:rPr>
          <w:rFonts w:hint="eastAsia"/>
          <w:color w:val="auto"/>
          <w:lang w:eastAsia="zh-CN"/>
        </w:rPr>
        <w:t>以</w:t>
      </w:r>
      <w:r>
        <w:rPr>
          <w:rFonts w:hint="eastAsia"/>
          <w:color w:val="auto"/>
          <w:lang w:val="en-US" w:eastAsia="zh-CN"/>
        </w:rPr>
        <w:t>有关</w:t>
      </w:r>
      <w:r>
        <w:rPr>
          <w:rFonts w:hint="eastAsia"/>
          <w:color w:val="auto"/>
          <w:lang w:eastAsia="zh-CN"/>
        </w:rPr>
        <w:t>建筑业企业资质标准对注册建造师数量要求为考核标准（</w:t>
      </w:r>
      <w:r>
        <w:rPr>
          <w:rFonts w:hint="eastAsia"/>
          <w:color w:val="auto"/>
          <w:lang w:val="en-US" w:eastAsia="zh-CN"/>
        </w:rPr>
        <w:t>具体考核标准见附件1</w:t>
      </w:r>
      <w:r>
        <w:rPr>
          <w:rFonts w:hint="eastAsia"/>
          <w:color w:val="auto"/>
          <w:lang w:eastAsia="zh-CN"/>
        </w:rPr>
        <w:t>），当企业注册建造师数量低于考核标准时，系统自动在企业资质电子证书</w:t>
      </w:r>
      <w:r>
        <w:rPr>
          <w:rFonts w:hint="eastAsia"/>
          <w:color w:val="auto"/>
          <w:lang w:val="en-US" w:eastAsia="zh-CN"/>
        </w:rPr>
        <w:t>和平台</w:t>
      </w:r>
      <w:r>
        <w:rPr>
          <w:rFonts w:hint="eastAsia"/>
          <w:color w:val="auto"/>
          <w:lang w:eastAsia="zh-CN"/>
        </w:rPr>
        <w:t>上对相应不满足考核标准的资质项作出预警标注并责令整改。</w:t>
      </w:r>
    </w:p>
    <w:p>
      <w:pPr>
        <w:keepNext w:val="0"/>
        <w:keepLines w:val="0"/>
        <w:pageBreakBefore w:val="0"/>
        <w:kinsoku/>
        <w:wordWrap/>
        <w:overflowPunct/>
        <w:topLinePunct w:val="0"/>
        <w:autoSpaceDE/>
        <w:autoSpaceDN/>
        <w:bidi w:val="0"/>
        <w:adjustRightInd/>
        <w:snapToGrid/>
        <w:spacing w:line="580" w:lineRule="exact"/>
        <w:textAlignment w:val="auto"/>
        <w:rPr>
          <w:rFonts w:hint="default"/>
          <w:color w:val="auto"/>
          <w:lang w:val="en-US" w:eastAsia="zh-CN"/>
        </w:rPr>
      </w:pPr>
      <w:r>
        <w:rPr>
          <w:rFonts w:hint="eastAsia" w:ascii="楷体_GB2312" w:hAnsi="楷体_GB2312" w:eastAsia="楷体_GB2312" w:cs="楷体_GB2312"/>
          <w:b/>
          <w:bCs/>
          <w:color w:val="auto"/>
          <w:lang w:eastAsia="zh-CN"/>
        </w:rPr>
        <w:t>（二）工程监理企业资质预警规则。</w:t>
      </w:r>
      <w:r>
        <w:rPr>
          <w:rFonts w:hint="eastAsia"/>
          <w:color w:val="auto"/>
          <w:lang w:eastAsia="zh-CN"/>
        </w:rPr>
        <w:t>以</w:t>
      </w:r>
      <w:r>
        <w:rPr>
          <w:rFonts w:hint="eastAsia"/>
          <w:color w:val="auto"/>
          <w:lang w:val="en-US" w:eastAsia="zh-CN"/>
        </w:rPr>
        <w:t>有关</w:t>
      </w:r>
      <w:r>
        <w:rPr>
          <w:rFonts w:hint="eastAsia"/>
          <w:color w:val="auto"/>
          <w:lang w:eastAsia="zh-CN"/>
        </w:rPr>
        <w:t>工程监理企业资质标准对注册监理工程师数量要求为考核标准（</w:t>
      </w:r>
      <w:r>
        <w:rPr>
          <w:rFonts w:hint="eastAsia"/>
          <w:color w:val="auto"/>
          <w:lang w:val="en-US" w:eastAsia="zh-CN"/>
        </w:rPr>
        <w:t>具体考核标准见附件2</w:t>
      </w:r>
      <w:r>
        <w:rPr>
          <w:rFonts w:hint="eastAsia"/>
          <w:color w:val="auto"/>
          <w:lang w:eastAsia="zh-CN"/>
        </w:rPr>
        <w:t>），当企业注册监理工程师数量低于考核标准时，系统自动在企业资质电子证书</w:t>
      </w:r>
      <w:r>
        <w:rPr>
          <w:rFonts w:hint="eastAsia"/>
          <w:color w:val="auto"/>
          <w:lang w:val="en-US" w:eastAsia="zh-CN"/>
        </w:rPr>
        <w:t>和平台</w:t>
      </w:r>
      <w:r>
        <w:rPr>
          <w:rFonts w:hint="eastAsia"/>
          <w:color w:val="auto"/>
          <w:lang w:eastAsia="zh-CN"/>
        </w:rPr>
        <w:t>上对相应不满足考核标准的资质项作出预警标注并责令整改。</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lang w:val="en-US" w:eastAsia="zh-CN"/>
        </w:rPr>
      </w:pPr>
      <w:r>
        <w:rPr>
          <w:rFonts w:hint="eastAsia" w:ascii="楷体_GB2312" w:hAnsi="楷体_GB2312" w:eastAsia="楷体_GB2312" w:cs="楷体_GB2312"/>
          <w:b/>
          <w:bCs/>
          <w:color w:val="auto"/>
          <w:lang w:eastAsia="zh-CN"/>
        </w:rPr>
        <w:t>（三）安全生产许可预警规则。</w:t>
      </w:r>
      <w:r>
        <w:rPr>
          <w:rFonts w:hint="eastAsia"/>
          <w:color w:val="auto"/>
          <w:lang w:val="en-US" w:eastAsia="zh-CN"/>
        </w:rPr>
        <w:t>企业需配备2名持有A证的安管人员和2名（或3名）持有C证（C1、C2、C3）的安管人员，B证人员数量按照对应的注册人员考核标准配备，企业具有多项施工资质的，B证人员数量对照资质项中最多的注册人员数量考核</w:t>
      </w:r>
      <w:r>
        <w:rPr>
          <w:rFonts w:hint="eastAsia"/>
          <w:color w:val="auto"/>
          <w:lang w:eastAsia="zh-CN"/>
        </w:rPr>
        <w:t>（</w:t>
      </w:r>
      <w:r>
        <w:rPr>
          <w:rFonts w:hint="eastAsia"/>
          <w:color w:val="auto"/>
          <w:lang w:val="en-US" w:eastAsia="zh-CN"/>
        </w:rPr>
        <w:t>具体考核标准见附件1</w:t>
      </w:r>
      <w:r>
        <w:rPr>
          <w:rFonts w:hint="eastAsia"/>
          <w:color w:val="auto"/>
          <w:lang w:eastAsia="zh-CN"/>
        </w:rPr>
        <w:t>）</w:t>
      </w:r>
      <w:r>
        <w:rPr>
          <w:rFonts w:hint="eastAsia"/>
          <w:color w:val="auto"/>
          <w:lang w:val="en-US" w:eastAsia="zh-CN"/>
        </w:rPr>
        <w:t>。当企业安全生产管理人员不满足考核标准时，</w:t>
      </w:r>
      <w:r>
        <w:rPr>
          <w:rFonts w:hint="eastAsia"/>
          <w:color w:val="auto"/>
          <w:lang w:eastAsia="zh-CN"/>
        </w:rPr>
        <w:t>系统自动在</w:t>
      </w:r>
      <w:r>
        <w:rPr>
          <w:rFonts w:hint="eastAsia"/>
          <w:color w:val="auto"/>
          <w:lang w:val="en-US" w:eastAsia="zh-CN"/>
        </w:rPr>
        <w:t>企业安全生产许可电子证书和平台上作出预警标注并责令整改。</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lang w:val="en-US" w:eastAsia="zh-CN"/>
        </w:rPr>
      </w:pPr>
      <w:r>
        <w:rPr>
          <w:rFonts w:hint="eastAsia"/>
          <w:color w:val="auto"/>
          <w:lang w:val="en-US" w:eastAsia="zh-CN"/>
        </w:rPr>
        <w:t>企业因更换法人代表，导致只有1名A证人员的，给予半年宽限期，180天内不予</w:t>
      </w:r>
      <w:r>
        <w:rPr>
          <w:rFonts w:hint="eastAsia"/>
          <w:color w:val="auto"/>
          <w:lang w:eastAsia="zh-CN"/>
        </w:rPr>
        <w:t>预警标注</w:t>
      </w:r>
      <w:r>
        <w:rPr>
          <w:rFonts w:hint="eastAsia"/>
          <w:color w:val="auto"/>
          <w:lang w:val="en-US" w:eastAsia="zh-CN"/>
        </w:rPr>
        <w:t>。企业法人代表应在半年内考取并注册A证，逾期未考取并注册A证的，将实施预警标注。</w:t>
      </w:r>
    </w:p>
    <w:p>
      <w:pPr>
        <w:keepNext w:val="0"/>
        <w:keepLines w:val="0"/>
        <w:pageBreakBefore w:val="0"/>
        <w:kinsoku/>
        <w:wordWrap/>
        <w:overflowPunct/>
        <w:topLinePunct w:val="0"/>
        <w:autoSpaceDE/>
        <w:autoSpaceDN/>
        <w:bidi w:val="0"/>
        <w:adjustRightInd/>
        <w:snapToGrid/>
        <w:spacing w:line="580" w:lineRule="exact"/>
        <w:textAlignment w:val="auto"/>
        <w:rPr>
          <w:rFonts w:hint="default"/>
          <w:color w:val="auto"/>
          <w:lang w:val="en-US" w:eastAsia="zh-CN"/>
        </w:rPr>
      </w:pPr>
      <w:r>
        <w:rPr>
          <w:rFonts w:hint="eastAsia" w:ascii="楷体_GB2312" w:hAnsi="楷体_GB2312" w:eastAsia="楷体_GB2312" w:cs="楷体_GB2312"/>
          <w:b/>
          <w:bCs/>
          <w:color w:val="auto"/>
          <w:lang w:val="en-US" w:eastAsia="zh-CN"/>
        </w:rPr>
        <w:t>（四）解除预警标注规则。</w:t>
      </w:r>
      <w:r>
        <w:rPr>
          <w:rFonts w:hint="eastAsia"/>
          <w:color w:val="auto"/>
          <w:lang w:val="en-US" w:eastAsia="zh-CN"/>
        </w:rPr>
        <w:t>企业因注册人员或安全生产管理人员不足被预警标注的，应当及时整改，补齐相关人员，当相关人员满足考核标准时，相应电子证书和平台将自动解除预警标注。</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三、</w:t>
      </w:r>
      <w:r>
        <w:rPr>
          <w:rFonts w:hint="eastAsia" w:ascii="黑体" w:hAnsi="黑体" w:eastAsia="黑体" w:cs="黑体"/>
          <w:color w:val="auto"/>
        </w:rPr>
        <w:t>资质</w:t>
      </w:r>
      <w:r>
        <w:rPr>
          <w:rFonts w:hint="eastAsia" w:ascii="黑体" w:hAnsi="黑体" w:eastAsia="黑体" w:cs="黑体"/>
          <w:color w:val="auto"/>
          <w:lang w:eastAsia="zh-CN"/>
        </w:rPr>
        <w:t>和安全生产许可</w:t>
      </w:r>
      <w:r>
        <w:rPr>
          <w:rFonts w:hint="eastAsia" w:ascii="黑体" w:hAnsi="黑体" w:eastAsia="黑体" w:cs="黑体"/>
          <w:color w:val="auto"/>
          <w:lang w:val="en-US" w:eastAsia="zh-CN"/>
        </w:rPr>
        <w:t>动态预警信息运用</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lang w:eastAsia="zh-CN"/>
        </w:rPr>
      </w:pPr>
      <w:r>
        <w:rPr>
          <w:rFonts w:hint="eastAsia"/>
          <w:color w:val="auto"/>
          <w:lang w:eastAsia="zh-CN"/>
        </w:rPr>
        <w:t>（一）</w:t>
      </w:r>
      <w:r>
        <w:rPr>
          <w:rFonts w:hint="eastAsia"/>
          <w:color w:val="auto"/>
        </w:rPr>
        <w:t>企业资质</w:t>
      </w:r>
      <w:r>
        <w:rPr>
          <w:rFonts w:hint="eastAsia"/>
          <w:color w:val="auto"/>
          <w:lang w:eastAsia="zh-CN"/>
        </w:rPr>
        <w:t>或安全生产许可证被预警标注</w:t>
      </w:r>
      <w:r>
        <w:rPr>
          <w:rFonts w:hint="eastAsia"/>
          <w:color w:val="auto"/>
        </w:rPr>
        <w:t>期间</w:t>
      </w:r>
      <w:r>
        <w:rPr>
          <w:rFonts w:hint="eastAsia"/>
          <w:color w:val="auto"/>
          <w:lang w:eastAsia="zh-CN"/>
        </w:rPr>
        <w:t>，</w:t>
      </w:r>
      <w:r>
        <w:rPr>
          <w:rFonts w:hint="eastAsia"/>
          <w:color w:val="auto"/>
        </w:rPr>
        <w:t>不得</w:t>
      </w:r>
      <w:r>
        <w:rPr>
          <w:rFonts w:hint="eastAsia"/>
          <w:color w:val="auto"/>
          <w:lang w:eastAsia="zh-CN"/>
        </w:rPr>
        <w:t>使用被预警标注的资质项和安全生产许可证</w:t>
      </w:r>
      <w:r>
        <w:rPr>
          <w:rFonts w:hint="eastAsia"/>
          <w:color w:val="auto"/>
        </w:rPr>
        <w:t>承揽新的工程</w:t>
      </w:r>
      <w:r>
        <w:rPr>
          <w:rFonts w:hint="eastAsia"/>
          <w:color w:val="auto"/>
          <w:lang w:eastAsia="zh-CN"/>
        </w:rPr>
        <w:t>建设</w:t>
      </w:r>
      <w:r>
        <w:rPr>
          <w:rFonts w:hint="eastAsia"/>
          <w:color w:val="auto"/>
        </w:rPr>
        <w:t>项目</w:t>
      </w:r>
      <w:r>
        <w:rPr>
          <w:rFonts w:hint="eastAsia"/>
          <w:color w:val="auto"/>
          <w:lang w:eastAsia="zh-CN"/>
        </w:rPr>
        <w:t>。依法必须招标的建设工程项目，招标人应当查询企业资质和安全生产许可预警标注情况。主管部门发放施工许可、监理单位查验施工单位进场及签发开工令时，要查验施工单位的资质和安全生产许可证预警标注情况。</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lang w:eastAsia="zh-CN"/>
        </w:rPr>
      </w:pPr>
      <w:r>
        <w:rPr>
          <w:rFonts w:hint="eastAsia"/>
          <w:color w:val="auto"/>
          <w:lang w:eastAsia="zh-CN"/>
        </w:rPr>
        <w:t>（二）被预警标注企业已进入现场施工的，项目所在地</w:t>
      </w:r>
      <w:r>
        <w:rPr>
          <w:rFonts w:hint="eastAsia"/>
          <w:color w:val="auto"/>
        </w:rPr>
        <w:t>住房城乡建设</w:t>
      </w:r>
      <w:r>
        <w:rPr>
          <w:rFonts w:hint="eastAsia"/>
          <w:color w:val="auto"/>
          <w:lang w:eastAsia="zh-CN"/>
        </w:rPr>
        <w:t>行政</w:t>
      </w:r>
      <w:r>
        <w:rPr>
          <w:rFonts w:hint="eastAsia"/>
          <w:color w:val="auto"/>
        </w:rPr>
        <w:t>主管部门</w:t>
      </w:r>
      <w:r>
        <w:rPr>
          <w:rFonts w:hint="eastAsia"/>
          <w:color w:val="auto"/>
          <w:lang w:eastAsia="zh-CN"/>
        </w:rPr>
        <w:t>要将工程</w:t>
      </w:r>
      <w:r>
        <w:rPr>
          <w:rFonts w:hint="eastAsia"/>
          <w:color w:val="auto"/>
        </w:rPr>
        <w:t>列入重点监管范围</w:t>
      </w:r>
      <w:r>
        <w:rPr>
          <w:rFonts w:hint="eastAsia"/>
          <w:color w:val="auto"/>
          <w:lang w:eastAsia="zh-CN"/>
        </w:rPr>
        <w:t>，加强对施工现场有关人员和工程质量安全的监督检查力度。对施工现场企业安全生产管理人员不足或和企业注册的安全生产管理人员不一致的，应立即责令整改。对存在挂靠、出借资质或转包、违法分包等行为的，要严肃查处。</w:t>
      </w:r>
    </w:p>
    <w:p>
      <w:pPr>
        <w:keepNext w:val="0"/>
        <w:keepLines w:val="0"/>
        <w:pageBreakBefore w:val="0"/>
        <w:kinsoku/>
        <w:wordWrap/>
        <w:overflowPunct/>
        <w:topLinePunct w:val="0"/>
        <w:autoSpaceDE/>
        <w:autoSpaceDN/>
        <w:bidi w:val="0"/>
        <w:adjustRightInd/>
        <w:snapToGrid/>
        <w:spacing w:line="580" w:lineRule="exact"/>
        <w:textAlignment w:val="auto"/>
        <w:rPr>
          <w:rFonts w:hint="default"/>
          <w:color w:val="auto"/>
          <w:lang w:val="en-US" w:eastAsia="zh-CN"/>
        </w:rPr>
      </w:pPr>
      <w:r>
        <w:rPr>
          <w:rFonts w:hint="eastAsia"/>
          <w:color w:val="auto"/>
          <w:lang w:eastAsia="zh-CN"/>
        </w:rPr>
        <w:t>（三）资质或安全生产许可证有效期内，</w:t>
      </w:r>
      <w:r>
        <w:rPr>
          <w:rFonts w:hint="eastAsia"/>
          <w:color w:val="auto"/>
          <w:lang w:val="en-US" w:eastAsia="zh-CN"/>
        </w:rPr>
        <w:t>因有关人员不足第1次被</w:t>
      </w:r>
      <w:r>
        <w:rPr>
          <w:rFonts w:hint="eastAsia"/>
          <w:color w:val="auto"/>
          <w:lang w:eastAsia="zh-CN"/>
        </w:rPr>
        <w:t>预警</w:t>
      </w:r>
      <w:r>
        <w:rPr>
          <w:rFonts w:hint="eastAsia"/>
          <w:color w:val="auto"/>
          <w:lang w:val="en-US" w:eastAsia="zh-CN"/>
        </w:rPr>
        <w:t>标注的企业，应当在90天内完成整改；第2次被标注的企业，应当在30天内完成整改；第3次及以上被标注的企业，应当在10天内完成整改。标注及整改期间，企业不得申请办理资质和安全生产许可各类事项</w:t>
      </w:r>
      <w:r>
        <w:rPr>
          <w:rFonts w:hint="eastAsia"/>
          <w:color w:val="auto"/>
          <w:lang w:eastAsia="zh-CN"/>
        </w:rPr>
        <w:t>。</w:t>
      </w:r>
      <w:r>
        <w:rPr>
          <w:rFonts w:hint="eastAsia"/>
          <w:color w:val="auto"/>
          <w:lang w:val="en-US" w:eastAsia="zh-CN"/>
        </w:rPr>
        <w:t>未在规定期限内完成整改的，许可机关可以启动资质撤回程序或安全生产许可证暂扣、吊销程序。</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lang w:eastAsia="zh-CN"/>
        </w:rPr>
      </w:pPr>
      <w:r>
        <w:rPr>
          <w:rFonts w:hint="eastAsia"/>
          <w:color w:val="auto"/>
          <w:lang w:val="en-US" w:eastAsia="zh-CN"/>
        </w:rPr>
        <w:t>（四）</w:t>
      </w:r>
      <w:r>
        <w:rPr>
          <w:rFonts w:hint="eastAsia"/>
          <w:color w:val="auto"/>
          <w:lang w:eastAsia="zh-CN"/>
        </w:rPr>
        <w:t>资质或安全生产许可</w:t>
      </w:r>
      <w:r>
        <w:rPr>
          <w:rFonts w:hint="eastAsia"/>
          <w:color w:val="auto"/>
          <w:lang w:val="en-US" w:eastAsia="zh-CN"/>
        </w:rPr>
        <w:t>一年内被预警标注累计达到3次的企业或有效期内被预警标注累计达到6次的企业，纳入行业重点监管企业名单管理，在</w:t>
      </w:r>
      <w:r>
        <w:rPr>
          <w:rFonts w:hint="eastAsia"/>
          <w:color w:val="auto"/>
          <w:lang w:eastAsia="zh-CN"/>
        </w:rPr>
        <w:t>企业资质或安全生产许可申办中严格审核，在工程建设项目招投标、施工</w:t>
      </w:r>
      <w:r>
        <w:rPr>
          <w:rFonts w:hint="eastAsia"/>
          <w:color w:val="auto"/>
          <w:lang w:val="en-US" w:eastAsia="zh-CN"/>
        </w:rPr>
        <w:t>许可和</w:t>
      </w:r>
      <w:r>
        <w:rPr>
          <w:rFonts w:hint="eastAsia"/>
          <w:color w:val="auto"/>
          <w:lang w:eastAsia="zh-CN"/>
        </w:rPr>
        <w:t>现场管理中严格监管。</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lang w:eastAsia="zh-CN"/>
        </w:rPr>
      </w:pPr>
      <w:r>
        <w:rPr>
          <w:rFonts w:hint="eastAsia"/>
          <w:color w:val="auto"/>
          <w:lang w:val="en-US" w:eastAsia="zh-CN"/>
        </w:rPr>
        <w:t>（五）</w:t>
      </w:r>
      <w:r>
        <w:rPr>
          <w:rFonts w:hint="eastAsia"/>
          <w:color w:val="auto"/>
          <w:lang w:eastAsia="zh-CN"/>
        </w:rPr>
        <w:t>对频繁变更执业单位的注册人员或安全生产管理人员，纳入行业重点监管人员名单管理，在人员执业资格注册、企业资质或安全生产许可申办中严格审核，在人员执业活动中严格监管。</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黑体" w:hAnsi="黑体" w:eastAsia="黑体" w:cs="黑体"/>
          <w:b w:val="0"/>
          <w:bCs w:val="0"/>
          <w:color w:val="auto"/>
          <w:lang w:eastAsia="zh-CN"/>
        </w:rPr>
      </w:pPr>
      <w:r>
        <w:rPr>
          <w:rFonts w:hint="eastAsia" w:ascii="黑体" w:hAnsi="黑体" w:eastAsia="黑体" w:cs="黑体"/>
          <w:b w:val="0"/>
          <w:bCs w:val="0"/>
          <w:color w:val="auto"/>
          <w:lang w:eastAsia="zh-CN"/>
        </w:rPr>
        <w:t>四、入川企业动态预警管理</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lang w:eastAsia="zh-CN"/>
        </w:rPr>
      </w:pPr>
      <w:r>
        <w:rPr>
          <w:rFonts w:hint="eastAsia"/>
          <w:color w:val="auto"/>
          <w:lang w:eastAsia="zh-CN"/>
        </w:rPr>
        <w:t>（一）入川企业应填报在川负责人基本信息和注册人员信息，并进行实名认证。入川企业自愿填报的技术负责人、职称人员、安全生产管理人员、技术工人等其他人员信息，需注明该人员手机号码，我厅将通过短信等方式向每位人员验证相关信息。</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lang w:eastAsia="zh-CN"/>
        </w:rPr>
      </w:pPr>
      <w:r>
        <w:rPr>
          <w:rFonts w:hint="eastAsia"/>
          <w:color w:val="auto"/>
          <w:lang w:eastAsia="zh-CN"/>
        </w:rPr>
        <w:t>（二）入川企业承接工程、办理施工许可和组织施工时，在川负责人和项目有关人员应与入川信息填报人员一致，人员不一致的，将在平台中实施预警标注。</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lang w:val="en-US" w:eastAsia="zh-CN"/>
        </w:rPr>
      </w:pPr>
      <w:r>
        <w:rPr>
          <w:rFonts w:hint="eastAsia"/>
          <w:color w:val="auto"/>
          <w:lang w:val="en-US" w:eastAsia="zh-CN"/>
        </w:rPr>
        <w:t>（三）入川企业被住房城乡建设部或注册地住房城乡建设行政主管部门实施预警标注的，我厅不予受理其入川信息报送申请。已入川企业被有关部门实施了预警标注的，我厅将同步在平台中实施预警标注。</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lang w:val="en-US" w:eastAsia="zh-CN"/>
        </w:rPr>
      </w:pPr>
      <w:r>
        <w:rPr>
          <w:rFonts w:hint="eastAsia"/>
          <w:color w:val="auto"/>
          <w:lang w:val="en-US" w:eastAsia="zh-CN"/>
        </w:rPr>
        <w:t>对被预警标注的入川企业，参照本通知第三条有关规定执行。</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黑体" w:hAnsi="黑体" w:eastAsia="黑体" w:cs="黑体"/>
          <w:b w:val="0"/>
          <w:bCs w:val="0"/>
          <w:color w:val="auto"/>
          <w:lang w:val="en-US" w:eastAsia="zh-CN"/>
        </w:rPr>
      </w:pPr>
      <w:r>
        <w:rPr>
          <w:rFonts w:hint="eastAsia" w:ascii="黑体" w:hAnsi="黑体" w:eastAsia="黑体" w:cs="黑体"/>
          <w:b w:val="0"/>
          <w:bCs w:val="0"/>
          <w:color w:val="auto"/>
          <w:lang w:val="en-US" w:eastAsia="zh-CN"/>
        </w:rPr>
        <w:t>五、其它情形预警管理</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lang w:val="en-US" w:eastAsia="zh-CN"/>
        </w:rPr>
      </w:pPr>
      <w:r>
        <w:rPr>
          <w:rFonts w:hint="eastAsia"/>
          <w:color w:val="auto"/>
          <w:lang w:val="en-US" w:eastAsia="zh-CN"/>
        </w:rPr>
        <w:t>企业隐瞒有关真实情况、提供虚假材料、虚假业绩或不实承诺等不正当手段取得的资质或安全生产许可证，我厅将对该项资质或安全生产许可证实施预警标注。因上述情形被实施预警标注的企业，可以主动申请注销相关资质或安全生产许可证，注销后允许企业重新申办相关资质。被预警标注企业三个月内不主动申请注销的，许可机关依法撤销相关资质或安全生产许可证，企业三年内不得再次申请该项资质或安全生产许可证。在资质或安全生产许可证被撤（注）销前，不解除预警标注。</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黑体" w:hAnsi="黑体" w:eastAsia="黑体" w:cs="黑体"/>
          <w:color w:val="auto"/>
          <w:lang w:eastAsia="zh-CN"/>
        </w:rPr>
      </w:pPr>
      <w:r>
        <w:rPr>
          <w:rFonts w:hint="eastAsia" w:ascii="黑体" w:hAnsi="黑体" w:eastAsia="黑体" w:cs="黑体"/>
          <w:color w:val="auto"/>
          <w:lang w:eastAsia="zh-CN"/>
        </w:rPr>
        <w:t>六、其它事项</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lang w:eastAsia="zh-CN"/>
        </w:rPr>
      </w:pPr>
      <w:r>
        <w:rPr>
          <w:rFonts w:hint="eastAsia"/>
          <w:color w:val="auto"/>
          <w:lang w:eastAsia="zh-CN"/>
        </w:rPr>
        <w:t>（一）企业在申报资质和安全生产许可时应当如实填报或更新法人代表、联系人手机号码，确保能够及时准确接收我厅预警及相关信息。</w:t>
      </w:r>
    </w:p>
    <w:p>
      <w:pPr>
        <w:keepNext w:val="0"/>
        <w:keepLines w:val="0"/>
        <w:pageBreakBefore w:val="0"/>
        <w:kinsoku/>
        <w:wordWrap/>
        <w:overflowPunct/>
        <w:topLinePunct w:val="0"/>
        <w:autoSpaceDE/>
        <w:autoSpaceDN/>
        <w:bidi w:val="0"/>
        <w:adjustRightInd/>
        <w:snapToGrid/>
        <w:spacing w:line="580" w:lineRule="exact"/>
        <w:textAlignment w:val="auto"/>
        <w:rPr>
          <w:rFonts w:hint="eastAsia" w:eastAsia="仿宋_GB2312"/>
          <w:color w:val="auto"/>
          <w:lang w:val="en-US" w:eastAsia="zh-CN"/>
        </w:rPr>
      </w:pPr>
      <w:r>
        <w:rPr>
          <w:rFonts w:hint="eastAsia"/>
          <w:color w:val="auto"/>
          <w:lang w:val="en-US" w:eastAsia="zh-CN"/>
        </w:rPr>
        <w:t>（二）</w:t>
      </w:r>
      <w:r>
        <w:rPr>
          <w:rFonts w:hint="eastAsia"/>
          <w:color w:val="auto"/>
          <w:lang w:eastAsia="zh-CN"/>
        </w:rPr>
        <w:t>我厅将根据动态预警实施情况，</w:t>
      </w:r>
      <w:r>
        <w:rPr>
          <w:rFonts w:hint="eastAsia"/>
          <w:color w:val="auto"/>
          <w:lang w:val="en-US" w:eastAsia="zh-CN"/>
        </w:rPr>
        <w:t>逐步将工程勘察、工程设计等企业资质和部分专业承包资质特种作业人员数量等纳入</w:t>
      </w:r>
      <w:r>
        <w:rPr>
          <w:rFonts w:hint="eastAsia"/>
          <w:color w:val="auto"/>
          <w:lang w:eastAsia="zh-CN"/>
        </w:rPr>
        <w:t>预警范围。</w:t>
      </w:r>
      <w:r>
        <w:rPr>
          <w:rFonts w:hint="eastAsia"/>
          <w:color w:val="auto"/>
          <w:lang w:val="en-US" w:eastAsia="zh-CN"/>
        </w:rPr>
        <w:t>各级住房城乡建设行政主管部门、建设工程企业、有关单位和个人可将</w:t>
      </w:r>
      <w:r>
        <w:rPr>
          <w:rFonts w:hint="eastAsia"/>
          <w:color w:val="auto"/>
        </w:rPr>
        <w:t>企业资质</w:t>
      </w:r>
      <w:r>
        <w:rPr>
          <w:rFonts w:hint="eastAsia"/>
          <w:color w:val="auto"/>
          <w:lang w:eastAsia="zh-CN"/>
        </w:rPr>
        <w:t>和安全生产许可</w:t>
      </w:r>
      <w:r>
        <w:rPr>
          <w:rFonts w:hint="eastAsia"/>
          <w:color w:val="auto"/>
        </w:rPr>
        <w:t>动态预警工作</w:t>
      </w:r>
      <w:r>
        <w:rPr>
          <w:rFonts w:hint="eastAsia"/>
          <w:color w:val="auto"/>
          <w:lang w:eastAsia="zh-CN"/>
        </w:rPr>
        <w:t>实施</w:t>
      </w:r>
      <w:bookmarkStart w:id="0" w:name="_GoBack"/>
      <w:bookmarkEnd w:id="0"/>
      <w:r>
        <w:rPr>
          <w:rFonts w:hint="eastAsia"/>
          <w:color w:val="auto"/>
          <w:lang w:eastAsia="zh-CN"/>
        </w:rPr>
        <w:t>中的问题和意见建议及时反馈我厅，我厅将不断优化完善</w:t>
      </w:r>
      <w:r>
        <w:rPr>
          <w:rFonts w:hint="eastAsia"/>
          <w:color w:val="auto"/>
        </w:rPr>
        <w:t>动态预警工作</w:t>
      </w:r>
      <w:r>
        <w:rPr>
          <w:rFonts w:hint="eastAsia"/>
          <w:color w:val="auto"/>
          <w:lang w:eastAsia="zh-CN"/>
        </w:rPr>
        <w:t>。</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lang w:val="en-US" w:eastAsia="zh-CN"/>
        </w:rPr>
      </w:pPr>
      <w:r>
        <w:rPr>
          <w:rFonts w:hint="eastAsia"/>
          <w:color w:val="auto"/>
          <w:lang w:val="en-US" w:eastAsia="zh-CN"/>
        </w:rPr>
        <w:t>本通知</w:t>
      </w:r>
      <w:r>
        <w:rPr>
          <w:rFonts w:hint="eastAsia"/>
          <w:color w:val="auto"/>
          <w:lang w:eastAsia="zh-CN"/>
        </w:rPr>
        <w:t>自</w:t>
      </w:r>
      <w:r>
        <w:rPr>
          <w:rFonts w:hint="eastAsia"/>
          <w:color w:val="auto"/>
          <w:lang w:val="en-US" w:eastAsia="zh-CN"/>
        </w:rPr>
        <w:t>2023年X月X日起实施，有效期两年。</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lang w:eastAsia="zh-CN"/>
        </w:rPr>
      </w:pPr>
    </w:p>
    <w:p>
      <w:pPr>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color w:val="auto"/>
          <w:w w:val="97"/>
          <w:lang w:eastAsia="zh-CN"/>
        </w:rPr>
      </w:pPr>
    </w:p>
    <w:p>
      <w:pPr>
        <w:keepNext w:val="0"/>
        <w:keepLines w:val="0"/>
        <w:pageBreakBefore w:val="0"/>
        <w:kinsoku/>
        <w:wordWrap/>
        <w:overflowPunct/>
        <w:topLinePunct w:val="0"/>
        <w:autoSpaceDE/>
        <w:autoSpaceDN/>
        <w:bidi w:val="0"/>
        <w:adjustRightInd/>
        <w:snapToGrid/>
        <w:spacing w:line="580" w:lineRule="exact"/>
        <w:ind w:left="0" w:leftChars="0" w:firstLine="620" w:firstLineChars="200"/>
        <w:textAlignment w:val="auto"/>
        <w:rPr>
          <w:rFonts w:hint="eastAsia"/>
          <w:color w:val="auto"/>
          <w:lang w:eastAsia="zh-CN"/>
        </w:rPr>
      </w:pPr>
      <w:r>
        <w:rPr>
          <w:rFonts w:hint="eastAsia"/>
          <w:color w:val="auto"/>
          <w:w w:val="97"/>
          <w:lang w:eastAsia="zh-CN"/>
        </w:rPr>
        <w:t>附件：</w:t>
      </w:r>
      <w:r>
        <w:rPr>
          <w:rFonts w:hint="eastAsia"/>
          <w:color w:val="auto"/>
          <w:lang w:val="en-US" w:eastAsia="zh-CN"/>
        </w:rPr>
        <w:t>1、</w:t>
      </w:r>
      <w:r>
        <w:rPr>
          <w:rFonts w:hint="eastAsia"/>
          <w:color w:val="auto"/>
          <w:lang w:eastAsia="zh-CN"/>
        </w:rPr>
        <w:t>建筑业企业资质注册建造师和安全生产管理人员</w:t>
      </w:r>
    </w:p>
    <w:p>
      <w:pPr>
        <w:keepNext w:val="0"/>
        <w:keepLines w:val="0"/>
        <w:pageBreakBefore w:val="0"/>
        <w:kinsoku/>
        <w:wordWrap/>
        <w:overflowPunct/>
        <w:topLinePunct w:val="0"/>
        <w:autoSpaceDE/>
        <w:autoSpaceDN/>
        <w:bidi w:val="0"/>
        <w:adjustRightInd/>
        <w:snapToGrid/>
        <w:spacing w:line="580" w:lineRule="exact"/>
        <w:ind w:firstLine="1920" w:firstLineChars="600"/>
        <w:textAlignment w:val="auto"/>
        <w:rPr>
          <w:rFonts w:hint="eastAsia"/>
          <w:color w:val="auto"/>
          <w:lang w:eastAsia="zh-CN"/>
        </w:rPr>
      </w:pPr>
      <w:r>
        <w:rPr>
          <w:rFonts w:hint="eastAsia"/>
          <w:color w:val="auto"/>
          <w:lang w:eastAsia="zh-CN"/>
        </w:rPr>
        <w:t>考核标准</w:t>
      </w:r>
    </w:p>
    <w:p>
      <w:pPr>
        <w:keepNext w:val="0"/>
        <w:keepLines w:val="0"/>
        <w:pageBreakBefore w:val="0"/>
        <w:kinsoku/>
        <w:wordWrap/>
        <w:overflowPunct/>
        <w:topLinePunct w:val="0"/>
        <w:autoSpaceDE/>
        <w:autoSpaceDN/>
        <w:bidi w:val="0"/>
        <w:adjustRightInd/>
        <w:snapToGrid/>
        <w:spacing w:line="580" w:lineRule="exact"/>
        <w:ind w:left="0" w:leftChars="0" w:firstLine="1600" w:firstLineChars="500"/>
        <w:textAlignment w:val="auto"/>
        <w:rPr>
          <w:rFonts w:hint="default"/>
          <w:color w:val="auto"/>
          <w:lang w:val="en-US" w:eastAsia="zh-CN"/>
        </w:rPr>
      </w:pPr>
      <w:r>
        <w:rPr>
          <w:rFonts w:hint="eastAsia"/>
          <w:color w:val="auto"/>
          <w:lang w:val="en-US" w:eastAsia="zh-CN"/>
        </w:rPr>
        <w:t>2、工程监理企业注册监理工程师考核标准</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rPr>
      </w:pP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rPr>
      </w:pPr>
    </w:p>
    <w:p>
      <w:pPr>
        <w:keepNext w:val="0"/>
        <w:keepLines w:val="0"/>
        <w:pageBreakBefore w:val="0"/>
        <w:kinsoku/>
        <w:wordWrap/>
        <w:overflowPunct/>
        <w:topLinePunct w:val="0"/>
        <w:autoSpaceDE/>
        <w:autoSpaceDN/>
        <w:bidi w:val="0"/>
        <w:adjustRightInd/>
        <w:snapToGrid/>
        <w:spacing w:line="580" w:lineRule="exact"/>
        <w:ind w:firstLine="4480" w:firstLineChars="1400"/>
        <w:textAlignment w:val="auto"/>
        <w:rPr>
          <w:rFonts w:hint="eastAsia"/>
          <w:color w:val="auto"/>
        </w:rPr>
      </w:pPr>
      <w:r>
        <w:rPr>
          <w:rFonts w:hint="eastAsia"/>
          <w:color w:val="auto"/>
          <w:lang w:eastAsia="zh-CN"/>
        </w:rPr>
        <w:t>四川</w:t>
      </w:r>
      <w:r>
        <w:rPr>
          <w:rFonts w:hint="eastAsia"/>
          <w:color w:val="auto"/>
        </w:rPr>
        <w:t>省住房和城乡建设厅</w:t>
      </w:r>
    </w:p>
    <w:p>
      <w:pPr>
        <w:keepNext w:val="0"/>
        <w:keepLines w:val="0"/>
        <w:pageBreakBefore w:val="0"/>
        <w:kinsoku/>
        <w:wordWrap/>
        <w:overflowPunct/>
        <w:topLinePunct w:val="0"/>
        <w:autoSpaceDE/>
        <w:autoSpaceDN/>
        <w:bidi w:val="0"/>
        <w:adjustRightInd/>
        <w:snapToGrid/>
        <w:spacing w:line="580" w:lineRule="exact"/>
        <w:ind w:firstLine="5120" w:firstLineChars="1600"/>
        <w:textAlignment w:val="auto"/>
        <w:rPr>
          <w:rFonts w:hint="eastAsia"/>
          <w:color w:val="auto"/>
        </w:rPr>
        <w:sectPr>
          <w:footerReference r:id="rId3" w:type="default"/>
          <w:pgSz w:w="11906" w:h="16838"/>
          <w:pgMar w:top="2098" w:right="1474" w:bottom="1984" w:left="1587" w:header="851" w:footer="992" w:gutter="0"/>
          <w:pgNumType w:fmt="numberInDash"/>
          <w:cols w:space="0" w:num="1"/>
          <w:rtlGutter w:val="0"/>
          <w:docGrid w:type="lines" w:linePitch="439" w:charSpace="0"/>
        </w:sectPr>
      </w:pPr>
      <w:r>
        <w:rPr>
          <w:rFonts w:hint="eastAsia"/>
          <w:color w:val="auto"/>
        </w:rPr>
        <w:t>2023年</w:t>
      </w:r>
      <w:r>
        <w:rPr>
          <w:rFonts w:hint="eastAsia"/>
          <w:color w:val="auto"/>
          <w:lang w:val="en-US" w:eastAsia="zh-CN"/>
        </w:rPr>
        <w:t xml:space="preserve">  </w:t>
      </w:r>
      <w:r>
        <w:rPr>
          <w:rFonts w:hint="eastAsia"/>
          <w:color w:val="auto"/>
        </w:rPr>
        <w:t>月</w:t>
      </w:r>
      <w:r>
        <w:rPr>
          <w:rFonts w:hint="eastAsia"/>
          <w:color w:val="auto"/>
          <w:lang w:val="en-US" w:eastAsia="zh-CN"/>
        </w:rPr>
        <w:t xml:space="preserve">   </w:t>
      </w:r>
      <w:r>
        <w:rPr>
          <w:rFonts w:hint="eastAsia"/>
          <w:color w:val="auto"/>
        </w:rPr>
        <w:t>日</w:t>
      </w:r>
    </w:p>
    <w:p>
      <w:pPr>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ascii="黑体" w:hAnsi="黑体" w:eastAsia="黑体" w:cs="黑体"/>
          <w:i w:val="0"/>
          <w:color w:val="auto"/>
          <w:kern w:val="0"/>
          <w:sz w:val="32"/>
          <w:szCs w:val="32"/>
          <w:u w:val="none"/>
          <w:lang w:val="en-US" w:eastAsia="zh-CN" w:bidi="ar"/>
        </w:rPr>
      </w:pPr>
      <w:r>
        <w:rPr>
          <w:rFonts w:hint="eastAsia" w:ascii="黑体" w:hAnsi="黑体" w:eastAsia="黑体" w:cs="黑体"/>
          <w:i w:val="0"/>
          <w:color w:val="auto"/>
          <w:kern w:val="0"/>
          <w:sz w:val="32"/>
          <w:szCs w:val="32"/>
          <w:u w:val="none"/>
          <w:lang w:val="en-US" w:eastAsia="zh-CN" w:bidi="ar"/>
        </w:rPr>
        <w:t>附件1：</w:t>
      </w:r>
    </w:p>
    <w:p>
      <w:pPr>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ascii="仿宋_GB2312" w:hAnsi="仿宋_GB2312" w:eastAsia="仿宋_GB2312" w:cs="仿宋_GB2312"/>
          <w:i w:val="0"/>
          <w:color w:val="auto"/>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default" w:ascii="Times New Roman" w:hAnsi="Times New Roman" w:eastAsia="方正小标宋简体" w:cs="Times New Roman"/>
          <w:i w:val="0"/>
          <w:color w:val="auto"/>
          <w:kern w:val="0"/>
          <w:sz w:val="44"/>
          <w:szCs w:val="44"/>
          <w:u w:val="none"/>
          <w:lang w:val="en-US" w:eastAsia="zh-CN" w:bidi="ar"/>
        </w:rPr>
      </w:pPr>
      <w:r>
        <w:rPr>
          <w:rFonts w:hint="default" w:ascii="Times New Roman" w:hAnsi="Times New Roman" w:eastAsia="方正小标宋简体" w:cs="Times New Roman"/>
          <w:i w:val="0"/>
          <w:color w:val="auto"/>
          <w:kern w:val="0"/>
          <w:sz w:val="44"/>
          <w:szCs w:val="44"/>
          <w:u w:val="none"/>
          <w:lang w:val="en-US" w:eastAsia="zh-CN" w:bidi="ar"/>
        </w:rPr>
        <w:t>建筑业企业资质注册</w:t>
      </w:r>
      <w:r>
        <w:rPr>
          <w:rFonts w:hint="eastAsia" w:eastAsia="方正小标宋简体" w:cs="Times New Roman"/>
          <w:i w:val="0"/>
          <w:color w:val="auto"/>
          <w:kern w:val="0"/>
          <w:sz w:val="44"/>
          <w:szCs w:val="44"/>
          <w:u w:val="none"/>
          <w:lang w:val="en-US" w:eastAsia="zh-CN" w:bidi="ar"/>
        </w:rPr>
        <w:t>建造师</w:t>
      </w:r>
      <w:r>
        <w:rPr>
          <w:rFonts w:hint="default" w:ascii="Times New Roman" w:hAnsi="Times New Roman" w:eastAsia="方正小标宋简体" w:cs="Times New Roman"/>
          <w:i w:val="0"/>
          <w:color w:val="auto"/>
          <w:kern w:val="0"/>
          <w:sz w:val="44"/>
          <w:szCs w:val="44"/>
          <w:u w:val="none"/>
          <w:lang w:val="en-US" w:eastAsia="zh-CN" w:bidi="ar"/>
        </w:rPr>
        <w:t>和安全生产管理</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default" w:ascii="Times New Roman" w:hAnsi="Times New Roman" w:eastAsia="方正小标宋简体" w:cs="Times New Roman"/>
          <w:i w:val="0"/>
          <w:color w:val="auto"/>
          <w:kern w:val="0"/>
          <w:sz w:val="44"/>
          <w:szCs w:val="44"/>
          <w:u w:val="none"/>
          <w:lang w:val="en-US" w:eastAsia="zh-CN" w:bidi="ar"/>
        </w:rPr>
      </w:pPr>
      <w:r>
        <w:rPr>
          <w:rFonts w:hint="default" w:ascii="Times New Roman" w:hAnsi="Times New Roman" w:eastAsia="方正小标宋简体" w:cs="Times New Roman"/>
          <w:i w:val="0"/>
          <w:color w:val="auto"/>
          <w:kern w:val="0"/>
          <w:sz w:val="44"/>
          <w:szCs w:val="44"/>
          <w:u w:val="none"/>
          <w:lang w:val="en-US" w:eastAsia="zh-CN" w:bidi="ar"/>
        </w:rPr>
        <w:t>人员考核标准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小标宋简体" w:cs="Times New Roman"/>
          <w:i w:val="0"/>
          <w:color w:val="auto"/>
          <w:kern w:val="0"/>
          <w:sz w:val="44"/>
          <w:szCs w:val="44"/>
          <w:u w:val="none"/>
          <w:lang w:val="en-US" w:eastAsia="zh-CN" w:bidi="ar"/>
        </w:rPr>
      </w:pPr>
    </w:p>
    <w:tbl>
      <w:tblPr>
        <w:tblStyle w:val="8"/>
        <w:tblW w:w="102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30"/>
        <w:gridCol w:w="4631"/>
        <w:gridCol w:w="1706"/>
        <w:gridCol w:w="1172"/>
        <w:gridCol w:w="1079"/>
        <w:gridCol w:w="10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jc w:val="center"/>
        </w:trPr>
        <w:tc>
          <w:tcPr>
            <w:tcW w:w="630"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方正小标宋简体" w:hAnsi="方正小标宋简体" w:eastAsia="方正小标宋简体" w:cs="方正小标宋简体"/>
                <w:i w:val="0"/>
                <w:color w:val="000000"/>
                <w:sz w:val="20"/>
                <w:szCs w:val="20"/>
                <w:u w:val="none"/>
              </w:rPr>
            </w:pPr>
            <w:r>
              <w:rPr>
                <w:rFonts w:hint="eastAsia" w:ascii="方正小标宋简体" w:hAnsi="方正小标宋简体" w:eastAsia="方正小标宋简体" w:cs="方正小标宋简体"/>
                <w:i w:val="0"/>
                <w:color w:val="000000"/>
                <w:kern w:val="0"/>
                <w:sz w:val="20"/>
                <w:szCs w:val="20"/>
                <w:u w:val="none"/>
                <w:lang w:val="en-US" w:eastAsia="zh-CN" w:bidi="ar"/>
              </w:rPr>
              <w:t>序号</w:t>
            </w:r>
          </w:p>
        </w:tc>
        <w:tc>
          <w:tcPr>
            <w:tcW w:w="4635"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总承包资质</w:t>
            </w:r>
          </w:p>
        </w:tc>
        <w:tc>
          <w:tcPr>
            <w:tcW w:w="1707"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注册建造师</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黑体" w:hAnsi="宋体" w:eastAsia="黑体" w:cs="黑体"/>
                <w:i w:val="0"/>
                <w:color w:val="000000"/>
                <w:kern w:val="0"/>
                <w:sz w:val="24"/>
                <w:szCs w:val="24"/>
                <w:u w:val="none"/>
                <w:lang w:val="en-US" w:eastAsia="zh-CN" w:bidi="ar"/>
              </w:rPr>
              <w:t>考核标准（个）</w:t>
            </w:r>
          </w:p>
        </w:tc>
        <w:tc>
          <w:tcPr>
            <w:tcW w:w="3310" w:type="dxa"/>
            <w:gridSpan w:val="3"/>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黑体" w:hAnsi="宋体" w:eastAsia="黑体" w:cs="黑体"/>
                <w:i w:val="0"/>
                <w:color w:val="000000"/>
                <w:kern w:val="0"/>
                <w:sz w:val="24"/>
                <w:szCs w:val="24"/>
                <w:u w:val="none"/>
                <w:lang w:val="en-US" w:eastAsia="zh-CN" w:bidi="ar"/>
              </w:rPr>
              <w:t>安管人员考核标准（个）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jc w:val="center"/>
        </w:trPr>
        <w:tc>
          <w:tcPr>
            <w:tcW w:w="630" w:type="dxa"/>
            <w:vMerge w:val="continue"/>
            <w:tcBorders>
              <w:top w:val="nil"/>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方正小标宋简体" w:hAnsi="方正小标宋简体" w:eastAsia="方正小标宋简体" w:cs="方正小标宋简体"/>
                <w:i w:val="0"/>
                <w:color w:val="000000"/>
                <w:sz w:val="20"/>
                <w:szCs w:val="20"/>
                <w:u w:val="none"/>
              </w:rPr>
            </w:pPr>
          </w:p>
        </w:tc>
        <w:tc>
          <w:tcPr>
            <w:tcW w:w="4635" w:type="dxa"/>
            <w:vMerge w:val="continue"/>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宋体" w:eastAsia="黑体" w:cs="黑体"/>
                <w:i w:val="0"/>
                <w:color w:val="000000"/>
                <w:sz w:val="24"/>
                <w:szCs w:val="24"/>
                <w:u w:val="none"/>
              </w:rPr>
            </w:pPr>
          </w:p>
        </w:tc>
        <w:tc>
          <w:tcPr>
            <w:tcW w:w="1707" w:type="dxa"/>
            <w:vMerge w:val="continue"/>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方正小标宋简体" w:hAnsi="方正小标宋简体" w:eastAsia="方正小标宋简体" w:cs="方正小标宋简体"/>
                <w:i w:val="0"/>
                <w:color w:val="000000"/>
                <w:sz w:val="24"/>
                <w:szCs w:val="24"/>
                <w:u w:val="none"/>
              </w:rPr>
            </w:pPr>
          </w:p>
        </w:tc>
        <w:tc>
          <w:tcPr>
            <w:tcW w:w="1173"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黑体" w:cs="Times New Roman"/>
                <w:i w:val="0"/>
                <w:color w:val="000000"/>
                <w:kern w:val="0"/>
                <w:sz w:val="24"/>
                <w:szCs w:val="24"/>
                <w:u w:val="none"/>
                <w:lang w:val="en-US" w:eastAsia="zh-CN" w:bidi="ar"/>
              </w:rPr>
            </w:pPr>
            <w:r>
              <w:rPr>
                <w:rFonts w:hint="default" w:ascii="Times New Roman" w:hAnsi="Times New Roman" w:eastAsia="黑体" w:cs="Times New Roman"/>
                <w:i w:val="0"/>
                <w:color w:val="000000"/>
                <w:kern w:val="0"/>
                <w:sz w:val="24"/>
                <w:szCs w:val="24"/>
                <w:u w:val="none"/>
                <w:lang w:val="en-US" w:eastAsia="zh-CN" w:bidi="ar"/>
              </w:rPr>
              <w:t>A证</w:t>
            </w:r>
          </w:p>
        </w:tc>
        <w:tc>
          <w:tcPr>
            <w:tcW w:w="1080"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黑体" w:cs="Times New Roman"/>
                <w:i w:val="0"/>
                <w:color w:val="000000"/>
                <w:kern w:val="0"/>
                <w:sz w:val="24"/>
                <w:szCs w:val="24"/>
                <w:u w:val="none"/>
                <w:lang w:val="en-US" w:eastAsia="zh-CN" w:bidi="ar"/>
              </w:rPr>
            </w:pPr>
            <w:r>
              <w:rPr>
                <w:rFonts w:hint="default" w:ascii="Times New Roman" w:hAnsi="Times New Roman" w:eastAsia="黑体" w:cs="Times New Roman"/>
                <w:i w:val="0"/>
                <w:color w:val="000000"/>
                <w:kern w:val="0"/>
                <w:sz w:val="24"/>
                <w:szCs w:val="24"/>
                <w:u w:val="none"/>
                <w:lang w:val="en-US" w:eastAsia="zh-CN" w:bidi="ar"/>
              </w:rPr>
              <w:t>B证</w:t>
            </w:r>
          </w:p>
        </w:tc>
        <w:tc>
          <w:tcPr>
            <w:tcW w:w="1057" w:type="dxa"/>
            <w:vMerge w:val="restar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黑体" w:cs="Times New Roman"/>
                <w:i w:val="0"/>
                <w:color w:val="000000"/>
                <w:kern w:val="0"/>
                <w:sz w:val="24"/>
                <w:szCs w:val="24"/>
                <w:u w:val="none"/>
                <w:lang w:val="en-US" w:eastAsia="zh-CN" w:bidi="ar"/>
              </w:rPr>
            </w:pPr>
            <w:r>
              <w:rPr>
                <w:rFonts w:hint="default" w:ascii="Times New Roman" w:hAnsi="Times New Roman" w:eastAsia="黑体" w:cs="Times New Roman"/>
                <w:i w:val="0"/>
                <w:color w:val="000000"/>
                <w:kern w:val="0"/>
                <w:sz w:val="24"/>
                <w:szCs w:val="24"/>
                <w:u w:val="none"/>
                <w:lang w:val="en-US" w:eastAsia="zh-CN" w:bidi="ar"/>
              </w:rPr>
              <w:t>C证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7" w:hRule="atLeast"/>
          <w:jc w:val="center"/>
        </w:trPr>
        <w:tc>
          <w:tcPr>
            <w:tcW w:w="63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方正小标宋简体" w:hAnsi="方正小标宋简体" w:eastAsia="方正小标宋简体" w:cs="方正小标宋简体"/>
                <w:i w:val="0"/>
                <w:color w:val="000000"/>
                <w:sz w:val="20"/>
                <w:szCs w:val="20"/>
                <w:u w:val="none"/>
              </w:rPr>
            </w:pPr>
          </w:p>
        </w:tc>
        <w:tc>
          <w:tcPr>
            <w:tcW w:w="463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宋体" w:eastAsia="黑体" w:cs="黑体"/>
                <w:i w:val="0"/>
                <w:color w:val="000000"/>
                <w:sz w:val="24"/>
                <w:szCs w:val="24"/>
                <w:u w:val="none"/>
              </w:rPr>
            </w:pPr>
          </w:p>
        </w:tc>
        <w:tc>
          <w:tcPr>
            <w:tcW w:w="170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方正小标宋简体" w:hAnsi="方正小标宋简体" w:eastAsia="方正小标宋简体" w:cs="方正小标宋简体"/>
                <w:i w:val="0"/>
                <w:color w:val="000000"/>
                <w:sz w:val="24"/>
                <w:szCs w:val="24"/>
                <w:u w:val="none"/>
              </w:rPr>
            </w:pPr>
          </w:p>
        </w:tc>
        <w:tc>
          <w:tcPr>
            <w:tcW w:w="1173"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i w:val="0"/>
                <w:color w:val="000000"/>
                <w:sz w:val="24"/>
                <w:szCs w:val="24"/>
                <w:u w:val="none"/>
              </w:rPr>
            </w:pPr>
          </w:p>
        </w:tc>
        <w:tc>
          <w:tcPr>
            <w:tcW w:w="10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i w:val="0"/>
                <w:color w:val="000000"/>
                <w:sz w:val="24"/>
                <w:szCs w:val="24"/>
                <w:u w:val="none"/>
              </w:rPr>
            </w:pPr>
          </w:p>
        </w:tc>
        <w:tc>
          <w:tcPr>
            <w:tcW w:w="1057"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463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建筑工程施工总承包二级、三级</w:t>
            </w:r>
          </w:p>
        </w:tc>
        <w:tc>
          <w:tcPr>
            <w:tcW w:w="170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17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5 </w:t>
            </w:r>
          </w:p>
        </w:tc>
        <w:tc>
          <w:tcPr>
            <w:tcW w:w="105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公路工程施工总承包二级、三级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8</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8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铁路工程施工总承包三级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港口与航道工程施工总承包二级、三级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5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水利水电工程施工总承包二级、三级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8</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8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市政公用工程施工总承包二级、三级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5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电力工程施工总承包二级、三级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5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矿山工程施工总承包二级、三级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5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冶金工程施工总承包二级、三级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7</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7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石油化工工程施工总承包二级、三级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5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通信工程施工总承包二级、三级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0</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0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机电工程施工总承包二级、三级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5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方正小标宋简体" w:hAnsi="方正小标宋简体" w:eastAsia="方正小标宋简体" w:cs="方正小标宋简体"/>
                <w:i w:val="0"/>
                <w:color w:val="000000"/>
                <w:sz w:val="20"/>
                <w:szCs w:val="20"/>
                <w:u w:val="none"/>
              </w:rPr>
            </w:pPr>
            <w:r>
              <w:rPr>
                <w:rFonts w:hint="eastAsia" w:ascii="方正小标宋简体" w:hAnsi="方正小标宋简体" w:eastAsia="方正小标宋简体" w:cs="方正小标宋简体"/>
                <w:i w:val="0"/>
                <w:color w:val="000000"/>
                <w:kern w:val="0"/>
                <w:sz w:val="20"/>
                <w:szCs w:val="20"/>
                <w:u w:val="none"/>
                <w:lang w:val="en-US" w:eastAsia="zh-CN" w:bidi="ar"/>
              </w:rPr>
              <w:t>序号</w:t>
            </w:r>
          </w:p>
        </w:tc>
        <w:tc>
          <w:tcPr>
            <w:tcW w:w="46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宋体" w:eastAsia="黑体" w:cs="黑体"/>
                <w:i w:val="0"/>
                <w:color w:val="000000"/>
                <w:sz w:val="24"/>
                <w:szCs w:val="24"/>
                <w:u w:val="none"/>
              </w:rPr>
            </w:pPr>
            <w:r>
              <w:rPr>
                <w:rFonts w:hint="eastAsia" w:ascii="黑体" w:hAnsi="宋体" w:eastAsia="黑体" w:cs="黑体"/>
                <w:i w:val="0"/>
                <w:color w:val="000000"/>
                <w:sz w:val="24"/>
                <w:szCs w:val="24"/>
                <w:u w:val="none"/>
                <w:lang w:val="en-US" w:eastAsia="zh-CN"/>
              </w:rPr>
              <w:t>专业承包资质</w:t>
            </w:r>
          </w:p>
        </w:tc>
        <w:tc>
          <w:tcPr>
            <w:tcW w:w="17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宋体" w:eastAsia="黑体" w:cs="黑体"/>
                <w:i w:val="0"/>
                <w:color w:val="000000"/>
                <w:sz w:val="24"/>
                <w:szCs w:val="24"/>
                <w:u w:val="none"/>
                <w:lang w:val="en-US" w:eastAsia="zh-CN"/>
              </w:rPr>
            </w:pPr>
            <w:r>
              <w:rPr>
                <w:rFonts w:hint="eastAsia" w:ascii="黑体" w:hAnsi="宋体" w:eastAsia="黑体" w:cs="黑体"/>
                <w:i w:val="0"/>
                <w:color w:val="000000"/>
                <w:sz w:val="24"/>
                <w:szCs w:val="24"/>
                <w:u w:val="none"/>
                <w:lang w:val="en-US" w:eastAsia="zh-CN"/>
              </w:rPr>
              <w:t>注册建造师</w:t>
            </w:r>
          </w:p>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宋体" w:eastAsia="黑体" w:cs="黑体"/>
                <w:i w:val="0"/>
                <w:color w:val="000000"/>
                <w:sz w:val="24"/>
                <w:szCs w:val="24"/>
                <w:u w:val="none"/>
              </w:rPr>
            </w:pPr>
            <w:r>
              <w:rPr>
                <w:rFonts w:hint="eastAsia" w:ascii="黑体" w:hAnsi="宋体" w:eastAsia="黑体" w:cs="黑体"/>
                <w:i w:val="0"/>
                <w:color w:val="000000"/>
                <w:sz w:val="24"/>
                <w:szCs w:val="24"/>
                <w:u w:val="none"/>
                <w:lang w:val="en-US" w:eastAsia="zh-CN"/>
              </w:rPr>
              <w:t>考核标准（个）</w:t>
            </w:r>
          </w:p>
        </w:tc>
        <w:tc>
          <w:tcPr>
            <w:tcW w:w="33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宋体" w:eastAsia="黑体" w:cs="黑体"/>
                <w:i w:val="0"/>
                <w:color w:val="000000"/>
                <w:sz w:val="24"/>
                <w:szCs w:val="24"/>
                <w:u w:val="none"/>
              </w:rPr>
            </w:pPr>
            <w:r>
              <w:rPr>
                <w:rFonts w:hint="eastAsia" w:ascii="黑体" w:hAnsi="宋体" w:eastAsia="黑体" w:cs="黑体"/>
                <w:i w:val="0"/>
                <w:color w:val="000000"/>
                <w:sz w:val="24"/>
                <w:szCs w:val="24"/>
                <w:u w:val="none"/>
                <w:lang w:val="en-US" w:eastAsia="zh-CN"/>
              </w:rPr>
              <w:t>安管人员考核标准（个）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方正小标宋简体" w:hAnsi="方正小标宋简体" w:eastAsia="方正小标宋简体" w:cs="方正小标宋简体"/>
                <w:i w:val="0"/>
                <w:color w:val="000000"/>
                <w:sz w:val="20"/>
                <w:szCs w:val="20"/>
                <w:u w:val="none"/>
              </w:rPr>
            </w:pPr>
          </w:p>
        </w:tc>
        <w:tc>
          <w:tcPr>
            <w:tcW w:w="4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宋体" w:eastAsia="黑体" w:cs="黑体"/>
                <w:i w:val="0"/>
                <w:color w:val="000000"/>
                <w:sz w:val="24"/>
                <w:szCs w:val="24"/>
                <w:u w:val="none"/>
              </w:rPr>
            </w:pPr>
          </w:p>
        </w:tc>
        <w:tc>
          <w:tcPr>
            <w:tcW w:w="1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宋体" w:eastAsia="黑体" w:cs="黑体"/>
                <w:i w:val="0"/>
                <w:color w:val="000000"/>
                <w:sz w:val="24"/>
                <w:szCs w:val="24"/>
                <w:u w:val="none"/>
              </w:rPr>
            </w:pPr>
          </w:p>
        </w:tc>
        <w:tc>
          <w:tcPr>
            <w:tcW w:w="11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黑体" w:hAnsi="宋体" w:eastAsia="黑体" w:cs="黑体"/>
                <w:i w:val="0"/>
                <w:color w:val="000000"/>
                <w:sz w:val="24"/>
                <w:szCs w:val="24"/>
                <w:u w:val="none"/>
              </w:rPr>
            </w:pPr>
            <w:r>
              <w:rPr>
                <w:rFonts w:hint="default" w:ascii="黑体" w:hAnsi="宋体" w:eastAsia="黑体" w:cs="黑体"/>
                <w:i w:val="0"/>
                <w:color w:val="000000"/>
                <w:sz w:val="24"/>
                <w:szCs w:val="24"/>
                <w:u w:val="none"/>
                <w:lang w:val="en-US" w:eastAsia="zh-CN"/>
              </w:rPr>
              <w:t>A</w:t>
            </w:r>
            <w:r>
              <w:rPr>
                <w:rFonts w:hint="eastAsia" w:ascii="黑体" w:hAnsi="宋体" w:eastAsia="黑体" w:cs="黑体"/>
                <w:i w:val="0"/>
                <w:color w:val="000000"/>
                <w:sz w:val="24"/>
                <w:szCs w:val="24"/>
                <w:u w:val="none"/>
                <w:lang w:val="en-US" w:eastAsia="zh-CN"/>
              </w:rPr>
              <w:t>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黑体" w:hAnsi="宋体" w:eastAsia="黑体" w:cs="黑体"/>
                <w:i w:val="0"/>
                <w:color w:val="000000"/>
                <w:sz w:val="24"/>
                <w:szCs w:val="24"/>
                <w:u w:val="none"/>
              </w:rPr>
            </w:pPr>
            <w:r>
              <w:rPr>
                <w:rFonts w:hint="default" w:ascii="黑体" w:hAnsi="宋体" w:eastAsia="黑体" w:cs="黑体"/>
                <w:i w:val="0"/>
                <w:color w:val="000000"/>
                <w:sz w:val="24"/>
                <w:szCs w:val="24"/>
                <w:u w:val="none"/>
                <w:lang w:val="en-US" w:eastAsia="zh-CN"/>
              </w:rPr>
              <w:t>B</w:t>
            </w:r>
            <w:r>
              <w:rPr>
                <w:rFonts w:hint="eastAsia" w:ascii="黑体" w:hAnsi="宋体" w:eastAsia="黑体" w:cs="黑体"/>
                <w:i w:val="0"/>
                <w:color w:val="000000"/>
                <w:sz w:val="24"/>
                <w:szCs w:val="24"/>
                <w:u w:val="none"/>
                <w:lang w:val="en-US" w:eastAsia="zh-CN"/>
              </w:rPr>
              <w:t>证</w:t>
            </w:r>
          </w:p>
        </w:tc>
        <w:tc>
          <w:tcPr>
            <w:tcW w:w="10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黑体" w:hAnsi="宋体" w:eastAsia="黑体" w:cs="黑体"/>
                <w:i w:val="0"/>
                <w:color w:val="000000"/>
                <w:sz w:val="24"/>
                <w:szCs w:val="24"/>
                <w:u w:val="none"/>
              </w:rPr>
            </w:pPr>
            <w:r>
              <w:rPr>
                <w:rFonts w:hint="default" w:ascii="黑体" w:hAnsi="宋体" w:eastAsia="黑体" w:cs="黑体"/>
                <w:i w:val="0"/>
                <w:color w:val="000000"/>
                <w:sz w:val="24"/>
                <w:szCs w:val="24"/>
                <w:u w:val="none"/>
                <w:lang w:val="en-US" w:eastAsia="zh-CN"/>
              </w:rPr>
              <w:t>C</w:t>
            </w:r>
            <w:r>
              <w:rPr>
                <w:rFonts w:hint="eastAsia" w:ascii="黑体" w:hAnsi="宋体" w:eastAsia="黑体" w:cs="黑体"/>
                <w:i w:val="0"/>
                <w:color w:val="000000"/>
                <w:sz w:val="24"/>
                <w:szCs w:val="24"/>
                <w:u w:val="none"/>
                <w:lang w:val="en-US" w:eastAsia="zh-CN"/>
              </w:rPr>
              <w:t>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方正小标宋简体" w:hAnsi="方正小标宋简体" w:eastAsia="方正小标宋简体" w:cs="方正小标宋简体"/>
                <w:i w:val="0"/>
                <w:color w:val="000000"/>
                <w:sz w:val="20"/>
                <w:szCs w:val="20"/>
                <w:u w:val="none"/>
              </w:rPr>
            </w:pPr>
          </w:p>
        </w:tc>
        <w:tc>
          <w:tcPr>
            <w:tcW w:w="4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宋体" w:eastAsia="黑体" w:cs="黑体"/>
                <w:i w:val="0"/>
                <w:color w:val="000000"/>
                <w:sz w:val="24"/>
                <w:szCs w:val="24"/>
                <w:u w:val="none"/>
              </w:rPr>
            </w:pPr>
          </w:p>
        </w:tc>
        <w:tc>
          <w:tcPr>
            <w:tcW w:w="1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方正小标宋简体" w:hAnsi="方正小标宋简体" w:eastAsia="方正小标宋简体" w:cs="方正小标宋简体"/>
                <w:i w:val="0"/>
                <w:color w:val="000000"/>
                <w:sz w:val="24"/>
                <w:szCs w:val="24"/>
                <w:u w:val="none"/>
              </w:rPr>
            </w:pPr>
          </w:p>
        </w:tc>
        <w:tc>
          <w:tcPr>
            <w:tcW w:w="11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i w:val="0"/>
                <w:color w:val="000000"/>
                <w:sz w:val="24"/>
                <w:szCs w:val="24"/>
                <w:u w:val="none"/>
              </w:rPr>
            </w:pP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地基基础工程专业承包一级、二级、三级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起重设备安装工程专业承包一级、二级、三级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0</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0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桥梁工程专业承包二级、三级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隧道工程专业承包二级、三级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钢结构工程专业承包二级、三级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环保工程专业承包一级、二级、三级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建筑装修装饰工程专业承包一级、二级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建筑幕墙工程专业承包一级、二级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4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防水防腐保温工程专业承包一级、二级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0</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0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电子与智能化工程专业承包一级、二级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4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建筑机电安装工程专业承包一级、二级、三级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城市及道路照明工程专业承包一级、二级、三级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消防设施工程专业承包一级、二级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古建筑工程专业承包一级、二级、三级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公路路面工程专业承包二级、三级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5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公路路基工程专业承包二级、三级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5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公路交通工程专业承包二级（公路安全设施分项）</w:t>
            </w:r>
          </w:p>
        </w:tc>
        <w:tc>
          <w:tcPr>
            <w:tcW w:w="17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1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5 </w:t>
            </w:r>
          </w:p>
        </w:tc>
        <w:tc>
          <w:tcPr>
            <w:tcW w:w="10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color w:val="000000"/>
                <w:sz w:val="20"/>
                <w:szCs w:val="20"/>
                <w:u w:val="none"/>
              </w:rPr>
            </w:pP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公路交通工程专业承包二级（公路机电工程分项）</w:t>
            </w:r>
          </w:p>
        </w:tc>
        <w:tc>
          <w:tcPr>
            <w:tcW w:w="1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color w:val="000000"/>
                <w:sz w:val="28"/>
                <w:szCs w:val="28"/>
                <w:u w:val="none"/>
              </w:rPr>
            </w:pPr>
          </w:p>
        </w:tc>
        <w:tc>
          <w:tcPr>
            <w:tcW w:w="11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color w:val="000000"/>
                <w:sz w:val="28"/>
                <w:szCs w:val="2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color w:val="000000"/>
                <w:sz w:val="28"/>
                <w:szCs w:val="28"/>
                <w:u w:val="none"/>
              </w:rPr>
            </w:pP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铁路电务工程专业承包三级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4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铁路电气化工程专业承包三级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5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港口与海岸工程专业承包二级、三级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4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航道工程专业承包二级、三级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通航建筑物工程专业承包二级、三级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港航设备安装及水上交管工程专业承包二级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8</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8</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水工金属结构制作与安装工程专业承包二级、三级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水利水电机电安装工程专业承包二级、三级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河湖整治工程专业承包二级、三级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输变电工程专业承包二级、三级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核工程专业承包二级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6</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6</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海洋石油工程专业承包二级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34</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预拌混凝土专业承包不分等级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0</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0</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模板脚手架专业承包不分等级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0</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0</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36</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特种专业工程专业承包不分等级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0</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0</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37</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专业作业资质（劳务资质）</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0</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0</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bl>
    <w:p>
      <w:pPr>
        <w:keepNext w:val="0"/>
        <w:keepLines w:val="0"/>
        <w:pageBreakBefore w:val="0"/>
        <w:kinsoku/>
        <w:wordWrap/>
        <w:overflowPunct/>
        <w:topLinePunct w:val="0"/>
        <w:autoSpaceDE/>
        <w:autoSpaceDN/>
        <w:bidi w:val="0"/>
        <w:adjustRightInd/>
        <w:snapToGrid/>
        <w:spacing w:line="620" w:lineRule="exact"/>
        <w:ind w:left="0" w:leftChars="0" w:firstLine="0" w:firstLineChars="0"/>
        <w:textAlignment w:val="auto"/>
        <w:rPr>
          <w:rFonts w:hint="eastAsia"/>
          <w:color w:val="auto"/>
        </w:rPr>
        <w:sectPr>
          <w:pgSz w:w="11906" w:h="16838"/>
          <w:pgMar w:top="2098" w:right="1474" w:bottom="1984" w:left="1587" w:header="851" w:footer="992" w:gutter="0"/>
          <w:pgNumType w:fmt="numberInDash"/>
          <w:cols w:space="0" w:num="1"/>
          <w:rtlGutter w:val="0"/>
          <w:docGrid w:type="lines" w:linePitch="439" w:charSpace="0"/>
        </w:sectPr>
      </w:pPr>
    </w:p>
    <w:p>
      <w:pPr>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ascii="黑体" w:hAnsi="黑体" w:eastAsia="黑体" w:cs="黑体"/>
          <w:i w:val="0"/>
          <w:color w:val="auto"/>
          <w:kern w:val="0"/>
          <w:sz w:val="32"/>
          <w:szCs w:val="32"/>
          <w:u w:val="none"/>
          <w:lang w:val="en-US" w:eastAsia="zh-CN" w:bidi="ar"/>
        </w:rPr>
      </w:pPr>
      <w:r>
        <w:rPr>
          <w:rFonts w:hint="eastAsia" w:ascii="黑体" w:hAnsi="黑体" w:eastAsia="黑体" w:cs="黑体"/>
          <w:i w:val="0"/>
          <w:color w:val="auto"/>
          <w:kern w:val="0"/>
          <w:sz w:val="32"/>
          <w:szCs w:val="32"/>
          <w:u w:val="none"/>
          <w:lang w:val="en-US" w:eastAsia="zh-CN" w:bidi="ar"/>
        </w:rPr>
        <w:t>附件2：</w:t>
      </w:r>
    </w:p>
    <w:p>
      <w:pPr>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ascii="仿宋_GB2312" w:hAnsi="仿宋_GB2312" w:eastAsia="仿宋_GB2312" w:cs="仿宋_GB2312"/>
          <w:i w:val="0"/>
          <w:color w:val="auto"/>
          <w:kern w:val="0"/>
          <w:sz w:val="32"/>
          <w:szCs w:val="32"/>
          <w:u w:val="none"/>
          <w:lang w:val="en-US" w:eastAsia="zh-CN" w:bidi="ar"/>
        </w:rPr>
      </w:pPr>
    </w:p>
    <w:p>
      <w:pPr>
        <w:pStyle w:val="2"/>
        <w:bidi w:val="0"/>
        <w:rPr>
          <w:rFonts w:hint="eastAsia"/>
          <w:lang w:val="en-US" w:eastAsia="zh-CN"/>
        </w:rPr>
      </w:pPr>
      <w:r>
        <w:rPr>
          <w:rFonts w:hint="eastAsia"/>
          <w:lang w:val="en-US" w:eastAsia="zh-CN"/>
        </w:rPr>
        <w:t>工程监理企业注册监理工程师考核标准</w:t>
      </w:r>
    </w:p>
    <w:p>
      <w:pPr>
        <w:rPr>
          <w:rFonts w:hint="eastAsia"/>
          <w:lang w:val="en-US" w:eastAsia="zh-CN"/>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4509"/>
        <w:gridCol w:w="3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021" w:type="dxa"/>
            <w:vAlign w:val="top"/>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序号</w:t>
            </w:r>
          </w:p>
        </w:tc>
        <w:tc>
          <w:tcPr>
            <w:tcW w:w="4509" w:type="dxa"/>
            <w:vAlign w:val="top"/>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黑体" w:hAnsi="黑体" w:eastAsia="黑体" w:cs="黑体"/>
                <w:sz w:val="24"/>
                <w:szCs w:val="24"/>
                <w:vertAlign w:val="baseline"/>
              </w:rPr>
            </w:pPr>
            <w:r>
              <w:rPr>
                <w:rFonts w:hint="eastAsia" w:ascii="黑体" w:hAnsi="黑体" w:eastAsia="黑体" w:cs="黑体"/>
                <w:sz w:val="24"/>
                <w:szCs w:val="24"/>
                <w:lang w:val="en-US" w:eastAsia="zh-CN"/>
              </w:rPr>
              <w:t>工程监理资质类别</w:t>
            </w:r>
          </w:p>
        </w:tc>
        <w:tc>
          <w:tcPr>
            <w:tcW w:w="3531"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sz w:val="24"/>
                <w:szCs w:val="24"/>
                <w:vertAlign w:val="baseline"/>
              </w:rPr>
            </w:pPr>
            <w:r>
              <w:rPr>
                <w:rFonts w:hint="eastAsia" w:ascii="黑体" w:hAnsi="黑体" w:eastAsia="黑体" w:cs="黑体"/>
                <w:sz w:val="24"/>
                <w:szCs w:val="24"/>
                <w:lang w:val="en-US" w:eastAsia="zh-CN"/>
              </w:rPr>
              <w:t>注册监理工程师考核标准（个）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21"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0"/>
                <w:szCs w:val="20"/>
                <w:vertAlign w:val="baseline"/>
                <w:lang w:val="en-US" w:eastAsia="zh-CN"/>
              </w:rPr>
            </w:pPr>
            <w:r>
              <w:rPr>
                <w:rFonts w:hint="eastAsia"/>
                <w:sz w:val="20"/>
                <w:szCs w:val="20"/>
                <w:vertAlign w:val="baseline"/>
                <w:lang w:val="en-US" w:eastAsia="zh-CN"/>
              </w:rPr>
              <w:t>1</w:t>
            </w:r>
          </w:p>
        </w:tc>
        <w:tc>
          <w:tcPr>
            <w:tcW w:w="4509" w:type="dxa"/>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0"/>
                <w:szCs w:val="20"/>
                <w:lang w:val="en-US" w:eastAsia="zh-CN" w:bidi="ar-SA"/>
              </w:rPr>
            </w:pPr>
            <w:r>
              <w:rPr>
                <w:rFonts w:hint="default" w:ascii="Times New Roman" w:hAnsi="Times New Roman" w:eastAsia="仿宋_GB2312" w:cs="Times New Roman"/>
                <w:i w:val="0"/>
                <w:iCs w:val="0"/>
                <w:caps w:val="0"/>
                <w:color w:val="000000"/>
                <w:spacing w:val="0"/>
                <w:kern w:val="0"/>
                <w:sz w:val="20"/>
                <w:szCs w:val="20"/>
                <w:lang w:val="en-US" w:eastAsia="zh-CN" w:bidi="ar"/>
              </w:rPr>
              <w:t>房屋建筑工程乙级</w:t>
            </w:r>
          </w:p>
        </w:tc>
        <w:tc>
          <w:tcPr>
            <w:tcW w:w="3531" w:type="dxa"/>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8"/>
                <w:szCs w:val="28"/>
                <w:lang w:val="en-US" w:eastAsia="zh-CN" w:bidi="ar-SA"/>
              </w:rPr>
            </w:pPr>
            <w:r>
              <w:rPr>
                <w:rFonts w:hint="default" w:ascii="Times New Roman" w:hAnsi="Times New Roman" w:eastAsia="仿宋_GB2312" w:cs="Times New Roman"/>
                <w:i w:val="0"/>
                <w:iCs w:val="0"/>
                <w:caps w:val="0"/>
                <w:color w:val="000000"/>
                <w:spacing w:val="0"/>
                <w:kern w:val="0"/>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21"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0"/>
                <w:szCs w:val="20"/>
                <w:vertAlign w:val="baseline"/>
                <w:lang w:val="en-US" w:eastAsia="zh-CN"/>
              </w:rPr>
            </w:pPr>
            <w:r>
              <w:rPr>
                <w:rFonts w:hint="eastAsia"/>
                <w:sz w:val="20"/>
                <w:szCs w:val="20"/>
                <w:vertAlign w:val="baseline"/>
                <w:lang w:val="en-US" w:eastAsia="zh-CN"/>
              </w:rPr>
              <w:t>2</w:t>
            </w:r>
          </w:p>
        </w:tc>
        <w:tc>
          <w:tcPr>
            <w:tcW w:w="4509" w:type="dxa"/>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0"/>
                <w:szCs w:val="20"/>
                <w:lang w:val="en-US" w:eastAsia="zh-CN" w:bidi="ar-SA"/>
              </w:rPr>
            </w:pPr>
            <w:r>
              <w:rPr>
                <w:rFonts w:hint="default" w:ascii="Times New Roman" w:hAnsi="Times New Roman" w:eastAsia="仿宋_GB2312" w:cs="Times New Roman"/>
                <w:i w:val="0"/>
                <w:iCs w:val="0"/>
                <w:caps w:val="0"/>
                <w:color w:val="000000"/>
                <w:spacing w:val="0"/>
                <w:kern w:val="0"/>
                <w:sz w:val="20"/>
                <w:szCs w:val="20"/>
                <w:lang w:val="en-US" w:eastAsia="zh-CN" w:bidi="ar"/>
              </w:rPr>
              <w:t>冶炼工程乙级</w:t>
            </w:r>
          </w:p>
        </w:tc>
        <w:tc>
          <w:tcPr>
            <w:tcW w:w="3531" w:type="dxa"/>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8"/>
                <w:szCs w:val="28"/>
                <w:lang w:val="en-US" w:eastAsia="zh-CN" w:bidi="ar-SA"/>
              </w:rPr>
            </w:pPr>
            <w:r>
              <w:rPr>
                <w:rFonts w:hint="default" w:ascii="Times New Roman" w:hAnsi="Times New Roman" w:eastAsia="仿宋_GB2312" w:cs="Times New Roman"/>
                <w:i w:val="0"/>
                <w:iCs w:val="0"/>
                <w:caps w:val="0"/>
                <w:color w:val="000000"/>
                <w:spacing w:val="0"/>
                <w:kern w:val="0"/>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21"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0"/>
                <w:szCs w:val="20"/>
                <w:vertAlign w:val="baseline"/>
                <w:lang w:val="en-US" w:eastAsia="zh-CN"/>
              </w:rPr>
            </w:pPr>
            <w:r>
              <w:rPr>
                <w:rFonts w:hint="eastAsia"/>
                <w:sz w:val="20"/>
                <w:szCs w:val="20"/>
                <w:vertAlign w:val="baseline"/>
                <w:lang w:val="en-US" w:eastAsia="zh-CN"/>
              </w:rPr>
              <w:t>3</w:t>
            </w:r>
          </w:p>
        </w:tc>
        <w:tc>
          <w:tcPr>
            <w:tcW w:w="4509" w:type="dxa"/>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0"/>
                <w:szCs w:val="20"/>
                <w:lang w:val="en-US" w:eastAsia="zh-CN" w:bidi="ar-SA"/>
              </w:rPr>
            </w:pPr>
            <w:r>
              <w:rPr>
                <w:rFonts w:hint="default" w:ascii="Times New Roman" w:hAnsi="Times New Roman" w:eastAsia="仿宋_GB2312" w:cs="Times New Roman"/>
                <w:i w:val="0"/>
                <w:iCs w:val="0"/>
                <w:caps w:val="0"/>
                <w:color w:val="000000"/>
                <w:spacing w:val="0"/>
                <w:kern w:val="0"/>
                <w:sz w:val="20"/>
                <w:szCs w:val="20"/>
                <w:lang w:val="en-US" w:eastAsia="zh-CN" w:bidi="ar"/>
              </w:rPr>
              <w:t>矿山工程乙级</w:t>
            </w:r>
          </w:p>
        </w:tc>
        <w:tc>
          <w:tcPr>
            <w:tcW w:w="3531" w:type="dxa"/>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8"/>
                <w:szCs w:val="28"/>
                <w:lang w:val="en-US" w:eastAsia="zh-CN" w:bidi="ar-SA"/>
              </w:rPr>
            </w:pPr>
            <w:r>
              <w:rPr>
                <w:rFonts w:hint="default" w:ascii="Times New Roman" w:hAnsi="Times New Roman" w:eastAsia="仿宋_GB2312" w:cs="Times New Roman"/>
                <w:i w:val="0"/>
                <w:iCs w:val="0"/>
                <w:caps w:val="0"/>
                <w:color w:val="000000"/>
                <w:spacing w:val="0"/>
                <w:kern w:val="0"/>
                <w:sz w:val="28"/>
                <w:szCs w:val="28"/>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21"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0"/>
                <w:szCs w:val="20"/>
                <w:vertAlign w:val="baseline"/>
                <w:lang w:val="en-US" w:eastAsia="zh-CN"/>
              </w:rPr>
            </w:pPr>
            <w:r>
              <w:rPr>
                <w:rFonts w:hint="eastAsia"/>
                <w:sz w:val="20"/>
                <w:szCs w:val="20"/>
                <w:vertAlign w:val="baseline"/>
                <w:lang w:val="en-US" w:eastAsia="zh-CN"/>
              </w:rPr>
              <w:t>4</w:t>
            </w:r>
          </w:p>
        </w:tc>
        <w:tc>
          <w:tcPr>
            <w:tcW w:w="4509" w:type="dxa"/>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0"/>
                <w:szCs w:val="20"/>
                <w:lang w:val="en-US" w:eastAsia="zh-CN" w:bidi="ar-SA"/>
              </w:rPr>
            </w:pPr>
            <w:r>
              <w:rPr>
                <w:rFonts w:hint="default" w:ascii="Times New Roman" w:hAnsi="Times New Roman" w:eastAsia="仿宋_GB2312" w:cs="Times New Roman"/>
                <w:i w:val="0"/>
                <w:iCs w:val="0"/>
                <w:caps w:val="0"/>
                <w:color w:val="000000"/>
                <w:spacing w:val="0"/>
                <w:kern w:val="0"/>
                <w:sz w:val="20"/>
                <w:szCs w:val="20"/>
                <w:lang w:val="en-US" w:eastAsia="zh-CN" w:bidi="ar"/>
              </w:rPr>
              <w:t>化工石油工程乙级</w:t>
            </w:r>
          </w:p>
        </w:tc>
        <w:tc>
          <w:tcPr>
            <w:tcW w:w="3531" w:type="dxa"/>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8"/>
                <w:szCs w:val="28"/>
                <w:lang w:val="en-US" w:eastAsia="zh-CN" w:bidi="ar-SA"/>
              </w:rPr>
            </w:pPr>
            <w:r>
              <w:rPr>
                <w:rFonts w:hint="default" w:ascii="Times New Roman" w:hAnsi="Times New Roman" w:eastAsia="仿宋_GB2312" w:cs="Times New Roman"/>
                <w:i w:val="0"/>
                <w:iCs w:val="0"/>
                <w:caps w:val="0"/>
                <w:color w:val="000000"/>
                <w:spacing w:val="0"/>
                <w:kern w:val="0"/>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21"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0"/>
                <w:szCs w:val="20"/>
                <w:vertAlign w:val="baseline"/>
                <w:lang w:val="en-US" w:eastAsia="zh-CN"/>
              </w:rPr>
            </w:pPr>
            <w:r>
              <w:rPr>
                <w:rFonts w:hint="eastAsia"/>
                <w:sz w:val="20"/>
                <w:szCs w:val="20"/>
                <w:vertAlign w:val="baseline"/>
                <w:lang w:val="en-US" w:eastAsia="zh-CN"/>
              </w:rPr>
              <w:t>5</w:t>
            </w:r>
          </w:p>
        </w:tc>
        <w:tc>
          <w:tcPr>
            <w:tcW w:w="4509" w:type="dxa"/>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0"/>
                <w:szCs w:val="20"/>
                <w:lang w:val="en-US" w:eastAsia="zh-CN" w:bidi="ar-SA"/>
              </w:rPr>
            </w:pPr>
            <w:r>
              <w:rPr>
                <w:rFonts w:hint="default" w:ascii="Times New Roman" w:hAnsi="Times New Roman" w:eastAsia="仿宋_GB2312" w:cs="Times New Roman"/>
                <w:i w:val="0"/>
                <w:iCs w:val="0"/>
                <w:caps w:val="0"/>
                <w:color w:val="000000"/>
                <w:spacing w:val="0"/>
                <w:kern w:val="0"/>
                <w:sz w:val="20"/>
                <w:szCs w:val="20"/>
                <w:lang w:val="en-US" w:eastAsia="zh-CN" w:bidi="ar"/>
              </w:rPr>
              <w:t>电力工程乙级</w:t>
            </w:r>
          </w:p>
        </w:tc>
        <w:tc>
          <w:tcPr>
            <w:tcW w:w="3531" w:type="dxa"/>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8"/>
                <w:szCs w:val="28"/>
                <w:lang w:val="en-US" w:eastAsia="zh-CN" w:bidi="ar-SA"/>
              </w:rPr>
            </w:pPr>
            <w:r>
              <w:rPr>
                <w:rFonts w:hint="default" w:ascii="Times New Roman" w:hAnsi="Times New Roman" w:eastAsia="仿宋_GB2312" w:cs="Times New Roman"/>
                <w:i w:val="0"/>
                <w:iCs w:val="0"/>
                <w:caps w:val="0"/>
                <w:color w:val="000000"/>
                <w:spacing w:val="0"/>
                <w:kern w:val="0"/>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21"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0"/>
                <w:szCs w:val="20"/>
                <w:vertAlign w:val="baseline"/>
                <w:lang w:val="en-US" w:eastAsia="zh-CN"/>
              </w:rPr>
            </w:pPr>
            <w:r>
              <w:rPr>
                <w:rFonts w:hint="eastAsia"/>
                <w:sz w:val="20"/>
                <w:szCs w:val="20"/>
                <w:vertAlign w:val="baseline"/>
                <w:lang w:val="en-US" w:eastAsia="zh-CN"/>
              </w:rPr>
              <w:t>6</w:t>
            </w:r>
          </w:p>
        </w:tc>
        <w:tc>
          <w:tcPr>
            <w:tcW w:w="4509" w:type="dxa"/>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0"/>
                <w:szCs w:val="20"/>
                <w:lang w:val="en-US" w:eastAsia="zh-CN" w:bidi="ar-SA"/>
              </w:rPr>
            </w:pPr>
            <w:r>
              <w:rPr>
                <w:rFonts w:hint="default" w:ascii="Times New Roman" w:hAnsi="Times New Roman" w:eastAsia="仿宋_GB2312" w:cs="Times New Roman"/>
                <w:i w:val="0"/>
                <w:iCs w:val="0"/>
                <w:caps w:val="0"/>
                <w:color w:val="000000"/>
                <w:spacing w:val="0"/>
                <w:kern w:val="0"/>
                <w:sz w:val="20"/>
                <w:szCs w:val="20"/>
                <w:lang w:val="en-US" w:eastAsia="zh-CN" w:bidi="ar"/>
              </w:rPr>
              <w:t>铁路工程乙级</w:t>
            </w:r>
          </w:p>
        </w:tc>
        <w:tc>
          <w:tcPr>
            <w:tcW w:w="3531" w:type="dxa"/>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8"/>
                <w:szCs w:val="28"/>
                <w:lang w:val="en-US" w:eastAsia="zh-CN" w:bidi="ar-SA"/>
              </w:rPr>
            </w:pPr>
            <w:r>
              <w:rPr>
                <w:rFonts w:hint="default" w:ascii="Times New Roman" w:hAnsi="Times New Roman" w:eastAsia="仿宋_GB2312" w:cs="Times New Roman"/>
                <w:i w:val="0"/>
                <w:iCs w:val="0"/>
                <w:caps w:val="0"/>
                <w:color w:val="000000"/>
                <w:spacing w:val="0"/>
                <w:kern w:val="0"/>
                <w:sz w:val="28"/>
                <w:szCs w:val="28"/>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21"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0"/>
                <w:szCs w:val="20"/>
                <w:vertAlign w:val="baseline"/>
                <w:lang w:val="en-US" w:eastAsia="zh-CN"/>
              </w:rPr>
            </w:pPr>
            <w:r>
              <w:rPr>
                <w:rFonts w:hint="eastAsia"/>
                <w:sz w:val="20"/>
                <w:szCs w:val="20"/>
                <w:vertAlign w:val="baseline"/>
                <w:lang w:val="en-US" w:eastAsia="zh-CN"/>
              </w:rPr>
              <w:t>7</w:t>
            </w:r>
          </w:p>
        </w:tc>
        <w:tc>
          <w:tcPr>
            <w:tcW w:w="4509" w:type="dxa"/>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0"/>
                <w:szCs w:val="20"/>
                <w:lang w:val="en-US" w:eastAsia="zh-CN" w:bidi="ar-SA"/>
              </w:rPr>
            </w:pPr>
            <w:r>
              <w:rPr>
                <w:rFonts w:hint="default" w:ascii="Times New Roman" w:hAnsi="Times New Roman" w:eastAsia="仿宋_GB2312" w:cs="Times New Roman"/>
                <w:i w:val="0"/>
                <w:iCs w:val="0"/>
                <w:caps w:val="0"/>
                <w:color w:val="000000"/>
                <w:spacing w:val="0"/>
                <w:kern w:val="0"/>
                <w:sz w:val="20"/>
                <w:szCs w:val="20"/>
                <w:lang w:val="en-US" w:eastAsia="zh-CN" w:bidi="ar"/>
              </w:rPr>
              <w:t>航天航空工程乙级</w:t>
            </w:r>
          </w:p>
        </w:tc>
        <w:tc>
          <w:tcPr>
            <w:tcW w:w="3531" w:type="dxa"/>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8"/>
                <w:szCs w:val="28"/>
                <w:lang w:val="en-US" w:eastAsia="zh-CN" w:bidi="ar-SA"/>
              </w:rPr>
            </w:pPr>
            <w:r>
              <w:rPr>
                <w:rFonts w:hint="default" w:ascii="Times New Roman" w:hAnsi="Times New Roman" w:eastAsia="仿宋_GB2312" w:cs="Times New Roman"/>
                <w:i w:val="0"/>
                <w:iCs w:val="0"/>
                <w:caps w:val="0"/>
                <w:color w:val="000000"/>
                <w:spacing w:val="0"/>
                <w:kern w:val="0"/>
                <w:sz w:val="28"/>
                <w:szCs w:val="28"/>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0" w:type="auto"/>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0"/>
                <w:szCs w:val="20"/>
                <w:vertAlign w:val="baseline"/>
                <w:lang w:val="en-US" w:eastAsia="zh-CN"/>
              </w:rPr>
            </w:pPr>
            <w:r>
              <w:rPr>
                <w:rFonts w:hint="eastAsia"/>
                <w:sz w:val="20"/>
                <w:szCs w:val="20"/>
                <w:vertAlign w:val="baseline"/>
                <w:lang w:val="en-US" w:eastAsia="zh-CN"/>
              </w:rPr>
              <w:t>8</w:t>
            </w:r>
          </w:p>
        </w:tc>
        <w:tc>
          <w:tcPr>
            <w:tcW w:w="4509" w:type="dxa"/>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0"/>
                <w:szCs w:val="20"/>
                <w:lang w:val="en-US" w:eastAsia="zh-CN" w:bidi="ar-SA"/>
              </w:rPr>
            </w:pPr>
            <w:r>
              <w:rPr>
                <w:rFonts w:hint="default" w:ascii="Times New Roman" w:hAnsi="Times New Roman" w:eastAsia="仿宋_GB2312" w:cs="Times New Roman"/>
                <w:i w:val="0"/>
                <w:iCs w:val="0"/>
                <w:caps w:val="0"/>
                <w:color w:val="000000"/>
                <w:spacing w:val="0"/>
                <w:kern w:val="0"/>
                <w:sz w:val="20"/>
                <w:szCs w:val="20"/>
                <w:lang w:val="en-US" w:eastAsia="zh-CN" w:bidi="ar"/>
              </w:rPr>
              <w:t>通信工程乙级</w:t>
            </w:r>
          </w:p>
        </w:tc>
        <w:tc>
          <w:tcPr>
            <w:tcW w:w="3531" w:type="dxa"/>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8"/>
                <w:szCs w:val="28"/>
                <w:lang w:val="en-US" w:eastAsia="zh-CN" w:bidi="ar-SA"/>
              </w:rPr>
            </w:pPr>
            <w:r>
              <w:rPr>
                <w:rFonts w:hint="default" w:ascii="Times New Roman" w:hAnsi="Times New Roman" w:eastAsia="仿宋_GB2312" w:cs="Times New Roman"/>
                <w:i w:val="0"/>
                <w:iCs w:val="0"/>
                <w:caps w:val="0"/>
                <w:color w:val="000000"/>
                <w:spacing w:val="0"/>
                <w:kern w:val="0"/>
                <w:sz w:val="28"/>
                <w:szCs w:val="28"/>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0" w:type="auto"/>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0"/>
                <w:szCs w:val="20"/>
                <w:vertAlign w:val="baseline"/>
                <w:lang w:val="en-US" w:eastAsia="zh-CN"/>
              </w:rPr>
            </w:pPr>
            <w:r>
              <w:rPr>
                <w:rFonts w:hint="eastAsia"/>
                <w:sz w:val="20"/>
                <w:szCs w:val="20"/>
                <w:vertAlign w:val="baseline"/>
                <w:lang w:val="en-US" w:eastAsia="zh-CN"/>
              </w:rPr>
              <w:t>9</w:t>
            </w:r>
          </w:p>
        </w:tc>
        <w:tc>
          <w:tcPr>
            <w:tcW w:w="4509" w:type="dxa"/>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0"/>
                <w:szCs w:val="20"/>
                <w:lang w:val="en-US" w:eastAsia="zh-CN" w:bidi="ar-SA"/>
              </w:rPr>
            </w:pPr>
            <w:r>
              <w:rPr>
                <w:rFonts w:hint="default" w:ascii="Times New Roman" w:hAnsi="Times New Roman" w:eastAsia="仿宋_GB2312" w:cs="Times New Roman"/>
                <w:i w:val="0"/>
                <w:iCs w:val="0"/>
                <w:caps w:val="0"/>
                <w:color w:val="000000"/>
                <w:spacing w:val="0"/>
                <w:kern w:val="0"/>
                <w:sz w:val="20"/>
                <w:szCs w:val="20"/>
                <w:lang w:val="en-US" w:eastAsia="zh-CN" w:bidi="ar"/>
              </w:rPr>
              <w:t>市政公用工程乙级</w:t>
            </w:r>
          </w:p>
        </w:tc>
        <w:tc>
          <w:tcPr>
            <w:tcW w:w="3531" w:type="dxa"/>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8"/>
                <w:szCs w:val="28"/>
                <w:lang w:val="en-US" w:eastAsia="zh-CN" w:bidi="ar-SA"/>
              </w:rPr>
            </w:pPr>
            <w:r>
              <w:rPr>
                <w:rFonts w:hint="default" w:ascii="Times New Roman" w:hAnsi="Times New Roman" w:eastAsia="仿宋_GB2312" w:cs="Times New Roman"/>
                <w:i w:val="0"/>
                <w:iCs w:val="0"/>
                <w:caps w:val="0"/>
                <w:color w:val="000000"/>
                <w:spacing w:val="0"/>
                <w:kern w:val="0"/>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0" w:type="auto"/>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eastAsia="仿宋_GB2312"/>
                <w:sz w:val="20"/>
                <w:szCs w:val="20"/>
                <w:vertAlign w:val="baseline"/>
                <w:lang w:val="en-US" w:eastAsia="zh-CN"/>
              </w:rPr>
            </w:pPr>
            <w:r>
              <w:rPr>
                <w:rFonts w:hint="eastAsia"/>
                <w:sz w:val="20"/>
                <w:szCs w:val="20"/>
                <w:vertAlign w:val="baseline"/>
                <w:lang w:val="en-US" w:eastAsia="zh-CN"/>
              </w:rPr>
              <w:t>10</w:t>
            </w:r>
          </w:p>
        </w:tc>
        <w:tc>
          <w:tcPr>
            <w:tcW w:w="4509" w:type="dxa"/>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0"/>
                <w:szCs w:val="20"/>
                <w:lang w:val="en-US" w:eastAsia="zh-CN" w:bidi="ar-SA"/>
              </w:rPr>
            </w:pPr>
            <w:r>
              <w:rPr>
                <w:rFonts w:hint="default" w:ascii="Times New Roman" w:hAnsi="Times New Roman" w:eastAsia="仿宋_GB2312" w:cs="Times New Roman"/>
                <w:i w:val="0"/>
                <w:iCs w:val="0"/>
                <w:caps w:val="0"/>
                <w:color w:val="000000"/>
                <w:spacing w:val="0"/>
                <w:kern w:val="0"/>
                <w:sz w:val="20"/>
                <w:szCs w:val="20"/>
                <w:lang w:val="en-US" w:eastAsia="zh-CN" w:bidi="ar"/>
              </w:rPr>
              <w:t>机电安装工程乙级</w:t>
            </w:r>
          </w:p>
        </w:tc>
        <w:tc>
          <w:tcPr>
            <w:tcW w:w="3531" w:type="dxa"/>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8"/>
                <w:szCs w:val="28"/>
                <w:lang w:val="en-US" w:eastAsia="zh-CN" w:bidi="ar-SA"/>
              </w:rPr>
            </w:pPr>
            <w:r>
              <w:rPr>
                <w:rFonts w:hint="default" w:ascii="Times New Roman" w:hAnsi="Times New Roman" w:eastAsia="仿宋_GB2312" w:cs="Times New Roman"/>
                <w:i w:val="0"/>
                <w:iCs w:val="0"/>
                <w:caps w:val="0"/>
                <w:color w:val="000000"/>
                <w:spacing w:val="0"/>
                <w:kern w:val="0"/>
                <w:sz w:val="28"/>
                <w:szCs w:val="28"/>
                <w:lang w:val="en-US" w:eastAsia="zh-CN" w:bidi="ar"/>
              </w:rPr>
              <w:t>10</w:t>
            </w:r>
          </w:p>
        </w:tc>
      </w:tr>
    </w:tbl>
    <w:p>
      <w:pPr>
        <w:rPr>
          <w:rFonts w:hint="eastAsia"/>
        </w:rPr>
      </w:pPr>
    </w:p>
    <w:sectPr>
      <w:pgSz w:w="11906" w:h="16838"/>
      <w:pgMar w:top="2098" w:right="1474" w:bottom="1984" w:left="1587" w:header="851" w:footer="992" w:gutter="0"/>
      <w:pgNumType w:fmt="numberInDash"/>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0YzQ3YjY2NTQ5MWVmZDQxMjc4NDZhYTZjYTkzNjUifQ=="/>
  </w:docVars>
  <w:rsids>
    <w:rsidRoot w:val="24B56787"/>
    <w:rsid w:val="0094464B"/>
    <w:rsid w:val="01B42F66"/>
    <w:rsid w:val="02610439"/>
    <w:rsid w:val="02616ADC"/>
    <w:rsid w:val="028B4409"/>
    <w:rsid w:val="064C357C"/>
    <w:rsid w:val="066E0E06"/>
    <w:rsid w:val="070B3E7F"/>
    <w:rsid w:val="071A51AF"/>
    <w:rsid w:val="07B40BF8"/>
    <w:rsid w:val="0A4E2B9D"/>
    <w:rsid w:val="0DCD2DC7"/>
    <w:rsid w:val="127C0FE1"/>
    <w:rsid w:val="13D6595F"/>
    <w:rsid w:val="165130C1"/>
    <w:rsid w:val="1B0D49BB"/>
    <w:rsid w:val="1C626953"/>
    <w:rsid w:val="23BE02A6"/>
    <w:rsid w:val="24B56787"/>
    <w:rsid w:val="26027139"/>
    <w:rsid w:val="2C524BFF"/>
    <w:rsid w:val="2C8E0742"/>
    <w:rsid w:val="2DB726BC"/>
    <w:rsid w:val="313C139A"/>
    <w:rsid w:val="3141160D"/>
    <w:rsid w:val="358A26AB"/>
    <w:rsid w:val="3D3F3BD9"/>
    <w:rsid w:val="3EDE2CAD"/>
    <w:rsid w:val="40011BBA"/>
    <w:rsid w:val="42136693"/>
    <w:rsid w:val="42DB00B4"/>
    <w:rsid w:val="46652C84"/>
    <w:rsid w:val="4714476E"/>
    <w:rsid w:val="47342621"/>
    <w:rsid w:val="47391682"/>
    <w:rsid w:val="47B61811"/>
    <w:rsid w:val="4C035735"/>
    <w:rsid w:val="4F1D1ACB"/>
    <w:rsid w:val="502E4D77"/>
    <w:rsid w:val="56C20BE3"/>
    <w:rsid w:val="573E2613"/>
    <w:rsid w:val="59CA39B9"/>
    <w:rsid w:val="5AD0762B"/>
    <w:rsid w:val="5F3EA19F"/>
    <w:rsid w:val="5FBE91A9"/>
    <w:rsid w:val="605D68E6"/>
    <w:rsid w:val="621023F8"/>
    <w:rsid w:val="62AC5C0E"/>
    <w:rsid w:val="652001C4"/>
    <w:rsid w:val="69855E0E"/>
    <w:rsid w:val="6B701664"/>
    <w:rsid w:val="6DE2651B"/>
    <w:rsid w:val="6DEF4CB3"/>
    <w:rsid w:val="6DF929F2"/>
    <w:rsid w:val="6FFC6324"/>
    <w:rsid w:val="70E13AE5"/>
    <w:rsid w:val="746A2F2E"/>
    <w:rsid w:val="769A486E"/>
    <w:rsid w:val="787F28B9"/>
    <w:rsid w:val="7A1D1341"/>
    <w:rsid w:val="7AC3136F"/>
    <w:rsid w:val="7CA62B7B"/>
    <w:rsid w:val="7F7FBD90"/>
    <w:rsid w:val="7F9AE012"/>
    <w:rsid w:val="7FAB3949"/>
    <w:rsid w:val="7FEFF8A3"/>
    <w:rsid w:val="7FFBE887"/>
    <w:rsid w:val="B98C5ECA"/>
    <w:rsid w:val="BFFE1300"/>
    <w:rsid w:val="DDF7C0B3"/>
    <w:rsid w:val="DFFFBC59"/>
    <w:rsid w:val="ED6D5B77"/>
    <w:rsid w:val="F3FB410F"/>
    <w:rsid w:val="FB7D2C9C"/>
    <w:rsid w:val="FD6F9364"/>
    <w:rsid w:val="FDF89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420"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qFormat/>
    <w:uiPriority w:val="0"/>
    <w:pPr>
      <w:spacing w:before="0" w:beforeAutospacing="0" w:after="0" w:afterAutospacing="0"/>
      <w:ind w:firstLine="0" w:firstLineChars="0"/>
      <w:jc w:val="center"/>
      <w:outlineLvl w:val="0"/>
    </w:pPr>
    <w:rPr>
      <w:rFonts w:hint="eastAsia" w:ascii="宋体" w:hAnsi="宋体" w:eastAsia="方正小标宋简体" w:cs="宋体"/>
      <w:kern w:val="44"/>
      <w:sz w:val="44"/>
      <w:szCs w:val="48"/>
      <w:lang w:bidi="ar"/>
    </w:rPr>
  </w:style>
  <w:style w:type="paragraph" w:styleId="3">
    <w:name w:val="heading 2"/>
    <w:basedOn w:val="1"/>
    <w:next w:val="1"/>
    <w:semiHidden/>
    <w:unhideWhenUsed/>
    <w:qFormat/>
    <w:uiPriority w:val="0"/>
    <w:pPr>
      <w:keepNext/>
      <w:keepLines/>
      <w:spacing w:beforeLines="0" w:beforeAutospacing="0" w:afterLines="0" w:afterAutospacing="0" w:line="580" w:lineRule="exact"/>
      <w:outlineLvl w:val="1"/>
    </w:pPr>
    <w:rPr>
      <w:rFonts w:eastAsia="黑体"/>
    </w:rPr>
  </w:style>
  <w:style w:type="paragraph" w:styleId="4">
    <w:name w:val="heading 3"/>
    <w:basedOn w:val="1"/>
    <w:next w:val="1"/>
    <w:semiHidden/>
    <w:unhideWhenUsed/>
    <w:qFormat/>
    <w:uiPriority w:val="0"/>
    <w:pPr>
      <w:keepNext/>
      <w:keepLines/>
      <w:spacing w:beforeLines="0" w:beforeAutospacing="0" w:afterLines="0" w:afterAutospacing="0" w:line="580" w:lineRule="exact"/>
      <w:outlineLvl w:val="2"/>
    </w:pPr>
    <w:rPr>
      <w:rFonts w:ascii="Times New Roman" w:hAnsi="Times New Roman" w:eastAsia="楷体_GB2312"/>
      <w:b/>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customStyle="1" w:styleId="13">
    <w:name w:val="font41"/>
    <w:basedOn w:val="10"/>
    <w:qFormat/>
    <w:uiPriority w:val="0"/>
    <w:rPr>
      <w:rFonts w:ascii="仿宋_GB2312" w:eastAsia="仿宋_GB2312" w:cs="仿宋_GB2312"/>
      <w:b/>
      <w:color w:val="000000"/>
      <w:sz w:val="24"/>
      <w:szCs w:val="24"/>
      <w:u w:val="none"/>
    </w:rPr>
  </w:style>
  <w:style w:type="character" w:customStyle="1" w:styleId="14">
    <w:name w:val="font112"/>
    <w:basedOn w:val="10"/>
    <w:qFormat/>
    <w:uiPriority w:val="0"/>
    <w:rPr>
      <w:rFonts w:hint="default" w:ascii="Times New Roman" w:hAnsi="Times New Roman" w:cs="Times New Roman"/>
      <w:b/>
      <w:color w:val="000000"/>
      <w:sz w:val="24"/>
      <w:szCs w:val="24"/>
      <w:u w:val="none"/>
    </w:rPr>
  </w:style>
  <w:style w:type="character" w:customStyle="1" w:styleId="15">
    <w:name w:val="font91"/>
    <w:basedOn w:val="10"/>
    <w:qFormat/>
    <w:uiPriority w:val="0"/>
    <w:rPr>
      <w:rFonts w:hint="default" w:ascii="Times New Roman" w:hAnsi="Times New Roman" w:cs="Times New Roman"/>
      <w:b/>
      <w:color w:val="000000"/>
      <w:sz w:val="24"/>
      <w:szCs w:val="24"/>
      <w:u w:val="none"/>
    </w:rPr>
  </w:style>
  <w:style w:type="character" w:customStyle="1" w:styleId="16">
    <w:name w:val="font31"/>
    <w:basedOn w:val="10"/>
    <w:qFormat/>
    <w:uiPriority w:val="0"/>
    <w:rPr>
      <w:rFonts w:hint="default" w:ascii="Times New Roman" w:hAnsi="Times New Roman" w:cs="Times New Roman"/>
      <w:b/>
      <w:color w:val="000000"/>
      <w:sz w:val="24"/>
      <w:szCs w:val="24"/>
      <w:u w:val="none"/>
    </w:rPr>
  </w:style>
  <w:style w:type="character" w:customStyle="1" w:styleId="17">
    <w:name w:val="font101"/>
    <w:basedOn w:val="10"/>
    <w:qFormat/>
    <w:uiPriority w:val="0"/>
    <w:rPr>
      <w:rFonts w:ascii="仿宋_GB2312" w:eastAsia="仿宋_GB2312" w:cs="仿宋_GB2312"/>
      <w:b/>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946</Words>
  <Characters>953</Characters>
  <Lines>0</Lines>
  <Paragraphs>0</Paragraphs>
  <TotalTime>5</TotalTime>
  <ScaleCrop>false</ScaleCrop>
  <LinksUpToDate>false</LinksUpToDate>
  <CharactersWithSpaces>953</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2023-05-05T10:45:00Z</dcterms:created>
  <dc:creator>BoB</dc:creator>
  <cp:lastModifiedBy>BoB</cp:lastModifiedBy>
  <dcterms:modified xsi:type="dcterms:W3CDTF">2023-10-18T07:39:28Z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75443891945C4EB39027B41B77ACCB98_12</vt:lpwstr>
  </property>
</Properties>
</file>