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Times New Roman" w:hAnsi="Times New Roman" w:eastAsia="方正小标宋简体" w:cs="Times New Roman"/>
          <w:b w:val="0"/>
          <w:bCs w:val="0"/>
          <w:spacing w:val="-20"/>
          <w:kern w:val="0"/>
          <w:sz w:val="44"/>
          <w:szCs w:val="44"/>
        </w:rPr>
      </w:pPr>
      <w:bookmarkStart w:id="0" w:name="OLE_LINK3"/>
      <w:bookmarkStart w:id="1" w:name="OLE_LINK1"/>
      <w:bookmarkStart w:id="2" w:name="OLE_LINK2"/>
      <w:bookmarkStart w:id="3" w:name="OLE_LINK4"/>
      <w:r>
        <w:rPr>
          <w:rFonts w:hint="default" w:ascii="Times New Roman" w:hAnsi="Times New Roman" w:eastAsia="方正小标宋简体" w:cs="Times New Roman"/>
          <w:b w:val="0"/>
          <w:bCs w:val="0"/>
          <w:spacing w:val="-20"/>
          <w:kern w:val="0"/>
          <w:sz w:val="44"/>
          <w:szCs w:val="44"/>
        </w:rPr>
        <w:t>四川省建筑市场责任主体不良</w:t>
      </w:r>
      <w:r>
        <w:rPr>
          <w:rFonts w:hint="eastAsia" w:ascii="Times New Roman" w:hAnsi="Times New Roman" w:eastAsia="方正小标宋简体" w:cs="Times New Roman"/>
          <w:b w:val="0"/>
          <w:bCs w:val="0"/>
          <w:spacing w:val="-20"/>
          <w:kern w:val="0"/>
          <w:sz w:val="44"/>
          <w:szCs w:val="44"/>
          <w:lang w:eastAsia="zh-CN"/>
        </w:rPr>
        <w:t>信用信息</w:t>
      </w:r>
      <w:r>
        <w:rPr>
          <w:rFonts w:hint="default" w:ascii="Times New Roman" w:hAnsi="Times New Roman" w:eastAsia="方正小标宋简体" w:cs="Times New Roman"/>
          <w:b w:val="0"/>
          <w:bCs w:val="0"/>
          <w:spacing w:val="-20"/>
          <w:kern w:val="0"/>
          <w:sz w:val="44"/>
          <w:szCs w:val="44"/>
        </w:rPr>
        <w:t>记录办法</w:t>
      </w:r>
    </w:p>
    <w:p>
      <w:pPr>
        <w:widowControl/>
        <w:spacing w:line="600" w:lineRule="exact"/>
        <w:jc w:val="center"/>
        <w:rPr>
          <w:rFonts w:hint="eastAsia" w:ascii="仿宋" w:hAnsi="仿宋" w:eastAsia="仿宋" w:cs="仿宋"/>
          <w:spacing w:val="-20"/>
          <w:kern w:val="0"/>
          <w:sz w:val="32"/>
          <w:szCs w:val="32"/>
          <w:lang w:eastAsia="zh-CN"/>
        </w:rPr>
      </w:pPr>
    </w:p>
    <w:p>
      <w:pPr>
        <w:widowControl/>
        <w:numPr>
          <w:ilvl w:val="0"/>
          <w:numId w:val="1"/>
        </w:numPr>
        <w:ind w:left="1080" w:hanging="1080" w:firstLineChars="0"/>
        <w:jc w:val="center"/>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汉仪大宋简" w:cs="Times New Roman"/>
          <w:spacing w:val="-20"/>
          <w:kern w:val="0"/>
          <w:sz w:val="44"/>
          <w:szCs w:val="44"/>
          <w:lang w:val="en-US" w:eastAsia="zh-CN" w:bidi="ar-SA"/>
        </w:rPr>
        <w:t xml:space="preserve"> </w:t>
      </w:r>
      <w:r>
        <w:rPr>
          <w:rFonts w:hint="default" w:ascii="Times New Roman" w:hAnsi="Times New Roman" w:eastAsia="黑体" w:cs="Times New Roman"/>
          <w:kern w:val="0"/>
          <w:sz w:val="32"/>
          <w:szCs w:val="32"/>
          <w:lang w:val="en-US" w:eastAsia="zh-CN" w:bidi="ar-SA"/>
        </w:rPr>
        <w:t>总  则</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第一条  </w:t>
      </w:r>
      <w:r>
        <w:rPr>
          <w:rFonts w:hint="eastAsia" w:ascii="仿宋" w:hAnsi="仿宋" w:eastAsia="仿宋" w:cs="仿宋"/>
          <w:color w:val="000000"/>
          <w:sz w:val="32"/>
          <w:szCs w:val="32"/>
          <w:shd w:val="clear" w:color="auto" w:fill="FFFFFF"/>
        </w:rPr>
        <w:t>为</w:t>
      </w:r>
      <w:r>
        <w:rPr>
          <w:rFonts w:hint="eastAsia" w:ascii="仿宋" w:hAnsi="仿宋" w:eastAsia="仿宋" w:cs="仿宋"/>
          <w:color w:val="000000"/>
          <w:sz w:val="32"/>
          <w:szCs w:val="32"/>
          <w:shd w:val="clear" w:color="auto" w:fill="FFFFFF"/>
          <w:lang w:val="en-US" w:eastAsia="zh-CN"/>
        </w:rPr>
        <w:t>进一步加强建筑市场信用体系建设，促进建筑市场规范化管理，推动</w:t>
      </w:r>
      <w:r>
        <w:rPr>
          <w:rFonts w:hint="eastAsia" w:ascii="仿宋" w:hAnsi="仿宋" w:eastAsia="仿宋" w:cs="仿宋"/>
          <w:color w:val="000000"/>
          <w:sz w:val="32"/>
          <w:szCs w:val="32"/>
          <w:shd w:val="clear" w:color="auto" w:fill="FFFFFF"/>
          <w:lang w:eastAsia="zh-CN"/>
        </w:rPr>
        <w:t>建筑业高质量发展，</w:t>
      </w:r>
      <w:r>
        <w:rPr>
          <w:rFonts w:hint="eastAsia" w:ascii="仿宋" w:hAnsi="仿宋" w:eastAsia="仿宋" w:cs="仿宋"/>
          <w:sz w:val="32"/>
          <w:szCs w:val="32"/>
        </w:rPr>
        <w:t>根据《中华人民共和国建筑法》</w:t>
      </w:r>
      <w:r>
        <w:rPr>
          <w:rFonts w:hint="eastAsia" w:ascii="仿宋" w:hAnsi="仿宋" w:eastAsia="仿宋" w:cs="仿宋"/>
          <w:sz w:val="32"/>
          <w:szCs w:val="32"/>
          <w:lang w:eastAsia="zh-CN"/>
        </w:rPr>
        <w:t>《</w:t>
      </w:r>
      <w:r>
        <w:rPr>
          <w:rFonts w:hint="eastAsia" w:ascii="仿宋" w:hAnsi="仿宋" w:eastAsia="仿宋" w:cs="仿宋"/>
          <w:sz w:val="32"/>
          <w:szCs w:val="32"/>
        </w:rPr>
        <w:t>国务院关于建立完善守信联合激励和失信联合惩戒制度加快推进社会诚信建设的指导意见</w:t>
      </w:r>
      <w:r>
        <w:rPr>
          <w:rFonts w:hint="eastAsia" w:ascii="仿宋" w:hAnsi="仿宋" w:eastAsia="仿宋" w:cs="仿宋"/>
          <w:sz w:val="32"/>
          <w:szCs w:val="32"/>
          <w:lang w:eastAsia="zh-CN"/>
        </w:rPr>
        <w:t>》</w:t>
      </w:r>
      <w:r>
        <w:rPr>
          <w:rFonts w:hint="eastAsia" w:ascii="仿宋" w:hAnsi="仿宋" w:eastAsia="仿宋" w:cs="仿宋"/>
          <w:sz w:val="32"/>
          <w:szCs w:val="32"/>
        </w:rPr>
        <w:t>《国务院办公厅关于进一步完善失信约束制度构建诚信建设长效机制的指导意见》</w:t>
      </w:r>
      <w:r>
        <w:rPr>
          <w:rFonts w:hint="eastAsia" w:ascii="仿宋" w:hAnsi="仿宋" w:eastAsia="仿宋" w:cs="仿宋"/>
          <w:sz w:val="32"/>
          <w:szCs w:val="32"/>
          <w:lang w:eastAsia="zh-CN"/>
        </w:rPr>
        <w:t>《</w:t>
      </w:r>
      <w:r>
        <w:rPr>
          <w:rFonts w:hint="eastAsia" w:ascii="仿宋" w:hAnsi="仿宋" w:eastAsia="仿宋" w:cs="仿宋"/>
          <w:sz w:val="32"/>
          <w:szCs w:val="32"/>
        </w:rPr>
        <w:t>国务院办公厅</w:t>
      </w:r>
      <w:r>
        <w:rPr>
          <w:rFonts w:hint="eastAsia" w:ascii="仿宋" w:hAnsi="仿宋" w:eastAsia="仿宋" w:cs="仿宋"/>
          <w:sz w:val="32"/>
          <w:szCs w:val="32"/>
          <w:lang w:eastAsia="zh-CN"/>
        </w:rPr>
        <w:t>关于加快推进社会信用体系建设构建以信用为基础的新型监管机制的指导意见》《四川省社会信用条例》等</w:t>
      </w:r>
      <w:r>
        <w:rPr>
          <w:rFonts w:hint="eastAsia" w:ascii="仿宋" w:hAnsi="仿宋" w:eastAsia="仿宋" w:cs="仿宋"/>
          <w:kern w:val="0"/>
          <w:sz w:val="32"/>
          <w:szCs w:val="32"/>
        </w:rPr>
        <w:t>,结合我省实际制定本办法。</w:t>
      </w:r>
    </w:p>
    <w:p>
      <w:pPr>
        <w:widowControl/>
        <w:ind w:firstLine="640" w:firstLineChars="200"/>
        <w:jc w:val="left"/>
        <w:rPr>
          <w:rFonts w:hint="eastAsia" w:ascii="仿宋" w:hAnsi="仿宋" w:eastAsia="仿宋" w:cs="仿宋"/>
          <w:color w:val="000000"/>
          <w:kern w:val="0"/>
          <w:sz w:val="32"/>
          <w:szCs w:val="32"/>
        </w:rPr>
      </w:pPr>
      <w:r>
        <w:rPr>
          <w:rFonts w:hint="eastAsia" w:ascii="仿宋" w:hAnsi="仿宋" w:eastAsia="仿宋" w:cs="仿宋"/>
          <w:kern w:val="0"/>
          <w:sz w:val="32"/>
          <w:szCs w:val="32"/>
        </w:rPr>
        <w:t>第二条  本办法所称建筑市场责任主体</w:t>
      </w:r>
      <w:r>
        <w:rPr>
          <w:rFonts w:hint="eastAsia" w:ascii="仿宋" w:hAnsi="仿宋" w:eastAsia="仿宋" w:cs="仿宋"/>
          <w:kern w:val="0"/>
          <w:sz w:val="32"/>
          <w:szCs w:val="32"/>
          <w:lang w:eastAsia="zh-CN"/>
        </w:rPr>
        <w:t>主要包括</w:t>
      </w:r>
      <w:r>
        <w:rPr>
          <w:rFonts w:hint="eastAsia" w:ascii="仿宋" w:hAnsi="仿宋" w:eastAsia="仿宋" w:cs="仿宋"/>
          <w:kern w:val="0"/>
          <w:sz w:val="32"/>
          <w:szCs w:val="32"/>
        </w:rPr>
        <w:t>参与工程建设活动的勘察、设计、施工、工程监理、建筑起重机械租赁安拆使用</w:t>
      </w:r>
      <w:r>
        <w:rPr>
          <w:rFonts w:hint="eastAsia" w:ascii="仿宋" w:hAnsi="仿宋" w:eastAsia="仿宋" w:cs="仿宋"/>
          <w:kern w:val="0"/>
          <w:sz w:val="32"/>
          <w:szCs w:val="32"/>
          <w:lang w:eastAsia="zh-CN"/>
        </w:rPr>
        <w:t>、</w:t>
      </w:r>
      <w:bookmarkStart w:id="4" w:name="_GoBack"/>
      <w:bookmarkEnd w:id="4"/>
      <w:r>
        <w:rPr>
          <w:rFonts w:hint="eastAsia" w:ascii="仿宋" w:hAnsi="仿宋" w:eastAsia="仿宋" w:cs="仿宋"/>
          <w:kern w:val="0"/>
          <w:sz w:val="32"/>
          <w:szCs w:val="32"/>
        </w:rPr>
        <w:t>工程质量检测、施工图审查等企业或单位以及注册执业人员。</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本办法所称建筑市场责任主体</w:t>
      </w:r>
      <w:r>
        <w:rPr>
          <w:rFonts w:hint="eastAsia" w:ascii="仿宋" w:hAnsi="仿宋" w:eastAsia="仿宋" w:cs="仿宋"/>
          <w:sz w:val="32"/>
          <w:szCs w:val="32"/>
        </w:rPr>
        <w:t>不良</w:t>
      </w:r>
      <w:r>
        <w:rPr>
          <w:rFonts w:hint="eastAsia" w:ascii="仿宋" w:hAnsi="仿宋" w:eastAsia="仿宋" w:cs="仿宋"/>
          <w:sz w:val="32"/>
          <w:szCs w:val="32"/>
          <w:lang w:eastAsia="zh-CN"/>
        </w:rPr>
        <w:t>信用信息</w:t>
      </w:r>
      <w:r>
        <w:rPr>
          <w:rFonts w:hint="eastAsia" w:ascii="仿宋" w:hAnsi="仿宋" w:eastAsia="仿宋" w:cs="仿宋"/>
          <w:kern w:val="0"/>
          <w:sz w:val="32"/>
          <w:szCs w:val="32"/>
        </w:rPr>
        <w:t>，系指对建筑市场责任主体违反</w:t>
      </w:r>
      <w:r>
        <w:rPr>
          <w:rFonts w:hint="eastAsia" w:ascii="仿宋" w:hAnsi="仿宋" w:eastAsia="仿宋" w:cs="仿宋"/>
          <w:kern w:val="0"/>
          <w:sz w:val="32"/>
          <w:szCs w:val="32"/>
          <w:lang w:val="en-US" w:eastAsia="zh-CN"/>
        </w:rPr>
        <w:t>现行有效</w:t>
      </w:r>
      <w:r>
        <w:rPr>
          <w:rFonts w:hint="eastAsia" w:ascii="仿宋" w:hAnsi="仿宋" w:eastAsia="仿宋" w:cs="仿宋"/>
          <w:kern w:val="0"/>
          <w:sz w:val="32"/>
          <w:szCs w:val="32"/>
        </w:rPr>
        <w:t>法律、法规、规章和</w:t>
      </w:r>
      <w:r>
        <w:rPr>
          <w:rFonts w:hint="eastAsia" w:ascii="仿宋" w:hAnsi="仿宋" w:eastAsia="仿宋" w:cs="仿宋"/>
          <w:kern w:val="0"/>
          <w:sz w:val="32"/>
          <w:szCs w:val="32"/>
          <w:lang w:eastAsia="zh-CN"/>
        </w:rPr>
        <w:t>工程建设强制性标准</w:t>
      </w:r>
      <w:r>
        <w:rPr>
          <w:rFonts w:hint="eastAsia" w:ascii="仿宋" w:hAnsi="仿宋" w:eastAsia="仿宋" w:cs="仿宋"/>
          <w:color w:val="auto"/>
          <w:kern w:val="0"/>
          <w:sz w:val="32"/>
          <w:szCs w:val="32"/>
          <w:highlight w:val="none"/>
          <w:lang w:eastAsia="zh-CN"/>
        </w:rPr>
        <w:t>等</w:t>
      </w:r>
      <w:r>
        <w:rPr>
          <w:rFonts w:hint="eastAsia" w:ascii="仿宋" w:hAnsi="仿宋" w:eastAsia="仿宋" w:cs="仿宋"/>
          <w:kern w:val="0"/>
          <w:sz w:val="32"/>
          <w:szCs w:val="32"/>
        </w:rPr>
        <w:t>从事建筑及相关活</w:t>
      </w:r>
      <w:r>
        <w:rPr>
          <w:rFonts w:hint="eastAsia" w:ascii="仿宋" w:hAnsi="仿宋" w:eastAsia="仿宋" w:cs="仿宋"/>
          <w:kern w:val="0"/>
          <w:sz w:val="32"/>
          <w:szCs w:val="32"/>
          <w:lang w:eastAsia="zh-CN"/>
        </w:rPr>
        <w:t>动</w:t>
      </w:r>
      <w:r>
        <w:rPr>
          <w:rFonts w:hint="eastAsia" w:ascii="仿宋" w:hAnsi="仿宋" w:eastAsia="仿宋" w:cs="仿宋"/>
          <w:kern w:val="0"/>
          <w:sz w:val="32"/>
          <w:szCs w:val="32"/>
        </w:rPr>
        <w:t>信息。</w:t>
      </w:r>
    </w:p>
    <w:p>
      <w:pPr>
        <w:widowControl/>
        <w:numPr>
          <w:ilvl w:val="0"/>
          <w:numId w:val="2"/>
        </w:num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lang w:eastAsia="zh-CN"/>
        </w:rPr>
        <w:t>认定不良信用信息必须以具有法律效力的文书为依据，可认定的依据包括：生效的司法裁判文书、仲裁文书、行政处罚、责令整改通知书等行政行为</w:t>
      </w:r>
      <w:r>
        <w:rPr>
          <w:rFonts w:hint="eastAsia" w:ascii="仿宋" w:hAnsi="仿宋" w:eastAsia="仿宋" w:cs="仿宋"/>
          <w:kern w:val="0"/>
          <w:sz w:val="32"/>
          <w:szCs w:val="32"/>
          <w:lang w:val="en-US" w:eastAsia="zh-CN"/>
        </w:rPr>
        <w:t>决定文书以及法律、法规或党中央、国务院政策文件规定可作为认定依据的其他文书。</w:t>
      </w:r>
    </w:p>
    <w:p>
      <w:pPr>
        <w:widowControl/>
        <w:numPr>
          <w:ilvl w:val="0"/>
          <w:numId w:val="2"/>
        </w:num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凡注册地在</w:t>
      </w:r>
      <w:r>
        <w:rPr>
          <w:rFonts w:hint="eastAsia" w:ascii="仿宋" w:hAnsi="仿宋" w:eastAsia="仿宋" w:cs="仿宋"/>
          <w:kern w:val="0"/>
          <w:sz w:val="32"/>
          <w:szCs w:val="32"/>
          <w:lang w:eastAsia="zh-CN"/>
        </w:rPr>
        <w:t>四川</w:t>
      </w:r>
      <w:r>
        <w:rPr>
          <w:rFonts w:hint="eastAsia" w:ascii="仿宋" w:hAnsi="仿宋" w:eastAsia="仿宋" w:cs="仿宋"/>
          <w:kern w:val="0"/>
          <w:sz w:val="32"/>
          <w:szCs w:val="32"/>
        </w:rPr>
        <w:t>省的建筑市场责任主体，及在</w:t>
      </w:r>
      <w:r>
        <w:rPr>
          <w:rFonts w:hint="eastAsia" w:ascii="仿宋" w:hAnsi="仿宋" w:eastAsia="仿宋" w:cs="仿宋"/>
          <w:kern w:val="0"/>
          <w:sz w:val="32"/>
          <w:szCs w:val="32"/>
          <w:lang w:eastAsia="zh-CN"/>
        </w:rPr>
        <w:t>四川</w:t>
      </w:r>
      <w:r>
        <w:rPr>
          <w:rFonts w:hint="eastAsia" w:ascii="仿宋" w:hAnsi="仿宋" w:eastAsia="仿宋" w:cs="仿宋"/>
          <w:kern w:val="0"/>
          <w:sz w:val="32"/>
          <w:szCs w:val="32"/>
        </w:rPr>
        <w:t>省</w:t>
      </w:r>
      <w:r>
        <w:rPr>
          <w:rFonts w:hint="eastAsia" w:ascii="仿宋" w:hAnsi="仿宋" w:eastAsia="仿宋" w:cs="仿宋"/>
          <w:kern w:val="0"/>
          <w:sz w:val="32"/>
          <w:szCs w:val="32"/>
          <w:lang w:eastAsia="zh-CN"/>
        </w:rPr>
        <w:t>内</w:t>
      </w:r>
      <w:r>
        <w:rPr>
          <w:rFonts w:hint="eastAsia" w:ascii="仿宋" w:hAnsi="仿宋" w:eastAsia="仿宋" w:cs="仿宋"/>
          <w:kern w:val="0"/>
          <w:sz w:val="32"/>
          <w:szCs w:val="32"/>
        </w:rPr>
        <w:t>从事建筑相关活动的</w:t>
      </w:r>
      <w:r>
        <w:rPr>
          <w:rFonts w:hint="eastAsia" w:ascii="仿宋" w:hAnsi="仿宋" w:eastAsia="仿宋" w:cs="仿宋"/>
          <w:kern w:val="0"/>
          <w:sz w:val="32"/>
          <w:szCs w:val="32"/>
          <w:lang w:val="en-US" w:eastAsia="zh-CN"/>
        </w:rPr>
        <w:t>省外</w:t>
      </w:r>
      <w:r>
        <w:rPr>
          <w:rFonts w:hint="eastAsia" w:ascii="仿宋" w:hAnsi="仿宋" w:eastAsia="仿宋" w:cs="仿宋"/>
          <w:kern w:val="0"/>
          <w:sz w:val="32"/>
          <w:szCs w:val="32"/>
        </w:rPr>
        <w:t>建筑市场责任主体，依法建立信用档案。不良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是信用档案的重要组成部分，是各级住房城乡建设行政主管部门对其实行动态管理和</w:t>
      </w:r>
      <w:r>
        <w:rPr>
          <w:rFonts w:hint="eastAsia" w:ascii="仿宋" w:hAnsi="仿宋" w:eastAsia="仿宋" w:cs="仿宋"/>
          <w:kern w:val="0"/>
          <w:sz w:val="32"/>
          <w:szCs w:val="32"/>
          <w:lang w:eastAsia="zh-CN"/>
        </w:rPr>
        <w:t>信用监管</w:t>
      </w:r>
      <w:r>
        <w:rPr>
          <w:rFonts w:hint="eastAsia" w:ascii="仿宋" w:hAnsi="仿宋" w:eastAsia="仿宋" w:cs="仿宋"/>
          <w:kern w:val="0"/>
          <w:sz w:val="32"/>
          <w:szCs w:val="32"/>
        </w:rPr>
        <w:t>的</w:t>
      </w:r>
      <w:r>
        <w:rPr>
          <w:rFonts w:hint="eastAsia" w:ascii="仿宋" w:hAnsi="仿宋" w:eastAsia="仿宋" w:cs="仿宋"/>
          <w:kern w:val="0"/>
          <w:sz w:val="32"/>
          <w:szCs w:val="32"/>
          <w:lang w:eastAsia="zh-CN"/>
        </w:rPr>
        <w:t>重要</w:t>
      </w:r>
      <w:r>
        <w:rPr>
          <w:rFonts w:hint="eastAsia" w:ascii="仿宋" w:hAnsi="仿宋" w:eastAsia="仿宋" w:cs="仿宋"/>
          <w:kern w:val="0"/>
          <w:sz w:val="32"/>
          <w:szCs w:val="32"/>
        </w:rPr>
        <w:t>依据。</w:t>
      </w:r>
    </w:p>
    <w:p>
      <w:pPr>
        <w:widowControl/>
        <w:ind w:firstLine="640" w:firstLineChars="200"/>
        <w:jc w:val="left"/>
        <w:rPr>
          <w:rFonts w:hint="default" w:ascii="Times New Roman" w:hAnsi="Times New Roman" w:eastAsia="仿宋_GB2312" w:cs="Times New Roman"/>
          <w:kern w:val="0"/>
          <w:sz w:val="32"/>
          <w:szCs w:val="32"/>
        </w:rPr>
      </w:pPr>
    </w:p>
    <w:p>
      <w:pPr>
        <w:widowControl/>
        <w:numPr>
          <w:ilvl w:val="0"/>
          <w:numId w:val="1"/>
        </w:numPr>
        <w:ind w:left="1080" w:hanging="1080" w:firstLineChars="0"/>
        <w:jc w:val="center"/>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 xml:space="preserve"> 不良</w:t>
      </w:r>
      <w:r>
        <w:rPr>
          <w:rFonts w:hint="eastAsia" w:ascii="Times New Roman" w:hAnsi="Times New Roman" w:eastAsia="黑体" w:cs="Times New Roman"/>
          <w:kern w:val="0"/>
          <w:sz w:val="32"/>
          <w:szCs w:val="32"/>
          <w:lang w:val="en-US" w:eastAsia="zh-CN" w:bidi="ar-SA"/>
        </w:rPr>
        <w:t>信用信息</w:t>
      </w:r>
      <w:r>
        <w:rPr>
          <w:rFonts w:hint="default" w:ascii="Times New Roman" w:hAnsi="Times New Roman" w:eastAsia="黑体" w:cs="Times New Roman"/>
          <w:kern w:val="0"/>
          <w:sz w:val="32"/>
          <w:szCs w:val="32"/>
          <w:lang w:val="en-US" w:eastAsia="zh-CN" w:bidi="ar-SA"/>
        </w:rPr>
        <w:t>的</w:t>
      </w:r>
      <w:r>
        <w:rPr>
          <w:rFonts w:hint="eastAsia" w:ascii="Times New Roman" w:hAnsi="Times New Roman" w:eastAsia="黑体" w:cs="Times New Roman"/>
          <w:kern w:val="0"/>
          <w:sz w:val="32"/>
          <w:szCs w:val="32"/>
          <w:lang w:val="en-US" w:eastAsia="zh-CN" w:bidi="ar-SA"/>
        </w:rPr>
        <w:t>认定、记录</w:t>
      </w:r>
      <w:r>
        <w:rPr>
          <w:rFonts w:hint="default" w:ascii="Times New Roman" w:hAnsi="Times New Roman" w:eastAsia="黑体" w:cs="Times New Roman"/>
          <w:kern w:val="0"/>
          <w:sz w:val="32"/>
          <w:szCs w:val="32"/>
          <w:lang w:val="en-US" w:eastAsia="zh-CN" w:bidi="ar-SA"/>
        </w:rPr>
        <w:t>、</w:t>
      </w:r>
      <w:r>
        <w:rPr>
          <w:rFonts w:hint="eastAsia" w:ascii="Times New Roman" w:hAnsi="Times New Roman" w:eastAsia="黑体" w:cs="Times New Roman"/>
          <w:kern w:val="0"/>
          <w:sz w:val="32"/>
          <w:szCs w:val="32"/>
          <w:lang w:val="en-US" w:eastAsia="zh-CN" w:bidi="ar-SA"/>
        </w:rPr>
        <w:t>修正</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strike w:val="0"/>
          <w:dstrike w:val="0"/>
          <w:color w:val="auto"/>
          <w:kern w:val="0"/>
          <w:sz w:val="32"/>
          <w:szCs w:val="32"/>
        </w:rPr>
        <w:t>第</w:t>
      </w:r>
      <w:r>
        <w:rPr>
          <w:rFonts w:hint="eastAsia" w:ascii="仿宋" w:hAnsi="仿宋" w:eastAsia="仿宋" w:cs="仿宋"/>
          <w:strike w:val="0"/>
          <w:dstrike w:val="0"/>
          <w:color w:val="auto"/>
          <w:kern w:val="0"/>
          <w:sz w:val="32"/>
          <w:szCs w:val="32"/>
          <w:lang w:eastAsia="zh-CN"/>
        </w:rPr>
        <w:t>五</w:t>
      </w:r>
      <w:r>
        <w:rPr>
          <w:rFonts w:hint="eastAsia" w:ascii="仿宋" w:hAnsi="仿宋" w:eastAsia="仿宋" w:cs="仿宋"/>
          <w:strike w:val="0"/>
          <w:dstrike w:val="0"/>
          <w:color w:val="auto"/>
          <w:kern w:val="0"/>
          <w:sz w:val="32"/>
          <w:szCs w:val="32"/>
        </w:rPr>
        <w:t>条</w:t>
      </w:r>
      <w:r>
        <w:rPr>
          <w:rFonts w:hint="eastAsia" w:ascii="仿宋" w:hAnsi="仿宋" w:eastAsia="仿宋" w:cs="仿宋"/>
          <w:strike w:val="0"/>
          <w:dstrike w:val="0"/>
          <w:color w:val="auto"/>
          <w:kern w:val="0"/>
          <w:sz w:val="32"/>
          <w:szCs w:val="32"/>
          <w:lang w:val="en-US" w:eastAsia="zh-CN"/>
        </w:rPr>
        <w:t xml:space="preserve">  </w:t>
      </w:r>
      <w:r>
        <w:rPr>
          <w:rFonts w:hint="eastAsia" w:ascii="仿宋" w:hAnsi="仿宋" w:eastAsia="仿宋" w:cs="仿宋"/>
          <w:sz w:val="32"/>
          <w:szCs w:val="32"/>
        </w:rPr>
        <w:t>建筑市场责任主体的不良</w:t>
      </w:r>
      <w:r>
        <w:rPr>
          <w:rFonts w:hint="eastAsia" w:ascii="仿宋" w:hAnsi="仿宋" w:eastAsia="仿宋" w:cs="仿宋"/>
          <w:kern w:val="0"/>
          <w:sz w:val="32"/>
          <w:szCs w:val="32"/>
          <w:lang w:eastAsia="zh-CN"/>
        </w:rPr>
        <w:t>信用信息</w:t>
      </w:r>
      <w:r>
        <w:rPr>
          <w:rFonts w:hint="eastAsia" w:ascii="仿宋" w:hAnsi="仿宋" w:eastAsia="仿宋" w:cs="仿宋"/>
          <w:sz w:val="32"/>
          <w:szCs w:val="32"/>
        </w:rPr>
        <w:t>由住房城乡建设主管部门记录和管理，根据企业不良</w:t>
      </w:r>
      <w:r>
        <w:rPr>
          <w:rFonts w:hint="eastAsia" w:ascii="仿宋" w:hAnsi="仿宋" w:eastAsia="仿宋" w:cs="仿宋"/>
          <w:kern w:val="0"/>
          <w:sz w:val="32"/>
          <w:szCs w:val="32"/>
          <w:lang w:eastAsia="zh-CN"/>
        </w:rPr>
        <w:t>信用信息</w:t>
      </w:r>
      <w:r>
        <w:rPr>
          <w:rFonts w:hint="eastAsia" w:ascii="仿宋" w:hAnsi="仿宋" w:eastAsia="仿宋" w:cs="仿宋"/>
          <w:sz w:val="32"/>
          <w:szCs w:val="32"/>
        </w:rPr>
        <w:t>记录情况实时更新。各</w:t>
      </w:r>
      <w:r>
        <w:rPr>
          <w:rFonts w:hint="eastAsia" w:ascii="仿宋" w:hAnsi="仿宋" w:eastAsia="仿宋" w:cs="仿宋"/>
          <w:kern w:val="0"/>
          <w:sz w:val="32"/>
          <w:szCs w:val="32"/>
        </w:rPr>
        <w:t>市（州）、县（市、区）住房城乡建设行政主管部门应及时将相关单位在本区域的不良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书面告知当事人，并统一在住房城乡建设厅网站上</w:t>
      </w:r>
      <w:r>
        <w:rPr>
          <w:rFonts w:hint="eastAsia" w:ascii="仿宋" w:hAnsi="仿宋" w:eastAsia="仿宋" w:cs="仿宋"/>
          <w:sz w:val="32"/>
          <w:szCs w:val="32"/>
        </w:rPr>
        <w:t>“四川省建筑市场</w:t>
      </w:r>
      <w:r>
        <w:rPr>
          <w:rFonts w:hint="eastAsia" w:ascii="仿宋" w:hAnsi="仿宋" w:eastAsia="仿宋" w:cs="仿宋"/>
          <w:sz w:val="32"/>
          <w:szCs w:val="32"/>
          <w:lang w:val="en-US" w:eastAsia="zh-CN"/>
        </w:rPr>
        <w:t>监管公共服务</w:t>
      </w:r>
      <w:r>
        <w:rPr>
          <w:rFonts w:hint="eastAsia" w:ascii="仿宋" w:hAnsi="仿宋" w:eastAsia="仿宋" w:cs="仿宋"/>
          <w:sz w:val="32"/>
          <w:szCs w:val="32"/>
        </w:rPr>
        <w:t>平台”</w:t>
      </w:r>
      <w:r>
        <w:rPr>
          <w:rFonts w:hint="eastAsia" w:ascii="仿宋" w:hAnsi="仿宋" w:eastAsia="仿宋" w:cs="仿宋"/>
          <w:kern w:val="0"/>
          <w:sz w:val="32"/>
          <w:szCs w:val="32"/>
        </w:rPr>
        <w:t>公布。</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w:t>
      </w:r>
      <w:r>
        <w:rPr>
          <w:rFonts w:hint="eastAsia" w:ascii="仿宋" w:hAnsi="仿宋" w:eastAsia="仿宋" w:cs="仿宋"/>
          <w:kern w:val="0"/>
          <w:sz w:val="32"/>
          <w:szCs w:val="32"/>
          <w:lang w:eastAsia="zh-CN"/>
        </w:rPr>
        <w:t>六</w:t>
      </w:r>
      <w:r>
        <w:rPr>
          <w:rFonts w:hint="eastAsia" w:ascii="仿宋" w:hAnsi="仿宋" w:eastAsia="仿宋" w:cs="仿宋"/>
          <w:kern w:val="0"/>
          <w:sz w:val="32"/>
          <w:szCs w:val="32"/>
        </w:rPr>
        <w:t>条  四川省建筑市场责任主体不良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公布期限为12个月，自该不良</w:t>
      </w:r>
      <w:r>
        <w:rPr>
          <w:rFonts w:hint="eastAsia" w:ascii="仿宋" w:hAnsi="仿宋" w:eastAsia="仿宋" w:cs="仿宋"/>
          <w:kern w:val="0"/>
          <w:sz w:val="32"/>
          <w:szCs w:val="32"/>
          <w:lang w:eastAsia="zh-CN"/>
        </w:rPr>
        <w:t>信用信息记录</w:t>
      </w:r>
      <w:r>
        <w:rPr>
          <w:rFonts w:hint="eastAsia" w:ascii="仿宋" w:hAnsi="仿宋" w:eastAsia="仿宋" w:cs="仿宋"/>
          <w:kern w:val="0"/>
          <w:sz w:val="32"/>
          <w:szCs w:val="32"/>
        </w:rPr>
        <w:t>之日起开始计算。</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w:t>
      </w:r>
      <w:r>
        <w:rPr>
          <w:rFonts w:hint="eastAsia" w:ascii="仿宋" w:hAnsi="仿宋" w:eastAsia="仿宋" w:cs="仿宋"/>
          <w:kern w:val="0"/>
          <w:sz w:val="32"/>
          <w:szCs w:val="32"/>
          <w:lang w:val="en-US" w:eastAsia="zh-CN"/>
        </w:rPr>
        <w:t>七</w:t>
      </w:r>
      <w:r>
        <w:rPr>
          <w:rFonts w:hint="eastAsia" w:ascii="仿宋" w:hAnsi="仿宋" w:eastAsia="仿宋" w:cs="仿宋"/>
          <w:kern w:val="0"/>
          <w:sz w:val="32"/>
          <w:szCs w:val="32"/>
        </w:rPr>
        <w:t>条  各级住房城乡建设行政主管部门负责建筑市场责任主体不良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记录的管理工作。省、市（州）、县（市、区）住房城乡建设主管部门按行政管理权限负责有关不良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的</w:t>
      </w:r>
      <w:r>
        <w:rPr>
          <w:rFonts w:hint="eastAsia" w:ascii="仿宋" w:hAnsi="仿宋" w:eastAsia="仿宋" w:cs="仿宋"/>
          <w:kern w:val="0"/>
          <w:sz w:val="32"/>
          <w:szCs w:val="32"/>
          <w:lang w:eastAsia="zh-CN"/>
        </w:rPr>
        <w:t>认定、记录</w:t>
      </w:r>
      <w:r>
        <w:rPr>
          <w:rFonts w:hint="eastAsia" w:ascii="仿宋" w:hAnsi="仿宋" w:eastAsia="仿宋" w:cs="仿宋"/>
          <w:kern w:val="0"/>
          <w:sz w:val="32"/>
          <w:szCs w:val="32"/>
        </w:rPr>
        <w:t>，由住房城乡建设行政主管部门的业务职能部门分别负责实施。</w:t>
      </w:r>
    </w:p>
    <w:p>
      <w:pPr>
        <w:ind w:firstLine="480" w:firstLineChars="15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第</w:t>
      </w:r>
      <w:r>
        <w:rPr>
          <w:rFonts w:hint="eastAsia" w:ascii="仿宋" w:hAnsi="仿宋" w:eastAsia="仿宋" w:cs="仿宋"/>
          <w:kern w:val="0"/>
          <w:sz w:val="32"/>
          <w:szCs w:val="32"/>
          <w:lang w:eastAsia="zh-CN"/>
        </w:rPr>
        <w:t>八</w:t>
      </w:r>
      <w:r>
        <w:rPr>
          <w:rFonts w:hint="eastAsia" w:ascii="仿宋" w:hAnsi="仿宋" w:eastAsia="仿宋" w:cs="仿宋"/>
          <w:kern w:val="0"/>
          <w:sz w:val="32"/>
          <w:szCs w:val="32"/>
        </w:rPr>
        <w:t>条  四川省建筑市场责任主体不良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记录按《四川省建筑市场责任主体不良</w:t>
      </w:r>
      <w:r>
        <w:rPr>
          <w:rFonts w:hint="eastAsia" w:ascii="仿宋" w:hAnsi="仿宋" w:eastAsia="仿宋" w:cs="仿宋"/>
          <w:kern w:val="0"/>
          <w:sz w:val="32"/>
          <w:szCs w:val="32"/>
          <w:lang w:eastAsia="zh-CN"/>
        </w:rPr>
        <w:t>信用信息扣分</w:t>
      </w:r>
      <w:r>
        <w:rPr>
          <w:rFonts w:hint="eastAsia" w:ascii="仿宋" w:hAnsi="仿宋" w:eastAsia="仿宋" w:cs="仿宋"/>
          <w:kern w:val="0"/>
          <w:sz w:val="32"/>
          <w:szCs w:val="32"/>
        </w:rPr>
        <w:t>标准》（见附件）实施。</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w:t>
      </w:r>
      <w:r>
        <w:rPr>
          <w:rFonts w:hint="eastAsia" w:ascii="仿宋" w:hAnsi="仿宋" w:eastAsia="仿宋" w:cs="仿宋"/>
          <w:kern w:val="0"/>
          <w:sz w:val="32"/>
          <w:szCs w:val="32"/>
          <w:lang w:eastAsia="zh-CN"/>
        </w:rPr>
        <w:t>九</w:t>
      </w:r>
      <w:r>
        <w:rPr>
          <w:rFonts w:hint="eastAsia" w:ascii="仿宋" w:hAnsi="仿宋" w:eastAsia="仿宋" w:cs="仿宋"/>
          <w:kern w:val="0"/>
          <w:sz w:val="32"/>
          <w:szCs w:val="32"/>
        </w:rPr>
        <w:t>条  勘察、设计、施工、工程监理、建筑起重机械租赁安拆使用</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工程质量检测、施工图审查等单位及注册执业(从业)人员</w:t>
      </w:r>
      <w:r>
        <w:rPr>
          <w:rFonts w:hint="eastAsia" w:ascii="仿宋" w:hAnsi="仿宋" w:eastAsia="仿宋" w:cs="仿宋"/>
          <w:kern w:val="0"/>
          <w:sz w:val="32"/>
          <w:szCs w:val="32"/>
          <w:lang w:eastAsia="zh-CN"/>
        </w:rPr>
        <w:t>的信用</w:t>
      </w:r>
      <w:r>
        <w:rPr>
          <w:rFonts w:hint="eastAsia" w:ascii="仿宋" w:hAnsi="仿宋" w:eastAsia="仿宋" w:cs="仿宋"/>
          <w:kern w:val="0"/>
          <w:sz w:val="32"/>
          <w:szCs w:val="32"/>
        </w:rPr>
        <w:t>基准值总分为100分。其不良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一经</w:t>
      </w:r>
      <w:r>
        <w:rPr>
          <w:rFonts w:hint="eastAsia" w:ascii="仿宋" w:hAnsi="仿宋" w:eastAsia="仿宋" w:cs="仿宋"/>
          <w:kern w:val="0"/>
          <w:sz w:val="32"/>
          <w:szCs w:val="32"/>
          <w:lang w:eastAsia="zh-CN"/>
        </w:rPr>
        <w:t>记录</w:t>
      </w:r>
      <w:r>
        <w:rPr>
          <w:rFonts w:hint="eastAsia" w:ascii="仿宋" w:hAnsi="仿宋" w:eastAsia="仿宋" w:cs="仿宋"/>
          <w:kern w:val="0"/>
          <w:sz w:val="32"/>
          <w:szCs w:val="32"/>
        </w:rPr>
        <w:t>，按每</w:t>
      </w:r>
      <w:r>
        <w:rPr>
          <w:rFonts w:hint="eastAsia" w:ascii="仿宋" w:hAnsi="仿宋" w:eastAsia="仿宋" w:cs="仿宋"/>
          <w:kern w:val="0"/>
          <w:sz w:val="32"/>
          <w:szCs w:val="32"/>
          <w:lang w:eastAsia="zh-CN"/>
        </w:rPr>
        <w:t>认定</w:t>
      </w:r>
      <w:r>
        <w:rPr>
          <w:rFonts w:hint="eastAsia" w:ascii="仿宋" w:hAnsi="仿宋" w:eastAsia="仿宋" w:cs="仿宋"/>
          <w:kern w:val="0"/>
          <w:sz w:val="32"/>
          <w:szCs w:val="32"/>
        </w:rPr>
        <w:t>一次（件）扣减相关条款分值。</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w:t>
      </w:r>
      <w:r>
        <w:rPr>
          <w:rFonts w:hint="eastAsia" w:ascii="仿宋" w:hAnsi="仿宋" w:eastAsia="仿宋" w:cs="仿宋"/>
          <w:kern w:val="0"/>
          <w:sz w:val="32"/>
          <w:szCs w:val="32"/>
          <w:lang w:val="en-US" w:eastAsia="zh-CN"/>
        </w:rPr>
        <w:t>十</w:t>
      </w:r>
      <w:r>
        <w:rPr>
          <w:rFonts w:hint="eastAsia" w:ascii="仿宋" w:hAnsi="仿宋" w:eastAsia="仿宋" w:cs="仿宋"/>
          <w:kern w:val="0"/>
          <w:sz w:val="32"/>
          <w:szCs w:val="32"/>
        </w:rPr>
        <w:t>条  同一企业分别以多个责任主体从事建筑活动的，其不良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扣分分值累计扣减。</w:t>
      </w:r>
    </w:p>
    <w:p>
      <w:pPr>
        <w:widowControl/>
        <w:ind w:firstLine="640" w:firstLineChars="200"/>
        <w:jc w:val="left"/>
        <w:rPr>
          <w:rFonts w:hint="eastAsia" w:ascii="仿宋" w:hAnsi="仿宋" w:eastAsia="仿宋" w:cs="仿宋"/>
          <w:b/>
          <w:bCs/>
          <w:sz w:val="32"/>
          <w:szCs w:val="32"/>
        </w:rPr>
      </w:pPr>
      <w:r>
        <w:rPr>
          <w:rFonts w:hint="eastAsia" w:ascii="仿宋" w:hAnsi="仿宋" w:eastAsia="仿宋" w:cs="仿宋"/>
          <w:kern w:val="0"/>
          <w:sz w:val="32"/>
          <w:szCs w:val="32"/>
        </w:rPr>
        <w:t>第十</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条  住房城乡建设厅建立不良</w:t>
      </w:r>
      <w:r>
        <w:rPr>
          <w:rFonts w:hint="eastAsia" w:ascii="仿宋" w:hAnsi="仿宋" w:eastAsia="仿宋" w:cs="仿宋"/>
          <w:kern w:val="0"/>
          <w:sz w:val="32"/>
          <w:szCs w:val="32"/>
          <w:lang w:eastAsia="zh-CN"/>
        </w:rPr>
        <w:t>信用信息修正</w:t>
      </w:r>
      <w:r>
        <w:rPr>
          <w:rFonts w:hint="eastAsia" w:ascii="仿宋" w:hAnsi="仿宋" w:eastAsia="仿宋" w:cs="仿宋"/>
          <w:kern w:val="0"/>
          <w:sz w:val="32"/>
          <w:szCs w:val="32"/>
        </w:rPr>
        <w:t>机制，保证信息客观、准确。不良</w:t>
      </w:r>
      <w:r>
        <w:rPr>
          <w:rFonts w:hint="eastAsia" w:ascii="仿宋" w:hAnsi="仿宋" w:eastAsia="仿宋" w:cs="仿宋"/>
          <w:kern w:val="0"/>
          <w:sz w:val="32"/>
          <w:szCs w:val="32"/>
          <w:lang w:eastAsia="zh-CN"/>
        </w:rPr>
        <w:t>信用信息修正</w:t>
      </w:r>
      <w:r>
        <w:rPr>
          <w:rFonts w:hint="eastAsia" w:ascii="仿宋" w:hAnsi="仿宋" w:eastAsia="仿宋" w:cs="仿宋"/>
          <w:kern w:val="0"/>
          <w:sz w:val="32"/>
          <w:szCs w:val="32"/>
        </w:rPr>
        <w:t>机制是指</w:t>
      </w:r>
      <w:r>
        <w:rPr>
          <w:rFonts w:hint="eastAsia" w:ascii="仿宋" w:hAnsi="仿宋" w:eastAsia="仿宋" w:cs="仿宋"/>
          <w:kern w:val="0"/>
          <w:sz w:val="32"/>
          <w:szCs w:val="32"/>
          <w:lang w:eastAsia="zh-CN"/>
        </w:rPr>
        <w:t>不良信用信息记录认定所依据的行政决定</w:t>
      </w:r>
      <w:r>
        <w:rPr>
          <w:rFonts w:hint="eastAsia" w:ascii="仿宋" w:hAnsi="仿宋" w:eastAsia="仿宋" w:cs="仿宋"/>
          <w:kern w:val="0"/>
          <w:sz w:val="32"/>
          <w:szCs w:val="32"/>
        </w:rPr>
        <w:t>因当事人申诉、行</w:t>
      </w:r>
      <w:r>
        <w:rPr>
          <w:rFonts w:hint="eastAsia" w:ascii="仿宋" w:hAnsi="仿宋" w:eastAsia="仿宋" w:cs="仿宋"/>
          <w:color w:val="auto"/>
          <w:kern w:val="0"/>
          <w:sz w:val="32"/>
          <w:szCs w:val="32"/>
        </w:rPr>
        <w:t>政复议、行政诉讼被确认后</w:t>
      </w:r>
      <w:r>
        <w:rPr>
          <w:rFonts w:hint="eastAsia" w:ascii="仿宋" w:hAnsi="仿宋" w:eastAsia="仿宋" w:cs="仿宋"/>
          <w:color w:val="auto"/>
          <w:kern w:val="0"/>
          <w:sz w:val="32"/>
          <w:szCs w:val="32"/>
          <w:lang w:eastAsia="zh-CN"/>
        </w:rPr>
        <w:t>效力发生变化的，</w:t>
      </w:r>
      <w:r>
        <w:rPr>
          <w:rFonts w:hint="eastAsia" w:ascii="仿宋" w:hAnsi="仿宋" w:eastAsia="仿宋" w:cs="仿宋"/>
          <w:color w:val="auto"/>
          <w:kern w:val="0"/>
          <w:sz w:val="32"/>
          <w:szCs w:val="32"/>
        </w:rPr>
        <w:t>对</w:t>
      </w:r>
      <w:r>
        <w:rPr>
          <w:rFonts w:hint="eastAsia" w:ascii="仿宋" w:hAnsi="仿宋" w:eastAsia="仿宋" w:cs="仿宋"/>
          <w:color w:val="auto"/>
          <w:kern w:val="0"/>
          <w:sz w:val="32"/>
          <w:szCs w:val="32"/>
          <w:lang w:eastAsia="zh-CN"/>
        </w:rPr>
        <w:t>已经发布的不良</w:t>
      </w:r>
      <w:r>
        <w:rPr>
          <w:rFonts w:hint="eastAsia" w:ascii="仿宋" w:hAnsi="仿宋" w:eastAsia="仿宋" w:cs="仿宋"/>
          <w:kern w:val="0"/>
          <w:sz w:val="32"/>
          <w:szCs w:val="32"/>
          <w:lang w:eastAsia="zh-CN"/>
        </w:rPr>
        <w:t>信用信息</w:t>
      </w:r>
      <w:r>
        <w:rPr>
          <w:rFonts w:hint="eastAsia" w:ascii="仿宋" w:hAnsi="仿宋" w:eastAsia="仿宋" w:cs="仿宋"/>
          <w:color w:val="auto"/>
          <w:kern w:val="0"/>
          <w:sz w:val="32"/>
          <w:szCs w:val="32"/>
          <w:lang w:eastAsia="zh-CN"/>
        </w:rPr>
        <w:t>记录</w:t>
      </w:r>
      <w:r>
        <w:rPr>
          <w:rFonts w:hint="eastAsia" w:ascii="仿宋" w:hAnsi="仿宋" w:eastAsia="仿宋" w:cs="仿宋"/>
          <w:color w:val="auto"/>
          <w:kern w:val="0"/>
          <w:sz w:val="32"/>
          <w:szCs w:val="32"/>
        </w:rPr>
        <w:t>进行修正，或根据已公布不良</w:t>
      </w:r>
      <w:r>
        <w:rPr>
          <w:rFonts w:hint="eastAsia" w:ascii="仿宋" w:hAnsi="仿宋" w:eastAsia="仿宋" w:cs="仿宋"/>
          <w:kern w:val="0"/>
          <w:sz w:val="32"/>
          <w:szCs w:val="32"/>
          <w:lang w:eastAsia="zh-CN"/>
        </w:rPr>
        <w:t>信用信息</w:t>
      </w:r>
      <w:r>
        <w:rPr>
          <w:rFonts w:hint="eastAsia" w:ascii="仿宋" w:hAnsi="仿宋" w:eastAsia="仿宋" w:cs="仿宋"/>
          <w:color w:val="auto"/>
          <w:kern w:val="0"/>
          <w:sz w:val="32"/>
          <w:szCs w:val="32"/>
        </w:rPr>
        <w:t>单位的整改情况对公布期限进行调整。各市（州）、县（市、区）</w:t>
      </w:r>
      <w:r>
        <w:rPr>
          <w:rFonts w:hint="eastAsia" w:ascii="仿宋" w:hAnsi="仿宋" w:eastAsia="仿宋" w:cs="仿宋"/>
          <w:color w:val="auto"/>
          <w:kern w:val="0"/>
          <w:sz w:val="32"/>
          <w:szCs w:val="32"/>
          <w:lang w:val="en-US" w:eastAsia="zh-CN"/>
        </w:rPr>
        <w:t>对</w:t>
      </w:r>
      <w:r>
        <w:rPr>
          <w:rFonts w:hint="eastAsia" w:ascii="仿宋" w:hAnsi="仿宋" w:eastAsia="仿宋" w:cs="仿宋"/>
          <w:color w:val="auto"/>
          <w:kern w:val="0"/>
          <w:sz w:val="32"/>
          <w:szCs w:val="32"/>
        </w:rPr>
        <w:t>建筑市场责任主体不良</w:t>
      </w:r>
      <w:r>
        <w:rPr>
          <w:rFonts w:hint="eastAsia" w:ascii="仿宋" w:hAnsi="仿宋" w:eastAsia="仿宋" w:cs="仿宋"/>
          <w:kern w:val="0"/>
          <w:sz w:val="32"/>
          <w:szCs w:val="32"/>
          <w:lang w:eastAsia="zh-CN"/>
        </w:rPr>
        <w:t>信用信息</w:t>
      </w:r>
      <w:r>
        <w:rPr>
          <w:rFonts w:hint="eastAsia" w:ascii="仿宋" w:hAnsi="仿宋" w:eastAsia="仿宋" w:cs="仿宋"/>
          <w:color w:val="auto"/>
          <w:kern w:val="0"/>
          <w:sz w:val="32"/>
          <w:szCs w:val="32"/>
        </w:rPr>
        <w:t>的修正</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应由作出行政行为的住房城乡建设行政主管</w:t>
      </w:r>
      <w:r>
        <w:rPr>
          <w:rFonts w:hint="eastAsia" w:ascii="仿宋" w:hAnsi="仿宋" w:eastAsia="仿宋" w:cs="仿宋"/>
          <w:color w:val="auto"/>
          <w:kern w:val="0"/>
          <w:sz w:val="32"/>
          <w:szCs w:val="32"/>
          <w:lang w:val="en-US" w:eastAsia="zh-CN"/>
        </w:rPr>
        <w:t>部门</w:t>
      </w:r>
      <w:r>
        <w:rPr>
          <w:rFonts w:hint="eastAsia" w:ascii="仿宋" w:hAnsi="仿宋" w:eastAsia="仿宋" w:cs="仿宋"/>
          <w:color w:val="auto"/>
          <w:kern w:val="0"/>
          <w:sz w:val="32"/>
          <w:szCs w:val="32"/>
        </w:rPr>
        <w:t>出具正式公函，报住房城乡建设厅</w:t>
      </w:r>
      <w:r>
        <w:rPr>
          <w:rFonts w:hint="eastAsia" w:ascii="仿宋" w:hAnsi="仿宋" w:eastAsia="仿宋" w:cs="仿宋"/>
          <w:color w:val="auto"/>
          <w:kern w:val="0"/>
          <w:sz w:val="32"/>
          <w:szCs w:val="32"/>
          <w:lang w:val="en-US" w:eastAsia="zh-CN"/>
        </w:rPr>
        <w:t>确认</w:t>
      </w:r>
      <w:r>
        <w:rPr>
          <w:rFonts w:hint="eastAsia" w:ascii="仿宋" w:hAnsi="仿宋" w:eastAsia="仿宋" w:cs="仿宋"/>
          <w:color w:val="auto"/>
          <w:kern w:val="0"/>
          <w:sz w:val="32"/>
          <w:szCs w:val="32"/>
        </w:rPr>
        <w:t>后，修正或缩短其信息发布期限。</w:t>
      </w:r>
    </w:p>
    <w:p>
      <w:pPr>
        <w:widowControl w:val="0"/>
        <w:spacing w:after="120"/>
        <w:ind w:firstLine="640" w:firstLineChars="200"/>
        <w:jc w:val="both"/>
        <w:rPr>
          <w:rFonts w:hint="default" w:ascii="仿宋" w:hAnsi="仿宋" w:eastAsia="仿宋" w:cs="仿宋"/>
          <w:kern w:val="0"/>
          <w:sz w:val="32"/>
          <w:szCs w:val="32"/>
          <w:u w:val="none"/>
          <w:lang w:val="en-US" w:eastAsia="zh-CN" w:bidi="ar-SA"/>
        </w:rPr>
      </w:pPr>
      <w:r>
        <w:rPr>
          <w:rFonts w:hint="eastAsia" w:ascii="仿宋" w:hAnsi="仿宋" w:eastAsia="仿宋" w:cs="仿宋"/>
          <w:kern w:val="0"/>
          <w:sz w:val="32"/>
          <w:szCs w:val="32"/>
          <w:u w:val="none"/>
          <w:lang w:val="en-US" w:eastAsia="zh-CN" w:bidi="ar-SA"/>
        </w:rPr>
        <w:t>第十二条  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记录期限可根据第十一条相关规定进行修正或缩短。除修正外，不良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记录的最短期限不低于1个月；涉及违反强制性标准的不良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、涉及拖欠农民工工资的不良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最短记录期限不得低于3个月；涉及建筑工程施工发包与承包违法行为的不良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最短记录期限不得低于6个月；涉及质量安全事故的不良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u w:val="none"/>
          <w:lang w:val="en-US" w:eastAsia="zh-CN" w:bidi="ar-SA"/>
        </w:rPr>
        <w:t>最短记录期限不得低于6个月。</w:t>
      </w:r>
    </w:p>
    <w:p>
      <w:pPr>
        <w:widowControl/>
        <w:ind w:firstLine="0" w:firstLineChars="0"/>
        <w:jc w:val="both"/>
        <w:rPr>
          <w:rFonts w:hint="default" w:ascii="Times New Roman" w:hAnsi="Times New Roman" w:eastAsia="黑体" w:cs="Times New Roman"/>
          <w:kern w:val="0"/>
          <w:sz w:val="32"/>
          <w:szCs w:val="32"/>
          <w:lang w:val="en-US" w:eastAsia="zh-CN" w:bidi="ar-SA"/>
        </w:rPr>
      </w:pPr>
    </w:p>
    <w:p>
      <w:pPr>
        <w:widowControl/>
        <w:ind w:firstLine="0" w:firstLineChars="0"/>
        <w:jc w:val="both"/>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 xml:space="preserve">         </w:t>
      </w:r>
      <w:r>
        <w:rPr>
          <w:rFonts w:hint="eastAsia" w:ascii="Times New Roman" w:hAnsi="Times New Roman" w:eastAsia="黑体" w:cs="Times New Roman"/>
          <w:kern w:val="0"/>
          <w:sz w:val="32"/>
          <w:szCs w:val="32"/>
          <w:lang w:val="en-US" w:eastAsia="zh-CN" w:bidi="ar-SA"/>
        </w:rPr>
        <w:t xml:space="preserve"> </w:t>
      </w:r>
      <w:r>
        <w:rPr>
          <w:rFonts w:hint="default" w:ascii="Times New Roman" w:hAnsi="Times New Roman" w:eastAsia="黑体" w:cs="Times New Roman"/>
          <w:kern w:val="0"/>
          <w:sz w:val="32"/>
          <w:szCs w:val="32"/>
          <w:lang w:val="en-US" w:eastAsia="zh-CN" w:bidi="ar-SA"/>
        </w:rPr>
        <w:t>第</w:t>
      </w:r>
      <w:r>
        <w:rPr>
          <w:rFonts w:hint="eastAsia" w:ascii="Times New Roman" w:hAnsi="Times New Roman" w:eastAsia="黑体" w:cs="Times New Roman"/>
          <w:kern w:val="0"/>
          <w:sz w:val="32"/>
          <w:szCs w:val="32"/>
          <w:lang w:val="en-US" w:eastAsia="zh-CN" w:bidi="ar-SA"/>
        </w:rPr>
        <w:t>三</w:t>
      </w:r>
      <w:r>
        <w:rPr>
          <w:rFonts w:hint="default" w:ascii="Times New Roman" w:hAnsi="Times New Roman" w:eastAsia="黑体" w:cs="Times New Roman"/>
          <w:kern w:val="0"/>
          <w:sz w:val="32"/>
          <w:szCs w:val="32"/>
          <w:lang w:val="en-US" w:eastAsia="zh-CN" w:bidi="ar-SA"/>
        </w:rPr>
        <w:t>章 不良信用信息</w:t>
      </w:r>
      <w:r>
        <w:rPr>
          <w:rFonts w:hint="eastAsia" w:ascii="Times New Roman" w:hAnsi="Times New Roman" w:eastAsia="黑体" w:cs="Times New Roman"/>
          <w:kern w:val="0"/>
          <w:sz w:val="32"/>
          <w:szCs w:val="32"/>
          <w:lang w:val="en-US" w:eastAsia="zh-CN" w:bidi="ar-SA"/>
        </w:rPr>
        <w:t>记录结果</w:t>
      </w:r>
      <w:r>
        <w:rPr>
          <w:rFonts w:hint="default" w:ascii="Times New Roman" w:hAnsi="Times New Roman" w:eastAsia="黑体" w:cs="Times New Roman"/>
          <w:kern w:val="0"/>
          <w:sz w:val="32"/>
          <w:szCs w:val="32"/>
          <w:lang w:val="en-US" w:eastAsia="zh-CN" w:bidi="ar-SA"/>
        </w:rPr>
        <w:t>的应用</w:t>
      </w:r>
    </w:p>
    <w:p>
      <w:pPr>
        <w:widowControl/>
        <w:numPr>
          <w:ilvl w:val="0"/>
          <w:numId w:val="0"/>
        </w:numPr>
        <w:ind w:firstLine="640" w:firstLineChars="20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bidi="ar-SA"/>
        </w:rPr>
        <w:t xml:space="preserve">第十三条  </w:t>
      </w:r>
      <w:r>
        <w:rPr>
          <w:rFonts w:hint="eastAsia" w:ascii="仿宋" w:hAnsi="仿宋" w:eastAsia="仿宋" w:cs="仿宋"/>
          <w:color w:val="auto"/>
          <w:kern w:val="0"/>
          <w:sz w:val="32"/>
          <w:szCs w:val="32"/>
          <w:lang w:val="en-US" w:eastAsia="zh-CN"/>
        </w:rPr>
        <w:t>住房城乡建设行政主管部门在实施“双随机、一公开”抽查时，可按照市场主体信用状况采取差异化监管措施，对信用分值低于80分的，加大抽查频次，依法依规实施监管。</w:t>
      </w:r>
    </w:p>
    <w:p>
      <w:pPr>
        <w:widowControl/>
        <w:ind w:firstLine="555"/>
        <w:jc w:val="left"/>
        <w:rPr>
          <w:rFonts w:hint="default" w:ascii="Times New Roman" w:hAnsi="Times New Roman" w:eastAsia="仿宋_GB2312" w:cs="Times New Roman"/>
          <w:kern w:val="0"/>
          <w:sz w:val="32"/>
          <w:szCs w:val="32"/>
        </w:rPr>
      </w:pPr>
    </w:p>
    <w:p>
      <w:pPr>
        <w:widowControl/>
        <w:ind w:firstLine="0" w:firstLineChars="0"/>
        <w:jc w:val="center"/>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第</w:t>
      </w:r>
      <w:r>
        <w:rPr>
          <w:rFonts w:hint="eastAsia" w:ascii="Times New Roman" w:hAnsi="Times New Roman" w:eastAsia="黑体" w:cs="Times New Roman"/>
          <w:kern w:val="0"/>
          <w:sz w:val="32"/>
          <w:szCs w:val="32"/>
          <w:lang w:val="en-US" w:eastAsia="zh-CN" w:bidi="ar-SA"/>
        </w:rPr>
        <w:t>四</w:t>
      </w:r>
      <w:r>
        <w:rPr>
          <w:rFonts w:hint="default" w:ascii="Times New Roman" w:hAnsi="Times New Roman" w:eastAsia="黑体" w:cs="Times New Roman"/>
          <w:kern w:val="0"/>
          <w:sz w:val="32"/>
          <w:szCs w:val="32"/>
          <w:lang w:val="en-US" w:eastAsia="zh-CN" w:bidi="ar-SA"/>
        </w:rPr>
        <w:t>章 附则</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第十</w:t>
      </w:r>
      <w:r>
        <w:rPr>
          <w:rFonts w:hint="eastAsia" w:ascii="仿宋" w:hAnsi="仿宋" w:eastAsia="仿宋" w:cs="仿宋"/>
          <w:kern w:val="0"/>
          <w:sz w:val="32"/>
          <w:szCs w:val="32"/>
          <w:lang w:eastAsia="zh-CN"/>
        </w:rPr>
        <w:t>四</w:t>
      </w:r>
      <w:r>
        <w:rPr>
          <w:rFonts w:hint="eastAsia" w:ascii="仿宋" w:hAnsi="仿宋" w:eastAsia="仿宋" w:cs="仿宋"/>
          <w:kern w:val="0"/>
          <w:sz w:val="32"/>
          <w:szCs w:val="32"/>
        </w:rPr>
        <w:t xml:space="preserve">条  </w:t>
      </w:r>
      <w:r>
        <w:rPr>
          <w:rFonts w:hint="eastAsia" w:ascii="仿宋" w:hAnsi="仿宋" w:eastAsia="仿宋" w:cs="仿宋"/>
          <w:kern w:val="0"/>
          <w:sz w:val="32"/>
          <w:szCs w:val="32"/>
          <w:lang w:val="en-US" w:eastAsia="zh-CN"/>
        </w:rPr>
        <w:t>各</w:t>
      </w:r>
      <w:r>
        <w:rPr>
          <w:rFonts w:hint="eastAsia" w:ascii="仿宋" w:hAnsi="仿宋" w:eastAsia="仿宋" w:cs="仿宋"/>
          <w:kern w:val="0"/>
          <w:sz w:val="32"/>
          <w:szCs w:val="32"/>
        </w:rPr>
        <w:t>市</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州</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住房城乡建设行政主管部门可根据本办法制定实施细则。</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第十</w:t>
      </w:r>
      <w:r>
        <w:rPr>
          <w:rFonts w:hint="eastAsia" w:ascii="仿宋" w:hAnsi="仿宋" w:eastAsia="仿宋" w:cs="仿宋"/>
          <w:kern w:val="0"/>
          <w:sz w:val="32"/>
          <w:szCs w:val="32"/>
          <w:lang w:eastAsia="zh-CN"/>
        </w:rPr>
        <w:t>五</w:t>
      </w:r>
      <w:r>
        <w:rPr>
          <w:rFonts w:hint="eastAsia" w:ascii="仿宋" w:hAnsi="仿宋" w:eastAsia="仿宋" w:cs="仿宋"/>
          <w:kern w:val="0"/>
          <w:sz w:val="32"/>
          <w:szCs w:val="32"/>
        </w:rPr>
        <w:t>条  本办法自20</w:t>
      </w:r>
      <w:r>
        <w:rPr>
          <w:rFonts w:hint="eastAsia" w:ascii="仿宋" w:hAnsi="仿宋" w:eastAsia="仿宋" w:cs="仿宋"/>
          <w:kern w:val="0"/>
          <w:sz w:val="32"/>
          <w:szCs w:val="32"/>
          <w:lang w:val="en-US" w:eastAsia="zh-CN"/>
        </w:rPr>
        <w:t>25</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日起施行，有效期五年。</w:t>
      </w:r>
    </w:p>
    <w:p>
      <w:pPr>
        <w:widowControl/>
        <w:ind w:left="1598" w:leftChars="304" w:hanging="960" w:hangingChars="300"/>
        <w:jc w:val="left"/>
        <w:rPr>
          <w:rFonts w:hint="eastAsia" w:ascii="仿宋" w:hAnsi="仿宋" w:eastAsia="仿宋" w:cs="仿宋"/>
          <w:kern w:val="0"/>
          <w:sz w:val="32"/>
          <w:szCs w:val="32"/>
        </w:rPr>
      </w:pPr>
    </w:p>
    <w:p>
      <w:pPr>
        <w:widowControl/>
        <w:ind w:left="0" w:leftChars="0"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附件：四川省建筑市场责任主体不良</w:t>
      </w:r>
      <w:r>
        <w:rPr>
          <w:rFonts w:hint="eastAsia" w:ascii="仿宋" w:hAnsi="仿宋" w:eastAsia="仿宋" w:cs="仿宋"/>
          <w:kern w:val="0"/>
          <w:sz w:val="32"/>
          <w:szCs w:val="32"/>
          <w:lang w:eastAsia="zh-CN"/>
        </w:rPr>
        <w:t>信用信息</w:t>
      </w:r>
      <w:r>
        <w:rPr>
          <w:rFonts w:hint="eastAsia" w:ascii="仿宋" w:hAnsi="仿宋" w:eastAsia="仿宋" w:cs="仿宋"/>
          <w:kern w:val="0"/>
          <w:sz w:val="32"/>
          <w:szCs w:val="32"/>
        </w:rPr>
        <w:t>扣分标准</w:t>
      </w:r>
    </w:p>
    <w:bookmarkEnd w:id="0"/>
    <w:bookmarkEnd w:id="1"/>
    <w:bookmarkEnd w:id="2"/>
    <w:bookmarkEnd w:id="3"/>
    <w:p>
      <w:pPr>
        <w:widowControl/>
        <w:jc w:val="left"/>
        <w:rPr>
          <w:rFonts w:hint="eastAsia" w:ascii="方正小标宋简体" w:hAnsi="方正小标宋简体" w:eastAsia="方正小标宋简体" w:cs="方正小标宋简体"/>
          <w:sz w:val="32"/>
          <w:lang w:eastAsia="zh-CN"/>
        </w:rPr>
      </w:pPr>
    </w:p>
    <w:p>
      <w:pPr>
        <w:rPr>
          <w:rFonts w:hint="default"/>
          <w:lang w:val="en-US" w:eastAsia="zh-CN"/>
        </w:rPr>
      </w:pPr>
    </w:p>
    <w:sectPr>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原版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汉仪大宋简">
    <w:panose1 w:val="02010600000101010101"/>
    <w:charset w:val="86"/>
    <w:family w:val="modern"/>
    <w:pitch w:val="default"/>
    <w:sig w:usb0="00000001" w:usb1="080E0800" w:usb2="00000002"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原版宋体">
    <w:panose1 w:val="02010600030101010101"/>
    <w:charset w:val="86"/>
    <w:family w:val="auto"/>
    <w:pitch w:val="default"/>
    <w:sig w:usb0="00000003" w:usb1="080E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C25"/>
    <w:multiLevelType w:val="singleLevel"/>
    <w:tmpl w:val="FFFFFC25"/>
    <w:lvl w:ilvl="0" w:tentative="0">
      <w:start w:val="3"/>
      <w:numFmt w:val="chineseCounting"/>
      <w:suff w:val="space"/>
      <w:lvlText w:val="第%1条"/>
      <w:lvlJc w:val="left"/>
      <w:rPr>
        <w:rFonts w:hint="eastAsia"/>
      </w:rPr>
    </w:lvl>
  </w:abstractNum>
  <w:abstractNum w:abstractNumId="1">
    <w:nsid w:val="229265DE"/>
    <w:multiLevelType w:val="multilevel"/>
    <w:tmpl w:val="229265DE"/>
    <w:lvl w:ilvl="0" w:tentative="0">
      <w:start w:val="1"/>
      <w:numFmt w:val="japaneseCounting"/>
      <w:lvlText w:val="第%1章"/>
      <w:lvlJc w:val="left"/>
      <w:pPr>
        <w:ind w:left="1080" w:hanging="1080"/>
      </w:pPr>
      <w:rPr>
        <w:rFonts w:hint="eastAsia" w:asci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jMDFkNjM4YjU3NjhkYTQ4ZmIyOTM2NDUxZDFlYTAifQ=="/>
  </w:docVars>
  <w:rsids>
    <w:rsidRoot w:val="004D7445"/>
    <w:rsid w:val="00041D06"/>
    <w:rsid w:val="00122516"/>
    <w:rsid w:val="001254F7"/>
    <w:rsid w:val="002F1EA3"/>
    <w:rsid w:val="00355F93"/>
    <w:rsid w:val="00435907"/>
    <w:rsid w:val="004D7445"/>
    <w:rsid w:val="005044A3"/>
    <w:rsid w:val="006209B9"/>
    <w:rsid w:val="00677001"/>
    <w:rsid w:val="00BE14DE"/>
    <w:rsid w:val="00C61100"/>
    <w:rsid w:val="00CB2485"/>
    <w:rsid w:val="00CE0DEE"/>
    <w:rsid w:val="00CF6F2F"/>
    <w:rsid w:val="00DB626F"/>
    <w:rsid w:val="00EF5B3D"/>
    <w:rsid w:val="00FD6CC4"/>
    <w:rsid w:val="0D5438DB"/>
    <w:rsid w:val="12F868BD"/>
    <w:rsid w:val="1B281987"/>
    <w:rsid w:val="1F172019"/>
    <w:rsid w:val="1FEEFD5D"/>
    <w:rsid w:val="1FF655F5"/>
    <w:rsid w:val="20E3054D"/>
    <w:rsid w:val="212F1F1A"/>
    <w:rsid w:val="218619B7"/>
    <w:rsid w:val="228C62A3"/>
    <w:rsid w:val="23DF0824"/>
    <w:rsid w:val="2561056D"/>
    <w:rsid w:val="26767396"/>
    <w:rsid w:val="2EE76456"/>
    <w:rsid w:val="2F775038"/>
    <w:rsid w:val="2FFDD09F"/>
    <w:rsid w:val="314239BA"/>
    <w:rsid w:val="31F85A80"/>
    <w:rsid w:val="3425754F"/>
    <w:rsid w:val="38DF15C5"/>
    <w:rsid w:val="38E4371F"/>
    <w:rsid w:val="3BF74252"/>
    <w:rsid w:val="3BF908D1"/>
    <w:rsid w:val="3C95843F"/>
    <w:rsid w:val="3DFAC2B4"/>
    <w:rsid w:val="3DFF622A"/>
    <w:rsid w:val="3DFFA6B6"/>
    <w:rsid w:val="3F7ABA08"/>
    <w:rsid w:val="3F7D3B7C"/>
    <w:rsid w:val="3F830C64"/>
    <w:rsid w:val="401A73F8"/>
    <w:rsid w:val="44BF6F79"/>
    <w:rsid w:val="466F44DB"/>
    <w:rsid w:val="47BF177B"/>
    <w:rsid w:val="47FBDFED"/>
    <w:rsid w:val="4801081A"/>
    <w:rsid w:val="481FB194"/>
    <w:rsid w:val="4A7BE230"/>
    <w:rsid w:val="4FD718AB"/>
    <w:rsid w:val="4FDF364F"/>
    <w:rsid w:val="4FFB225C"/>
    <w:rsid w:val="52C13B4A"/>
    <w:rsid w:val="55F73101"/>
    <w:rsid w:val="5AF706C3"/>
    <w:rsid w:val="5BB541E7"/>
    <w:rsid w:val="5DF74D0C"/>
    <w:rsid w:val="5DFF21FE"/>
    <w:rsid w:val="5EB17F5F"/>
    <w:rsid w:val="5F3FD452"/>
    <w:rsid w:val="5F670BEE"/>
    <w:rsid w:val="5FBE5060"/>
    <w:rsid w:val="5FDC4893"/>
    <w:rsid w:val="6136BA94"/>
    <w:rsid w:val="61790B00"/>
    <w:rsid w:val="61BB156F"/>
    <w:rsid w:val="64A22124"/>
    <w:rsid w:val="66934E5A"/>
    <w:rsid w:val="66BC50E1"/>
    <w:rsid w:val="68E53FFB"/>
    <w:rsid w:val="6BB5CF25"/>
    <w:rsid w:val="6C9D673E"/>
    <w:rsid w:val="6CF32570"/>
    <w:rsid w:val="6FFB6DD2"/>
    <w:rsid w:val="70BED7DD"/>
    <w:rsid w:val="70DFD04C"/>
    <w:rsid w:val="73B9FCFA"/>
    <w:rsid w:val="757AEBB3"/>
    <w:rsid w:val="77E8F7AF"/>
    <w:rsid w:val="77FA2FD2"/>
    <w:rsid w:val="77FA92EF"/>
    <w:rsid w:val="79CEE163"/>
    <w:rsid w:val="79DE3B2F"/>
    <w:rsid w:val="7D4BAB05"/>
    <w:rsid w:val="7D7E6E68"/>
    <w:rsid w:val="7DFDCC8D"/>
    <w:rsid w:val="7EFF9BFA"/>
    <w:rsid w:val="7FD6A02E"/>
    <w:rsid w:val="7FDF661E"/>
    <w:rsid w:val="7FEF3082"/>
    <w:rsid w:val="7FF29307"/>
    <w:rsid w:val="7FFF033D"/>
    <w:rsid w:val="93BCAAB7"/>
    <w:rsid w:val="ADA7357C"/>
    <w:rsid w:val="AFB7C8FD"/>
    <w:rsid w:val="AFCEF2AB"/>
    <w:rsid w:val="B9FD2E23"/>
    <w:rsid w:val="BAFB8004"/>
    <w:rsid w:val="BE3F1D77"/>
    <w:rsid w:val="BFDFA87D"/>
    <w:rsid w:val="BFEF152B"/>
    <w:rsid w:val="BFEF652A"/>
    <w:rsid w:val="C6DF964B"/>
    <w:rsid w:val="C96B79B0"/>
    <w:rsid w:val="CFEF033F"/>
    <w:rsid w:val="CFF6C2F4"/>
    <w:rsid w:val="D8772A05"/>
    <w:rsid w:val="DC45AD4D"/>
    <w:rsid w:val="DD7F8BCF"/>
    <w:rsid w:val="DEFEA6A9"/>
    <w:rsid w:val="DFBF2011"/>
    <w:rsid w:val="DFDD23D8"/>
    <w:rsid w:val="E5BE21B3"/>
    <w:rsid w:val="E7FF7994"/>
    <w:rsid w:val="E9F59072"/>
    <w:rsid w:val="E9FF8799"/>
    <w:rsid w:val="EDBD9D7A"/>
    <w:rsid w:val="EE7FE121"/>
    <w:rsid w:val="EF379FED"/>
    <w:rsid w:val="EFB7A2BC"/>
    <w:rsid w:val="EFF7B2B1"/>
    <w:rsid w:val="F77F1E6D"/>
    <w:rsid w:val="FB6F7D7E"/>
    <w:rsid w:val="FDD77422"/>
    <w:rsid w:val="FE39F6A4"/>
    <w:rsid w:val="FE795B43"/>
    <w:rsid w:val="FEBB5D90"/>
    <w:rsid w:val="FF773440"/>
    <w:rsid w:val="FF9F7A79"/>
    <w:rsid w:val="FFFFE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unhideWhenUsed/>
    <w:qFormat/>
    <w:uiPriority w:val="99"/>
    <w:pPr>
      <w:spacing w:after="120" w:afterLines="0" w:afterAutospacing="0"/>
    </w:pPr>
  </w:style>
  <w:style w:type="paragraph" w:styleId="3">
    <w:name w:val="toc 5"/>
    <w:basedOn w:val="1"/>
    <w:next w:val="1"/>
    <w:unhideWhenUsed/>
    <w:qFormat/>
    <w:uiPriority w:val="39"/>
    <w:pPr>
      <w:ind w:left="840"/>
      <w:jc w:val="left"/>
    </w:pPr>
    <w:rPr>
      <w:rFonts w:cs="Calibri"/>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NormalCharacter"/>
    <w:qFormat/>
    <w:uiPriority w:val="0"/>
  </w:style>
  <w:style w:type="paragraph" w:customStyle="1" w:styleId="10">
    <w:name w:val="List Paragraph"/>
    <w:basedOn w:val="1"/>
    <w:qFormat/>
    <w:uiPriority w:val="0"/>
    <w:pPr>
      <w:ind w:firstLine="420" w:firstLineChars="200"/>
    </w:pPr>
  </w:style>
  <w:style w:type="character" w:customStyle="1" w:styleId="11">
    <w:name w:val="font121"/>
    <w:basedOn w:val="8"/>
    <w:qFormat/>
    <w:uiPriority w:val="0"/>
    <w:rPr>
      <w:rFonts w:hint="eastAsia" w:ascii="黑体" w:hAnsi="宋体" w:eastAsia="黑体" w:cs="黑体"/>
      <w:color w:val="000000"/>
      <w:sz w:val="28"/>
      <w:szCs w:val="28"/>
      <w:u w:val="none"/>
    </w:rPr>
  </w:style>
  <w:style w:type="character" w:customStyle="1" w:styleId="12">
    <w:name w:val="font91"/>
    <w:basedOn w:val="8"/>
    <w:qFormat/>
    <w:uiPriority w:val="0"/>
    <w:rPr>
      <w:rFonts w:hint="eastAsia" w:ascii="仿宋" w:hAnsi="仿宋" w:eastAsia="仿宋" w:cs="仿宋"/>
      <w:color w:val="000000"/>
      <w:sz w:val="28"/>
      <w:szCs w:val="28"/>
      <w:u w:val="none"/>
    </w:rPr>
  </w:style>
  <w:style w:type="character" w:customStyle="1" w:styleId="13">
    <w:name w:val="font31"/>
    <w:basedOn w:val="8"/>
    <w:qFormat/>
    <w:uiPriority w:val="0"/>
    <w:rPr>
      <w:rFonts w:hint="default" w:ascii="Times New Roman" w:hAnsi="Times New Roman" w:cs="Times New Roman"/>
      <w:color w:val="000000"/>
      <w:sz w:val="28"/>
      <w:szCs w:val="28"/>
      <w:u w:val="none"/>
    </w:rPr>
  </w:style>
  <w:style w:type="character" w:customStyle="1" w:styleId="14">
    <w:name w:val="font51"/>
    <w:basedOn w:val="8"/>
    <w:qFormat/>
    <w:uiPriority w:val="0"/>
    <w:rPr>
      <w:rFonts w:ascii="Arial" w:hAnsi="Arial" w:cs="Arial"/>
      <w:color w:val="000000"/>
      <w:sz w:val="28"/>
      <w:szCs w:val="28"/>
      <w:u w:val="none"/>
    </w:rPr>
  </w:style>
  <w:style w:type="character" w:customStyle="1" w:styleId="15">
    <w:name w:val="font21"/>
    <w:basedOn w:val="8"/>
    <w:qFormat/>
    <w:uiPriority w:val="0"/>
    <w:rPr>
      <w:rFonts w:hint="eastAsia" w:ascii="仿宋" w:hAnsi="仿宋" w:eastAsia="仿宋" w:cs="仿宋"/>
      <w:b/>
      <w:bCs/>
      <w:color w:val="000000"/>
      <w:sz w:val="28"/>
      <w:szCs w:val="28"/>
      <w:u w:val="none"/>
    </w:rPr>
  </w:style>
  <w:style w:type="character" w:customStyle="1" w:styleId="16">
    <w:name w:val="font01"/>
    <w:basedOn w:val="8"/>
    <w:qFormat/>
    <w:uiPriority w:val="0"/>
    <w:rPr>
      <w:rFonts w:hint="default" w:ascii="Times New Roman" w:hAnsi="Times New Roman" w:cs="Times New Roman"/>
      <w:color w:val="000000"/>
      <w:sz w:val="28"/>
      <w:szCs w:val="28"/>
      <w:u w:val="none"/>
    </w:rPr>
  </w:style>
  <w:style w:type="character" w:customStyle="1" w:styleId="17">
    <w:name w:val="font11"/>
    <w:basedOn w:val="8"/>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810</Words>
  <Characters>828</Characters>
  <Lines>6</Lines>
  <Paragraphs>1</Paragraphs>
  <TotalTime>0</TotalTime>
  <ScaleCrop>false</ScaleCrop>
  <LinksUpToDate>false</LinksUpToDate>
  <CharactersWithSpaces>863</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2022-06-20T04:19:00Z</dcterms:created>
  <dc:creator>7511364@qq.com</dc:creator>
  <cp:lastModifiedBy>凌涛</cp:lastModifiedBy>
  <cp:lastPrinted>2024-04-14T08:26:00Z</cp:lastPrinted>
  <dcterms:modified xsi:type="dcterms:W3CDTF">2025-01-06T10:11:37Z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C9FDB0D6D5414D7592BB5C68FA1B3AF9</vt:lpwstr>
  </property>
</Properties>
</file>