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66F4">
      <w:pPr>
        <w:jc w:val="center"/>
        <w:rPr>
          <w:rFonts w:hint="default" w:ascii="Times New Roman" w:hAnsi="Times New Roman" w:cs="Times New Roman"/>
          <w:outline/>
          <w:color w:val="000000" w:themeColor="text1"/>
          <w:sz w:val="44"/>
          <w14:textOutline w14:w="9525" w14:cap="flat" w14:cmpd="sng" w14:algn="ctr">
            <w14:solidFill>
              <w14:srgbClr w14:val="000000"/>
            </w14:solidFill>
            <w14:prstDash w14:val="solid"/>
            <w14:round/>
          </w14:textOutlin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四川省工程建设地方标准</w:t>
      </w:r>
      <w:r>
        <w:rPr>
          <w:rFonts w:hint="default" w:ascii="Times New Roman" w:hAnsi="Times New Roman" w:cs="Times New Roman"/>
          <w:color w:val="000000" w:themeColor="text1"/>
          <w:sz w:val="44"/>
          <w14:textFill>
            <w14:solidFill>
              <w14:schemeClr w14:val="tx1"/>
            </w14:solidFill>
          </w14:textFill>
        </w:rPr>
        <w:t xml:space="preserve">       </w:t>
      </w:r>
      <w:r>
        <w:rPr>
          <w:rFonts w:hint="default" w:ascii="Times New Roman" w:hAnsi="Times New Roman" w:eastAsia="DFKai-SB" w:cs="Times New Roman"/>
          <w:b/>
          <w:color w:val="000000" w:themeColor="text1"/>
          <w:sz w:val="44"/>
          <w14:textFill>
            <w14:solidFill>
              <w14:schemeClr w14:val="tx1"/>
            </w14:solidFill>
          </w14:textFill>
        </w:rPr>
        <w:t xml:space="preserve"> </w:t>
      </w:r>
      <w:r>
        <w:rPr>
          <w:rFonts w:hint="default" w:ascii="Times New Roman" w:hAnsi="Times New Roman" w:cs="Times New Roman"/>
          <w:b/>
          <w:outline/>
          <w:color w:val="000000" w:themeColor="text1"/>
          <w:sz w:val="96"/>
          <w:szCs w:val="9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chemeClr w14:val="tx1"/>
            </w14:solidFill>
          </w14:textFill>
        </w:rPr>
        <w:t>DB</w:t>
      </w:r>
    </w:p>
    <w:p w14:paraId="4CDF2FCB">
      <w:pPr>
        <w:jc w:val="right"/>
        <w:rPr>
          <w:rFonts w:hint="default" w:ascii="Times New Roman" w:hAnsi="Times New Roman" w:cs="Times New Roman"/>
          <w:color w:val="000000" w:themeColor="text1"/>
          <w:sz w:val="32"/>
          <w:szCs w:val="32"/>
          <w14:textFill>
            <w14:solidFill>
              <w14:schemeClr w14:val="tx1"/>
            </w14:solidFill>
          </w14:textFill>
        </w:rPr>
      </w:pPr>
    </w:p>
    <w:p w14:paraId="322DC6DD">
      <w:pPr>
        <w:jc w:val="right"/>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 xml:space="preserve">P                                     </w:t>
      </w:r>
      <w:r>
        <w:rPr>
          <w:rFonts w:hint="default" w:ascii="Times New Roman" w:hAnsi="Times New Roman" w:cs="Times New Roman"/>
          <w:color w:val="000000" w:themeColor="text1"/>
          <w:sz w:val="32"/>
          <w:szCs w:val="32"/>
          <w14:textFill>
            <w14:solidFill>
              <w14:schemeClr w14:val="tx1"/>
            </w14:solidFill>
          </w14:textFill>
        </w:rPr>
        <w:t>DBJ</w:t>
      </w:r>
      <w:r>
        <w:rPr>
          <w:rFonts w:hint="default" w:ascii="Times New Roman" w:hAnsi="Times New Roman" w:cs="Times New Roman"/>
          <w:color w:val="000000" w:themeColor="text1"/>
          <w:sz w:val="32"/>
          <w:szCs w:val="32"/>
          <w:lang w:val="en-US" w:eastAsia="zh-CN"/>
          <w14:textFill>
            <w14:solidFill>
              <w14:schemeClr w14:val="tx1"/>
            </w14:solidFill>
          </w14:textFill>
        </w:rPr>
        <w:t xml:space="preserve"> 51/TXXX—XXX</w:t>
      </w:r>
    </w:p>
    <w:p w14:paraId="3295FE3A">
      <w:pPr>
        <w:jc w:val="right"/>
        <w:rPr>
          <w:rFonts w:hint="default" w:ascii="Times New Roman" w:hAnsi="Times New Roman" w:cs="Times New Roman"/>
          <w:color w:val="000000" w:themeColor="text1"/>
          <w:sz w:val="44"/>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38100</wp:posOffset>
                </wp:positionV>
                <wp:extent cx="57150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pt;margin-top:3pt;height:0pt;width:450pt;z-index:251660288;mso-width-relative:page;mso-height-relative:page;" filled="f" stroked="t" coordsize="21600,21600" o:gfxdata="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0hnqdEAAAAFAQAADwAAAAAAAAABACAAAAAiAAAAZHJzL2Rvd25yZXYueG1sUEsBAhQAFAAAAAgA&#10;h07iQO5Ivm/zAQAA5QMAAA4AAAAAAAAAAQAgAAAAIAEAAGRycy9lMm9Eb2MueG1sUEsFBgAAAAAG&#10;AAYAWQEAAIUFAAAAAA==&#10;">
                <v:fill on="f" focussize="0,0"/>
                <v:stroke weight="1.5pt" color="#000000" joinstyle="round"/>
                <v:imagedata o:title=""/>
                <o:lock v:ext="edit" aspectratio="f"/>
              </v:line>
            </w:pict>
          </mc:Fallback>
        </mc:AlternateContent>
      </w:r>
    </w:p>
    <w:p w14:paraId="2DC68B67">
      <w:pPr>
        <w:jc w:val="center"/>
        <w:rPr>
          <w:rFonts w:hint="default" w:ascii="Times New Roman" w:hAnsi="Times New Roman" w:eastAsia="黑体" w:cs="Times New Roman"/>
          <w:color w:val="000000" w:themeColor="text1"/>
          <w:sz w:val="36"/>
          <w:szCs w:val="36"/>
          <w:lang w:eastAsia="zh-CN"/>
          <w14:textFill>
            <w14:solidFill>
              <w14:schemeClr w14:val="tx1"/>
            </w14:solidFill>
          </w14:textFill>
        </w:rPr>
      </w:pPr>
    </w:p>
    <w:p w14:paraId="65E8FBA9">
      <w:pPr>
        <w:bidi w:val="0"/>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四川省</w:t>
      </w:r>
      <w:r>
        <w:rPr>
          <w:rFonts w:hint="eastAsia" w:ascii="黑体" w:hAnsi="黑体" w:eastAsia="黑体" w:cs="黑体"/>
          <w:color w:val="000000" w:themeColor="text1"/>
          <w:sz w:val="36"/>
          <w:szCs w:val="36"/>
          <w:lang w:val="en-US" w:eastAsia="zh-CN"/>
          <w14:textFill>
            <w14:solidFill>
              <w14:schemeClr w14:val="tx1"/>
            </w14:solidFill>
          </w14:textFill>
        </w:rPr>
        <w:t>城市绿地生物多样性保护导则</w:t>
      </w:r>
    </w:p>
    <w:p w14:paraId="7076A0B8">
      <w:pPr>
        <w:jc w:val="center"/>
        <w:rPr>
          <w:rFonts w:hint="eastAsia" w:ascii="Times New Roman" w:hAnsi="Times New Roman"/>
          <w:color w:val="000000" w:themeColor="text1"/>
          <w14:textFill>
            <w14:solidFill>
              <w14:schemeClr w14:val="tx1"/>
            </w14:solidFill>
          </w14:textFill>
        </w:rPr>
      </w:pPr>
    </w:p>
    <w:p w14:paraId="3F73A73E">
      <w:pPr>
        <w:jc w:val="center"/>
        <w:rPr>
          <w:rFonts w:hint="default" w:ascii="Times New Roman" w:hAnsi="Times New Roman" w:eastAsia="黑体" w:cs="Times New Roman"/>
          <w:color w:val="000000" w:themeColor="text1"/>
          <w:sz w:val="44"/>
          <w14:textFill>
            <w14:solidFill>
              <w14:schemeClr w14:val="tx1"/>
            </w14:solidFill>
          </w14:textFill>
        </w:rPr>
      </w:pPr>
      <w:r>
        <w:rPr>
          <w:rFonts w:hint="eastAsia" w:ascii="Times New Roman" w:hAnsi="Times New Roman"/>
          <w:color w:val="000000" w:themeColor="text1"/>
          <w14:textFill>
            <w14:solidFill>
              <w14:schemeClr w14:val="tx1"/>
            </w14:solidFill>
          </w14:textFill>
        </w:rPr>
        <w:t>Guidelines for Biodiversity Conservation in Urban Green Spaces of Sichuan Province</w:t>
      </w:r>
    </w:p>
    <w:p w14:paraId="658B22B8">
      <w:pPr>
        <w:jc w:val="center"/>
        <w:rPr>
          <w:rFonts w:hint="default" w:ascii="Times New Roman" w:hAnsi="Times New Roman" w:cs="Times New Roman"/>
          <w:color w:val="000000" w:themeColor="text1"/>
          <w:sz w:val="44"/>
          <w14:textFill>
            <w14:solidFill>
              <w14:schemeClr w14:val="tx1"/>
            </w14:solidFill>
          </w14:textFill>
        </w:rPr>
      </w:pPr>
    </w:p>
    <w:p w14:paraId="160CFE87">
      <w:pPr>
        <w:jc w:val="center"/>
        <w:rPr>
          <w:rFonts w:hint="default" w:ascii="Times New Roman" w:hAnsi="Times New Roman" w:eastAsia="黑体" w:cs="Times New Roman"/>
          <w:color w:val="000000" w:themeColor="text1"/>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公开征求意见稿</w:t>
      </w:r>
      <w:r>
        <w:rPr>
          <w:rFonts w:hint="default" w:ascii="Times New Roman" w:hAnsi="Times New Roman" w:eastAsia="黑体" w:cs="Times New Roman"/>
          <w:color w:val="000000" w:themeColor="text1"/>
          <w:sz w:val="28"/>
          <w:szCs w:val="28"/>
          <w14:textFill>
            <w14:solidFill>
              <w14:schemeClr w14:val="tx1"/>
            </w14:solidFill>
          </w14:textFill>
        </w:rPr>
        <w:t>）</w:t>
      </w:r>
    </w:p>
    <w:p w14:paraId="0D88E69A">
      <w:pPr>
        <w:pStyle w:val="14"/>
        <w:jc w:val="center"/>
        <w:rPr>
          <w:rFonts w:hint="default" w:ascii="Times New Roman" w:hAnsi="Times New Roman" w:cs="Times New Roman"/>
          <w:color w:val="000000" w:themeColor="text1"/>
          <w:sz w:val="28"/>
          <w:szCs w:val="28"/>
          <w:lang w:val="en-US"/>
          <w14:textFill>
            <w14:solidFill>
              <w14:schemeClr w14:val="tx1"/>
            </w14:solidFill>
          </w14:textFill>
        </w:rPr>
      </w:pPr>
    </w:p>
    <w:p w14:paraId="743C2CE0">
      <w:pPr>
        <w:jc w:val="center"/>
        <w:rPr>
          <w:rFonts w:hint="default" w:ascii="Times New Roman" w:hAnsi="Times New Roman" w:cs="Times New Roman"/>
          <w:color w:val="000000" w:themeColor="text1"/>
          <w:sz w:val="28"/>
          <w:szCs w:val="28"/>
          <w14:textFill>
            <w14:solidFill>
              <w14:schemeClr w14:val="tx1"/>
            </w14:solidFill>
          </w14:textFill>
        </w:rPr>
      </w:pPr>
    </w:p>
    <w:p w14:paraId="0630A84C">
      <w:pPr>
        <w:jc w:val="center"/>
        <w:rPr>
          <w:rFonts w:hint="default" w:ascii="Times New Roman" w:hAnsi="Times New Roman" w:cs="Times New Roman"/>
          <w:color w:val="000000" w:themeColor="text1"/>
          <w:sz w:val="28"/>
          <w:szCs w:val="28"/>
          <w14:textFill>
            <w14:solidFill>
              <w14:schemeClr w14:val="tx1"/>
            </w14:solidFill>
          </w14:textFill>
        </w:rPr>
      </w:pPr>
    </w:p>
    <w:p w14:paraId="4EB47767">
      <w:pPr>
        <w:jc w:val="center"/>
        <w:rPr>
          <w:rFonts w:hint="default" w:ascii="Times New Roman" w:hAnsi="Times New Roman" w:cs="Times New Roman"/>
          <w:color w:val="000000" w:themeColor="text1"/>
          <w:sz w:val="28"/>
          <w:szCs w:val="28"/>
          <w14:textFill>
            <w14:solidFill>
              <w14:schemeClr w14:val="tx1"/>
            </w14:solidFill>
          </w14:textFill>
        </w:rPr>
      </w:pPr>
    </w:p>
    <w:p w14:paraId="0A090D3A">
      <w:pPr>
        <w:jc w:val="center"/>
        <w:rPr>
          <w:rFonts w:hint="default" w:ascii="Times New Roman" w:hAnsi="Times New Roman" w:cs="Times New Roman"/>
          <w:color w:val="000000" w:themeColor="text1"/>
          <w:sz w:val="44"/>
          <w14:textFill>
            <w14:solidFill>
              <w14:schemeClr w14:val="tx1"/>
            </w14:solidFill>
          </w14:textFill>
        </w:rPr>
      </w:pPr>
    </w:p>
    <w:p w14:paraId="6100487B">
      <w:pPr>
        <w:jc w:val="center"/>
        <w:rPr>
          <w:rFonts w:hint="default" w:ascii="Times New Roman" w:hAnsi="Times New Roman" w:cs="Times New Roman"/>
          <w:color w:val="000000" w:themeColor="text1"/>
          <w:sz w:val="44"/>
          <w14:textFill>
            <w14:solidFill>
              <w14:schemeClr w14:val="tx1"/>
            </w14:solidFill>
          </w14:textFill>
        </w:rPr>
      </w:pPr>
    </w:p>
    <w:p w14:paraId="66DEE4B2">
      <w:pPr>
        <w:jc w:val="center"/>
        <w:rPr>
          <w:rFonts w:hint="default" w:ascii="Times New Roman" w:hAnsi="Times New Roman" w:cs="Times New Roman"/>
          <w:color w:val="000000" w:themeColor="text1"/>
          <w:sz w:val="44"/>
          <w14:textFill>
            <w14:solidFill>
              <w14:schemeClr w14:val="tx1"/>
            </w14:solidFill>
          </w14:textFill>
        </w:rPr>
      </w:pPr>
    </w:p>
    <w:p w14:paraId="7ED13380">
      <w:pPr>
        <w:jc w:val="center"/>
        <w:rPr>
          <w:rFonts w:hint="default" w:ascii="Times New Roman" w:hAnsi="Times New Roman" w:cs="Times New Roman"/>
          <w:color w:val="000000" w:themeColor="text1"/>
          <w:sz w:val="44"/>
          <w14:textFill>
            <w14:solidFill>
              <w14:schemeClr w14:val="tx1"/>
            </w14:solidFill>
          </w14:textFill>
        </w:rPr>
      </w:pPr>
    </w:p>
    <w:p w14:paraId="0A9039D8">
      <w:pPr>
        <w:ind w:firstLine="140" w:firstLineChars="5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20</w:t>
      </w:r>
      <w:r>
        <w:rPr>
          <w:rFonts w:hint="eastAsia" w:ascii="Times New Roman" w:hAnsi="Times New Roman" w:cs="Times New Roman"/>
          <w:color w:val="000000" w:themeColor="text1"/>
          <w:sz w:val="28"/>
          <w:szCs w:val="28"/>
          <w:lang w:val="en-US" w:eastAsia="zh-CN"/>
          <w14:textFill>
            <w14:solidFill>
              <w14:schemeClr w14:val="tx1"/>
            </w14:solidFill>
          </w14:textFill>
        </w:rPr>
        <w:t>26</w:t>
      </w:r>
      <w:r>
        <w:rPr>
          <w:rFonts w:hint="default" w:ascii="Times New Roman" w:hAnsi="Times New Roman" w:cs="Times New Roman"/>
          <w:color w:val="000000" w:themeColor="text1"/>
          <w:sz w:val="28"/>
          <w:szCs w:val="28"/>
          <w14:textFill>
            <w14:solidFill>
              <w14:schemeClr w14:val="tx1"/>
            </w14:solidFill>
          </w14:textFill>
        </w:rPr>
        <w:t>-XX-XX  发布                             20</w:t>
      </w:r>
      <w:r>
        <w:rPr>
          <w:rFonts w:hint="eastAsia" w:ascii="Times New Roman" w:hAnsi="Times New Roman" w:cs="Times New Roman"/>
          <w:color w:val="000000" w:themeColor="text1"/>
          <w:sz w:val="28"/>
          <w:szCs w:val="28"/>
          <w:lang w:val="en-US" w:eastAsia="zh-CN"/>
          <w14:textFill>
            <w14:solidFill>
              <w14:schemeClr w14:val="tx1"/>
            </w14:solidFill>
          </w14:textFill>
        </w:rPr>
        <w:t>26</w:t>
      </w:r>
      <w:r>
        <w:rPr>
          <w:rFonts w:hint="default" w:ascii="Times New Roman" w:hAnsi="Times New Roman" w:cs="Times New Roman"/>
          <w:color w:val="000000" w:themeColor="text1"/>
          <w:sz w:val="28"/>
          <w:szCs w:val="28"/>
          <w14:textFill>
            <w14:solidFill>
              <w14:schemeClr w14:val="tx1"/>
            </w14:solidFill>
          </w14:textFill>
        </w:rPr>
        <w:t xml:space="preserve">-XX-XX  实施    </w:t>
      </w:r>
    </w:p>
    <w:p w14:paraId="1D1EC4B3">
      <w:pPr>
        <w:jc w:val="center"/>
        <w:rPr>
          <w:rFonts w:hint="default" w:ascii="Times New Roman" w:hAnsi="Times New Roman" w:cs="Times New Roman"/>
          <w:color w:val="000000" w:themeColor="text1"/>
          <w:sz w:val="44"/>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0</wp:posOffset>
                </wp:positionV>
                <wp:extent cx="5715000" cy="0"/>
                <wp:effectExtent l="0" t="9525" r="0" b="1333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pt;margin-top:0pt;height:0pt;width:450pt;z-index:251661312;mso-width-relative:page;mso-height-relative:page;" filled="f" stroked="t" coordsize="21600,21600" o:gfxdata="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gn&#10;qYbPAAAAAwEAAA8AAAAAAAAAAQAgAAAAIgAAAGRycy9kb3ducmV2LnhtbFBLAQIUABQAAAAIAIdO&#10;4kBFhdnQ8wEAAOUDAAAOAAAAAAAAAAEAIAAAAB4BAABkcnMvZTJvRG9jLnhtbFBLBQYAAAAABgAG&#10;AFkBAACDBQAAAAA=&#10;">
                <v:fill on="f" focussize="0,0"/>
                <v:stroke weight="1.5pt" color="#000000" joinstyle="round"/>
                <v:imagedata o:title=""/>
                <o:lock v:ext="edit" aspectratio="f"/>
              </v:line>
            </w:pict>
          </mc:Fallback>
        </mc:AlternateContent>
      </w:r>
    </w:p>
    <w:p w14:paraId="2D42BD4C">
      <w:pPr>
        <w:bidi w:val="0"/>
        <w:jc w:val="center"/>
        <w:rPr>
          <w:rFonts w:hint="default" w:ascii="Times New Roman" w:hAnsi="Times New Roman" w:cs="Times New Roman"/>
          <w:b/>
          <w:color w:val="000000" w:themeColor="text1"/>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四川省住房和城乡建设厅         发布</w:t>
      </w:r>
    </w:p>
    <w:p w14:paraId="26BA5417">
      <w:pPr>
        <w:rPr>
          <w:rFonts w:hint="eastAsia" w:ascii="宋体" w:hAnsi="宋体" w:eastAsia="宋体" w:cs="宋体"/>
          <w:b/>
          <w:bCs w:val="0"/>
          <w:color w:val="000000" w:themeColor="text1"/>
          <w:sz w:val="44"/>
          <w:szCs w:val="44"/>
          <w:lang w:eastAsia="zh-CN"/>
          <w14:textFill>
            <w14:solidFill>
              <w14:schemeClr w14:val="tx1"/>
            </w14:solidFill>
          </w14:textFill>
        </w:rPr>
      </w:pPr>
      <w:r>
        <w:rPr>
          <w:rFonts w:hint="eastAsia" w:ascii="宋体" w:hAnsi="宋体" w:eastAsia="宋体" w:cs="宋体"/>
          <w:b/>
          <w:bCs w:val="0"/>
          <w:color w:val="000000" w:themeColor="text1"/>
          <w:sz w:val="44"/>
          <w:szCs w:val="44"/>
          <w:lang w:eastAsia="zh-CN"/>
          <w14:textFill>
            <w14:solidFill>
              <w14:schemeClr w14:val="tx1"/>
            </w14:solidFill>
          </w14:textFill>
        </w:rPr>
        <w:br w:type="page"/>
      </w:r>
    </w:p>
    <w:p w14:paraId="0496D136">
      <w:pPr>
        <w:bidi w:val="0"/>
        <w:jc w:val="center"/>
        <w:rPr>
          <w:rFonts w:hint="default"/>
          <w:b/>
          <w:bCs/>
          <w:color w:val="000000" w:themeColor="text1"/>
          <w:sz w:val="32"/>
          <w:szCs w:val="32"/>
          <w14:textFill>
            <w14:solidFill>
              <w14:schemeClr w14:val="tx1"/>
            </w14:solidFill>
          </w14:textFill>
        </w:rPr>
      </w:pPr>
      <w:r>
        <w:rPr>
          <w:rFonts w:hint="default"/>
          <w:b/>
          <w:bCs/>
          <w:color w:val="000000" w:themeColor="text1"/>
          <w:sz w:val="32"/>
          <w:szCs w:val="32"/>
          <w14:textFill>
            <w14:solidFill>
              <w14:schemeClr w14:val="tx1"/>
            </w14:solidFill>
          </w14:textFill>
        </w:rPr>
        <w:t>前</w:t>
      </w:r>
      <w:r>
        <w:rPr>
          <w:rFonts w:hint="eastAsia"/>
          <w:b/>
          <w:bCs/>
          <w:color w:val="000000" w:themeColor="text1"/>
          <w:sz w:val="32"/>
          <w:szCs w:val="32"/>
          <w:lang w:val="en-US" w:eastAsia="zh-CN"/>
          <w14:textFill>
            <w14:solidFill>
              <w14:schemeClr w14:val="tx1"/>
            </w14:solidFill>
          </w14:textFill>
        </w:rPr>
        <w:t xml:space="preserve">  </w:t>
      </w:r>
      <w:r>
        <w:rPr>
          <w:rFonts w:hint="default"/>
          <w:b/>
          <w:bCs/>
          <w:color w:val="000000" w:themeColor="text1"/>
          <w:sz w:val="32"/>
          <w:szCs w:val="32"/>
          <w14:textFill>
            <w14:solidFill>
              <w14:schemeClr w14:val="tx1"/>
            </w14:solidFill>
          </w14:textFill>
        </w:rPr>
        <w:t>言</w:t>
      </w:r>
    </w:p>
    <w:p w14:paraId="4B0C7274">
      <w:pPr>
        <w:spacing w:line="360" w:lineRule="auto"/>
        <w:ind w:firstLine="420" w:firstLineChars="200"/>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根据四川省住房和城乡建设厅《关于下达2024年四川省工程建设地方标准制定修订计划的通知》（川建标函﹝2024﹞3030号）的要求，成都市公园城市建设发展研究院、成都市风景园林规划设计院会同有关单位共同编制本标准。</w:t>
      </w:r>
    </w:p>
    <w:p w14:paraId="3B4858DF">
      <w:pPr>
        <w:spacing w:line="360" w:lineRule="auto"/>
        <w:ind w:firstLine="420" w:firstLineChars="200"/>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编制组经深入调查研究，认真总结实践经验，参考有关国内外相关规范和标准，并在广泛征求意见基础上，制定本标准。</w:t>
      </w:r>
    </w:p>
    <w:p w14:paraId="66B45099">
      <w:pPr>
        <w:spacing w:line="360" w:lineRule="auto"/>
        <w:ind w:firstLine="420" w:firstLineChars="200"/>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本标准共分7章，</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 xml:space="preserve">主要内容包括：1 总则；2 术语；3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本</w:t>
      </w:r>
      <w:bookmarkStart w:id="107" w:name="_GoBack"/>
      <w:bookmarkEnd w:id="107"/>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底调查</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 xml:space="preserve">；4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保护目标、指标与策略</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 xml:space="preserve">；5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分区保护指引</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 xml:space="preserve">；6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共建共享与自然教育；7 保护机制。</w:t>
      </w:r>
    </w:p>
    <w:p w14:paraId="587A7B00">
      <w:pPr>
        <w:spacing w:line="360" w:lineRule="auto"/>
        <w:ind w:firstLine="420" w:firstLineChars="200"/>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本标准由四川省住房和城乡建设厅负责管理成都市公园城市建设发展研究院、成都市风景园林规划设计院等单位负责具体技术内容的解释。在执行过程中，如有意见和建议，请反馈给成都市公园城市建设发展研究院（地址：成都市金牛区茶店子路435号，邮政编码：610036</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，电话</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028-87646219</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：邮箱：</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814545929@qq.com）。</w:t>
      </w:r>
    </w:p>
    <w:p w14:paraId="1EBC77A0">
      <w:pPr>
        <w:spacing w:line="360" w:lineRule="auto"/>
        <w:ind w:firstLine="420" w:firstLineChars="200"/>
        <w:rPr>
          <w:rFonts w:hint="default" w:ascii="Times New Roman" w:hAnsi="Times New Roman" w:eastAsia="宋体" w:cs="Times New Roman"/>
          <w:b w:val="0"/>
          <w:bCs/>
          <w:color w:val="000000" w:themeColor="text1"/>
          <w:sz w:val="21"/>
          <w:szCs w:val="21"/>
          <w14:textFill>
            <w14:solidFill>
              <w14:schemeClr w14:val="tx1"/>
            </w14:solidFill>
          </w14:textFill>
        </w:rPr>
      </w:pPr>
    </w:p>
    <w:tbl>
      <w:tblPr>
        <w:tblStyle w:val="17"/>
        <w:tblW w:w="0" w:type="auto"/>
        <w:tblInd w:w="5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5"/>
        <w:gridCol w:w="7126"/>
      </w:tblGrid>
      <w:tr w14:paraId="592D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5" w:type="dxa"/>
            <w:tcBorders>
              <w:tl2br w:val="nil"/>
              <w:tr2bl w:val="nil"/>
            </w:tcBorders>
            <w:vAlign w:val="top"/>
          </w:tcPr>
          <w:p w14:paraId="0786E1D5">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主编单位</w:t>
            </w: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w:t>
            </w:r>
          </w:p>
        </w:tc>
        <w:tc>
          <w:tcPr>
            <w:tcW w:w="7126" w:type="dxa"/>
            <w:tcBorders>
              <w:tl2br w:val="nil"/>
              <w:tr2bl w:val="nil"/>
            </w:tcBorders>
            <w:vAlign w:val="top"/>
          </w:tcPr>
          <w:p w14:paraId="0CA38CAF">
            <w:pPr>
              <w:spacing w:line="360" w:lineRule="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r w14:paraId="4D8B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5" w:type="dxa"/>
            <w:tcBorders>
              <w:tl2br w:val="nil"/>
              <w:tr2bl w:val="nil"/>
            </w:tcBorders>
            <w:vAlign w:val="top"/>
          </w:tcPr>
          <w:p w14:paraId="4A91D165">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参编单位</w:t>
            </w: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w:t>
            </w:r>
          </w:p>
        </w:tc>
        <w:tc>
          <w:tcPr>
            <w:tcW w:w="7126" w:type="dxa"/>
            <w:tcBorders>
              <w:tl2br w:val="nil"/>
              <w:tr2bl w:val="nil"/>
            </w:tcBorders>
            <w:vAlign w:val="top"/>
          </w:tcPr>
          <w:p w14:paraId="0CFF8674">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14:paraId="2044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465" w:type="dxa"/>
            <w:tcBorders>
              <w:tl2br w:val="nil"/>
              <w:tr2bl w:val="nil"/>
            </w:tcBorders>
            <w:vAlign w:val="top"/>
          </w:tcPr>
          <w:p w14:paraId="449A8BE5">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参加单位：</w:t>
            </w:r>
          </w:p>
        </w:tc>
        <w:tc>
          <w:tcPr>
            <w:tcW w:w="7126" w:type="dxa"/>
            <w:tcBorders>
              <w:tl2br w:val="nil"/>
              <w:tr2bl w:val="nil"/>
            </w:tcBorders>
            <w:vAlign w:val="top"/>
          </w:tcPr>
          <w:p w14:paraId="11E8F998">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14:paraId="3F3C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5" w:type="dxa"/>
            <w:tcBorders>
              <w:tl2br w:val="nil"/>
              <w:tr2bl w:val="nil"/>
            </w:tcBorders>
            <w:vAlign w:val="top"/>
          </w:tcPr>
          <w:p w14:paraId="37CF918E">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主要起草人：</w:t>
            </w:r>
          </w:p>
        </w:tc>
        <w:tc>
          <w:tcPr>
            <w:tcW w:w="7126" w:type="dxa"/>
            <w:tcBorders>
              <w:tl2br w:val="nil"/>
              <w:tr2bl w:val="nil"/>
            </w:tcBorders>
            <w:vAlign w:val="top"/>
          </w:tcPr>
          <w:p w14:paraId="65915C7C">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14:paraId="2D8C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5" w:type="dxa"/>
            <w:tcBorders>
              <w:tl2br w:val="nil"/>
              <w:tr2bl w:val="nil"/>
            </w:tcBorders>
            <w:vAlign w:val="top"/>
          </w:tcPr>
          <w:p w14:paraId="2DED3178">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p>
        </w:tc>
        <w:tc>
          <w:tcPr>
            <w:tcW w:w="7126" w:type="dxa"/>
            <w:tcBorders>
              <w:tl2br w:val="nil"/>
              <w:tr2bl w:val="nil"/>
            </w:tcBorders>
            <w:vAlign w:val="top"/>
          </w:tcPr>
          <w:p w14:paraId="19496EA4">
            <w:pPr>
              <w:spacing w:line="360" w:lineRule="auto"/>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14:paraId="65FC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5" w:type="dxa"/>
            <w:tcBorders>
              <w:tl2br w:val="nil"/>
              <w:tr2bl w:val="nil"/>
            </w:tcBorders>
            <w:vAlign w:val="top"/>
          </w:tcPr>
          <w:p w14:paraId="177286B5">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主要审查人：</w:t>
            </w:r>
          </w:p>
        </w:tc>
        <w:tc>
          <w:tcPr>
            <w:tcW w:w="7126" w:type="dxa"/>
            <w:tcBorders>
              <w:tl2br w:val="nil"/>
              <w:tr2bl w:val="nil"/>
            </w:tcBorders>
            <w:vAlign w:val="top"/>
          </w:tcPr>
          <w:p w14:paraId="7512F6E9">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14:paraId="685B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5" w:type="dxa"/>
            <w:tcBorders>
              <w:tl2br w:val="nil"/>
              <w:tr2bl w:val="nil"/>
            </w:tcBorders>
            <w:vAlign w:val="top"/>
          </w:tcPr>
          <w:p w14:paraId="162EACA7">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p>
        </w:tc>
        <w:tc>
          <w:tcPr>
            <w:tcW w:w="7126" w:type="dxa"/>
            <w:tcBorders>
              <w:tl2br w:val="nil"/>
              <w:tr2bl w:val="nil"/>
            </w:tcBorders>
            <w:vAlign w:val="top"/>
          </w:tcPr>
          <w:p w14:paraId="117CE7D3">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bl>
    <w:p w14:paraId="4B66004A">
      <w:pPr>
        <w:spacing w:line="360" w:lineRule="auto"/>
        <w:ind w:firstLine="643" w:firstLineChars="200"/>
        <w:rPr>
          <w:rFonts w:hint="default" w:ascii="Times New Roman" w:hAnsi="Times New Roman" w:cs="Times New Roman"/>
          <w:b/>
          <w:bCs w:val="0"/>
          <w:color w:val="000000" w:themeColor="text1"/>
          <w:sz w:val="32"/>
          <w:szCs w:val="32"/>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br w:type="page"/>
      </w:r>
    </w:p>
    <w:sdt>
      <w:sdtPr>
        <w:rPr>
          <w:rFonts w:ascii="宋体" w:hAnsi="宋体" w:eastAsia="宋体" w:cstheme="minorBidi"/>
          <w:kern w:val="2"/>
          <w:sz w:val="21"/>
          <w:szCs w:val="24"/>
          <w:lang w:val="en-US" w:eastAsia="zh-CN" w:bidi="ar-SA"/>
        </w:rPr>
        <w:id w:val="14746338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17DEC73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B66803C">
          <w:pPr>
            <w:pStyle w:val="12"/>
            <w:tabs>
              <w:tab w:val="right" w:leader="dot" w:pos="9072"/>
            </w:tabs>
          </w:pPr>
          <w:r>
            <w:fldChar w:fldCharType="begin"/>
          </w:r>
          <w:r>
            <w:instrText xml:space="preserve">TOC \o "1-2" \h \u </w:instrText>
          </w:r>
          <w:r>
            <w:fldChar w:fldCharType="separate"/>
          </w:r>
          <w:r>
            <w:fldChar w:fldCharType="begin"/>
          </w:r>
          <w:r>
            <w:instrText xml:space="preserve"> HYPERLINK \l _Toc30383 </w:instrText>
          </w:r>
          <w:r>
            <w:fldChar w:fldCharType="separate"/>
          </w:r>
          <w:r>
            <w:rPr>
              <w:rFonts w:hint="default" w:ascii="Times New Roman" w:hAnsi="Times New Roman" w:cs="Times New Roman"/>
              <w:bCs w:val="0"/>
              <w:szCs w:val="44"/>
            </w:rPr>
            <w:t xml:space="preserve">1 </w:t>
          </w:r>
          <w:r>
            <w:rPr>
              <w:rFonts w:hint="eastAsia" w:ascii="Times New Roman" w:hAnsi="Times New Roman" w:cs="Times New Roman"/>
              <w:bCs w:val="0"/>
              <w:szCs w:val="44"/>
              <w:lang w:val="en-US" w:eastAsia="zh-CN"/>
            </w:rPr>
            <w:t xml:space="preserve"> </w:t>
          </w:r>
          <w:r>
            <w:rPr>
              <w:rFonts w:hint="default" w:ascii="Times New Roman" w:hAnsi="Times New Roman" w:cs="Times New Roman"/>
            </w:rPr>
            <w:t>总则</w:t>
          </w:r>
          <w:r>
            <w:tab/>
          </w:r>
          <w:r>
            <w:fldChar w:fldCharType="begin"/>
          </w:r>
          <w:r>
            <w:instrText xml:space="preserve"> PAGEREF _Toc30383 \h </w:instrText>
          </w:r>
          <w:r>
            <w:fldChar w:fldCharType="separate"/>
          </w:r>
          <w:r>
            <w:t>1</w:t>
          </w:r>
          <w:r>
            <w:fldChar w:fldCharType="end"/>
          </w:r>
          <w:r>
            <w:fldChar w:fldCharType="end"/>
          </w:r>
        </w:p>
        <w:p w14:paraId="18C560BB">
          <w:pPr>
            <w:pStyle w:val="12"/>
            <w:tabs>
              <w:tab w:val="right" w:leader="dot" w:pos="9072"/>
            </w:tabs>
          </w:pPr>
          <w:r>
            <w:fldChar w:fldCharType="begin"/>
          </w:r>
          <w:r>
            <w:instrText xml:space="preserve"> HYPERLINK \l _Toc5113 </w:instrText>
          </w:r>
          <w:r>
            <w:fldChar w:fldCharType="separate"/>
          </w:r>
          <w:r>
            <w:rPr>
              <w:rFonts w:hint="default" w:ascii="Times New Roman" w:hAnsi="Times New Roman" w:cs="Times New Roman"/>
            </w:rPr>
            <w:t xml:space="preserve">2 </w:t>
          </w:r>
          <w:r>
            <w:rPr>
              <w:rFonts w:hint="default" w:ascii="Times New Roman" w:hAnsi="Times New Roman" w:cs="Times New Roman"/>
              <w:lang w:val="en-US" w:eastAsia="zh-CN"/>
            </w:rPr>
            <w:t xml:space="preserve"> </w:t>
          </w:r>
          <w:r>
            <w:rPr>
              <w:rFonts w:hint="default" w:ascii="Times New Roman" w:hAnsi="Times New Roman" w:cs="Times New Roman"/>
            </w:rPr>
            <w:t>术语</w:t>
          </w:r>
          <w:r>
            <w:tab/>
          </w:r>
          <w:r>
            <w:fldChar w:fldCharType="begin"/>
          </w:r>
          <w:r>
            <w:instrText xml:space="preserve"> PAGEREF _Toc5113 \h </w:instrText>
          </w:r>
          <w:r>
            <w:fldChar w:fldCharType="separate"/>
          </w:r>
          <w:r>
            <w:t>3</w:t>
          </w:r>
          <w:r>
            <w:fldChar w:fldCharType="end"/>
          </w:r>
          <w:r>
            <w:fldChar w:fldCharType="end"/>
          </w:r>
        </w:p>
        <w:p w14:paraId="087E604F">
          <w:pPr>
            <w:pStyle w:val="12"/>
            <w:tabs>
              <w:tab w:val="right" w:leader="dot" w:pos="9072"/>
            </w:tabs>
          </w:pPr>
          <w:r>
            <w:fldChar w:fldCharType="begin"/>
          </w:r>
          <w:r>
            <w:instrText xml:space="preserve"> HYPERLINK \l _Toc12138 </w:instrText>
          </w:r>
          <w:r>
            <w:fldChar w:fldCharType="separate"/>
          </w:r>
          <w:r>
            <w:rPr>
              <w:rFonts w:hint="default" w:ascii="Times New Roman" w:hAnsi="Times New Roman" w:cs="Times New Roman"/>
            </w:rPr>
            <w:t xml:space="preserve">3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本底调查</w:t>
          </w:r>
          <w:r>
            <w:tab/>
          </w:r>
          <w:r>
            <w:fldChar w:fldCharType="begin"/>
          </w:r>
          <w:r>
            <w:instrText xml:space="preserve"> PAGEREF _Toc12138 \h </w:instrText>
          </w:r>
          <w:r>
            <w:fldChar w:fldCharType="separate"/>
          </w:r>
          <w:r>
            <w:t>5</w:t>
          </w:r>
          <w:r>
            <w:fldChar w:fldCharType="end"/>
          </w:r>
          <w:r>
            <w:fldChar w:fldCharType="end"/>
          </w:r>
        </w:p>
        <w:p w14:paraId="03E06B59">
          <w:pPr>
            <w:pStyle w:val="13"/>
            <w:tabs>
              <w:tab w:val="right" w:leader="dot" w:pos="9072"/>
            </w:tabs>
          </w:pPr>
          <w:r>
            <w:fldChar w:fldCharType="begin"/>
          </w:r>
          <w:r>
            <w:instrText xml:space="preserve"> HYPERLINK \l _Toc7131 </w:instrText>
          </w:r>
          <w:r>
            <w:fldChar w:fldCharType="separate"/>
          </w:r>
          <w:r>
            <w:rPr>
              <w:rFonts w:hint="eastAsia" w:ascii="Times New Roman" w:hAnsi="Times New Roman" w:eastAsia="黑体" w:cs="Times New Roman"/>
              <w:szCs w:val="32"/>
              <w:lang w:val="en-US" w:eastAsia="zh-CN"/>
            </w:rPr>
            <w:t>3</w:t>
          </w:r>
          <w:r>
            <w:rPr>
              <w:rFonts w:hint="default" w:ascii="Times New Roman" w:hAnsi="Times New Roman" w:eastAsia="黑体" w:cs="Times New Roman"/>
              <w:szCs w:val="32"/>
            </w:rPr>
            <w:t xml:space="preserve">.1 </w:t>
          </w:r>
          <w:r>
            <w:rPr>
              <w:rFonts w:hint="default" w:ascii="Times New Roman" w:hAnsi="Times New Roman" w:eastAsia="黑体" w:cs="Times New Roman"/>
              <w:szCs w:val="32"/>
              <w:lang w:val="en-US" w:eastAsia="zh-CN"/>
            </w:rPr>
            <w:t xml:space="preserve"> </w:t>
          </w:r>
          <w:r>
            <w:rPr>
              <w:rFonts w:hint="eastAsia" w:ascii="Times New Roman" w:hAnsi="Times New Roman" w:eastAsia="黑体" w:cs="Times New Roman"/>
              <w:szCs w:val="32"/>
              <w:lang w:val="en-US" w:eastAsia="zh-CN"/>
            </w:rPr>
            <w:t>调查范围</w:t>
          </w:r>
          <w:r>
            <w:tab/>
          </w:r>
          <w:r>
            <w:fldChar w:fldCharType="begin"/>
          </w:r>
          <w:r>
            <w:instrText xml:space="preserve"> PAGEREF _Toc7131 \h </w:instrText>
          </w:r>
          <w:r>
            <w:fldChar w:fldCharType="separate"/>
          </w:r>
          <w:r>
            <w:t>5</w:t>
          </w:r>
          <w:r>
            <w:fldChar w:fldCharType="end"/>
          </w:r>
          <w:r>
            <w:fldChar w:fldCharType="end"/>
          </w:r>
        </w:p>
        <w:p w14:paraId="4259B395">
          <w:pPr>
            <w:pStyle w:val="13"/>
            <w:tabs>
              <w:tab w:val="right" w:leader="dot" w:pos="9072"/>
            </w:tabs>
          </w:pPr>
          <w:r>
            <w:fldChar w:fldCharType="begin"/>
          </w:r>
          <w:r>
            <w:instrText xml:space="preserve"> HYPERLINK \l _Toc4137 </w:instrText>
          </w:r>
          <w:r>
            <w:fldChar w:fldCharType="separate"/>
          </w:r>
          <w:r>
            <w:rPr>
              <w:rFonts w:hint="eastAsia" w:ascii="Times New Roman" w:hAnsi="Times New Roman" w:eastAsia="黑体" w:cs="Times New Roman"/>
              <w:szCs w:val="32"/>
              <w:lang w:val="en-US" w:eastAsia="zh-CN"/>
            </w:rPr>
            <w:t>3</w:t>
          </w:r>
          <w:r>
            <w:rPr>
              <w:rFonts w:hint="default" w:ascii="Times New Roman" w:hAnsi="Times New Roman" w:eastAsia="黑体" w:cs="Times New Roman"/>
              <w:szCs w:val="32"/>
            </w:rPr>
            <w:t>.</w:t>
          </w:r>
          <w:r>
            <w:rPr>
              <w:rFonts w:hint="eastAsia" w:ascii="Times New Roman" w:hAnsi="Times New Roman" w:eastAsia="黑体" w:cs="Times New Roman"/>
              <w:szCs w:val="32"/>
              <w:lang w:val="en-US" w:eastAsia="zh-CN"/>
            </w:rPr>
            <w:t>2</w:t>
          </w:r>
          <w:r>
            <w:rPr>
              <w:rFonts w:hint="default" w:ascii="Times New Roman" w:hAnsi="Times New Roman" w:eastAsia="黑体" w:cs="Times New Roman"/>
              <w:szCs w:val="32"/>
            </w:rPr>
            <w:t xml:space="preserve"> </w:t>
          </w:r>
          <w:r>
            <w:rPr>
              <w:rFonts w:hint="default" w:ascii="Times New Roman" w:hAnsi="Times New Roman" w:eastAsia="黑体" w:cs="Times New Roman"/>
              <w:szCs w:val="32"/>
              <w:lang w:val="en-US" w:eastAsia="zh-CN"/>
            </w:rPr>
            <w:t xml:space="preserve"> </w:t>
          </w:r>
          <w:r>
            <w:rPr>
              <w:rFonts w:hint="eastAsia" w:ascii="Times New Roman" w:hAnsi="Times New Roman" w:eastAsia="黑体" w:cs="Times New Roman"/>
              <w:szCs w:val="32"/>
              <w:lang w:val="en-US" w:eastAsia="zh-CN"/>
            </w:rPr>
            <w:t>调查内容</w:t>
          </w:r>
          <w:r>
            <w:tab/>
          </w:r>
          <w:r>
            <w:fldChar w:fldCharType="begin"/>
          </w:r>
          <w:r>
            <w:instrText xml:space="preserve"> PAGEREF _Toc4137 \h </w:instrText>
          </w:r>
          <w:r>
            <w:fldChar w:fldCharType="separate"/>
          </w:r>
          <w:r>
            <w:t>5</w:t>
          </w:r>
          <w:r>
            <w:fldChar w:fldCharType="end"/>
          </w:r>
          <w:r>
            <w:fldChar w:fldCharType="end"/>
          </w:r>
        </w:p>
        <w:p w14:paraId="396C0558">
          <w:pPr>
            <w:pStyle w:val="13"/>
            <w:tabs>
              <w:tab w:val="right" w:leader="dot" w:pos="9072"/>
            </w:tabs>
          </w:pPr>
          <w:r>
            <w:fldChar w:fldCharType="begin"/>
          </w:r>
          <w:r>
            <w:instrText xml:space="preserve"> HYPERLINK \l _Toc25740 </w:instrText>
          </w:r>
          <w:r>
            <w:fldChar w:fldCharType="separate"/>
          </w:r>
          <w:r>
            <w:rPr>
              <w:rFonts w:hint="eastAsia" w:ascii="Times New Roman" w:hAnsi="Times New Roman" w:eastAsia="黑体" w:cs="Times New Roman"/>
              <w:szCs w:val="32"/>
              <w:lang w:val="en-US" w:eastAsia="zh-CN"/>
            </w:rPr>
            <w:t>3</w:t>
          </w:r>
          <w:r>
            <w:rPr>
              <w:rFonts w:hint="default" w:ascii="Times New Roman" w:hAnsi="Times New Roman" w:eastAsia="黑体" w:cs="Times New Roman"/>
              <w:szCs w:val="32"/>
            </w:rPr>
            <w:t>.</w:t>
          </w:r>
          <w:r>
            <w:rPr>
              <w:rFonts w:hint="eastAsia" w:ascii="Times New Roman" w:hAnsi="Times New Roman" w:eastAsia="黑体" w:cs="Times New Roman"/>
              <w:szCs w:val="32"/>
              <w:lang w:val="en-US" w:eastAsia="zh-CN"/>
            </w:rPr>
            <w:t>3</w:t>
          </w:r>
          <w:r>
            <w:rPr>
              <w:rFonts w:hint="default" w:ascii="Times New Roman" w:hAnsi="Times New Roman" w:eastAsia="黑体" w:cs="Times New Roman"/>
              <w:szCs w:val="32"/>
            </w:rPr>
            <w:t xml:space="preserve"> </w:t>
          </w:r>
          <w:r>
            <w:rPr>
              <w:rFonts w:hint="default" w:ascii="Times New Roman" w:hAnsi="Times New Roman" w:eastAsia="黑体" w:cs="Times New Roman"/>
              <w:szCs w:val="32"/>
              <w:lang w:val="en-US" w:eastAsia="zh-CN"/>
            </w:rPr>
            <w:t xml:space="preserve"> </w:t>
          </w:r>
          <w:r>
            <w:rPr>
              <w:rFonts w:hint="eastAsia" w:ascii="Times New Roman" w:hAnsi="Times New Roman" w:eastAsia="黑体" w:cs="Times New Roman"/>
              <w:szCs w:val="32"/>
              <w:lang w:val="en-US" w:eastAsia="zh-CN"/>
            </w:rPr>
            <w:t>调查成果</w:t>
          </w:r>
          <w:r>
            <w:tab/>
          </w:r>
          <w:r>
            <w:fldChar w:fldCharType="begin"/>
          </w:r>
          <w:r>
            <w:instrText xml:space="preserve"> PAGEREF _Toc25740 \h </w:instrText>
          </w:r>
          <w:r>
            <w:fldChar w:fldCharType="separate"/>
          </w:r>
          <w:r>
            <w:t>8</w:t>
          </w:r>
          <w:r>
            <w:fldChar w:fldCharType="end"/>
          </w:r>
          <w:r>
            <w:fldChar w:fldCharType="end"/>
          </w:r>
        </w:p>
        <w:p w14:paraId="3D4F0366">
          <w:pPr>
            <w:pStyle w:val="12"/>
            <w:tabs>
              <w:tab w:val="right" w:leader="dot" w:pos="9072"/>
            </w:tabs>
          </w:pPr>
          <w:r>
            <w:fldChar w:fldCharType="begin"/>
          </w:r>
          <w:r>
            <w:instrText xml:space="preserve"> HYPERLINK \l _Toc30963 </w:instrText>
          </w:r>
          <w:r>
            <w:fldChar w:fldCharType="separate"/>
          </w:r>
          <w:r>
            <w:rPr>
              <w:rFonts w:hint="default" w:ascii="Times New Roman" w:hAnsi="Times New Roman" w:cs="Times New Roman"/>
              <w:lang w:val="en-US" w:eastAsia="zh-CN"/>
            </w:rPr>
            <w:t xml:space="preserve">4  </w:t>
          </w:r>
          <w:r>
            <w:rPr>
              <w:rFonts w:hint="eastAsia" w:ascii="Times New Roman" w:hAnsi="Times New Roman" w:cs="Times New Roman"/>
              <w:lang w:val="en-US" w:eastAsia="zh-CN"/>
            </w:rPr>
            <w:t>保护目标</w:t>
          </w:r>
          <w:r>
            <w:tab/>
          </w:r>
          <w:r>
            <w:fldChar w:fldCharType="begin"/>
          </w:r>
          <w:r>
            <w:instrText xml:space="preserve"> PAGEREF _Toc30963 \h </w:instrText>
          </w:r>
          <w:r>
            <w:fldChar w:fldCharType="separate"/>
          </w:r>
          <w:r>
            <w:t>9</w:t>
          </w:r>
          <w:r>
            <w:fldChar w:fldCharType="end"/>
          </w:r>
          <w:r>
            <w:fldChar w:fldCharType="end"/>
          </w:r>
        </w:p>
        <w:p w14:paraId="4A4316E4">
          <w:pPr>
            <w:pStyle w:val="13"/>
            <w:tabs>
              <w:tab w:val="right" w:leader="dot" w:pos="9072"/>
            </w:tabs>
          </w:pPr>
          <w:r>
            <w:fldChar w:fldCharType="begin"/>
          </w:r>
          <w:r>
            <w:instrText xml:space="preserve"> HYPERLINK \l _Toc22204 </w:instrText>
          </w:r>
          <w:r>
            <w:fldChar w:fldCharType="separate"/>
          </w:r>
          <w:r>
            <w:rPr>
              <w:rFonts w:hint="default" w:ascii="Times New Roman" w:hAnsi="Times New Roman" w:eastAsia="黑体" w:cs="Times New Roman"/>
              <w:szCs w:val="32"/>
            </w:rPr>
            <w:t xml:space="preserve">4.1 </w:t>
          </w:r>
          <w:r>
            <w:rPr>
              <w:rFonts w:hint="default" w:ascii="Times New Roman" w:hAnsi="Times New Roman" w:eastAsia="黑体" w:cs="Times New Roman"/>
              <w:szCs w:val="32"/>
              <w:lang w:val="en-US" w:eastAsia="zh-CN"/>
            </w:rPr>
            <w:t xml:space="preserve"> </w:t>
          </w:r>
          <w:r>
            <w:rPr>
              <w:rFonts w:hint="eastAsia" w:ascii="Times New Roman" w:hAnsi="Times New Roman" w:eastAsia="黑体" w:cs="Times New Roman"/>
              <w:szCs w:val="32"/>
              <w:lang w:val="en-US" w:eastAsia="zh-CN"/>
            </w:rPr>
            <w:t>目标</w:t>
          </w:r>
          <w:r>
            <w:tab/>
          </w:r>
          <w:r>
            <w:fldChar w:fldCharType="begin"/>
          </w:r>
          <w:r>
            <w:instrText xml:space="preserve"> PAGEREF _Toc22204 \h </w:instrText>
          </w:r>
          <w:r>
            <w:fldChar w:fldCharType="separate"/>
          </w:r>
          <w:r>
            <w:t>9</w:t>
          </w:r>
          <w:r>
            <w:fldChar w:fldCharType="end"/>
          </w:r>
          <w:r>
            <w:fldChar w:fldCharType="end"/>
          </w:r>
        </w:p>
        <w:p w14:paraId="1B148DAE">
          <w:pPr>
            <w:pStyle w:val="13"/>
            <w:tabs>
              <w:tab w:val="right" w:leader="dot" w:pos="9072"/>
            </w:tabs>
          </w:pPr>
          <w:r>
            <w:fldChar w:fldCharType="begin"/>
          </w:r>
          <w:r>
            <w:instrText xml:space="preserve"> HYPERLINK \l _Toc15698 </w:instrText>
          </w:r>
          <w:r>
            <w:fldChar w:fldCharType="separate"/>
          </w:r>
          <w:r>
            <w:rPr>
              <w:rFonts w:hint="eastAsia" w:ascii="Times New Roman" w:hAnsi="Times New Roman" w:eastAsia="黑体" w:cs="Times New Roman"/>
              <w:szCs w:val="32"/>
            </w:rPr>
            <w:t>4</w:t>
          </w:r>
          <w:r>
            <w:rPr>
              <w:rFonts w:hint="default" w:ascii="Times New Roman" w:hAnsi="Times New Roman" w:eastAsia="黑体" w:cs="Times New Roman"/>
              <w:szCs w:val="32"/>
            </w:rPr>
            <w:t xml:space="preserve">.2 </w:t>
          </w:r>
          <w:r>
            <w:rPr>
              <w:rFonts w:hint="eastAsia" w:ascii="Times New Roman" w:hAnsi="Times New Roman" w:eastAsia="黑体" w:cs="Times New Roman"/>
              <w:szCs w:val="32"/>
              <w:lang w:val="en-US" w:eastAsia="zh-CN"/>
            </w:rPr>
            <w:t xml:space="preserve"> 指标</w:t>
          </w:r>
          <w:r>
            <w:tab/>
          </w:r>
          <w:r>
            <w:fldChar w:fldCharType="begin"/>
          </w:r>
          <w:r>
            <w:instrText xml:space="preserve"> PAGEREF _Toc15698 \h </w:instrText>
          </w:r>
          <w:r>
            <w:fldChar w:fldCharType="separate"/>
          </w:r>
          <w:r>
            <w:t>9</w:t>
          </w:r>
          <w:r>
            <w:fldChar w:fldCharType="end"/>
          </w:r>
          <w:r>
            <w:fldChar w:fldCharType="end"/>
          </w:r>
        </w:p>
        <w:p w14:paraId="3B525BAE">
          <w:pPr>
            <w:pStyle w:val="13"/>
            <w:tabs>
              <w:tab w:val="right" w:leader="dot" w:pos="9072"/>
            </w:tabs>
          </w:pPr>
          <w:r>
            <w:fldChar w:fldCharType="begin"/>
          </w:r>
          <w:r>
            <w:instrText xml:space="preserve"> HYPERLINK \l _Toc22253 </w:instrText>
          </w:r>
          <w:r>
            <w:fldChar w:fldCharType="separate"/>
          </w:r>
          <w:r>
            <w:rPr>
              <w:rFonts w:hint="eastAsia" w:ascii="Times New Roman" w:hAnsi="Times New Roman" w:eastAsia="黑体" w:cs="Times New Roman"/>
              <w:szCs w:val="32"/>
            </w:rPr>
            <w:t>4</w:t>
          </w:r>
          <w:r>
            <w:rPr>
              <w:rFonts w:hint="default" w:ascii="Times New Roman" w:hAnsi="Times New Roman" w:eastAsia="黑体" w:cs="Times New Roman"/>
              <w:szCs w:val="32"/>
            </w:rPr>
            <w:t xml:space="preserve">.3 </w:t>
          </w:r>
          <w:r>
            <w:rPr>
              <w:rFonts w:hint="eastAsia" w:ascii="Times New Roman" w:hAnsi="Times New Roman" w:eastAsia="黑体" w:cs="Times New Roman"/>
              <w:szCs w:val="32"/>
              <w:lang w:val="en-US" w:eastAsia="zh-CN"/>
            </w:rPr>
            <w:t xml:space="preserve"> 策略</w:t>
          </w:r>
          <w:r>
            <w:tab/>
          </w:r>
          <w:r>
            <w:fldChar w:fldCharType="begin"/>
          </w:r>
          <w:r>
            <w:instrText xml:space="preserve"> PAGEREF _Toc22253 \h </w:instrText>
          </w:r>
          <w:r>
            <w:fldChar w:fldCharType="separate"/>
          </w:r>
          <w:r>
            <w:t>10</w:t>
          </w:r>
          <w:r>
            <w:fldChar w:fldCharType="end"/>
          </w:r>
          <w:r>
            <w:fldChar w:fldCharType="end"/>
          </w:r>
        </w:p>
        <w:p w14:paraId="51A20F08">
          <w:pPr>
            <w:pStyle w:val="12"/>
            <w:tabs>
              <w:tab w:val="right" w:leader="dot" w:pos="9072"/>
            </w:tabs>
          </w:pPr>
          <w:r>
            <w:fldChar w:fldCharType="begin"/>
          </w:r>
          <w:r>
            <w:instrText xml:space="preserve"> HYPERLINK \l _Toc31354 </w:instrText>
          </w:r>
          <w:r>
            <w:fldChar w:fldCharType="separate"/>
          </w:r>
          <w:r>
            <w:rPr>
              <w:rFonts w:hint="eastAsia" w:ascii="Times New Roman" w:hAnsi="Times New Roman" w:cs="Times New Roman"/>
            </w:rPr>
            <w:t>5</w:t>
          </w:r>
          <w:r>
            <w:rPr>
              <w:rFonts w:hint="default" w:ascii="Times New Roman" w:hAnsi="Times New Roman" w:cs="Times New Roman"/>
            </w:rPr>
            <w:t xml:space="preserve"> </w:t>
          </w:r>
          <w:r>
            <w:rPr>
              <w:rFonts w:hint="eastAsia" w:ascii="Times New Roman" w:hAnsi="Times New Roman" w:cs="Times New Roman"/>
              <w:lang w:val="en-US" w:eastAsia="zh-CN"/>
            </w:rPr>
            <w:t xml:space="preserve"> 分区保护指引</w:t>
          </w:r>
          <w:r>
            <w:tab/>
          </w:r>
          <w:r>
            <w:fldChar w:fldCharType="begin"/>
          </w:r>
          <w:r>
            <w:instrText xml:space="preserve"> PAGEREF _Toc31354 \h </w:instrText>
          </w:r>
          <w:r>
            <w:fldChar w:fldCharType="separate"/>
          </w:r>
          <w:r>
            <w:t>12</w:t>
          </w:r>
          <w:r>
            <w:fldChar w:fldCharType="end"/>
          </w:r>
          <w:r>
            <w:fldChar w:fldCharType="end"/>
          </w:r>
        </w:p>
        <w:p w14:paraId="450D5B69">
          <w:pPr>
            <w:pStyle w:val="13"/>
            <w:tabs>
              <w:tab w:val="right" w:leader="dot" w:pos="9072"/>
            </w:tabs>
          </w:pPr>
          <w:r>
            <w:fldChar w:fldCharType="begin"/>
          </w:r>
          <w:r>
            <w:instrText xml:space="preserve"> HYPERLINK \l _Toc30056 </w:instrText>
          </w:r>
          <w:r>
            <w:fldChar w:fldCharType="separate"/>
          </w:r>
          <w:r>
            <w:rPr>
              <w:rFonts w:hint="eastAsia" w:ascii="Times New Roman" w:hAnsi="Times New Roman" w:eastAsia="黑体" w:cs="Times New Roman"/>
              <w:szCs w:val="32"/>
              <w:lang w:val="en-US" w:eastAsia="zh-CN"/>
            </w:rPr>
            <w:t>5</w:t>
          </w:r>
          <w:r>
            <w:rPr>
              <w:rFonts w:hint="default" w:ascii="Times New Roman" w:hAnsi="Times New Roman" w:eastAsia="黑体" w:cs="Times New Roman"/>
              <w:szCs w:val="32"/>
              <w:lang w:val="en-US" w:eastAsia="zh-CN"/>
            </w:rPr>
            <w:t>.1</w:t>
          </w:r>
          <w:r>
            <w:rPr>
              <w:rFonts w:hint="eastAsia" w:ascii="Times New Roman" w:hAnsi="Times New Roman" w:eastAsia="黑体" w:cs="Times New Roman"/>
              <w:szCs w:val="32"/>
              <w:lang w:val="en-US" w:eastAsia="zh-CN"/>
            </w:rPr>
            <w:t xml:space="preserve"> </w:t>
          </w:r>
          <w:r>
            <w:rPr>
              <w:rFonts w:hint="default" w:ascii="Times New Roman" w:hAnsi="Times New Roman" w:eastAsia="黑体" w:cs="Times New Roman"/>
              <w:szCs w:val="32"/>
              <w:lang w:val="en-US" w:eastAsia="zh-CN"/>
            </w:rPr>
            <w:t xml:space="preserve"> </w:t>
          </w:r>
          <w:r>
            <w:rPr>
              <w:rFonts w:hint="eastAsia" w:ascii="Times New Roman" w:hAnsi="Times New Roman" w:eastAsia="黑体" w:cs="Times New Roman"/>
              <w:szCs w:val="32"/>
              <w:lang w:val="en-US" w:eastAsia="zh-CN"/>
            </w:rPr>
            <w:t>成都平原区</w:t>
          </w:r>
          <w:r>
            <w:tab/>
          </w:r>
          <w:r>
            <w:fldChar w:fldCharType="begin"/>
          </w:r>
          <w:r>
            <w:instrText xml:space="preserve"> PAGEREF _Toc30056 \h </w:instrText>
          </w:r>
          <w:r>
            <w:fldChar w:fldCharType="separate"/>
          </w:r>
          <w:r>
            <w:t>12</w:t>
          </w:r>
          <w:r>
            <w:fldChar w:fldCharType="end"/>
          </w:r>
          <w:r>
            <w:fldChar w:fldCharType="end"/>
          </w:r>
        </w:p>
        <w:p w14:paraId="57E37935">
          <w:pPr>
            <w:pStyle w:val="13"/>
            <w:tabs>
              <w:tab w:val="right" w:leader="dot" w:pos="9072"/>
            </w:tabs>
          </w:pPr>
          <w:r>
            <w:fldChar w:fldCharType="begin"/>
          </w:r>
          <w:r>
            <w:instrText xml:space="preserve"> HYPERLINK \l _Toc28621 </w:instrText>
          </w:r>
          <w:r>
            <w:fldChar w:fldCharType="separate"/>
          </w:r>
          <w:r>
            <w:rPr>
              <w:rFonts w:hint="eastAsia" w:ascii="Times New Roman" w:hAnsi="Times New Roman" w:eastAsia="黑体" w:cs="Times New Roman"/>
              <w:szCs w:val="32"/>
              <w:highlight w:val="none"/>
              <w:lang w:val="en-US" w:eastAsia="zh-CN"/>
            </w:rPr>
            <w:t>5</w:t>
          </w:r>
          <w:r>
            <w:rPr>
              <w:rFonts w:hint="default" w:ascii="Times New Roman" w:hAnsi="Times New Roman" w:eastAsia="黑体" w:cs="Times New Roman"/>
              <w:szCs w:val="32"/>
              <w:highlight w:val="none"/>
              <w:lang w:val="en-US" w:eastAsia="zh-CN"/>
            </w:rPr>
            <w:t xml:space="preserve">.2 </w:t>
          </w:r>
          <w:r>
            <w:rPr>
              <w:rFonts w:hint="eastAsia" w:ascii="Times New Roman" w:hAnsi="Times New Roman" w:eastAsia="黑体" w:cs="Times New Roman"/>
              <w:szCs w:val="32"/>
              <w:highlight w:val="none"/>
              <w:lang w:val="en-US" w:eastAsia="zh-CN"/>
            </w:rPr>
            <w:t xml:space="preserve"> 盆地丘陵区</w:t>
          </w:r>
          <w:r>
            <w:tab/>
          </w:r>
          <w:r>
            <w:fldChar w:fldCharType="begin"/>
          </w:r>
          <w:r>
            <w:instrText xml:space="preserve"> PAGEREF _Toc28621 \h </w:instrText>
          </w:r>
          <w:r>
            <w:fldChar w:fldCharType="separate"/>
          </w:r>
          <w:r>
            <w:t>14</w:t>
          </w:r>
          <w:r>
            <w:fldChar w:fldCharType="end"/>
          </w:r>
          <w:r>
            <w:fldChar w:fldCharType="end"/>
          </w:r>
        </w:p>
        <w:p w14:paraId="6A1C3E4D">
          <w:pPr>
            <w:pStyle w:val="13"/>
            <w:tabs>
              <w:tab w:val="right" w:leader="dot" w:pos="9072"/>
            </w:tabs>
          </w:pPr>
          <w:r>
            <w:fldChar w:fldCharType="begin"/>
          </w:r>
          <w:r>
            <w:instrText xml:space="preserve"> HYPERLINK \l _Toc11078 </w:instrText>
          </w:r>
          <w:r>
            <w:fldChar w:fldCharType="separate"/>
          </w:r>
          <w:r>
            <w:rPr>
              <w:rFonts w:hint="default" w:ascii="Times New Roman" w:hAnsi="Times New Roman" w:eastAsia="黑体" w:cs="Times New Roman"/>
              <w:szCs w:val="32"/>
              <w:lang w:val="en-US" w:eastAsia="zh-CN"/>
            </w:rPr>
            <w:t xml:space="preserve">5.3  </w:t>
          </w:r>
          <w:r>
            <w:rPr>
              <w:rFonts w:hint="eastAsia" w:ascii="Times New Roman" w:hAnsi="Times New Roman" w:eastAsia="黑体" w:cs="Times New Roman"/>
              <w:szCs w:val="32"/>
              <w:lang w:val="en-US" w:eastAsia="zh-CN"/>
            </w:rPr>
            <w:t>盆周山地区</w:t>
          </w:r>
          <w:r>
            <w:tab/>
          </w:r>
          <w:r>
            <w:fldChar w:fldCharType="begin"/>
          </w:r>
          <w:r>
            <w:instrText xml:space="preserve"> PAGEREF _Toc11078 \h </w:instrText>
          </w:r>
          <w:r>
            <w:fldChar w:fldCharType="separate"/>
          </w:r>
          <w:r>
            <w:t>15</w:t>
          </w:r>
          <w:r>
            <w:fldChar w:fldCharType="end"/>
          </w:r>
          <w:r>
            <w:fldChar w:fldCharType="end"/>
          </w:r>
        </w:p>
        <w:p w14:paraId="542C786B">
          <w:pPr>
            <w:pStyle w:val="13"/>
            <w:tabs>
              <w:tab w:val="right" w:leader="dot" w:pos="9072"/>
            </w:tabs>
          </w:pPr>
          <w:r>
            <w:fldChar w:fldCharType="begin"/>
          </w:r>
          <w:r>
            <w:instrText xml:space="preserve"> HYPERLINK \l _Toc29778 </w:instrText>
          </w:r>
          <w:r>
            <w:fldChar w:fldCharType="separate"/>
          </w:r>
          <w:r>
            <w:rPr>
              <w:rFonts w:hint="eastAsia" w:ascii="Times New Roman" w:hAnsi="Times New Roman" w:eastAsia="黑体" w:cs="Times New Roman"/>
              <w:szCs w:val="32"/>
              <w:lang w:val="en-US" w:eastAsia="zh-CN"/>
            </w:rPr>
            <w:t xml:space="preserve">5.4  </w:t>
          </w:r>
          <w:r>
            <w:rPr>
              <w:rFonts w:hint="default" w:ascii="Times New Roman" w:hAnsi="Times New Roman" w:eastAsia="黑体" w:cs="Times New Roman"/>
              <w:szCs w:val="32"/>
              <w:lang w:val="en-US" w:eastAsia="zh-CN"/>
            </w:rPr>
            <w:t>川西南山地区</w:t>
          </w:r>
          <w:r>
            <w:tab/>
          </w:r>
          <w:r>
            <w:fldChar w:fldCharType="begin"/>
          </w:r>
          <w:r>
            <w:instrText xml:space="preserve"> PAGEREF _Toc29778 \h </w:instrText>
          </w:r>
          <w:r>
            <w:fldChar w:fldCharType="separate"/>
          </w:r>
          <w:r>
            <w:t>17</w:t>
          </w:r>
          <w:r>
            <w:fldChar w:fldCharType="end"/>
          </w:r>
          <w:r>
            <w:fldChar w:fldCharType="end"/>
          </w:r>
        </w:p>
        <w:p w14:paraId="3F0D08F7">
          <w:pPr>
            <w:pStyle w:val="13"/>
            <w:tabs>
              <w:tab w:val="right" w:leader="dot" w:pos="9072"/>
            </w:tabs>
          </w:pPr>
          <w:r>
            <w:fldChar w:fldCharType="begin"/>
          </w:r>
          <w:r>
            <w:instrText xml:space="preserve"> HYPERLINK \l _Toc29815 </w:instrText>
          </w:r>
          <w:r>
            <w:fldChar w:fldCharType="separate"/>
          </w:r>
          <w:r>
            <w:rPr>
              <w:rFonts w:hint="eastAsia" w:ascii="Times New Roman" w:hAnsi="Times New Roman" w:eastAsia="黑体" w:cs="Times New Roman"/>
              <w:szCs w:val="32"/>
              <w:lang w:val="en-US" w:eastAsia="zh-CN"/>
            </w:rPr>
            <w:t xml:space="preserve">5.5  </w:t>
          </w:r>
          <w:r>
            <w:rPr>
              <w:rFonts w:hint="default" w:ascii="Times New Roman" w:hAnsi="Times New Roman" w:eastAsia="黑体" w:cs="Times New Roman"/>
              <w:szCs w:val="32"/>
              <w:lang w:val="en-US" w:eastAsia="zh-CN"/>
            </w:rPr>
            <w:t>川西高山高原区</w:t>
          </w:r>
          <w:r>
            <w:tab/>
          </w:r>
          <w:r>
            <w:fldChar w:fldCharType="begin"/>
          </w:r>
          <w:r>
            <w:instrText xml:space="preserve"> PAGEREF _Toc29815 \h </w:instrText>
          </w:r>
          <w:r>
            <w:fldChar w:fldCharType="separate"/>
          </w:r>
          <w:r>
            <w:t>18</w:t>
          </w:r>
          <w:r>
            <w:fldChar w:fldCharType="end"/>
          </w:r>
          <w:r>
            <w:fldChar w:fldCharType="end"/>
          </w:r>
        </w:p>
        <w:p w14:paraId="36D6B159">
          <w:pPr>
            <w:pStyle w:val="12"/>
            <w:tabs>
              <w:tab w:val="right" w:leader="dot" w:pos="9072"/>
            </w:tabs>
          </w:pPr>
          <w:r>
            <w:fldChar w:fldCharType="begin"/>
          </w:r>
          <w:r>
            <w:instrText xml:space="preserve"> HYPERLINK \l _Toc14620 </w:instrText>
          </w:r>
          <w:r>
            <w:fldChar w:fldCharType="separate"/>
          </w:r>
          <w:r>
            <w:rPr>
              <w:rFonts w:hint="eastAsia" w:ascii="Times New Roman" w:hAnsi="Times New Roman" w:cs="Times New Roman"/>
            </w:rPr>
            <w:t>6</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共建共享与自然教育</w:t>
          </w:r>
          <w:r>
            <w:tab/>
          </w:r>
          <w:r>
            <w:fldChar w:fldCharType="begin"/>
          </w:r>
          <w:r>
            <w:instrText xml:space="preserve"> PAGEREF _Toc14620 \h </w:instrText>
          </w:r>
          <w:r>
            <w:fldChar w:fldCharType="separate"/>
          </w:r>
          <w:r>
            <w:t>20</w:t>
          </w:r>
          <w:r>
            <w:fldChar w:fldCharType="end"/>
          </w:r>
          <w:r>
            <w:fldChar w:fldCharType="end"/>
          </w:r>
        </w:p>
        <w:p w14:paraId="72F6CFFE">
          <w:pPr>
            <w:pStyle w:val="13"/>
            <w:tabs>
              <w:tab w:val="right" w:leader="dot" w:pos="9072"/>
            </w:tabs>
          </w:pPr>
          <w:r>
            <w:fldChar w:fldCharType="begin"/>
          </w:r>
          <w:r>
            <w:instrText xml:space="preserve"> HYPERLINK \l _Toc22302 </w:instrText>
          </w:r>
          <w:r>
            <w:fldChar w:fldCharType="separate"/>
          </w:r>
          <w:r>
            <w:rPr>
              <w:rFonts w:hint="eastAsia" w:ascii="Times New Roman" w:hAnsi="Times New Roman" w:eastAsia="黑体" w:cs="Times New Roman"/>
              <w:szCs w:val="32"/>
              <w:lang w:val="en-US" w:eastAsia="zh-CN"/>
            </w:rPr>
            <w:t>6.1  公众参与机制</w:t>
          </w:r>
          <w:r>
            <w:tab/>
          </w:r>
          <w:r>
            <w:fldChar w:fldCharType="begin"/>
          </w:r>
          <w:r>
            <w:instrText xml:space="preserve"> PAGEREF _Toc22302 \h </w:instrText>
          </w:r>
          <w:r>
            <w:fldChar w:fldCharType="separate"/>
          </w:r>
          <w:r>
            <w:t>20</w:t>
          </w:r>
          <w:r>
            <w:fldChar w:fldCharType="end"/>
          </w:r>
          <w:r>
            <w:fldChar w:fldCharType="end"/>
          </w:r>
        </w:p>
        <w:p w14:paraId="27605D87">
          <w:pPr>
            <w:pStyle w:val="13"/>
            <w:tabs>
              <w:tab w:val="right" w:leader="dot" w:pos="9072"/>
            </w:tabs>
          </w:pPr>
          <w:r>
            <w:fldChar w:fldCharType="begin"/>
          </w:r>
          <w:r>
            <w:instrText xml:space="preserve"> HYPERLINK \l _Toc18359 </w:instrText>
          </w:r>
          <w:r>
            <w:fldChar w:fldCharType="separate"/>
          </w:r>
          <w:r>
            <w:rPr>
              <w:rFonts w:hint="eastAsia" w:ascii="Times New Roman" w:hAnsi="Times New Roman" w:eastAsia="黑体" w:cs="Times New Roman"/>
              <w:szCs w:val="32"/>
              <w:lang w:val="en-US" w:eastAsia="zh-CN"/>
            </w:rPr>
            <w:t>6.2  自然教育设施建设</w:t>
          </w:r>
          <w:r>
            <w:tab/>
          </w:r>
          <w:r>
            <w:fldChar w:fldCharType="begin"/>
          </w:r>
          <w:r>
            <w:instrText xml:space="preserve"> PAGEREF _Toc18359 \h </w:instrText>
          </w:r>
          <w:r>
            <w:fldChar w:fldCharType="separate"/>
          </w:r>
          <w:r>
            <w:t>20</w:t>
          </w:r>
          <w:r>
            <w:fldChar w:fldCharType="end"/>
          </w:r>
          <w:r>
            <w:fldChar w:fldCharType="end"/>
          </w:r>
        </w:p>
        <w:p w14:paraId="29A12661">
          <w:pPr>
            <w:pStyle w:val="12"/>
            <w:tabs>
              <w:tab w:val="right" w:leader="dot" w:pos="9072"/>
            </w:tabs>
          </w:pPr>
          <w:r>
            <w:fldChar w:fldCharType="begin"/>
          </w:r>
          <w:r>
            <w:instrText xml:space="preserve"> HYPERLINK \l _Toc10946 </w:instrText>
          </w:r>
          <w:r>
            <w:fldChar w:fldCharType="separate"/>
          </w:r>
          <w:r>
            <w:rPr>
              <w:rFonts w:hint="eastAsia" w:ascii="Times New Roman" w:hAnsi="Times New Roman" w:cs="Times New Roman"/>
            </w:rPr>
            <w:t>7</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保障机制</w:t>
          </w:r>
          <w:r>
            <w:tab/>
          </w:r>
          <w:r>
            <w:fldChar w:fldCharType="begin"/>
          </w:r>
          <w:r>
            <w:instrText xml:space="preserve"> PAGEREF _Toc10946 \h </w:instrText>
          </w:r>
          <w:r>
            <w:fldChar w:fldCharType="separate"/>
          </w:r>
          <w:r>
            <w:t>22</w:t>
          </w:r>
          <w:r>
            <w:fldChar w:fldCharType="end"/>
          </w:r>
          <w:r>
            <w:fldChar w:fldCharType="end"/>
          </w:r>
        </w:p>
        <w:p w14:paraId="2898B4DD">
          <w:pPr>
            <w:pStyle w:val="13"/>
            <w:tabs>
              <w:tab w:val="right" w:leader="dot" w:pos="9072"/>
            </w:tabs>
          </w:pPr>
          <w:r>
            <w:fldChar w:fldCharType="begin"/>
          </w:r>
          <w:r>
            <w:instrText xml:space="preserve"> HYPERLINK \l _Toc25865 </w:instrText>
          </w:r>
          <w:r>
            <w:fldChar w:fldCharType="separate"/>
          </w:r>
          <w:r>
            <w:rPr>
              <w:rFonts w:hint="eastAsia" w:ascii="Times New Roman" w:hAnsi="Times New Roman" w:eastAsia="黑体" w:cs="Times New Roman"/>
              <w:szCs w:val="32"/>
              <w:lang w:val="en-US" w:eastAsia="zh-CN"/>
            </w:rPr>
            <w:t>7</w:t>
          </w:r>
          <w:r>
            <w:rPr>
              <w:rFonts w:hint="default" w:ascii="Times New Roman" w:hAnsi="Times New Roman" w:eastAsia="黑体" w:cs="Times New Roman"/>
              <w:szCs w:val="32"/>
              <w:lang w:val="en-US" w:eastAsia="zh-CN"/>
            </w:rPr>
            <w:t xml:space="preserve">.1 </w:t>
          </w:r>
          <w:r>
            <w:rPr>
              <w:rFonts w:hint="eastAsia" w:ascii="Times New Roman" w:hAnsi="Times New Roman" w:eastAsia="黑体" w:cs="Times New Roman"/>
              <w:szCs w:val="32"/>
              <w:lang w:val="en-US" w:eastAsia="zh-CN"/>
            </w:rPr>
            <w:t xml:space="preserve"> 监测与反馈</w:t>
          </w:r>
          <w:r>
            <w:tab/>
          </w:r>
          <w:r>
            <w:fldChar w:fldCharType="begin"/>
          </w:r>
          <w:r>
            <w:instrText xml:space="preserve"> PAGEREF _Toc25865 \h </w:instrText>
          </w:r>
          <w:r>
            <w:fldChar w:fldCharType="separate"/>
          </w:r>
          <w:r>
            <w:t>22</w:t>
          </w:r>
          <w:r>
            <w:fldChar w:fldCharType="end"/>
          </w:r>
          <w:r>
            <w:fldChar w:fldCharType="end"/>
          </w:r>
        </w:p>
        <w:p w14:paraId="4DB90FB7">
          <w:pPr>
            <w:pStyle w:val="13"/>
            <w:tabs>
              <w:tab w:val="right" w:leader="dot" w:pos="9072"/>
            </w:tabs>
          </w:pPr>
          <w:r>
            <w:fldChar w:fldCharType="begin"/>
          </w:r>
          <w:r>
            <w:instrText xml:space="preserve"> HYPERLINK \l _Toc17962 </w:instrText>
          </w:r>
          <w:r>
            <w:fldChar w:fldCharType="separate"/>
          </w:r>
          <w:r>
            <w:rPr>
              <w:rFonts w:hint="eastAsia" w:ascii="Times New Roman" w:hAnsi="Times New Roman" w:eastAsia="黑体" w:cs="Times New Roman"/>
              <w:szCs w:val="32"/>
              <w:lang w:val="en-US" w:eastAsia="zh-CN"/>
            </w:rPr>
            <w:t>7</w:t>
          </w:r>
          <w:r>
            <w:rPr>
              <w:rFonts w:hint="default" w:ascii="Times New Roman" w:hAnsi="Times New Roman" w:eastAsia="黑体" w:cs="Times New Roman"/>
              <w:szCs w:val="32"/>
              <w:lang w:val="en-US" w:eastAsia="zh-CN"/>
            </w:rPr>
            <w:t xml:space="preserve">.2 </w:t>
          </w:r>
          <w:r>
            <w:rPr>
              <w:rFonts w:hint="eastAsia" w:ascii="Times New Roman" w:hAnsi="Times New Roman" w:eastAsia="黑体" w:cs="Times New Roman"/>
              <w:szCs w:val="32"/>
              <w:lang w:val="en-US" w:eastAsia="zh-CN"/>
            </w:rPr>
            <w:t xml:space="preserve"> 管护与提升</w:t>
          </w:r>
          <w:r>
            <w:tab/>
          </w:r>
          <w:r>
            <w:fldChar w:fldCharType="begin"/>
          </w:r>
          <w:r>
            <w:instrText xml:space="preserve"> PAGEREF _Toc17962 \h </w:instrText>
          </w:r>
          <w:r>
            <w:fldChar w:fldCharType="separate"/>
          </w:r>
          <w:r>
            <w:t>22</w:t>
          </w:r>
          <w:r>
            <w:fldChar w:fldCharType="end"/>
          </w:r>
          <w:r>
            <w:fldChar w:fldCharType="end"/>
          </w:r>
        </w:p>
        <w:p w14:paraId="01C7EC73">
          <w:pPr>
            <w:pStyle w:val="12"/>
            <w:tabs>
              <w:tab w:val="right" w:leader="dot" w:pos="9072"/>
            </w:tabs>
          </w:pPr>
          <w:r>
            <w:fldChar w:fldCharType="begin"/>
          </w:r>
          <w:r>
            <w:instrText xml:space="preserve"> HYPERLINK \l _Toc1111 </w:instrText>
          </w:r>
          <w:r>
            <w:fldChar w:fldCharType="separate"/>
          </w:r>
          <w:r>
            <w:rPr>
              <w:rFonts w:hint="default" w:ascii="Times New Roman" w:hAnsi="Times New Roman" w:cs="Times New Roman"/>
              <w:lang w:val="en-US" w:eastAsia="zh-CN"/>
            </w:rPr>
            <w:t>附录</w:t>
          </w: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四川省城市绿地生物多样性保护植物推荐名录</w:t>
          </w:r>
          <w:r>
            <w:tab/>
          </w:r>
          <w:r>
            <w:fldChar w:fldCharType="begin"/>
          </w:r>
          <w:r>
            <w:instrText xml:space="preserve"> PAGEREF _Toc1111 \h </w:instrText>
          </w:r>
          <w:r>
            <w:fldChar w:fldCharType="separate"/>
          </w:r>
          <w:r>
            <w:t>24</w:t>
          </w:r>
          <w:r>
            <w:fldChar w:fldCharType="end"/>
          </w:r>
          <w:r>
            <w:fldChar w:fldCharType="end"/>
          </w:r>
        </w:p>
        <w:p w14:paraId="1FDD509D">
          <w:pPr>
            <w:pStyle w:val="12"/>
            <w:tabs>
              <w:tab w:val="right" w:leader="dot" w:pos="9072"/>
            </w:tabs>
          </w:pPr>
          <w:r>
            <w:fldChar w:fldCharType="begin"/>
          </w:r>
          <w:r>
            <w:instrText xml:space="preserve"> HYPERLINK \l _Toc12500 </w:instrText>
          </w:r>
          <w:r>
            <w:fldChar w:fldCharType="separate"/>
          </w:r>
          <w:r>
            <w:rPr>
              <w:rFonts w:hint="default" w:ascii="Times New Roman" w:hAnsi="Times New Roman" w:cs="Times New Roman"/>
              <w:lang w:val="en-US" w:eastAsia="zh-CN"/>
            </w:rPr>
            <w:t>附录</w:t>
          </w:r>
          <w:r>
            <w:rPr>
              <w:rFonts w:hint="eastAsia" w:ascii="Times New Roman" w:hAnsi="Times New Roman" w:cs="Times New Roman"/>
              <w:lang w:val="en-US" w:eastAsia="zh-CN"/>
            </w:rPr>
            <w:t>B</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四川省城市绿地生物多样性保护动物名录</w:t>
          </w:r>
          <w:r>
            <w:tab/>
          </w:r>
          <w:r>
            <w:fldChar w:fldCharType="begin"/>
          </w:r>
          <w:r>
            <w:instrText xml:space="preserve"> PAGEREF _Toc12500 \h </w:instrText>
          </w:r>
          <w:r>
            <w:fldChar w:fldCharType="separate"/>
          </w:r>
          <w:r>
            <w:t>27</w:t>
          </w:r>
          <w:r>
            <w:fldChar w:fldCharType="end"/>
          </w:r>
          <w:r>
            <w:fldChar w:fldCharType="end"/>
          </w:r>
        </w:p>
        <w:p w14:paraId="1B257A1B">
          <w:pPr>
            <w:pStyle w:val="12"/>
            <w:tabs>
              <w:tab w:val="right" w:leader="dot" w:pos="9072"/>
            </w:tabs>
          </w:pPr>
          <w:r>
            <w:fldChar w:fldCharType="begin"/>
          </w:r>
          <w:r>
            <w:instrText xml:space="preserve"> HYPERLINK \l _Toc4933 </w:instrText>
          </w:r>
          <w:r>
            <w:fldChar w:fldCharType="separate"/>
          </w:r>
          <w:r>
            <w:rPr>
              <w:rFonts w:hint="eastAsia" w:ascii="Times New Roman" w:hAnsi="Times New Roman" w:cs="Times New Roman"/>
              <w:lang w:val="en-US" w:eastAsia="zh-CN"/>
            </w:rPr>
            <w:t>本标准用词说明</w:t>
          </w:r>
          <w:r>
            <w:tab/>
          </w:r>
          <w:r>
            <w:fldChar w:fldCharType="begin"/>
          </w:r>
          <w:r>
            <w:instrText xml:space="preserve"> PAGEREF _Toc4933 \h </w:instrText>
          </w:r>
          <w:r>
            <w:fldChar w:fldCharType="separate"/>
          </w:r>
          <w:r>
            <w:t>30</w:t>
          </w:r>
          <w:r>
            <w:fldChar w:fldCharType="end"/>
          </w:r>
          <w:r>
            <w:fldChar w:fldCharType="end"/>
          </w:r>
        </w:p>
        <w:p w14:paraId="4FB9E72F">
          <w:pPr>
            <w:pStyle w:val="12"/>
            <w:tabs>
              <w:tab w:val="right" w:leader="dot" w:pos="9072"/>
            </w:tabs>
          </w:pPr>
          <w:r>
            <w:fldChar w:fldCharType="begin"/>
          </w:r>
          <w:r>
            <w:instrText xml:space="preserve"> HYPERLINK \l _Toc7526 </w:instrText>
          </w:r>
          <w:r>
            <w:fldChar w:fldCharType="separate"/>
          </w:r>
          <w:r>
            <w:rPr>
              <w:rFonts w:hint="eastAsia" w:ascii="Times New Roman" w:hAnsi="Times New Roman" w:cs="Times New Roman"/>
              <w:lang w:val="en-US" w:eastAsia="zh-CN"/>
            </w:rPr>
            <w:t>引用标准名录</w:t>
          </w:r>
          <w:r>
            <w:tab/>
          </w:r>
          <w:r>
            <w:fldChar w:fldCharType="begin"/>
          </w:r>
          <w:r>
            <w:instrText xml:space="preserve"> PAGEREF _Toc7526 \h </w:instrText>
          </w:r>
          <w:r>
            <w:fldChar w:fldCharType="separate"/>
          </w:r>
          <w:r>
            <w:t>31</w:t>
          </w:r>
          <w:r>
            <w:fldChar w:fldCharType="end"/>
          </w:r>
          <w:r>
            <w:fldChar w:fldCharType="end"/>
          </w:r>
        </w:p>
        <w:p w14:paraId="7680FF5E">
          <w:r>
            <w:fldChar w:fldCharType="end"/>
          </w:r>
        </w:p>
      </w:sdtContent>
    </w:sdt>
    <w:p w14:paraId="27064127"/>
    <w:p w14:paraId="49BCC682">
      <w:pPr>
        <w:rPr>
          <w:rFonts w:hint="default" w:ascii="Times New Roman" w:hAnsi="Times New Roman" w:cs="Times New Roman"/>
          <w:b/>
          <w:bCs w:val="0"/>
          <w:color w:val="000000" w:themeColor="text1"/>
          <w:sz w:val="44"/>
          <w:szCs w:val="44"/>
          <w14:textFill>
            <w14:solidFill>
              <w14:schemeClr w14:val="tx1"/>
            </w14:solidFill>
          </w14:textFill>
        </w:rPr>
      </w:pPr>
      <w:r>
        <w:rPr>
          <w:rFonts w:hint="default" w:ascii="Times New Roman" w:hAnsi="Times New Roman" w:cs="Times New Roman"/>
          <w:b/>
          <w:bCs w:val="0"/>
          <w:color w:val="000000" w:themeColor="text1"/>
          <w:sz w:val="44"/>
          <w:szCs w:val="44"/>
          <w14:textFill>
            <w14:solidFill>
              <w14:schemeClr w14:val="tx1"/>
            </w14:solidFill>
          </w14:textFill>
        </w:rPr>
        <w:br w:type="page"/>
      </w:r>
    </w:p>
    <w:sdt>
      <w:sdtPr>
        <w:rPr>
          <w:rFonts w:ascii="宋体" w:hAnsi="宋体" w:eastAsia="宋体" w:cstheme="minorBidi"/>
          <w:color w:val="000000" w:themeColor="text1"/>
          <w:kern w:val="2"/>
          <w:sz w:val="21"/>
          <w:szCs w:val="24"/>
          <w:lang w:val="en-US" w:eastAsia="zh-CN" w:bidi="ar-SA"/>
          <w14:textFill>
            <w14:solidFill>
              <w14:schemeClr w14:val="tx1"/>
            </w14:solidFill>
          </w14:textFill>
        </w:rPr>
        <w:id w:val="147480107"/>
        <w15:color w:val="DBDBDB"/>
        <w:docPartObj>
          <w:docPartGallery w:val="Table of Contents"/>
          <w:docPartUnique/>
        </w:docPartObj>
      </w:sdtPr>
      <w:sdtEndPr>
        <w:rPr>
          <w:rFonts w:hint="default" w:ascii="Times New Roman" w:hAnsi="Times New Roman" w:cs="Times New Roman" w:eastAsiaTheme="minorEastAsia"/>
          <w:b/>
          <w:bCs w:val="0"/>
          <w:color w:val="000000" w:themeColor="text1"/>
          <w:kern w:val="2"/>
          <w:sz w:val="21"/>
          <w:szCs w:val="32"/>
          <w:lang w:val="en-US" w:eastAsia="zh-CN" w:bidi="ar-SA"/>
          <w14:textFill>
            <w14:solidFill>
              <w14:schemeClr w14:val="tx1"/>
            </w14:solidFill>
          </w14:textFill>
        </w:rPr>
      </w:sdtEndPr>
      <w:sdtContent>
        <w:p w14:paraId="7CC04CD8">
          <w:pPr>
            <w:spacing w:before="0" w:beforeLines="0" w:after="0" w:afterLines="0" w:line="240" w:lineRule="auto"/>
            <w:ind w:left="0" w:leftChars="0" w:right="0" w:rightChars="0" w:firstLine="0" w:firstLineChars="0"/>
            <w:jc w:val="center"/>
            <w:rPr>
              <w:rFonts w:hint="eastAsia" w:ascii="Times New Roman" w:hAnsi="Times New Roman" w:cs="Times New Roman"/>
              <w:b/>
              <w:bCs w:val="0"/>
              <w:color w:val="000000" w:themeColor="text1"/>
              <w:kern w:val="2"/>
              <w:sz w:val="21"/>
              <w:szCs w:val="32"/>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21"/>
              <w:szCs w:val="32"/>
              <w:lang w:val="en-US" w:eastAsia="zh-CN" w:bidi="ar-SA"/>
              <w14:textFill>
                <w14:solidFill>
                  <w14:schemeClr w14:val="tx1"/>
                </w14:solidFill>
              </w14:textFill>
            </w:rPr>
            <w:t>Contents</w:t>
          </w:r>
        </w:p>
        <w:p w14:paraId="1140272C">
          <w:pPr>
            <w:spacing w:before="0" w:beforeLines="0" w:after="0" w:afterLines="0" w:line="240" w:lineRule="auto"/>
            <w:ind w:left="0" w:leftChars="0" w:right="0" w:rightChars="0" w:firstLine="0" w:firstLineChars="0"/>
            <w:jc w:val="center"/>
            <w:rPr>
              <w:rFonts w:hint="eastAsia" w:ascii="Times New Roman" w:hAnsi="Times New Roman" w:cs="Times New Roman"/>
              <w:b/>
              <w:bCs w:val="0"/>
              <w:color w:val="000000" w:themeColor="text1"/>
              <w:kern w:val="2"/>
              <w:sz w:val="21"/>
              <w:szCs w:val="32"/>
              <w:lang w:val="en-US" w:eastAsia="zh-CN" w:bidi="ar-SA"/>
              <w14:textFill>
                <w14:solidFill>
                  <w14:schemeClr w14:val="tx1"/>
                </w14:solidFill>
              </w14:textFill>
            </w:rPr>
          </w:pPr>
        </w:p>
        <w:p w14:paraId="29B95F97">
          <w:pPr>
            <w:pStyle w:val="12"/>
            <w:tabs>
              <w:tab w:val="right" w:leader="dot" w:pos="9072"/>
            </w:tabs>
            <w:rPr>
              <w:color w:val="000000" w:themeColor="text1"/>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fldChar w:fldCharType="begin"/>
          </w:r>
          <w:r>
            <w:rPr>
              <w:rFonts w:hint="default" w:ascii="Times New Roman" w:hAnsi="Times New Roman" w:cs="Times New Roman"/>
              <w:b/>
              <w:bCs w:val="0"/>
              <w:color w:val="000000" w:themeColor="text1"/>
              <w:sz w:val="32"/>
              <w:szCs w:val="32"/>
              <w14:textFill>
                <w14:solidFill>
                  <w14:schemeClr w14:val="tx1"/>
                </w14:solidFill>
              </w14:textFill>
            </w:rPr>
            <w:instrText xml:space="preserve">TOC \o "1-2" \h \u </w:instrText>
          </w:r>
          <w:r>
            <w:rPr>
              <w:rFonts w:hint="default" w:ascii="Times New Roman" w:hAnsi="Times New Roman" w:cs="Times New Roman"/>
              <w:b/>
              <w:bCs w:val="0"/>
              <w:color w:val="000000" w:themeColor="text1"/>
              <w:sz w:val="32"/>
              <w:szCs w:val="32"/>
              <w14:textFill>
                <w14:solidFill>
                  <w14:schemeClr w14:val="tx1"/>
                </w14:solidFill>
              </w14:textFill>
            </w:rPr>
            <w:fldChar w:fldCharType="separate"/>
          </w:r>
          <w:r>
            <w:rPr>
              <w:rFonts w:hint="default" w:ascii="Times New Roman" w:hAnsi="Times New Roman" w:cs="Times New Roman"/>
              <w:bCs w:val="0"/>
              <w:color w:val="000000" w:themeColor="text1"/>
              <w:szCs w:val="32"/>
              <w14:textFill>
                <w14:solidFill>
                  <w14:schemeClr w14:val="tx1"/>
                </w14:solidFill>
              </w14:textFill>
            </w:rPr>
            <w:fldChar w:fldCharType="begin"/>
          </w:r>
          <w:r>
            <w:rPr>
              <w:rFonts w:hint="default" w:ascii="Times New Roman" w:hAnsi="Times New Roman" w:cs="Times New Roman"/>
              <w:bCs w:val="0"/>
              <w:color w:val="000000" w:themeColor="text1"/>
              <w:szCs w:val="32"/>
              <w14:textFill>
                <w14:solidFill>
                  <w14:schemeClr w14:val="tx1"/>
                </w14:solidFill>
              </w14:textFill>
            </w:rPr>
            <w:instrText xml:space="preserve"> HYPERLINK \l _Toc17352 </w:instrText>
          </w:r>
          <w:r>
            <w:rPr>
              <w:rFonts w:hint="default" w:ascii="Times New Roman" w:hAnsi="Times New Roman" w:cs="Times New Roman"/>
              <w:bCs w:val="0"/>
              <w:color w:val="000000" w:themeColor="text1"/>
              <w:szCs w:val="32"/>
              <w14:textFill>
                <w14:solidFill>
                  <w14:schemeClr w14:val="tx1"/>
                </w14:solidFill>
              </w14:textFill>
            </w:rPr>
            <w:fldChar w:fldCharType="separate"/>
          </w:r>
          <w:r>
            <w:rPr>
              <w:rFonts w:hint="default" w:ascii="Times New Roman" w:hAnsi="Times New Roman" w:cs="Times New Roman"/>
              <w:bCs w:val="0"/>
              <w:color w:val="000000" w:themeColor="text1"/>
              <w:szCs w:val="44"/>
              <w14:textFill>
                <w14:solidFill>
                  <w14:schemeClr w14:val="tx1"/>
                </w14:solidFill>
              </w14:textFill>
            </w:rPr>
            <w:t xml:space="preserve">1 </w:t>
          </w:r>
          <w:r>
            <w:rPr>
              <w:rFonts w:hint="eastAsia" w:ascii="Times New Roman" w:hAnsi="Times New Roman" w:cs="Times New Roman"/>
              <w:bCs w:val="0"/>
              <w:color w:val="000000" w:themeColor="text1"/>
              <w:szCs w:val="44"/>
              <w:lang w:val="en-US" w:eastAsia="zh-CN"/>
              <w14:textFill>
                <w14:solidFill>
                  <w14:schemeClr w14:val="tx1"/>
                </w14:solidFill>
              </w14:textFill>
            </w:rPr>
            <w:t xml:space="preserve"> </w:t>
          </w:r>
          <w:r>
            <w:rPr>
              <w:rFonts w:hint="default" w:ascii="Times New Roman" w:hAnsi="Times New Roman" w:cs="Times New Roman"/>
              <w:bCs w:val="0"/>
              <w:color w:val="000000" w:themeColor="text1"/>
              <w:szCs w:val="44"/>
              <w:lang w:val="en-US" w:eastAsia="zh-CN"/>
              <w14:textFill>
                <w14:solidFill>
                  <w14:schemeClr w14:val="tx1"/>
                </w14:solidFill>
              </w14:textFill>
            </w:rPr>
            <w:t>General provisions</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default" w:ascii="Times New Roman" w:hAnsi="Times New Roman" w:cs="Times New Roman"/>
              <w:bCs w:val="0"/>
              <w:color w:val="000000" w:themeColor="text1"/>
              <w:szCs w:val="32"/>
              <w14:textFill>
                <w14:solidFill>
                  <w14:schemeClr w14:val="tx1"/>
                </w14:solidFill>
              </w14:textFill>
            </w:rPr>
            <w:fldChar w:fldCharType="end"/>
          </w:r>
        </w:p>
        <w:p w14:paraId="57AD64DB">
          <w:pPr>
            <w:pStyle w:val="12"/>
            <w:tabs>
              <w:tab w:val="right" w:leader="dot" w:pos="9072"/>
            </w:tabs>
            <w:rPr>
              <w:color w:val="000000" w:themeColor="text1"/>
              <w14:textFill>
                <w14:solidFill>
                  <w14:schemeClr w14:val="tx1"/>
                </w14:solidFill>
              </w14:textFill>
            </w:rPr>
          </w:pPr>
          <w:r>
            <w:rPr>
              <w:rFonts w:hint="default" w:ascii="Times New Roman" w:hAnsi="Times New Roman" w:cs="Times New Roman"/>
              <w:bCs w:val="0"/>
              <w:color w:val="000000" w:themeColor="text1"/>
              <w:szCs w:val="32"/>
              <w14:textFill>
                <w14:solidFill>
                  <w14:schemeClr w14:val="tx1"/>
                </w14:solidFill>
              </w14:textFill>
            </w:rPr>
            <w:fldChar w:fldCharType="begin"/>
          </w:r>
          <w:r>
            <w:rPr>
              <w:rFonts w:hint="default" w:ascii="Times New Roman" w:hAnsi="Times New Roman" w:cs="Times New Roman"/>
              <w:bCs w:val="0"/>
              <w:color w:val="000000" w:themeColor="text1"/>
              <w:szCs w:val="32"/>
              <w14:textFill>
                <w14:solidFill>
                  <w14:schemeClr w14:val="tx1"/>
                </w14:solidFill>
              </w14:textFill>
            </w:rPr>
            <w:instrText xml:space="preserve"> HYPERLINK \l _Toc30853 </w:instrText>
          </w:r>
          <w:r>
            <w:rPr>
              <w:rFonts w:hint="default" w:ascii="Times New Roman" w:hAnsi="Times New Roman" w:cs="Times New Roman"/>
              <w:bCs w:val="0"/>
              <w:color w:val="000000" w:themeColor="text1"/>
              <w:szCs w:val="32"/>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xml:space="preserve">2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Cs w:val="32"/>
              <w:lang w:val="en-US" w:eastAsia="zh-CN"/>
              <w14:textFill>
                <w14:solidFill>
                  <w14:schemeClr w14:val="tx1"/>
                </w14:solidFill>
              </w14:textFill>
            </w:rPr>
            <w:t>Terms</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default" w:ascii="Times New Roman" w:hAnsi="Times New Roman" w:cs="Times New Roman"/>
              <w:bCs w:val="0"/>
              <w:color w:val="000000" w:themeColor="text1"/>
              <w:szCs w:val="32"/>
              <w14:textFill>
                <w14:solidFill>
                  <w14:schemeClr w14:val="tx1"/>
                </w14:solidFill>
              </w14:textFill>
            </w:rPr>
            <w:fldChar w:fldCharType="end"/>
          </w:r>
        </w:p>
        <w:p w14:paraId="63E021DB">
          <w:pPr>
            <w:pStyle w:val="12"/>
            <w:tabs>
              <w:tab w:val="right" w:leader="dot" w:pos="9072"/>
            </w:tabs>
            <w:rPr>
              <w:color w:val="000000" w:themeColor="text1"/>
              <w14:textFill>
                <w14:solidFill>
                  <w14:schemeClr w14:val="tx1"/>
                </w14:solidFill>
              </w14:textFill>
            </w:rPr>
          </w:pPr>
          <w:r>
            <w:rPr>
              <w:rFonts w:hint="default" w:ascii="Times New Roman" w:hAnsi="Times New Roman" w:cs="Times New Roman"/>
              <w:bCs w:val="0"/>
              <w:color w:val="000000" w:themeColor="text1"/>
              <w:szCs w:val="32"/>
              <w14:textFill>
                <w14:solidFill>
                  <w14:schemeClr w14:val="tx1"/>
                </w14:solidFill>
              </w14:textFill>
            </w:rPr>
            <w:fldChar w:fldCharType="begin"/>
          </w:r>
          <w:r>
            <w:rPr>
              <w:rFonts w:hint="default" w:ascii="Times New Roman" w:hAnsi="Times New Roman" w:cs="Times New Roman"/>
              <w:bCs w:val="0"/>
              <w:color w:val="000000" w:themeColor="text1"/>
              <w:szCs w:val="32"/>
              <w14:textFill>
                <w14:solidFill>
                  <w14:schemeClr w14:val="tx1"/>
                </w14:solidFill>
              </w14:textFill>
            </w:rPr>
            <w:instrText xml:space="preserve"> HYPERLINK \l _Toc14268 </w:instrText>
          </w:r>
          <w:r>
            <w:rPr>
              <w:rFonts w:hint="default" w:ascii="Times New Roman" w:hAnsi="Times New Roman" w:cs="Times New Roman"/>
              <w:bCs w:val="0"/>
              <w:color w:val="000000" w:themeColor="text1"/>
              <w:szCs w:val="32"/>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eastAsia="黑体" w:cs="Times New Roman"/>
              <w:color w:val="000000" w:themeColor="text1"/>
              <w:szCs w:val="32"/>
              <w:lang w:val="en-US" w:eastAsia="zh-CN"/>
              <w14:textFill>
                <w14:solidFill>
                  <w14:schemeClr w14:val="tx1"/>
                </w14:solidFill>
              </w14:textFill>
            </w:rPr>
            <w:t xml:space="preserve">  Baseline Survey</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5</w:t>
          </w:r>
          <w:r>
            <w:rPr>
              <w:rFonts w:hint="default" w:ascii="Times New Roman" w:hAnsi="Times New Roman" w:cs="Times New Roman"/>
              <w:bCs w:val="0"/>
              <w:color w:val="000000" w:themeColor="text1"/>
              <w:szCs w:val="32"/>
              <w14:textFill>
                <w14:solidFill>
                  <w14:schemeClr w14:val="tx1"/>
                </w14:solidFill>
              </w14:textFill>
            </w:rPr>
            <w:fldChar w:fldCharType="end"/>
          </w:r>
        </w:p>
        <w:p w14:paraId="4B6CDC76">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_Toc5249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  Survey Scope</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5</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69AAFDEB">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_Toc22246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2</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Survey Content</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5</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6329638F">
          <w:pPr>
            <w:pStyle w:val="13"/>
            <w:tabs>
              <w:tab w:val="right" w:leader="dot" w:pos="9072"/>
            </w:tabs>
            <w:rPr>
              <w:color w:val="000000" w:themeColor="text1"/>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_Toc19915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Survey Outcomes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8</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189AE63D">
          <w:pPr>
            <w:pStyle w:val="12"/>
            <w:tabs>
              <w:tab w:val="right" w:leader="dot" w:pos="9072"/>
            </w:tabs>
            <w:rPr>
              <w:color w:val="000000" w:themeColor="text1"/>
              <w14:textFill>
                <w14:solidFill>
                  <w14:schemeClr w14:val="tx1"/>
                </w14:solidFill>
              </w14:textFill>
            </w:rPr>
          </w:pPr>
          <w:r>
            <w:rPr>
              <w:rFonts w:hint="default" w:ascii="Times New Roman" w:hAnsi="Times New Roman" w:cs="Times New Roman"/>
              <w:bCs w:val="0"/>
              <w:color w:val="000000" w:themeColor="text1"/>
              <w:szCs w:val="32"/>
              <w14:textFill>
                <w14:solidFill>
                  <w14:schemeClr w14:val="tx1"/>
                </w14:solidFill>
              </w14:textFill>
            </w:rPr>
            <w:fldChar w:fldCharType="begin"/>
          </w:r>
          <w:r>
            <w:rPr>
              <w:rFonts w:hint="default" w:ascii="Times New Roman" w:hAnsi="Times New Roman" w:cs="Times New Roman"/>
              <w:bCs w:val="0"/>
              <w:color w:val="000000" w:themeColor="text1"/>
              <w:szCs w:val="32"/>
              <w14:textFill>
                <w14:solidFill>
                  <w14:schemeClr w14:val="tx1"/>
                </w14:solidFill>
              </w14:textFill>
            </w:rPr>
            <w:instrText xml:space="preserve"> HYPERLINK \l _Toc5715 </w:instrText>
          </w:r>
          <w:r>
            <w:rPr>
              <w:rFonts w:hint="default" w:ascii="Times New Roman" w:hAnsi="Times New Roman" w:cs="Times New Roman"/>
              <w:bCs w:val="0"/>
              <w:color w:val="000000" w:themeColor="text1"/>
              <w:szCs w:val="32"/>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4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Protection Objectives</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default" w:ascii="Times New Roman" w:hAnsi="Times New Roman" w:cs="Times New Roman"/>
              <w:bCs w:val="0"/>
              <w:color w:val="000000" w:themeColor="text1"/>
              <w:szCs w:val="32"/>
              <w14:textFill>
                <w14:solidFill>
                  <w14:schemeClr w14:val="tx1"/>
                </w14:solidFill>
              </w14:textFill>
            </w:rPr>
            <w:fldChar w:fldCharType="end"/>
          </w:r>
        </w:p>
        <w:p w14:paraId="585D33B9">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_Toc16069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4.1  Objectives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_Toc16069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9</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143FE5A7">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_Toc25148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4</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.2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Indicators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_Toc25148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9</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79B7C9A6">
          <w:pPr>
            <w:pStyle w:val="13"/>
            <w:tabs>
              <w:tab w:val="right" w:leader="dot" w:pos="9072"/>
            </w:tabs>
            <w:rPr>
              <w:color w:val="000000" w:themeColor="text1"/>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_Toc30884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4</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.3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Strategies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_Toc30884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10</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56D7B2C0">
          <w:pPr>
            <w:pStyle w:val="12"/>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_Toc28024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5</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Zoning Protection Guidelines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_Toc28024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12</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3CB9F41C">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_Toc30597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5</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Chengdu Plain Region</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_Toc30597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12</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3C8DAEBD">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_Toc11695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5</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.2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Basin Hilly Region</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_Toc11695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14</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5B568916">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_Toc9328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5.3  Peripheral Mountain Region</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_Toc9328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15</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4631C276">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_Toc29149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5.4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Southwestern Sichuan Mountain Region</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_Toc29149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17</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69B69D79">
          <w:pPr>
            <w:pStyle w:val="13"/>
            <w:tabs>
              <w:tab w:val="right" w:leader="dot" w:pos="9072"/>
            </w:tabs>
            <w:rPr>
              <w:color w:val="000000" w:themeColor="text1"/>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_Toc15419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5.5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Western Sichuan Alpine Plateau Region</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_Toc29149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1</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8</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34C75305">
          <w:pPr>
            <w:pStyle w:val="12"/>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_Toc11808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6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Co-construction, Sharing, and Nature Education</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1</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9</w:t>
          </w:r>
        </w:p>
        <w:p w14:paraId="65A15CBD">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_Toc27299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6.1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Public Participation Mechanism</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1</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9</w:t>
          </w:r>
        </w:p>
        <w:p w14:paraId="2B5717F9">
          <w:pPr>
            <w:pStyle w:val="13"/>
            <w:tabs>
              <w:tab w:val="right" w:leader="dot" w:pos="9072"/>
            </w:tabs>
            <w:rPr>
              <w:color w:val="000000" w:themeColor="text1"/>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_Toc12022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6.2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Construction of Nature Education Facilities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_Toc12022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20</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78A7E258">
          <w:pPr>
            <w:pStyle w:val="12"/>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_Toc8986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7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Safeguard Mechanisms</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_Toc8986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21</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3F02EB24">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_Toc14153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7</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.1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Monitoring and Feedback</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_Toc14153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22</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09D647AD">
          <w:pPr>
            <w:pStyle w:val="13"/>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_Toc19737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7</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.2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Management and Enhancement</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_Toc19737 \h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22</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33E45D60">
          <w:pPr>
            <w:pStyle w:val="12"/>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Appendix A Recommended Plant List for Urban Green Space Biodiversity Conservation in Sichuan Province</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_Toc1256 \h </w:instrTex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24</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 xml:space="preserve">Appendix B Animal List for Urban Green Space Biodiversity Conservation in Sichuan Province </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PAGEREF _Toc1256 \h </w:instrTex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24</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p>
        <w:p w14:paraId="3A040A24">
          <w:pPr>
            <w:pStyle w:val="12"/>
            <w:tabs>
              <w:tab w:val="right" w:leader="dot" w:pos="9072"/>
            </w:tabs>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_Toc1256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Explanation of Wording in This Standard</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0</w:t>
          </w:r>
        </w:p>
        <w:p w14:paraId="5B68968E">
          <w:pPr>
            <w:pStyle w:val="12"/>
            <w:tabs>
              <w:tab w:val="right" w:leader="dot" w:pos="9072"/>
            </w:tabs>
            <w:rPr>
              <w:rFonts w:hint="default"/>
              <w:color w:val="000000" w:themeColor="text1"/>
              <w:lang w:val="en-US"/>
              <w14:textFill>
                <w14:solidFill>
                  <w14:schemeClr w14:val="tx1"/>
                </w14:solidFill>
              </w14:textFill>
            </w:rPr>
          </w:pP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instrText xml:space="preserve"> HYPERLINK \l _Toc10922 </w:instrTex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t>List of Referenced Standards</w:t>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ab/>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kern w:val="2"/>
              <w:sz w:val="21"/>
              <w:szCs w:val="32"/>
              <w:lang w:val="en-US" w:eastAsia="zh-CN" w:bidi="ar-SA"/>
              <w14:textFill>
                <w14:solidFill>
                  <w14:schemeClr w14:val="tx1"/>
                </w14:solidFill>
              </w14:textFill>
            </w:rPr>
            <w:fldChar w:fldCharType="end"/>
          </w:r>
          <w:r>
            <w:rPr>
              <w:rFonts w:hint="eastAsia" w:ascii="Times New Roman" w:hAnsi="Times New Roman" w:eastAsia="黑体" w:cs="Times New Roman"/>
              <w:color w:val="000000" w:themeColor="text1"/>
              <w:kern w:val="2"/>
              <w:sz w:val="21"/>
              <w:szCs w:val="32"/>
              <w:lang w:val="en-US" w:eastAsia="zh-CN" w:bidi="ar-SA"/>
              <w14:textFill>
                <w14:solidFill>
                  <w14:schemeClr w14:val="tx1"/>
                </w14:solidFill>
              </w14:textFill>
            </w:rPr>
            <w:t>1</w:t>
          </w:r>
        </w:p>
        <w:p w14:paraId="1E82C6AF">
          <w:pPr>
            <w:rPr>
              <w:rFonts w:hint="default" w:ascii="Times New Roman" w:hAnsi="Times New Roman" w:cs="Times New Roman" w:eastAsiaTheme="minorEastAsia"/>
              <w:b/>
              <w:bCs w:val="0"/>
              <w:color w:val="000000" w:themeColor="text1"/>
              <w:kern w:val="2"/>
              <w:sz w:val="21"/>
              <w:szCs w:val="32"/>
              <w:lang w:val="en-US" w:eastAsia="zh-CN" w:bidi="ar-SA"/>
              <w14:textFill>
                <w14:solidFill>
                  <w14:schemeClr w14:val="tx1"/>
                </w14:solidFill>
              </w14:textFill>
            </w:rPr>
          </w:pPr>
          <w:r>
            <w:rPr>
              <w:rFonts w:hint="default" w:ascii="Times New Roman" w:hAnsi="Times New Roman" w:cs="Times New Roman"/>
              <w:bCs w:val="0"/>
              <w:color w:val="000000" w:themeColor="text1"/>
              <w:szCs w:val="32"/>
              <w14:textFill>
                <w14:solidFill>
                  <w14:schemeClr w14:val="tx1"/>
                </w14:solidFill>
              </w14:textFill>
            </w:rPr>
            <w:fldChar w:fldCharType="end"/>
          </w:r>
        </w:p>
      </w:sdtContent>
    </w:sdt>
    <w:p w14:paraId="73AC3E07">
      <w:pPr>
        <w:rPr>
          <w:rFonts w:hint="default" w:ascii="Times New Roman" w:hAnsi="Times New Roman" w:cs="Times New Roman" w:eastAsiaTheme="minorEastAsia"/>
          <w:b/>
          <w:bCs w:val="0"/>
          <w:color w:val="000000" w:themeColor="text1"/>
          <w:kern w:val="2"/>
          <w:sz w:val="21"/>
          <w:szCs w:val="32"/>
          <w:lang w:val="en-US" w:eastAsia="zh-CN" w:bidi="ar-SA"/>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D22D8D7">
      <w:pPr>
        <w:pStyle w:val="4"/>
        <w:bidi w:val="0"/>
        <w:jc w:val="center"/>
        <w:rPr>
          <w:rFonts w:hint="default" w:ascii="Times New Roman" w:hAnsi="Times New Roman" w:eastAsia="宋体" w:cs="Times New Roman"/>
          <w:b/>
          <w:bCs w:val="0"/>
          <w:color w:val="000000" w:themeColor="text1"/>
          <w:sz w:val="44"/>
          <w:szCs w:val="44"/>
          <w14:textFill>
            <w14:solidFill>
              <w14:schemeClr w14:val="tx1"/>
            </w14:solidFill>
          </w14:textFill>
        </w:rPr>
      </w:pPr>
      <w:bookmarkStart w:id="0" w:name="_Toc15963"/>
      <w:bookmarkStart w:id="1" w:name="_Toc30383"/>
      <w:bookmarkStart w:id="2" w:name="_Toc17352"/>
      <w:r>
        <w:rPr>
          <w:rFonts w:hint="default" w:ascii="Times New Roman" w:hAnsi="Times New Roman" w:cs="Times New Roman"/>
          <w:b/>
          <w:bCs w:val="0"/>
          <w:color w:val="000000" w:themeColor="text1"/>
          <w:sz w:val="44"/>
          <w:szCs w:val="44"/>
          <w14:textFill>
            <w14:solidFill>
              <w14:schemeClr w14:val="tx1"/>
            </w14:solidFill>
          </w14:textFill>
        </w:rPr>
        <w:t xml:space="preserve">1 </w:t>
      </w:r>
      <w:r>
        <w:rPr>
          <w:rFonts w:hint="eastAsia" w:ascii="Times New Roman" w:hAnsi="Times New Roman" w:cs="Times New Roman"/>
          <w:b/>
          <w:bCs w:val="0"/>
          <w:color w:val="000000" w:themeColor="text1"/>
          <w:sz w:val="44"/>
          <w:szCs w:val="44"/>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总则</w:t>
      </w:r>
      <w:bookmarkEnd w:id="0"/>
      <w:bookmarkEnd w:id="1"/>
      <w:bookmarkEnd w:id="2"/>
    </w:p>
    <w:p w14:paraId="565BC9FE">
      <w:pPr>
        <w:numPr>
          <w:ilvl w:val="0"/>
          <w:numId w:val="3"/>
        </w:numPr>
        <w:tabs>
          <w:tab w:val="left" w:pos="640"/>
          <w:tab w:val="clear" w:pos="420"/>
        </w:tabs>
        <w:bidi w:val="0"/>
        <w:spacing w:line="360" w:lineRule="auto"/>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为贯彻落实国家生态文明建设战略，</w:t>
      </w:r>
      <w:r>
        <w:rPr>
          <w:rFonts w:hint="default" w:ascii="Times New Roman" w:hAnsi="Times New Roman" w:cs="Times New Roman"/>
          <w:color w:val="000000" w:themeColor="text1"/>
          <w:highlight w:val="none"/>
          <w14:textFill>
            <w14:solidFill>
              <w14:schemeClr w14:val="tx1"/>
            </w14:solidFill>
          </w14:textFill>
        </w:rPr>
        <w:t>根据《中华人民共和国</w:t>
      </w:r>
      <w:r>
        <w:rPr>
          <w:rFonts w:hint="eastAsia" w:ascii="Times New Roman" w:hAnsi="Times New Roman" w:cs="Times New Roman"/>
          <w:color w:val="000000" w:themeColor="text1"/>
          <w:highlight w:val="none"/>
          <w:lang w:val="en-US" w:eastAsia="zh-CN"/>
          <w14:textFill>
            <w14:solidFill>
              <w14:schemeClr w14:val="tx1"/>
            </w14:solidFill>
          </w14:textFill>
        </w:rPr>
        <w:t>城乡规划</w:t>
      </w:r>
      <w:r>
        <w:rPr>
          <w:rFonts w:hint="default" w:ascii="Times New Roman" w:hAnsi="Times New Roman" w:cs="Times New Roman"/>
          <w:color w:val="000000" w:themeColor="text1"/>
          <w:highlight w:val="none"/>
          <w14:textFill>
            <w14:solidFill>
              <w14:schemeClr w14:val="tx1"/>
            </w14:solidFill>
          </w14:textFill>
        </w:rPr>
        <w:t>法》《四川省生态环境保护条例》等法律法规</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针对四川省幅员辽阔、地理特征差异显著的特点，制定差异化保护指引，系统提升城市绿地生物多样性保护水平，增强城市生态系统服务功能与韧性，促进人与自然和谐共生，制定本导则。</w:t>
      </w:r>
    </w:p>
    <w:p w14:paraId="366957D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 xml:space="preserve">【条文说明】 </w:t>
      </w: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本条阐明本导则的指定目的。</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本导则的编制旨在贯彻落实国家生态文明建设战略部署。四川省地处长江黄河上游生态屏障区，地貌类型复杂，从成都平原到川西高原形成了显著的区域分异特征，各区域生态系统类型多样，生物多样性保护重点各异。随着城镇化进程加快，城市生态空间面临持续压力，生境破碎化、乡土物种减少、外来物种入侵等问题日益凸显。现有《四川省城市园林绿化条例》等法规对城市绿化提出了基本要求，但在城市尺度生物多样性保护方面，尚缺乏针对不同地理区域的差异化技术指引。为弥补这一空白，本导则依据《四川省国土空间规划（2021-2035年）》的生态保护要求，结合《四川省生物多样性保护战略与行动计划（</w:t>
      </w:r>
      <w:r>
        <w:rPr>
          <w:rFonts w:hint="default" w:ascii="楷体" w:hAnsi="楷体" w:eastAsia="楷体" w:cs="楷体"/>
          <w:color w:val="000000" w:themeColor="text1"/>
          <w:kern w:val="0"/>
          <w:sz w:val="21"/>
          <w:szCs w:val="20"/>
          <w:highlight w:val="none"/>
          <w:lang w:val="en-US" w:eastAsia="zh-CN" w:bidi="ar-SA"/>
          <w14:textFill>
            <w14:solidFill>
              <w14:schemeClr w14:val="tx1"/>
            </w14:solidFill>
          </w14:textFill>
        </w:rPr>
        <w:t>2025—2030</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年）》《四川科学绿化试点示范省建设实施方案（2023-2025年）》等相关文件精神，基于五大地理分区自然特征，制定了差异化的保护策略和技术指引，是完善四川省生态文明制度体系的重要技术支撑。</w:t>
      </w:r>
    </w:p>
    <w:p w14:paraId="64906666">
      <w:pPr>
        <w:rPr>
          <w:rFonts w:hint="default"/>
          <w:color w:val="000000" w:themeColor="text1"/>
          <w:lang w:val="en-US" w:eastAsia="zh-CN"/>
          <w14:textFill>
            <w14:solidFill>
              <w14:schemeClr w14:val="tx1"/>
            </w14:solidFill>
          </w14:textFill>
        </w:rPr>
      </w:pPr>
    </w:p>
    <w:p w14:paraId="565A9B88">
      <w:pPr>
        <w:numPr>
          <w:ilvl w:val="0"/>
          <w:numId w:val="3"/>
        </w:numPr>
        <w:tabs>
          <w:tab w:val="left" w:pos="640"/>
          <w:tab w:val="clear" w:pos="420"/>
        </w:tabs>
        <w:bidi w:val="0"/>
        <w:spacing w:line="360" w:lineRule="auto"/>
        <w:ind w:left="0" w:leftChars="0" w:firstLine="0" w:firstLineChars="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本导则适用于四川省行政区域内设市城市和县城所在地镇的城市绿地生物多样性保护工作。</w:t>
      </w:r>
    </w:p>
    <w:p w14:paraId="257F0732">
      <w:pPr>
        <w:pStyle w:val="14"/>
        <w:spacing w:line="360" w:lineRule="auto"/>
        <w:rPr>
          <w:rFonts w:hint="eastAsia" w:ascii="Times New Roman" w:hAnsi="Times New Roman" w:eastAsia="楷体"/>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本条为本标准的适用范围</w:t>
      </w:r>
      <w:r>
        <w:rPr>
          <w:rFonts w:hint="eastAsia" w:ascii="Times New Roman" w:hAnsi="Times New Roman" w:eastAsia="楷体"/>
          <w:b w:val="0"/>
          <w:bCs w:val="0"/>
          <w:color w:val="000000" w:themeColor="text1"/>
          <w:highlight w:val="none"/>
          <w:lang w:val="en-US" w:eastAsia="zh-CN"/>
          <w14:textFill>
            <w14:solidFill>
              <w14:schemeClr w14:val="tx1"/>
            </w14:solidFill>
          </w14:textFill>
        </w:rPr>
        <w:t>。</w:t>
      </w:r>
    </w:p>
    <w:p w14:paraId="7F8424F5">
      <w:pPr>
        <w:numPr>
          <w:ilvl w:val="0"/>
          <w:numId w:val="0"/>
        </w:numPr>
        <w:tabs>
          <w:tab w:val="left" w:pos="640"/>
        </w:tabs>
        <w:bidi w:val="0"/>
        <w:spacing w:line="360" w:lineRule="auto"/>
        <w:ind w:leftChars="0"/>
        <w:rPr>
          <w:rFonts w:hint="default" w:ascii="Times New Roman" w:hAnsi="Times New Roman" w:cs="Times New Roman" w:eastAsiaTheme="minorEastAsia"/>
          <w:color w:val="000000" w:themeColor="text1"/>
          <w:lang w:val="en-US" w:eastAsia="zh-CN"/>
          <w14:textFill>
            <w14:solidFill>
              <w14:schemeClr w14:val="tx1"/>
            </w14:solidFill>
          </w14:textFill>
        </w:rPr>
      </w:pPr>
    </w:p>
    <w:p w14:paraId="52ED2491">
      <w:pPr>
        <w:numPr>
          <w:ilvl w:val="0"/>
          <w:numId w:val="3"/>
        </w:numPr>
        <w:tabs>
          <w:tab w:val="left" w:pos="640"/>
          <w:tab w:val="clear" w:pos="420"/>
        </w:tabs>
        <w:bidi w:val="0"/>
        <w:spacing w:line="360" w:lineRule="auto"/>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城市绿地生物多样性保护应遵循以下基本原则：</w:t>
      </w:r>
    </w:p>
    <w:p w14:paraId="493C6636">
      <w:pPr>
        <w:numPr>
          <w:ilvl w:val="0"/>
          <w:numId w:val="4"/>
        </w:numPr>
        <w:tabs>
          <w:tab w:val="left" w:pos="640"/>
          <w:tab w:val="clear" w:pos="420"/>
        </w:tabs>
        <w:bidi w:val="0"/>
        <w:spacing w:line="360" w:lineRule="auto"/>
        <w:ind w:left="0" w:leftChars="0" w:firstLine="420" w:firstLineChars="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生态优先：在城市绿地规划、建设和管理全过程中，宜首先尊重当地自然生态系统，保护原生境和乡土物种，维持生态过程的自然演进。</w:t>
      </w:r>
    </w:p>
    <w:p w14:paraId="370B2FFD">
      <w:pPr>
        <w:numPr>
          <w:ilvl w:val="0"/>
          <w:numId w:val="4"/>
        </w:numPr>
        <w:tabs>
          <w:tab w:val="left" w:pos="640"/>
          <w:tab w:val="clear" w:pos="420"/>
        </w:tabs>
        <w:bidi w:val="0"/>
        <w:spacing w:line="360" w:lineRule="auto"/>
        <w:ind w:left="0" w:leftChars="0" w:firstLine="420" w:firstLineChars="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因地制宜：立足不同区域自然地理特征和生态本底条件，采取差异化的保护策略和技术措施，体现地域特色。</w:t>
      </w:r>
    </w:p>
    <w:p w14:paraId="1784374B">
      <w:pPr>
        <w:numPr>
          <w:ilvl w:val="0"/>
          <w:numId w:val="4"/>
        </w:numPr>
        <w:tabs>
          <w:tab w:val="left" w:pos="640"/>
          <w:tab w:val="clear" w:pos="420"/>
        </w:tabs>
        <w:bidi w:val="0"/>
        <w:spacing w:line="360" w:lineRule="auto"/>
        <w:ind w:left="0" w:leftChars="0" w:firstLine="420" w:firstLineChars="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系统保护：统筹遗传多样性、物种多样性和生态系统多样性保护，实现城市绿地生物多样性保护的全覆盖。</w:t>
      </w:r>
    </w:p>
    <w:p w14:paraId="380D32A1">
      <w:pPr>
        <w:numPr>
          <w:ilvl w:val="-1"/>
          <w:numId w:val="0"/>
        </w:numPr>
        <w:tabs>
          <w:tab w:val="left" w:pos="640"/>
        </w:tabs>
        <w:bidi w:val="0"/>
        <w:spacing w:line="360" w:lineRule="auto"/>
        <w:ind w:left="0" w:leftChars="0" w:firstLine="420" w:firstLineChars="20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4 共建共享</w:t>
      </w:r>
      <w:r>
        <w:rPr>
          <w:rFonts w:hint="eastAsia" w:ascii="Times New Roman" w:hAnsi="Times New Roman" w:cs="Times New Roman"/>
          <w:color w:val="000000" w:themeColor="text1"/>
          <w:lang w:val="en-US" w:eastAsia="zh-CN"/>
          <w14:textFill>
            <w14:solidFill>
              <w14:schemeClr w14:val="tx1"/>
            </w14:solidFill>
          </w14:textFill>
        </w:rPr>
        <w:t>：建立政府引导、多方参与、社会协同的工作机制，加强自然教育，推动公众参与，实现生态效益和社会效益的统一。</w:t>
      </w:r>
    </w:p>
    <w:p w14:paraId="4DEDA3D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楷体" w:hAnsi="楷体" w:eastAsia="楷体" w:cs="楷体"/>
          <w:color w:val="000000" w:themeColor="text1"/>
          <w:kern w:val="0"/>
          <w:sz w:val="21"/>
          <w:szCs w:val="20"/>
          <w:highlight w:val="none"/>
          <w:lang w:val="en-US" w:eastAsia="zh-CN" w:bidi="ar-SA"/>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本条明确了城市绿地生物多样性保护工作需遵循的四大基本原则，其制定融合了四川省相关重要政策文件的核心要求。生态优先原则遵循《四川省生物多样性保护战略与行动计划（2025—2030年）》提出的</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筑牢生物多样性保护底线”要求，同时呼应</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昆明-蒙特利尔全球生物多样性框架”将生物多样性纳入城市规划的国际共识，旨在确立生态保护在城市发展中的基础性地位；因地制宜原则基于《四川科学绿化试点示范省建设实施方案（2023—2025年）》确立的五大分区治理框架，充分考虑四川省从成都平原到川西高原的显著地域差异，推动形成符合各区域生态特征的保护格局；系统保护原则借鉴《四川省生物多样性保护战略与行动计划（2023—2030年）》提出的</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多维守护”战略理念，通过构建全方位的保护体系，实现对生物多样性各要素的整体性维护；共建共享原则融合该战略中</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形成政府主导、多方协同的保护格局”的要求，同时吸纳</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楷体" w:hAnsi="楷体" w:eastAsia="楷体" w:cs="楷体"/>
          <w:color w:val="000000" w:themeColor="text1"/>
          <w:kern w:val="0"/>
          <w:sz w:val="21"/>
          <w:szCs w:val="20"/>
          <w:highlight w:val="none"/>
          <w:lang w:val="en-US" w:eastAsia="zh-CN" w:bidi="ar-SA"/>
          <w14:textFill>
            <w14:solidFill>
              <w14:schemeClr w14:val="tx1"/>
            </w14:solidFill>
          </w14:textFill>
        </w:rPr>
        <w:t>以公民科学助力生物多样性保护”的创新思路，旨在构建全社会共同参与、共享成果的治理机制。</w:t>
      </w:r>
    </w:p>
    <w:p w14:paraId="328E8FE3">
      <w:pPr>
        <w:widowControl w:val="0"/>
        <w:numPr>
          <w:ilvl w:val="0"/>
          <w:numId w:val="0"/>
        </w:numPr>
        <w:tabs>
          <w:tab w:val="left" w:pos="640"/>
        </w:tabs>
        <w:bidi w:val="0"/>
        <w:spacing w:line="360" w:lineRule="auto"/>
        <w:jc w:val="both"/>
        <w:rPr>
          <w:rFonts w:hint="default" w:ascii="Times New Roman" w:hAnsi="Times New Roman" w:cs="Times New Roman"/>
          <w:color w:val="000000" w:themeColor="text1"/>
          <w:lang w:val="en-US" w:eastAsia="zh-CN"/>
          <w14:textFill>
            <w14:solidFill>
              <w14:schemeClr w14:val="tx1"/>
            </w14:solidFill>
          </w14:textFill>
        </w:rPr>
      </w:pPr>
    </w:p>
    <w:p w14:paraId="5D83E161">
      <w:pPr>
        <w:numPr>
          <w:ilvl w:val="0"/>
          <w:numId w:val="3"/>
        </w:numPr>
        <w:tabs>
          <w:tab w:val="left" w:pos="640"/>
          <w:tab w:val="clear" w:pos="420"/>
        </w:tabs>
        <w:bidi w:val="0"/>
        <w:spacing w:line="360" w:lineRule="auto"/>
        <w:ind w:left="0" w:leftChars="0" w:firstLine="0" w:firstLineChars="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城市绿地生物多样性保护除执行本标准外，尚应符合国家及四川省现行相关标准的规定。</w:t>
      </w:r>
    </w:p>
    <w:p w14:paraId="0BB628EF">
      <w:pPr>
        <w:pStyle w:val="14"/>
        <w:spacing w:line="360" w:lineRule="auto"/>
        <w:rPr>
          <w:rFonts w:hint="default" w:ascii="Times New Roman" w:hAnsi="Times New Roman" w:eastAsia="宋体" w:cs="Times New Roman"/>
          <w:bCs/>
          <w:color w:val="000000" w:themeColor="text1"/>
          <w:sz w:val="28"/>
          <w:szCs w:val="28"/>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本条明确了本导则与其他相关标准规范的衔接关系。</w:t>
      </w:r>
      <w:r>
        <w:rPr>
          <w:rFonts w:hint="default" w:ascii="Times New Roman" w:hAnsi="Times New Roman" w:eastAsia="宋体" w:cs="Times New Roman"/>
          <w:bCs/>
          <w:color w:val="000000" w:themeColor="text1"/>
          <w:sz w:val="28"/>
          <w:szCs w:val="28"/>
          <w14:textFill>
            <w14:solidFill>
              <w14:schemeClr w14:val="tx1"/>
            </w14:solidFill>
          </w14:textFill>
        </w:rPr>
        <w:br w:type="page"/>
      </w:r>
    </w:p>
    <w:p w14:paraId="2BB6798B">
      <w:pPr>
        <w:rPr>
          <w:rFonts w:hint="default"/>
          <w:color w:val="000000" w:themeColor="text1"/>
          <w14:textFill>
            <w14:solidFill>
              <w14:schemeClr w14:val="tx1"/>
            </w14:solidFill>
          </w14:textFill>
        </w:rPr>
      </w:pPr>
    </w:p>
    <w:p w14:paraId="6DDE9478">
      <w:pPr>
        <w:pStyle w:val="4"/>
        <w:bidi w:val="0"/>
        <w:jc w:val="center"/>
        <w:rPr>
          <w:rFonts w:hint="default" w:ascii="Times New Roman" w:hAnsi="Times New Roman" w:cs="Times New Roman"/>
          <w:color w:val="000000" w:themeColor="text1"/>
          <w14:textFill>
            <w14:solidFill>
              <w14:schemeClr w14:val="tx1"/>
            </w14:solidFill>
          </w14:textFill>
        </w:rPr>
      </w:pPr>
      <w:bookmarkStart w:id="3" w:name="_Toc5113"/>
      <w:bookmarkStart w:id="4" w:name="_Toc30853"/>
      <w:bookmarkStart w:id="5" w:name="_Toc12431"/>
      <w:r>
        <w:rPr>
          <w:rFonts w:hint="default" w:ascii="Times New Roman" w:hAnsi="Times New Roman" w:cs="Times New Roman"/>
          <w:color w:val="000000" w:themeColor="text1"/>
          <w14:textFill>
            <w14:solidFill>
              <w14:schemeClr w14:val="tx1"/>
            </w14:solidFill>
          </w14:textFill>
        </w:rPr>
        <w:t xml:space="preserve">2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术语</w:t>
      </w:r>
      <w:bookmarkEnd w:id="3"/>
      <w:bookmarkEnd w:id="4"/>
      <w:bookmarkEnd w:id="5"/>
    </w:p>
    <w:p w14:paraId="6E09BBE6">
      <w:pPr>
        <w:numPr>
          <w:ilvl w:val="0"/>
          <w:numId w:val="5"/>
        </w:numPr>
        <w:tabs>
          <w:tab w:val="left" w:pos="420"/>
          <w:tab w:val="clear" w:pos="0"/>
        </w:tabs>
        <w:spacing w:line="360" w:lineRule="auto"/>
        <w:ind w:left="0" w:leftChars="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城市生物多样性</w:t>
      </w:r>
      <w:r>
        <w:rPr>
          <w:rFonts w:hint="eastAsia" w:ascii="Times New Roman" w:hAnsi="Times New Roman" w:cs="Times New Roman"/>
          <w:color w:val="000000" w:themeColor="text1"/>
          <w:u w:val="none"/>
          <w:lang w:val="en-US" w:eastAsia="zh-CN"/>
          <w14:textFill>
            <w14:solidFill>
              <w14:schemeClr w14:val="tx1"/>
            </w14:solidFill>
          </w14:textFill>
        </w:rPr>
        <w:t xml:space="preserve"> urban biodiversity</w:t>
      </w:r>
    </w:p>
    <w:p w14:paraId="36680B95">
      <w:pPr>
        <w:numPr>
          <w:ilvl w:val="0"/>
          <w:numId w:val="0"/>
        </w:numPr>
        <w:tabs>
          <w:tab w:val="left" w:pos="420"/>
        </w:tabs>
        <w:spacing w:line="360" w:lineRule="auto"/>
        <w:ind w:leftChars="0" w:firstLine="420" w:firstLineChars="20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城市范围内的各种非人生物体有规律地结合在一起所体现出来地基因、物种和城市生态系统地分异程度。</w:t>
      </w:r>
    </w:p>
    <w:p w14:paraId="7F019823">
      <w:pPr>
        <w:numPr>
          <w:ilvl w:val="0"/>
          <w:numId w:val="0"/>
        </w:numPr>
        <w:spacing w:line="360" w:lineRule="auto"/>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来源：T/CHSLA 10012-2024，第3.1条。</w:t>
      </w:r>
    </w:p>
    <w:p w14:paraId="50B7C1E4">
      <w:pPr>
        <w:numPr>
          <w:ilvl w:val="0"/>
          <w:numId w:val="0"/>
        </w:numPr>
        <w:tabs>
          <w:tab w:val="left" w:pos="420"/>
        </w:tabs>
        <w:spacing w:line="360" w:lineRule="auto"/>
        <w:rPr>
          <w:rFonts w:hint="eastAsia" w:ascii="Times New Roman" w:hAnsi="Times New Roman" w:eastAsia="楷体"/>
          <w:color w:val="000000" w:themeColor="text1"/>
          <w:u w:val="single"/>
          <w:lang w:val="en-US" w:eastAsia="zh-CN"/>
          <w14:textFill>
            <w14:solidFill>
              <w14:schemeClr w14:val="tx1"/>
            </w14:solidFill>
          </w14:textFill>
        </w:rPr>
      </w:pPr>
    </w:p>
    <w:p w14:paraId="7C003B28">
      <w:pPr>
        <w:numPr>
          <w:ilvl w:val="0"/>
          <w:numId w:val="5"/>
        </w:numPr>
        <w:tabs>
          <w:tab w:val="left" w:pos="420"/>
          <w:tab w:val="clear" w:pos="0"/>
        </w:tabs>
        <w:spacing w:line="360" w:lineRule="auto"/>
        <w:ind w:left="0" w:leftChars="0" w:firstLine="0" w:firstLineChars="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城市绿地</w:t>
      </w:r>
      <w:r>
        <w:rPr>
          <w:rFonts w:hint="eastAsia" w:ascii="Times New Roman" w:hAnsi="Times New Roman" w:cs="Times New Roman"/>
          <w:color w:val="000000" w:themeColor="text1"/>
          <w:u w:val="none"/>
          <w:lang w:val="en-US" w:eastAsia="zh-CN"/>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urban green space</w:t>
      </w:r>
    </w:p>
    <w:p w14:paraId="223D6EA5">
      <w:pPr>
        <w:numPr>
          <w:ilvl w:val="0"/>
          <w:numId w:val="0"/>
        </w:numPr>
        <w:tabs>
          <w:tab w:val="left" w:pos="420"/>
        </w:tabs>
        <w:spacing w:line="360" w:lineRule="auto"/>
        <w:ind w:leftChars="0" w:firstLine="420" w:firstLineChars="20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城市中以植被为主要形态，并对生态、游憩、景观、防护具有积极作用地各类绿地的总称。</w:t>
      </w:r>
    </w:p>
    <w:p w14:paraId="7F98CBDD">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来源：GB/T 51346-2019，第2.0.1条。</w:t>
      </w:r>
    </w:p>
    <w:p w14:paraId="6A233F0E">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p>
    <w:p w14:paraId="51F3A6BB">
      <w:pPr>
        <w:numPr>
          <w:ilvl w:val="0"/>
          <w:numId w:val="5"/>
        </w:numPr>
        <w:tabs>
          <w:tab w:val="left" w:pos="420"/>
          <w:tab w:val="clear" w:pos="0"/>
        </w:tabs>
        <w:spacing w:line="360" w:lineRule="auto"/>
        <w:ind w:left="0" w:leftChars="0" w:firstLine="0" w:firstLineChars="0"/>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区域绿地 regional green space</w:t>
      </w:r>
    </w:p>
    <w:p w14:paraId="4B5AEE24">
      <w:pPr>
        <w:numPr>
          <w:ilvl w:val="0"/>
          <w:numId w:val="0"/>
        </w:numPr>
        <w:tabs>
          <w:tab w:val="left" w:pos="420"/>
        </w:tabs>
        <w:spacing w:line="360" w:lineRule="auto"/>
        <w:ind w:leftChars="0" w:firstLine="420" w:firstLineChars="20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城市建设用地之外，具有生态系统及自然文化资源保护、休闲游憩、安全防护隔离、园林苗木生产等功能的各类绿地。</w:t>
      </w:r>
    </w:p>
    <w:p w14:paraId="20684564">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来源：GB/T 51346-2019，第2.0.2条。</w:t>
      </w:r>
    </w:p>
    <w:p w14:paraId="647ED77E">
      <w:pPr>
        <w:numPr>
          <w:ilvl w:val="0"/>
          <w:numId w:val="0"/>
        </w:numPr>
        <w:tabs>
          <w:tab w:val="left" w:pos="420"/>
        </w:tabs>
        <w:spacing w:line="360" w:lineRule="auto"/>
        <w:ind w:leftChars="0"/>
        <w:rPr>
          <w:rFonts w:hint="default" w:cs="Times New Roman"/>
          <w:color w:val="000000" w:themeColor="text1"/>
          <w:lang w:val="en-US" w:eastAsia="zh-CN"/>
          <w14:textFill>
            <w14:solidFill>
              <w14:schemeClr w14:val="tx1"/>
            </w14:solidFill>
          </w14:textFill>
        </w:rPr>
      </w:pPr>
    </w:p>
    <w:p w14:paraId="2E9D6ACF">
      <w:pPr>
        <w:numPr>
          <w:ilvl w:val="0"/>
          <w:numId w:val="5"/>
        </w:numPr>
        <w:tabs>
          <w:tab w:val="left" w:pos="420"/>
          <w:tab w:val="clear" w:pos="0"/>
        </w:tabs>
        <w:spacing w:line="360" w:lineRule="auto"/>
        <w:ind w:left="0" w:leftChars="0" w:firstLine="0" w:firstLineChars="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生态系统多样性 ecosystem diversity</w:t>
      </w:r>
    </w:p>
    <w:p w14:paraId="43FB5C6A">
      <w:pPr>
        <w:widowControl/>
        <w:numPr>
          <w:ilvl w:val="0"/>
          <w:numId w:val="0"/>
        </w:numPr>
        <w:tabs>
          <w:tab w:val="left" w:pos="420"/>
        </w:tabs>
        <w:spacing w:line="360" w:lineRule="auto"/>
        <w:ind w:firstLine="420" w:firstLineChars="200"/>
        <w:jc w:val="left"/>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是指生物圈内生境、生物群落和生态过程的多样化，以及生态系统内生境差异与生态过程的多样性。这里生境主要指物理环境，如地貌、气候、土壤、水文等。生物群落多样性主要是指群落的组成、结构和动态方面的多样性。</w:t>
      </w:r>
    </w:p>
    <w:p w14:paraId="6586F4CE">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来源：T/CGDF 00002-2020，第3.5条。</w:t>
      </w:r>
    </w:p>
    <w:p w14:paraId="28F0C779">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p>
    <w:p w14:paraId="46B37977">
      <w:pPr>
        <w:numPr>
          <w:ilvl w:val="0"/>
          <w:numId w:val="5"/>
        </w:numPr>
        <w:tabs>
          <w:tab w:val="left" w:pos="420"/>
          <w:tab w:val="clear" w:pos="0"/>
        </w:tabs>
        <w:spacing w:line="360" w:lineRule="auto"/>
        <w:ind w:left="0" w:leftChars="0" w:firstLine="0" w:firstLineChars="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物种多样性 species diversity</w:t>
      </w:r>
    </w:p>
    <w:p w14:paraId="1262BAB6">
      <w:pPr>
        <w:widowControl/>
        <w:numPr>
          <w:ilvl w:val="0"/>
          <w:numId w:val="0"/>
        </w:numPr>
        <w:tabs>
          <w:tab w:val="left" w:pos="420"/>
        </w:tabs>
        <w:spacing w:line="360" w:lineRule="auto"/>
        <w:ind w:firstLine="420" w:firstLineChars="200"/>
        <w:jc w:val="left"/>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是指物种水平上的生物多样性，用一定空间范围物种数量和分布特征来衡量。</w:t>
      </w:r>
    </w:p>
    <w:p w14:paraId="35F1CD43">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来源：T/CGDF 00002-2020，第3.4条。</w:t>
      </w:r>
    </w:p>
    <w:p w14:paraId="624F76FF">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p>
    <w:p w14:paraId="4DBB71E4">
      <w:pPr>
        <w:numPr>
          <w:ilvl w:val="0"/>
          <w:numId w:val="5"/>
        </w:numPr>
        <w:tabs>
          <w:tab w:val="left" w:pos="420"/>
          <w:tab w:val="clear" w:pos="0"/>
        </w:tabs>
        <w:spacing w:line="360" w:lineRule="auto"/>
        <w:ind w:left="0" w:leftChars="0" w:firstLine="0" w:firstLineChars="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遗传多样性 genetic diversity</w:t>
      </w:r>
    </w:p>
    <w:p w14:paraId="520C8D15">
      <w:pPr>
        <w:widowControl/>
        <w:numPr>
          <w:ilvl w:val="0"/>
          <w:numId w:val="0"/>
        </w:numPr>
        <w:tabs>
          <w:tab w:val="left" w:pos="420"/>
        </w:tabs>
        <w:spacing w:line="360" w:lineRule="auto"/>
        <w:ind w:firstLine="420" w:firstLineChars="200"/>
        <w:jc w:val="left"/>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也称基因多样性（gene diversity），是指种内基因的变化，包括种内显著不同的种群间和同一种群内的遗传变异。</w:t>
      </w:r>
    </w:p>
    <w:p w14:paraId="27F75E81">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来源：T/CGDF 00002-2020，3.3条。</w:t>
      </w:r>
    </w:p>
    <w:p w14:paraId="6C6C3539">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p>
    <w:p w14:paraId="6D5B3253">
      <w:pPr>
        <w:numPr>
          <w:ilvl w:val="0"/>
          <w:numId w:val="5"/>
        </w:numPr>
        <w:tabs>
          <w:tab w:val="left" w:pos="420"/>
          <w:tab w:val="clear" w:pos="0"/>
        </w:tabs>
        <w:spacing w:line="360" w:lineRule="auto"/>
        <w:ind w:left="0" w:leftChars="0" w:firstLine="0" w:firstLineChars="0"/>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生态廊道ecological corridor</w:t>
      </w:r>
    </w:p>
    <w:p w14:paraId="3A07FACE">
      <w:pPr>
        <w:widowControl/>
        <w:numPr>
          <w:ilvl w:val="0"/>
          <w:numId w:val="0"/>
        </w:numPr>
        <w:tabs>
          <w:tab w:val="left" w:pos="420"/>
        </w:tabs>
        <w:spacing w:line="360" w:lineRule="auto"/>
        <w:ind w:firstLine="420" w:firstLineChars="200"/>
        <w:jc w:val="left"/>
        <w:rPr>
          <w:rFonts w:hint="eastAsia" w:ascii="Times New Roman" w:hAnsi="Times New Roman" w:cs="Times New Roman"/>
          <w:color w:val="000000" w:themeColor="text1"/>
          <w:u w:val="none"/>
          <w:lang w:val="en-US" w:eastAsia="zh-CN"/>
          <w14:textFill>
            <w14:solidFill>
              <w14:schemeClr w14:val="tx1"/>
            </w14:solidFill>
          </w14:textFill>
        </w:rPr>
      </w:pPr>
      <w:r>
        <w:rPr>
          <w:rFonts w:hint="eastAsia" w:ascii="Times New Roman" w:hAnsi="Times New Roman" w:cs="Times New Roman"/>
          <w:color w:val="000000" w:themeColor="text1"/>
          <w:u w:val="none"/>
          <w:lang w:val="en-US" w:eastAsia="zh-CN"/>
          <w14:textFill>
            <w14:solidFill>
              <w14:schemeClr w14:val="tx1"/>
            </w14:solidFill>
          </w14:textFill>
        </w:rPr>
        <w:t>由植被、水体等生态性结构要素构成的，具有保护生物多样性、过滤污染物、防止水土流失、防风固沙、调控洪水等生态服务功能的线型空间。</w:t>
      </w:r>
    </w:p>
    <w:p w14:paraId="6E347574">
      <w:pPr>
        <w:widowControl w:val="0"/>
        <w:numPr>
          <w:ilvl w:val="0"/>
          <w:numId w:val="0"/>
        </w:numPr>
        <w:tabs>
          <w:tab w:val="left" w:pos="420"/>
        </w:tabs>
        <w:spacing w:line="360" w:lineRule="auto"/>
        <w:jc w:val="both"/>
        <w:rPr>
          <w:rFonts w:hint="eastAsia" w:ascii="Times New Roman" w:hAnsi="Times New Roman" w:eastAsia="楷体"/>
          <w:color w:val="000000" w:themeColor="text1"/>
          <w:highlight w:val="non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来源：CJJ/T 91-2017，4.2.11条。</w:t>
      </w:r>
    </w:p>
    <w:p w14:paraId="39863057">
      <w:pPr>
        <w:numPr>
          <w:ilvl w:val="0"/>
          <w:numId w:val="0"/>
        </w:numPr>
        <w:tabs>
          <w:tab w:val="left" w:pos="420"/>
        </w:tabs>
        <w:spacing w:line="360" w:lineRule="auto"/>
        <w:ind w:leftChars="0" w:firstLine="0" w:firstLineChars="0"/>
        <w:rPr>
          <w:rFonts w:hint="eastAsia" w:ascii="Times New Roman" w:hAnsi="Times New Roman" w:eastAsia="宋体" w:cs="Times New Roman"/>
          <w:color w:val="000000" w:themeColor="text1"/>
          <w:lang w:eastAsia="zh-CN"/>
          <w14:textFill>
            <w14:solidFill>
              <w14:schemeClr w14:val="tx1"/>
            </w14:solidFill>
          </w14:textFill>
        </w:rPr>
      </w:pPr>
    </w:p>
    <w:p w14:paraId="42B486A5">
      <w:pPr>
        <w:numPr>
          <w:ilvl w:val="0"/>
          <w:numId w:val="5"/>
        </w:numPr>
        <w:tabs>
          <w:tab w:val="left" w:pos="420"/>
          <w:tab w:val="clear" w:pos="0"/>
        </w:tabs>
        <w:spacing w:line="360" w:lineRule="auto"/>
        <w:ind w:left="0" w:leftChars="0" w:firstLine="0" w:firstLineChars="0"/>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自然教育 nature education</w:t>
      </w:r>
    </w:p>
    <w:p w14:paraId="0D05D3C9">
      <w:pPr>
        <w:numPr>
          <w:ilvl w:val="0"/>
          <w:numId w:val="0"/>
        </w:numPr>
        <w:spacing w:line="360" w:lineRule="auto"/>
        <w:ind w:leftChars="0" w:firstLine="42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以森林、草原和湿地等自然资源及自然环境为主要依托，以启发性教育、沉浸式体验和参与性学习等方式，让参与者通过五感认知自然和环境，感悟生态，培育和树立尊重自然、顺应自然和保护自然的生态文明理念，促进人与自然和谐共生。</w:t>
      </w:r>
    </w:p>
    <w:p w14:paraId="2E6B899E">
      <w:pPr>
        <w:widowControl w:val="0"/>
        <w:numPr>
          <w:ilvl w:val="0"/>
          <w:numId w:val="0"/>
        </w:numPr>
        <w:tabs>
          <w:tab w:val="left" w:pos="420"/>
        </w:tabs>
        <w:spacing w:line="360" w:lineRule="auto"/>
        <w:jc w:val="both"/>
        <w:rPr>
          <w:rFonts w:hint="default" w:ascii="Times New Roman" w:hAnsi="Times New Roman" w:eastAsia="楷体"/>
          <w:color w:val="000000" w:themeColor="text1"/>
          <w:u w:val="singl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w:t>
      </w:r>
      <w:r>
        <w:rPr>
          <w:rFonts w:hint="default" w:ascii="Times New Roman" w:hAnsi="Times New Roman" w:eastAsia="楷体"/>
          <w:b w:val="0"/>
          <w:bCs w:val="0"/>
          <w:color w:val="000000" w:themeColor="text1"/>
          <w:lang w:val="en-US" w:eastAsia="zh-CN"/>
          <w14:textFill>
            <w14:solidFill>
              <w14:schemeClr w14:val="tx1"/>
            </w14:solidFill>
          </w14:textFill>
        </w:rPr>
        <w:t>DB51/T 2739-2020</w:t>
      </w:r>
      <w:r>
        <w:rPr>
          <w:rFonts w:hint="eastAsia" w:ascii="Times New Roman" w:hAnsi="Times New Roman" w:eastAsia="楷体"/>
          <w:color w:val="000000" w:themeColor="text1"/>
          <w:highlight w:val="none"/>
          <w:lang w:val="en-US" w:eastAsia="zh-CN"/>
          <w14:textFill>
            <w14:solidFill>
              <w14:schemeClr w14:val="tx1"/>
            </w14:solidFill>
          </w14:textFill>
        </w:rPr>
        <w:t>，第3.1条。</w:t>
      </w:r>
    </w:p>
    <w:p w14:paraId="67A31F43">
      <w:pPr>
        <w:numPr>
          <w:ilvl w:val="0"/>
          <w:numId w:val="0"/>
        </w:numPr>
        <w:tabs>
          <w:tab w:val="left" w:pos="420"/>
        </w:tabs>
        <w:spacing w:line="360" w:lineRule="auto"/>
        <w:ind w:leftChars="0"/>
        <w:rPr>
          <w:rFonts w:hint="default" w:cs="Times New Roman"/>
          <w:color w:val="000000" w:themeColor="text1"/>
          <w:lang w:val="en-US" w:eastAsia="zh-CN"/>
          <w14:textFill>
            <w14:solidFill>
              <w14:schemeClr w14:val="tx1"/>
            </w14:solidFill>
          </w14:textFill>
        </w:rPr>
      </w:pPr>
    </w:p>
    <w:p w14:paraId="1DEB46CF">
      <w:pPr>
        <w:numPr>
          <w:ilvl w:val="0"/>
          <w:numId w:val="5"/>
        </w:numPr>
        <w:tabs>
          <w:tab w:val="left" w:pos="420"/>
          <w:tab w:val="clear" w:pos="0"/>
        </w:tabs>
        <w:spacing w:line="360" w:lineRule="auto"/>
        <w:ind w:left="0" w:leftChars="0" w:firstLine="0" w:firstLineChars="0"/>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自然教育基地 nature education base</w:t>
      </w:r>
    </w:p>
    <w:p w14:paraId="55A66FBD">
      <w:pPr>
        <w:numPr>
          <w:ilvl w:val="0"/>
          <w:numId w:val="0"/>
        </w:numPr>
        <w:spacing w:line="360" w:lineRule="auto"/>
        <w:ind w:leftChars="0" w:firstLine="42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以森林、草原和湿地等各类自然资源及其衍生物为依托，通过建设必要基础与配套服务设施，开发提供自然教育产品与服务，实现多元生态文化与体验教育功能的特定区域。</w:t>
      </w:r>
    </w:p>
    <w:p w14:paraId="016409FF">
      <w:pPr>
        <w:widowControl w:val="0"/>
        <w:numPr>
          <w:ilvl w:val="0"/>
          <w:numId w:val="0"/>
        </w:numPr>
        <w:tabs>
          <w:tab w:val="left" w:pos="420"/>
        </w:tabs>
        <w:spacing w:line="360" w:lineRule="auto"/>
        <w:jc w:val="both"/>
        <w:rPr>
          <w:rFonts w:hint="default" w:ascii="Times New Roman" w:hAnsi="Times New Roman" w:eastAsia="楷体"/>
          <w:color w:val="000000" w:themeColor="text1"/>
          <w:u w:val="single"/>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color w:val="000000" w:themeColor="text1"/>
          <w:highlight w:val="none"/>
          <w:lang w:val="en-US" w:eastAsia="zh-CN"/>
          <w14:textFill>
            <w14:solidFill>
              <w14:schemeClr w14:val="tx1"/>
            </w14:solidFill>
          </w14:textFill>
        </w:rPr>
        <w:t>来源：</w:t>
      </w:r>
      <w:r>
        <w:rPr>
          <w:rFonts w:hint="default" w:ascii="Times New Roman" w:hAnsi="Times New Roman" w:eastAsia="楷体"/>
          <w:b w:val="0"/>
          <w:bCs w:val="0"/>
          <w:color w:val="000000" w:themeColor="text1"/>
          <w:lang w:val="en-US" w:eastAsia="zh-CN"/>
          <w14:textFill>
            <w14:solidFill>
              <w14:schemeClr w14:val="tx1"/>
            </w14:solidFill>
          </w14:textFill>
        </w:rPr>
        <w:t>DB51/T 2739-2020</w:t>
      </w:r>
      <w:r>
        <w:rPr>
          <w:rFonts w:hint="eastAsia" w:ascii="Times New Roman" w:hAnsi="Times New Roman" w:eastAsia="楷体"/>
          <w:color w:val="000000" w:themeColor="text1"/>
          <w:highlight w:val="none"/>
          <w:lang w:val="en-US" w:eastAsia="zh-CN"/>
          <w14:textFill>
            <w14:solidFill>
              <w14:schemeClr w14:val="tx1"/>
            </w14:solidFill>
          </w14:textFill>
        </w:rPr>
        <w:t>，第3.2条。</w:t>
      </w:r>
    </w:p>
    <w:p w14:paraId="3D45F64D">
      <w:pPr>
        <w:pStyle w:val="4"/>
        <w:bidi w:val="0"/>
        <w:jc w:val="center"/>
        <w:rPr>
          <w:rFonts w:hint="default" w:ascii="Times New Roman" w:hAnsi="Times New Roman" w:cs="Times New Roman"/>
          <w:color w:val="000000" w:themeColor="text1"/>
          <w14:textFill>
            <w14:solidFill>
              <w14:schemeClr w14:val="tx1"/>
            </w14:solidFill>
          </w14:textFill>
        </w:rPr>
        <w:sectPr>
          <w:footerReference r:id="rId3" w:type="default"/>
          <w:pgSz w:w="11906" w:h="16838"/>
          <w:pgMar w:top="1134" w:right="1417" w:bottom="1134"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6" w:name="_Toc18169"/>
      <w:bookmarkStart w:id="7" w:name="_Toc14268"/>
      <w:bookmarkStart w:id="8" w:name="_Toc13680"/>
    </w:p>
    <w:p w14:paraId="56BA2320">
      <w:pPr>
        <w:pStyle w:val="4"/>
        <w:bidi w:val="0"/>
        <w:jc w:val="center"/>
        <w:rPr>
          <w:rFonts w:hint="default" w:ascii="Times New Roman" w:hAnsi="Times New Roman" w:cs="Times New Roman"/>
          <w:color w:val="000000" w:themeColor="text1"/>
          <w:lang w:val="en-US"/>
          <w14:textFill>
            <w14:solidFill>
              <w14:schemeClr w14:val="tx1"/>
            </w14:solidFill>
          </w14:textFill>
        </w:rPr>
      </w:pPr>
      <w:bookmarkStart w:id="9" w:name="_Toc12138"/>
      <w:r>
        <w:rPr>
          <w:rFonts w:hint="default" w:ascii="Times New Roman" w:hAnsi="Times New Roman" w:cs="Times New Roman"/>
          <w:color w:val="000000" w:themeColor="text1"/>
          <w14:textFill>
            <w14:solidFill>
              <w14:schemeClr w14:val="tx1"/>
            </w14:solidFill>
          </w14:textFill>
        </w:rPr>
        <w:t xml:space="preserve">3 </w:t>
      </w:r>
      <w:r>
        <w:rPr>
          <w:rFonts w:hint="default" w:ascii="Times New Roman" w:hAnsi="Times New Roman" w:cs="Times New Roman"/>
          <w:color w:val="000000" w:themeColor="text1"/>
          <w:lang w:val="en-US" w:eastAsia="zh-CN"/>
          <w14:textFill>
            <w14:solidFill>
              <w14:schemeClr w14:val="tx1"/>
            </w14:solidFill>
          </w14:textFill>
        </w:rPr>
        <w:t xml:space="preserve"> </w:t>
      </w:r>
      <w:bookmarkEnd w:id="6"/>
      <w:r>
        <w:rPr>
          <w:rFonts w:hint="eastAsia" w:ascii="Times New Roman" w:hAnsi="Times New Roman" w:cs="Times New Roman"/>
          <w:color w:val="000000" w:themeColor="text1"/>
          <w:lang w:val="en-US" w:eastAsia="zh-CN"/>
          <w14:textFill>
            <w14:solidFill>
              <w14:schemeClr w14:val="tx1"/>
            </w14:solidFill>
          </w14:textFill>
        </w:rPr>
        <w:t>本底调查</w:t>
      </w:r>
      <w:bookmarkEnd w:id="7"/>
      <w:bookmarkEnd w:id="9"/>
      <w:r>
        <w:rPr>
          <w:rFonts w:hint="eastAsia"/>
          <w:color w:val="000000" w:themeColor="text1"/>
          <w:lang w:val="en-US" w:eastAsia="zh-CN"/>
          <w14:textFill>
            <w14:solidFill>
              <w14:schemeClr w14:val="tx1"/>
            </w14:solidFill>
          </w14:textFill>
        </w:rPr>
        <w:t xml:space="preserve"> </w:t>
      </w:r>
    </w:p>
    <w:p w14:paraId="19D5D05D">
      <w:pPr>
        <w:pStyle w:val="2"/>
        <w:bidi w:val="0"/>
        <w:rPr>
          <w:rFonts w:hint="default" w:ascii="Times New Roman" w:hAnsi="Times New Roman" w:eastAsia="黑体" w:cs="Times New Roman"/>
          <w:color w:val="000000" w:themeColor="text1"/>
          <w:sz w:val="32"/>
          <w:szCs w:val="32"/>
          <w:lang w:val="en-US"/>
          <w14:textFill>
            <w14:solidFill>
              <w14:schemeClr w14:val="tx1"/>
            </w14:solidFill>
          </w14:textFill>
        </w:rPr>
      </w:pPr>
      <w:bookmarkStart w:id="10" w:name="_Toc14272"/>
      <w:bookmarkStart w:id="11" w:name="_Toc5249"/>
      <w:bookmarkStart w:id="12" w:name="_Toc7131"/>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14:textFill>
            <w14:solidFill>
              <w14:schemeClr w14:val="tx1"/>
            </w14:solidFill>
          </w14:textFill>
        </w:rPr>
        <w:t xml:space="preserve">.1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10"/>
      <w:r>
        <w:rPr>
          <w:rFonts w:hint="eastAsia" w:ascii="Times New Roman" w:hAnsi="Times New Roman" w:eastAsia="黑体" w:cs="Times New Roman"/>
          <w:color w:val="000000" w:themeColor="text1"/>
          <w:sz w:val="32"/>
          <w:szCs w:val="32"/>
          <w:lang w:val="en-US" w:eastAsia="zh-CN"/>
          <w14:textFill>
            <w14:solidFill>
              <w14:schemeClr w14:val="tx1"/>
            </w14:solidFill>
          </w14:textFill>
        </w:rPr>
        <w:t>调查范围</w:t>
      </w:r>
      <w:bookmarkEnd w:id="11"/>
      <w:bookmarkEnd w:id="12"/>
    </w:p>
    <w:p w14:paraId="52CACED5">
      <w:pPr>
        <w:keepNext w:val="0"/>
        <w:keepLines w:val="0"/>
        <w:pageBreakBefore w:val="0"/>
        <w:widowControl w:val="0"/>
        <w:numPr>
          <w:ilvl w:val="2"/>
          <w:numId w:val="6"/>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根据土地利用现状及上位规划，考虑生态过程的连续性和生态功能的完整性，确定调查范围。</w:t>
      </w:r>
    </w:p>
    <w:p w14:paraId="37E6EC3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000000" w:themeColor="text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旨在确保生态调查的全面性和系统性。土地利用现状为确定调查范围提供现实依据，上位规划作为更高层次的统筹安排，明确了区域的发展方向和生态保护目标，为确定调查范围提供了宏观指导。在确定调查范围时，还需考虑生态过程的连续性，避免将生态系统割裂开来。</w:t>
      </w:r>
    </w:p>
    <w:p w14:paraId="37AB3534">
      <w:pPr>
        <w:keepNext w:val="0"/>
        <w:keepLines w:val="0"/>
        <w:pageBreakBefore w:val="0"/>
        <w:widowControl w:val="0"/>
        <w:numPr>
          <w:ilvl w:val="2"/>
          <w:numId w:val="6"/>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val="0"/>
          <w:bCs w:val="0"/>
          <w:color w:val="000000" w:themeColor="text1"/>
          <w:szCs w:val="21"/>
          <w:highlight w:val="none"/>
          <w:lang w:val="zh-TW" w:eastAsia="zh-TW"/>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调查范围包括城市绿地营建区域及周边的缓冲区域，宜包括重要的绿地斑块和廊道等。</w:t>
      </w:r>
    </w:p>
    <w:p w14:paraId="092FC93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本条结合《自然保护区建设项目生物多样性影响评价技术规范 LY/T 2242-2014》中第4.5条、《城市绿地鸟类栖息地营造及恢复技术规范 DB11/T 1513-2018》第5.1.1、5.2.1条及其他相关标准要求，由于营建范围内外物种有相互扩散、交换的作用，以及考虑周边人类活动、噪音干扰、生境片段化等影响因素，调查范围包括建设区及其外延部分所构成的区域。</w:t>
      </w:r>
    </w:p>
    <w:p w14:paraId="67F254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color w:val="000000" w:themeColor="text1"/>
          <w:sz w:val="21"/>
          <w:szCs w:val="21"/>
          <w:lang w:val="en-US" w:eastAsia="zh-CN"/>
          <w14:textFill>
            <w14:solidFill>
              <w14:schemeClr w14:val="tx1"/>
            </w14:solidFill>
          </w14:textFill>
        </w:rPr>
      </w:pPr>
    </w:p>
    <w:p w14:paraId="0D3B5B37">
      <w:pPr>
        <w:pStyle w:val="2"/>
        <w:bidi w:val="0"/>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13" w:name="_Toc19720"/>
      <w:bookmarkStart w:id="14" w:name="_Toc22246"/>
      <w:bookmarkStart w:id="15" w:name="_Toc4137"/>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13"/>
      <w:r>
        <w:rPr>
          <w:rFonts w:hint="eastAsia" w:ascii="Times New Roman" w:hAnsi="Times New Roman" w:eastAsia="黑体" w:cs="Times New Roman"/>
          <w:color w:val="000000" w:themeColor="text1"/>
          <w:sz w:val="32"/>
          <w:szCs w:val="32"/>
          <w:lang w:val="en-US" w:eastAsia="zh-CN"/>
          <w14:textFill>
            <w14:solidFill>
              <w14:schemeClr w14:val="tx1"/>
            </w14:solidFill>
          </w14:textFill>
        </w:rPr>
        <w:t>调查内容</w:t>
      </w:r>
      <w:bookmarkEnd w:id="14"/>
      <w:bookmarkEnd w:id="15"/>
    </w:p>
    <w:p w14:paraId="2E3F8801">
      <w:pPr>
        <w:numPr>
          <w:ilvl w:val="2"/>
          <w:numId w:val="7"/>
        </w:numPr>
        <w:spacing w:line="360" w:lineRule="auto"/>
        <w:ind w:left="0" w:leftChars="0" w:firstLine="0" w:firstLineChars="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城市生物多样性调查</w:t>
      </w:r>
    </w:p>
    <w:p w14:paraId="2B743051">
      <w:pPr>
        <w:numPr>
          <w:ilvl w:val="0"/>
          <w:numId w:val="8"/>
        </w:numPr>
        <w:tabs>
          <w:tab w:val="left" w:pos="640"/>
          <w:tab w:val="clear" w:pos="420"/>
        </w:tabs>
        <w:bidi w:val="0"/>
        <w:spacing w:line="360" w:lineRule="auto"/>
        <w:ind w:left="0" w:leftChars="0" w:firstLine="420" w:firstLineChars="0"/>
        <w:rPr>
          <w:rFonts w:hint="eastAsia" w:ascii="Times New Roman" w:hAnsi="Times New Roman" w:eastAsia="宋体" w:cs="Times New Roman"/>
          <w:color w:val="000000" w:themeColor="text1"/>
          <w:sz w:val="21"/>
          <w:szCs w:val="21"/>
          <w:lang w:val="zh-TW"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调查对象宜包括调查范围内的生态系统多样性、物种多样性、遗传多样性三个层次以及生物多样性保护与管理调查。</w:t>
      </w:r>
    </w:p>
    <w:p w14:paraId="7DE3AC4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本条参照《生物多样性规划标准 T/CGDF 00029-2022》第5.2条、《生物多样性调查技术导则 T/CHSLA 10012-2024》第4.6条，明确了生物多样性的调查对象。生物多样性包括三个层次，即遗传多样性、物种多样性、生态系统多样性。根据中共中央办公厅、国务院办公厅印发的《关于进一步加强生物多样性保护的意见》，应确保重要生态系统、生物物种和生物遗传资源得到全面保护。《生物多样性规划标准 T/CGDF 00029-2022》第5.2条将生态系统多样性现状调查明确为生态系统多样性现状、物种多样性现状两个部分。</w:t>
      </w:r>
    </w:p>
    <w:p w14:paraId="5A0FE13E">
      <w:pPr>
        <w:numPr>
          <w:ilvl w:val="0"/>
          <w:numId w:val="8"/>
        </w:numPr>
        <w:tabs>
          <w:tab w:val="left" w:pos="640"/>
          <w:tab w:val="clear" w:pos="420"/>
        </w:tabs>
        <w:bidi w:val="0"/>
        <w:spacing w:line="360" w:lineRule="auto"/>
        <w:ind w:left="0" w:leftChars="0" w:firstLine="420" w:firstLineChars="0"/>
        <w:rPr>
          <w:rFonts w:hint="eastAsia" w:ascii="Times New Roman" w:hAnsi="Times New Roman" w:eastAsia="宋体" w:cs="Times New Roman"/>
          <w:color w:val="000000" w:themeColor="text1"/>
          <w:sz w:val="21"/>
          <w:szCs w:val="21"/>
          <w:lang w:val="zh-TW"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生态系统多样性调查宜包括：</w:t>
      </w:r>
    </w:p>
    <w:p w14:paraId="1B025272">
      <w:pPr>
        <w:widowControl/>
        <w:numPr>
          <w:ilvl w:val="0"/>
          <w:numId w:val="9"/>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自然和人工生态系统的种类、数量、面积、分布等；</w:t>
      </w:r>
    </w:p>
    <w:p w14:paraId="14A54ABA">
      <w:pPr>
        <w:widowControl/>
        <w:numPr>
          <w:ilvl w:val="0"/>
          <w:numId w:val="9"/>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生态系统的变化过程、大尺度景观变化、生态破坏及其他干扰影响等；</w:t>
      </w:r>
    </w:p>
    <w:p w14:paraId="65E5017D">
      <w:pPr>
        <w:widowControl/>
        <w:numPr>
          <w:ilvl w:val="0"/>
          <w:numId w:val="9"/>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t>典型</w:t>
      </w: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生态系统</w:t>
      </w:r>
      <w:r>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t>抵抗人类干扰而发生的变化趋势；</w:t>
      </w:r>
    </w:p>
    <w:p w14:paraId="45AE3486">
      <w:pPr>
        <w:widowControl/>
        <w:numPr>
          <w:ilvl w:val="0"/>
          <w:numId w:val="9"/>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调查方法包括但不限于历史资料和文献调查、实地走访调查、实地样地（样线）样方调查等，方法参照T/CHSLA 10012-2024第5.1.3章至第5.1.5章进行。</w:t>
      </w:r>
    </w:p>
    <w:p w14:paraId="4358E46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本条参照《生物多样性规划标准 T/CGDF 00029-2022》第</w:t>
      </w:r>
      <w:r>
        <w:rPr>
          <w:rFonts w:hint="eastAsia" w:ascii="Times New Roman" w:hAnsi="Times New Roman" w:eastAsia="楷体" w:cs="Times New Roman"/>
          <w:color w:val="000000" w:themeColor="text1"/>
          <w:kern w:val="0"/>
          <w:sz w:val="21"/>
          <w:szCs w:val="20"/>
          <w:highlight w:val="none"/>
          <w:lang w:val="zh-TW" w:eastAsia="zh-CN" w:bidi="ar-SA"/>
          <w14:textFill>
            <w14:solidFill>
              <w14:schemeClr w14:val="tx1"/>
            </w14:solidFill>
          </w14:textFill>
        </w:rPr>
        <w:t>5.2.</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2条。</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自然生态系统是依靠自然调节能力维持的相对稳定的生态系统，包括自然生成的森林生态系统、草原生态系统、湿地生态系统、荒漠生态系统、湖泊或河流生态系统等</w:t>
      </w:r>
      <w:r>
        <w:rPr>
          <w:rFonts w:hint="eastAsia" w:ascii="Times New Roman" w:hAnsi="Times New Roman" w:eastAsia="楷体" w:cs="Times New Roman"/>
          <w:color w:val="000000" w:themeColor="text1"/>
          <w:kern w:val="0"/>
          <w:szCs w:val="20"/>
          <w:highlight w:val="none"/>
          <w:lang w:val="zh-TW" w:eastAsia="zh-CN"/>
          <w14:textFill>
            <w14:solidFill>
              <w14:schemeClr w14:val="tx1"/>
            </w14:solidFill>
          </w14:textFill>
        </w:rPr>
        <w:t>；人工生态系统是经过人工干预或改造而形成的生态系统，包括农田生态系统、人工林生态系统、人工湿地生态系统、人工草地生态系统等。</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通过记录生态系统的种类、</w:t>
      </w:r>
      <w:r>
        <w:rPr>
          <w:rFonts w:hint="eastAsia" w:ascii="Times New Roman" w:hAnsi="Times New Roman" w:eastAsia="楷体" w:cs="Times New Roman"/>
          <w:color w:val="000000" w:themeColor="text1"/>
          <w:kern w:val="0"/>
          <w:szCs w:val="20"/>
          <w:highlight w:val="none"/>
          <w:lang w:val="en-US" w:eastAsia="zh-CN"/>
          <w14:textFill>
            <w14:solidFill>
              <w14:schemeClr w14:val="tx1"/>
            </w14:solidFill>
          </w14:textFill>
        </w:rPr>
        <w:t>数量、</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面积与分布，分析其变化过程与干扰影响，</w:t>
      </w:r>
      <w:r>
        <w:rPr>
          <w:rFonts w:hint="eastAsia" w:ascii="Times New Roman" w:hAnsi="Times New Roman" w:eastAsia="楷体" w:cs="Times New Roman"/>
          <w:color w:val="000000" w:themeColor="text1"/>
          <w:kern w:val="0"/>
          <w:szCs w:val="20"/>
          <w:highlight w:val="none"/>
          <w:lang w:val="en-US" w:eastAsia="zh-CN"/>
          <w14:textFill>
            <w14:solidFill>
              <w14:schemeClr w14:val="tx1"/>
            </w14:solidFill>
          </w14:textFill>
        </w:rPr>
        <w:t>有助于</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揭示</w:t>
      </w:r>
      <w:r>
        <w:rPr>
          <w:rFonts w:hint="eastAsia" w:ascii="Times New Roman" w:hAnsi="Times New Roman" w:eastAsia="楷体" w:cs="Times New Roman"/>
          <w:color w:val="000000" w:themeColor="text1"/>
          <w:kern w:val="0"/>
          <w:szCs w:val="20"/>
          <w:highlight w:val="none"/>
          <w:lang w:val="en-US" w:eastAsia="zh-CN"/>
          <w14:textFill>
            <w14:solidFill>
              <w14:schemeClr w14:val="tx1"/>
            </w14:solidFill>
          </w14:textFill>
        </w:rPr>
        <w:t>生态系统</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演变的动态机制</w:t>
      </w:r>
      <w:r>
        <w:rPr>
          <w:rFonts w:hint="eastAsia" w:ascii="Times New Roman" w:hAnsi="Times New Roman" w:eastAsia="楷体" w:cs="Times New Roman"/>
          <w:color w:val="000000" w:themeColor="text1"/>
          <w:kern w:val="0"/>
          <w:szCs w:val="20"/>
          <w:highlight w:val="none"/>
          <w:lang w:val="en-US" w:eastAsia="zh-CN"/>
          <w14:textFill>
            <w14:solidFill>
              <w14:schemeClr w14:val="tx1"/>
            </w14:solidFill>
          </w14:textFill>
        </w:rPr>
        <w:t>以及面对</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人类干扰的响应趋势，识别生态阈值</w:t>
      </w:r>
      <w:r>
        <w:rPr>
          <w:rFonts w:hint="eastAsia" w:ascii="Times New Roman" w:hAnsi="Times New Roman" w:eastAsia="楷体" w:cs="Times New Roman"/>
          <w:color w:val="000000" w:themeColor="text1"/>
          <w:kern w:val="0"/>
          <w:szCs w:val="20"/>
          <w:highlight w:val="none"/>
          <w:lang w:val="zh-TW" w:eastAsia="zh-CN"/>
          <w14:textFill>
            <w14:solidFill>
              <w14:schemeClr w14:val="tx1"/>
            </w14:solidFill>
          </w14:textFill>
        </w:rPr>
        <w:t>、</w:t>
      </w:r>
      <w:r>
        <w:rPr>
          <w:rFonts w:hint="eastAsia" w:ascii="Times New Roman" w:hAnsi="Times New Roman" w:eastAsia="楷体" w:cs="Times New Roman"/>
          <w:color w:val="000000" w:themeColor="text1"/>
          <w:kern w:val="0"/>
          <w:szCs w:val="20"/>
          <w:highlight w:val="none"/>
          <w:lang w:val="en-US" w:eastAsia="zh-CN"/>
          <w14:textFill>
            <w14:solidFill>
              <w14:schemeClr w14:val="tx1"/>
            </w14:solidFill>
          </w14:textFill>
        </w:rPr>
        <w:t>未来风险</w:t>
      </w:r>
      <w:r>
        <w:rPr>
          <w:rFonts w:hint="eastAsia" w:ascii="Times New Roman" w:hAnsi="Times New Roman" w:eastAsia="楷体" w:cs="Times New Roman"/>
          <w:color w:val="000000" w:themeColor="text1"/>
          <w:kern w:val="0"/>
          <w:szCs w:val="20"/>
          <w:highlight w:val="none"/>
          <w:lang w:val="zh-TW"/>
          <w14:textFill>
            <w14:solidFill>
              <w14:schemeClr w14:val="tx1"/>
            </w14:solidFill>
          </w14:textFill>
        </w:rPr>
        <w:t>并指导优先保护。</w:t>
      </w:r>
    </w:p>
    <w:p w14:paraId="64BB5835">
      <w:pPr>
        <w:numPr>
          <w:ilvl w:val="0"/>
          <w:numId w:val="8"/>
        </w:numPr>
        <w:tabs>
          <w:tab w:val="left" w:pos="640"/>
          <w:tab w:val="clear" w:pos="420"/>
        </w:tabs>
        <w:bidi w:val="0"/>
        <w:spacing w:line="360" w:lineRule="auto"/>
        <w:ind w:left="0" w:leftChars="0" w:firstLine="420" w:firstLineChars="0"/>
        <w:rPr>
          <w:rFonts w:hint="eastAsia" w:ascii="Times New Roman" w:hAnsi="Times New Roman" w:eastAsia="宋体" w:cs="Times New Roman"/>
          <w:color w:val="000000" w:themeColor="text1"/>
          <w:sz w:val="21"/>
          <w:szCs w:val="21"/>
          <w:lang w:val="zh-TW"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物种多样性调查宜包括以下内容：</w:t>
      </w:r>
    </w:p>
    <w:p w14:paraId="78C7BC21">
      <w:pPr>
        <w:widowControl/>
        <w:numPr>
          <w:ilvl w:val="0"/>
          <w:numId w:val="10"/>
        </w:numPr>
        <w:tabs>
          <w:tab w:val="left" w:pos="640"/>
        </w:tabs>
        <w:spacing w:line="360" w:lineRule="auto"/>
        <w:ind w:left="1052" w:leftChars="406" w:hanging="199" w:hangingChars="95"/>
        <w:jc w:val="left"/>
        <w:rPr>
          <w:rFonts w:hint="default"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野生动物物种多样性：调查对象包括哺乳类、鸟类、爬行类、两栖动物、鱼类、昆虫等；调查内容包括物种种类、数量、分布、种群动态、生长状况、保护现状、生境状况、受干扰情况等，各物种调查内容和指标具体参照T/CHSLA 10012-2024第6.1章至6.6章进行；各物种调查方法选择具体参照T/CHSLA 10012-2024第4.9章进行；</w:t>
      </w:r>
    </w:p>
    <w:p w14:paraId="6549CC4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本条参照《城市生物多样性调查技术导则 T/CHSLA 10012-2024》第4.7条，明确调查内容包括物种的种类、数量、分布范围、种群动态变化、个体生长状况、保护现状、生境状况以及受干扰情况等，以全面反映物种的生存状态和生态需求，为制定保护策略提供科学依据。</w:t>
      </w:r>
    </w:p>
    <w:p w14:paraId="71AD987B">
      <w:pPr>
        <w:widowControl/>
        <w:numPr>
          <w:ilvl w:val="0"/>
          <w:numId w:val="10"/>
        </w:numPr>
        <w:tabs>
          <w:tab w:val="left" w:pos="640"/>
        </w:tabs>
        <w:spacing w:line="360" w:lineRule="auto"/>
        <w:ind w:left="1052" w:leftChars="406" w:hanging="199" w:hangingChars="95"/>
        <w:jc w:val="left"/>
        <w:rPr>
          <w:rFonts w:hint="default"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植物物种多样性：调查对象包括野生和栽培的陆生维管植物和水生维管植物；调查内容包括物种种类、数量、分布、群落特征、生长状况、生境状况、受干扰情况等，各物种调查内容和指标具体参照T/CHSLA 10012-2024第5.1章至5.2章进行；各物种调查方法选择具体参照T/CHSLA 10012-2024第4.8章进行；</w:t>
      </w:r>
    </w:p>
    <w:p w14:paraId="7E8D346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本条参考《城市生物多样性调查技术导则 T/CHSLA 10012-2024》第4.6条、4.8条，提出将调查对象确定为调查区域内野生和栽培的植物资源，包括陆生维管植物和水生维管植物。</w:t>
      </w:r>
    </w:p>
    <w:p w14:paraId="2BFA6950">
      <w:pPr>
        <w:widowControl/>
        <w:numPr>
          <w:ilvl w:val="0"/>
          <w:numId w:val="10"/>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zh-TW"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重点关注物种：包括列入《国家重点保护野生动物名录》或省级保护野生动物名录，或区域特有的野生动物；列入《国家重点保护野生植物名录》或省级保护野生植物名录，或区域特有的野生植物；列入《国家保护的有重要生态、科学、社会价值的陆生野生动物名录》的物种；列入《濒危野生动植物种国际贸易公约》（CITES）及其他公约或约定的物种；入侵物种；古树名木等。</w:t>
      </w:r>
    </w:p>
    <w:p w14:paraId="0A2950F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楷体" w:hAnsi="楷体" w:eastAsia="楷体" w:cs="楷体"/>
          <w:iCs/>
          <w:color w:val="000000" w:themeColor="text1"/>
          <w:sz w:val="28"/>
          <w:szCs w:val="28"/>
          <w:highlight w:val="none"/>
          <w:u w:val="single"/>
          <w:lang w:val="zh-TW"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本条参考《生物多样性规划标准 T/CGDF 00029-2022》第5.2.3条、《城市生物多样性调查技术导则 T/CHSLA 10012-2024》第7.1条</w:t>
      </w:r>
      <w:r>
        <w:rPr>
          <w:rFonts w:hint="eastAsia" w:ascii="Times New Roman" w:hAnsi="Times New Roman" w:eastAsia="楷体" w:cs="Times New Roman"/>
          <w:color w:val="000000" w:themeColor="text1"/>
          <w:kern w:val="0"/>
          <w:sz w:val="21"/>
          <w:szCs w:val="20"/>
          <w:highlight w:val="none"/>
          <w:lang w:val="zh-TW" w:eastAsia="zh-CN" w:bidi="ar-SA"/>
          <w14:textFill>
            <w14:solidFill>
              <w14:schemeClr w14:val="tx1"/>
            </w14:solidFill>
          </w14:textFill>
        </w:rPr>
        <w:t>，明确了调查工作中需要重点关注的物种范围。国家重点保护和省级保护的野生动物与植物因数量稀少、生态价值高或面临灭绝风险而被纳入保护名录，调查中</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宜</w:t>
      </w:r>
      <w:r>
        <w:rPr>
          <w:rFonts w:hint="eastAsia" w:ascii="Times New Roman" w:hAnsi="Times New Roman" w:eastAsia="楷体" w:cs="Times New Roman"/>
          <w:color w:val="000000" w:themeColor="text1"/>
          <w:kern w:val="0"/>
          <w:sz w:val="21"/>
          <w:szCs w:val="20"/>
          <w:highlight w:val="none"/>
          <w:lang w:val="zh-TW" w:eastAsia="zh-CN" w:bidi="ar-SA"/>
          <w14:textFill>
            <w14:solidFill>
              <w14:schemeClr w14:val="tx1"/>
            </w14:solidFill>
          </w14:textFill>
        </w:rPr>
        <w:t>特别关注其分布、生存状况和保护需求，以支持相关保护措施的制定和实施；区域特有物种具有独特的生态适应性和遗传多样性，有助于保护地方生态系统的独特性和完整性；具有重要生态、科学、社会价值的陆生野生动物对生态系统的平衡、科学研究和公众教育具有重要意义；</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入侵物种易发生竞争排斥、生态位侵占、遗传污染，并通过一系列连锁反应，破坏本地生态系统的结构、功能与进程，导致生物多样性的丧失和生态服务的退化；</w:t>
      </w:r>
      <w:r>
        <w:rPr>
          <w:rFonts w:hint="eastAsia" w:ascii="Times New Roman" w:hAnsi="Times New Roman" w:eastAsia="楷体" w:cs="Times New Roman"/>
          <w:color w:val="000000" w:themeColor="text1"/>
          <w:kern w:val="0"/>
          <w:sz w:val="21"/>
          <w:szCs w:val="20"/>
          <w:highlight w:val="none"/>
          <w:lang w:val="zh-TW" w:eastAsia="zh-CN" w:bidi="ar-SA"/>
          <w14:textFill>
            <w14:solidFill>
              <w14:schemeClr w14:val="tx1"/>
            </w14:solidFill>
          </w14:textFill>
        </w:rPr>
        <w:t>古树名木是自然与文化遗产的重要组成部分，具有重要的历史、文化、生态和科研价值。</w:t>
      </w:r>
    </w:p>
    <w:p w14:paraId="56703361">
      <w:pPr>
        <w:widowControl/>
        <w:numPr>
          <w:ilvl w:val="0"/>
          <w:numId w:val="8"/>
        </w:numPr>
        <w:tabs>
          <w:tab w:val="left" w:pos="640"/>
          <w:tab w:val="clear" w:pos="420"/>
        </w:tabs>
        <w:spacing w:line="360" w:lineRule="auto"/>
        <w:ind w:left="0" w:leftChars="0" w:firstLine="420" w:firstLineChars="0"/>
        <w:jc w:val="left"/>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遗传多样性调查宜包括调查规划区域植物、动物、微生物等生物遗传资源的多样性，调查方法可以用文献研究法、实地调查法、样本采集等。</w:t>
      </w:r>
    </w:p>
    <w:p w14:paraId="0022213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本条参考《生物多样性规划标准 T/CGDF 00029-2022》第5.2.5条；《城市生物多样性调查技术导则 T/CHSLA 10012-2024》第7.1条，遗传多样性对城市生物多样性具有重要作用，有助于增强物种应对复杂的城市环境（如空气污染、热岛效应、土壤污染等）、气候变化的适应性（如鸟类种群内部的基因变异使得部分个体能够更好地调节体温或改变迁徙时间来适应城市中气候变化导致的温度升高或降水模式改变），提升生态系统的稳定性。</w:t>
      </w:r>
    </w:p>
    <w:p w14:paraId="145C7B4D">
      <w:pPr>
        <w:numPr>
          <w:ilvl w:val="2"/>
          <w:numId w:val="7"/>
        </w:numPr>
        <w:spacing w:line="360" w:lineRule="auto"/>
        <w:ind w:left="0" w:leftChars="0" w:firstLine="0" w:firstLineChars="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城市绿地调查</w:t>
      </w:r>
    </w:p>
    <w:p w14:paraId="3D0198B9">
      <w:pPr>
        <w:numPr>
          <w:ilvl w:val="0"/>
          <w:numId w:val="11"/>
        </w:numPr>
        <w:tabs>
          <w:tab w:val="left" w:pos="640"/>
          <w:tab w:val="clear" w:pos="420"/>
        </w:tabs>
        <w:bidi w:val="0"/>
        <w:spacing w:line="360" w:lineRule="auto"/>
        <w:ind w:left="0" w:leftChars="0" w:firstLine="420"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基础调查宜包含基础自然环境调查、</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社会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及</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经济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环境调查。</w:t>
      </w:r>
    </w:p>
    <w:p w14:paraId="71F518BA">
      <w:pPr>
        <w:widowControl/>
        <w:numPr>
          <w:ilvl w:val="0"/>
          <w:numId w:val="12"/>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基础自然环境调查</w:t>
      </w: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包括但不限于区域概况、地形地貌、气候特点、自然资源等。</w:t>
      </w:r>
    </w:p>
    <w:p w14:paraId="646DBE8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本条参考《生物多样性规划标准 T/CGDF 00029-2022》第5.1.1条。</w:t>
      </w:r>
    </w:p>
    <w:p w14:paraId="1A95FA10">
      <w:pPr>
        <w:widowControl/>
        <w:numPr>
          <w:ilvl w:val="0"/>
          <w:numId w:val="12"/>
        </w:numPr>
        <w:tabs>
          <w:tab w:val="left" w:pos="640"/>
        </w:tabs>
        <w:spacing w:line="360" w:lineRule="auto"/>
        <w:ind w:left="1052" w:leftChars="406" w:hanging="199" w:hangingChars="95"/>
        <w:jc w:val="left"/>
        <w:rPr>
          <w:rFonts w:hint="eastAsia" w:ascii="Times New Roman" w:hAnsi="Times New Roman" w:eastAsia="宋体" w:cs="Times New Roman"/>
          <w:color w:val="000000" w:themeColor="text1"/>
          <w:sz w:val="21"/>
          <w:szCs w:val="21"/>
          <w:lang w:val="zh-TW" w:eastAsia="zh-TW"/>
          <w14:textFill>
            <w14:solidFill>
              <w14:schemeClr w14:val="tx1"/>
            </w14:solidFill>
          </w14:textFill>
        </w:rPr>
      </w:pPr>
      <w:r>
        <w:rPr>
          <w:rFonts w:hint="default" w:ascii="Times New Roman" w:hAnsi="Times New Roman" w:eastAsia="宋体" w:cs="Times New Roman"/>
          <w:color w:val="000000" w:themeColor="text1"/>
          <w:sz w:val="21"/>
          <w:szCs w:val="21"/>
          <w:lang w:val="en-US" w:eastAsia="zh-TW"/>
          <w14:textFill>
            <w14:solidFill>
              <w14:schemeClr w14:val="tx1"/>
            </w14:solidFill>
          </w14:textFill>
        </w:rPr>
        <w:t>社会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及</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经济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环境调查包括但不限于</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行政区划、</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人口、</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土地利用现状、</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国土空间规划</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产业布局、产业结构、居民人均收入、道路及相关基础设施建设等</w:t>
      </w:r>
      <w:r>
        <w:rPr>
          <w:rFonts w:hint="default" w:ascii="Times New Roman" w:hAnsi="Times New Roman" w:eastAsia="宋体" w:cs="Times New Roman"/>
          <w:color w:val="000000" w:themeColor="text1"/>
          <w:sz w:val="21"/>
          <w:szCs w:val="21"/>
          <w:lang w:val="en-US" w:eastAsia="zh-TW"/>
          <w14:textFill>
            <w14:solidFill>
              <w14:schemeClr w14:val="tx1"/>
            </w14:solidFill>
          </w14:textFill>
        </w:rPr>
        <w:t>。</w:t>
      </w:r>
    </w:p>
    <w:p w14:paraId="7ABE41B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本条参考《生物多样性规划标准 T/CGDF 00029-2022》第5.1.2条，</w:t>
      </w:r>
      <w:r>
        <w:rPr>
          <w:rFonts w:hint="eastAsia" w:ascii="Times New Roman" w:hAnsi="Times New Roman" w:eastAsia="楷体" w:cs="Times New Roman"/>
          <w:color w:val="000000" w:themeColor="text1"/>
          <w:kern w:val="0"/>
          <w:sz w:val="21"/>
          <w:szCs w:val="20"/>
          <w:highlight w:val="none"/>
          <w:lang w:val="zh-TW" w:eastAsia="zh-TW" w:bidi="ar-SA"/>
          <w14:textFill>
            <w14:solidFill>
              <w14:schemeClr w14:val="tx1"/>
            </w14:solidFill>
          </w14:textFill>
        </w:rPr>
        <w:t>作为</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城市绿地的</w:t>
      </w:r>
      <w:r>
        <w:rPr>
          <w:rFonts w:hint="eastAsia" w:ascii="Times New Roman" w:hAnsi="Times New Roman" w:eastAsia="楷体" w:cs="Times New Roman"/>
          <w:color w:val="000000" w:themeColor="text1"/>
          <w:kern w:val="0"/>
          <w:sz w:val="21"/>
          <w:szCs w:val="20"/>
          <w:highlight w:val="none"/>
          <w:lang w:val="zh-TW" w:eastAsia="zh-TW" w:bidi="ar-SA"/>
          <w14:textFill>
            <w14:solidFill>
              <w14:schemeClr w14:val="tx1"/>
            </w14:solidFill>
          </w14:textFill>
        </w:rPr>
        <w:t>营建基础，同时可用于分析人类干扰的类型、位置、强度、频率等特征。</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同时，中共中央办公厅、国务院办公厅印发的《关于进一步加强生物多样性保护的意见》提到，统筹考虑生态系统完整性、自然地理单元连续性和经济社会发展可持续性。</w:t>
      </w:r>
    </w:p>
    <w:p w14:paraId="473A7C00">
      <w:pPr>
        <w:numPr>
          <w:ilvl w:val="0"/>
          <w:numId w:val="11"/>
        </w:numPr>
        <w:tabs>
          <w:tab w:val="left" w:pos="640"/>
          <w:tab w:val="clear" w:pos="420"/>
        </w:tabs>
        <w:bidi w:val="0"/>
        <w:spacing w:line="360" w:lineRule="auto"/>
        <w:ind w:left="0" w:leftChars="0" w:firstLine="420" w:firstLineChars="0"/>
        <w:rPr>
          <w:rFonts w:hint="default" w:ascii="Times New Roman" w:hAnsi="Times New Roman" w:eastAsia="宋体" w:cs="Times New Roman"/>
          <w:color w:val="000000" w:themeColor="text1"/>
          <w:sz w:val="21"/>
          <w:szCs w:val="21"/>
          <w:lang w:val="en-US" w:eastAsia="zh-TW"/>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城市绿地</w:t>
      </w:r>
      <w:r>
        <w:rPr>
          <w:rFonts w:hint="eastAsia" w:ascii="Times New Roman" w:hAnsi="Times New Roman" w:eastAsia="宋体" w:cs="Times New Roman"/>
          <w:color w:val="000000" w:themeColor="text1"/>
          <w:sz w:val="21"/>
          <w:szCs w:val="21"/>
          <w:lang w:val="en-US" w:eastAsia="zh-TW"/>
          <w14:textFill>
            <w14:solidFill>
              <w14:schemeClr w14:val="tx1"/>
            </w14:solidFill>
          </w14:textFill>
        </w:rPr>
        <w:t>植物群落调查宜包括以下要点：</w:t>
      </w:r>
    </w:p>
    <w:p w14:paraId="23523068">
      <w:pPr>
        <w:widowControl/>
        <w:numPr>
          <w:ilvl w:val="0"/>
          <w:numId w:val="13"/>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采用典型样地法，选取典型地段开展调查，采集群落类型、群落结构、优势物种，记录物种种类、类型、高度、物候期、是否为食源植物、能否提供隐蔽和筑巢空间等信息。调查方法、时间和频次参照HJ 710.1-2014第5章、第7章进行。</w:t>
      </w:r>
    </w:p>
    <w:p w14:paraId="1D6D6327">
      <w:pPr>
        <w:widowControl/>
        <w:numPr>
          <w:ilvl w:val="0"/>
          <w:numId w:val="13"/>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计算重要值、物种丰富度等指数，分析植物群落特征，方法参照HJ 710.1-2014附录P进行。</w:t>
      </w:r>
    </w:p>
    <w:p w14:paraId="5AC0812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城市绿地植物群落对城市生物多样性具有重要影响，为多种生物提供栖息地和食物资源，满足不同生存需求；同时，植物群落通过调节气候、固定土壤、净化空气等功能，维持城市生态系统的稳定性和连通性，缓解热岛效应，减少环境污染。丰富的植物种类和复杂的群落结构能够吸引多样的动物和微生物。调查方法、时间和频次在较多规范性文件中均有涉及，本文直接引用《生物多样性观测技术导则 陆生维管植物 HJ 710.1-2014》第5章、第7章内容；并计算重要值、物种丰富度等指数，用于客观定量分析植物群落特征，方法参照《生物多样性观测技术导则 陆生维管植物 HJ 710.1-2014》附录P进行。</w:t>
      </w:r>
    </w:p>
    <w:p w14:paraId="3618D521">
      <w:pPr>
        <w:numPr>
          <w:ilvl w:val="0"/>
          <w:numId w:val="11"/>
        </w:numPr>
        <w:tabs>
          <w:tab w:val="left" w:pos="640"/>
          <w:tab w:val="clear" w:pos="420"/>
        </w:tabs>
        <w:bidi w:val="0"/>
        <w:spacing w:line="360" w:lineRule="auto"/>
        <w:ind w:left="0" w:leftChars="0" w:firstLine="420" w:firstLineChars="0"/>
        <w:rPr>
          <w:rFonts w:hint="default" w:ascii="Times New Roman" w:hAnsi="Times New Roman" w:eastAsia="宋体" w:cs="Times New Roman"/>
          <w:color w:val="000000" w:themeColor="text1"/>
          <w:sz w:val="21"/>
          <w:szCs w:val="21"/>
          <w:lang w:val="en-US" w:eastAsia="zh-TW"/>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城市绿地</w:t>
      </w:r>
      <w:r>
        <w:rPr>
          <w:rFonts w:hint="eastAsia" w:ascii="Times New Roman" w:hAnsi="Times New Roman" w:eastAsia="宋体" w:cs="Times New Roman"/>
          <w:color w:val="000000" w:themeColor="text1"/>
          <w:sz w:val="21"/>
          <w:szCs w:val="21"/>
          <w:lang w:val="en-US" w:eastAsia="zh-TW"/>
          <w14:textFill>
            <w14:solidFill>
              <w14:schemeClr w14:val="tx1"/>
            </w14:solidFill>
          </w14:textFill>
        </w:rPr>
        <w:t>景观格局调查宜包括以下要点：</w:t>
      </w:r>
    </w:p>
    <w:p w14:paraId="73D07F7F">
      <w:pPr>
        <w:widowControl/>
        <w:numPr>
          <w:ilvl w:val="0"/>
          <w:numId w:val="14"/>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采用实地调查、遥感判读等技术方法，确定生境类型；利用地理信息系统等技术，计算其范围及面积。</w:t>
      </w:r>
    </w:p>
    <w:p w14:paraId="0374C832">
      <w:pPr>
        <w:widowControl/>
        <w:numPr>
          <w:ilvl w:val="0"/>
          <w:numId w:val="14"/>
        </w:numPr>
        <w:tabs>
          <w:tab w:val="left" w:pos="640"/>
        </w:tabs>
        <w:spacing w:line="360" w:lineRule="auto"/>
        <w:ind w:left="1052" w:leftChars="406" w:hanging="199" w:hangingChars="95"/>
        <w:jc w:val="left"/>
        <w:rPr>
          <w:rFonts w:hint="eastAsia" w:ascii="Times New Roman" w:hAnsi="Times New Roman" w:eastAsia="宋体" w:cs="Times New Roman"/>
          <w:b w:val="0"/>
          <w:bCs w:val="0"/>
          <w:color w:val="000000" w:themeColor="text1"/>
          <w:szCs w:val="21"/>
          <w:highlight w:val="none"/>
          <w:lang w:val="zh-TW" w:eastAsia="zh-TW"/>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计算斑块所占景观面积比例、香农多样性、蔓延度等指数，分析生境格局特征，方法参照HJ 19-2022附录C.9进行。</w:t>
      </w:r>
    </w:p>
    <w:p w14:paraId="78C8AF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仿宋" w:hAnsi="仿宋" w:eastAsia="仿宋" w:cs="楷体"/>
          <w:iCs/>
          <w:color w:val="000000" w:themeColor="text1"/>
          <w:highlight w:val="none"/>
          <w:lang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物种在城市中的栖息环境，包括城市的土地利用形式、景观设计和管理、栖息地植被结构和景观格局，对鸟类群落都有重要影响。栖息地生境景观格局对物种能产生不同的生态学效应，主要包括面积效应、连通性和边缘性等。本条提出植被景观格局尺度的调查要点，建议采用实地调查、遥感判读等技术方法，确定生境类型、斑块范围及面积，同时，计算斑块所占景观面积比例、香农多样性、蔓延度等指数，用于客观定量分析生境格局特征，方法参照《环境影响评价技术导则 生态影响 HJ 19-2022》附录C.9进行。</w:t>
      </w:r>
    </w:p>
    <w:p w14:paraId="41177E6F">
      <w:pPr>
        <w:pStyle w:val="2"/>
        <w:bidi w:val="0"/>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16" w:name="_Toc21384"/>
      <w:bookmarkStart w:id="17" w:name="_Toc25740"/>
      <w:bookmarkStart w:id="18" w:name="_Toc19915"/>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16"/>
      <w:r>
        <w:rPr>
          <w:rFonts w:hint="eastAsia" w:ascii="Times New Roman" w:hAnsi="Times New Roman" w:eastAsia="黑体" w:cs="Times New Roman"/>
          <w:color w:val="000000" w:themeColor="text1"/>
          <w:sz w:val="32"/>
          <w:szCs w:val="32"/>
          <w:lang w:val="en-US" w:eastAsia="zh-CN"/>
          <w14:textFill>
            <w14:solidFill>
              <w14:schemeClr w14:val="tx1"/>
            </w14:solidFill>
          </w14:textFill>
        </w:rPr>
        <w:t>调查成果</w:t>
      </w:r>
      <w:bookmarkEnd w:id="17"/>
      <w:bookmarkEnd w:id="18"/>
    </w:p>
    <w:p w14:paraId="2B5195DD">
      <w:pPr>
        <w:keepNext w:val="0"/>
        <w:keepLines w:val="0"/>
        <w:pageBreakBefore w:val="0"/>
        <w:widowControl w:val="0"/>
        <w:numPr>
          <w:ilvl w:val="2"/>
          <w:numId w:val="15"/>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整理调查资料，根据生物多样性和城市绿地调查内容，形成调查成果。调查成果包括调查报告和调查档案。</w:t>
      </w:r>
    </w:p>
    <w:p w14:paraId="3EA5AEE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本条提出了调查成果包含的内容。</w:t>
      </w:r>
    </w:p>
    <w:p w14:paraId="4CFA026A">
      <w:pPr>
        <w:keepNext w:val="0"/>
        <w:keepLines w:val="0"/>
        <w:pageBreakBefore w:val="0"/>
        <w:widowControl w:val="0"/>
        <w:numPr>
          <w:ilvl w:val="2"/>
          <w:numId w:val="15"/>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调查报告由封面、目录、正文、参考文献、附录等组成。正文内容包括调查区域概况、调查内容和方法、调查工作方案、调查结果、结论与建议。动植物调查报告宜单独成册。</w:t>
      </w:r>
    </w:p>
    <w:p w14:paraId="2483CE6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楷体" w:hAnsi="楷体" w:eastAsia="楷体" w:cs="楷体"/>
          <w:iCs/>
          <w:color w:val="000000" w:themeColor="text1"/>
          <w:sz w:val="28"/>
          <w:szCs w:val="28"/>
          <w:highlight w:val="none"/>
          <w:u w:val="single"/>
          <w:lang w:val="en-US" w:eastAsia="zh-CN" w:bidi="ar"/>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参照《城市生物多样性调查技术导则 T/CHSLA 10012-2024》第8.1、8.2条。</w:t>
      </w:r>
    </w:p>
    <w:p w14:paraId="7BCA6D78">
      <w:pPr>
        <w:keepNext w:val="0"/>
        <w:keepLines w:val="0"/>
        <w:pageBreakBefore w:val="0"/>
        <w:widowControl w:val="0"/>
        <w:numPr>
          <w:ilvl w:val="2"/>
          <w:numId w:val="15"/>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sz w:val="21"/>
          <w:szCs w:val="21"/>
          <w:lang w:val="zh-TW"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调查档案包括调查记录表、照片、视频、调查制图、样线轨迹等，并进行归类汇总。</w:t>
      </w:r>
    </w:p>
    <w:p w14:paraId="60DD3CD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color w:val="000000" w:themeColor="text1"/>
          <w:lang w:val="en-US" w:eastAsia="zh-CN"/>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参照《城市生物多样性调查技术导则 T/CHSLA 10012-2024》第8.2条。</w:t>
      </w:r>
    </w:p>
    <w:p w14:paraId="224708CF">
      <w:pPr>
        <w:pStyle w:val="4"/>
        <w:bidi w:val="0"/>
        <w:jc w:val="center"/>
        <w:rPr>
          <w:rFonts w:hint="default" w:ascii="Times New Roman" w:hAnsi="Times New Roman" w:eastAsia="宋体" w:cs="Times New Roman"/>
          <w:bCs/>
          <w:color w:val="000000" w:themeColor="text1"/>
          <w:szCs w:val="28"/>
          <w:lang w:val="en-US" w:eastAsia="zh-CN"/>
          <w14:textFill>
            <w14:solidFill>
              <w14:schemeClr w14:val="tx1"/>
            </w14:solidFill>
          </w14:textFill>
        </w:rPr>
      </w:pPr>
      <w:bookmarkStart w:id="19" w:name="_Toc30963"/>
      <w:bookmarkStart w:id="20" w:name="_Toc5715"/>
      <w:r>
        <w:rPr>
          <w:rFonts w:hint="default" w:ascii="Times New Roman" w:hAnsi="Times New Roman" w:cs="Times New Roman"/>
          <w:color w:val="000000" w:themeColor="text1"/>
          <w:lang w:val="en-US" w:eastAsia="zh-CN"/>
          <w14:textFill>
            <w14:solidFill>
              <w14:schemeClr w14:val="tx1"/>
            </w14:solidFill>
          </w14:textFill>
        </w:rPr>
        <w:t xml:space="preserve">4  </w:t>
      </w:r>
      <w:bookmarkEnd w:id="8"/>
      <w:r>
        <w:rPr>
          <w:rFonts w:hint="eastAsia" w:ascii="Times New Roman" w:hAnsi="Times New Roman" w:cs="Times New Roman"/>
          <w:color w:val="000000" w:themeColor="text1"/>
          <w:lang w:val="en-US" w:eastAsia="zh-CN"/>
          <w14:textFill>
            <w14:solidFill>
              <w14:schemeClr w14:val="tx1"/>
            </w14:solidFill>
          </w14:textFill>
        </w:rPr>
        <w:t>保护目标</w:t>
      </w:r>
      <w:bookmarkEnd w:id="19"/>
      <w:bookmarkEnd w:id="20"/>
    </w:p>
    <w:p w14:paraId="5D43CC13">
      <w:pPr>
        <w:pStyle w:val="2"/>
        <w:bidi w:val="0"/>
        <w:rPr>
          <w:rFonts w:hint="default" w:ascii="Times New Roman" w:hAnsi="Times New Roman" w:eastAsia="黑体" w:cs="Times New Roman"/>
          <w:color w:val="000000" w:themeColor="text1"/>
          <w:sz w:val="32"/>
          <w:szCs w:val="32"/>
          <w:lang w:val="en-US"/>
          <w14:textFill>
            <w14:solidFill>
              <w14:schemeClr w14:val="tx1"/>
            </w14:solidFill>
          </w14:textFill>
        </w:rPr>
      </w:pPr>
      <w:bookmarkStart w:id="21" w:name="_Toc5674"/>
      <w:bookmarkStart w:id="22" w:name="_Toc22204"/>
      <w:bookmarkStart w:id="23" w:name="_Toc16069"/>
      <w:r>
        <w:rPr>
          <w:rFonts w:hint="default" w:ascii="Times New Roman" w:hAnsi="Times New Roman" w:eastAsia="黑体" w:cs="Times New Roman"/>
          <w:color w:val="000000" w:themeColor="text1"/>
          <w:sz w:val="32"/>
          <w:szCs w:val="32"/>
          <w14:textFill>
            <w14:solidFill>
              <w14:schemeClr w14:val="tx1"/>
            </w14:solidFill>
          </w14:textFill>
        </w:rPr>
        <w:t xml:space="preserve">4.1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21"/>
      <w:r>
        <w:rPr>
          <w:rFonts w:hint="eastAsia" w:ascii="Times New Roman" w:hAnsi="Times New Roman" w:eastAsia="黑体" w:cs="Times New Roman"/>
          <w:color w:val="000000" w:themeColor="text1"/>
          <w:sz w:val="32"/>
          <w:szCs w:val="32"/>
          <w:lang w:val="en-US" w:eastAsia="zh-CN"/>
          <w14:textFill>
            <w14:solidFill>
              <w14:schemeClr w14:val="tx1"/>
            </w14:solidFill>
          </w14:textFill>
        </w:rPr>
        <w:t>目标</w:t>
      </w:r>
      <w:bookmarkEnd w:id="22"/>
      <w:bookmarkEnd w:id="23"/>
    </w:p>
    <w:p w14:paraId="30501259">
      <w:pPr>
        <w:numPr>
          <w:ilvl w:val="0"/>
          <w:numId w:val="16"/>
        </w:numPr>
        <w:tabs>
          <w:tab w:val="left" w:pos="0"/>
          <w:tab w:val="clear" w:pos="397"/>
        </w:tabs>
        <w:spacing w:line="360" w:lineRule="auto"/>
        <w:ind w:left="14" w:leftChars="0" w:hanging="14" w:firstLineChars="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构建与四川省地域特征协调的城市绿地生物多样性保护体系，以维护生态安全格局、保护地域特色为核心导向，实现本地物种稳定繁衍、遗传资源可持续保全及生态服务功能长期提升，促进人与自然和谐共生。</w:t>
      </w:r>
    </w:p>
    <w:p w14:paraId="23077C11">
      <w:pPr>
        <w:numPr>
          <w:ilvl w:val="-1"/>
          <w:numId w:val="0"/>
        </w:numPr>
        <w:tabs>
          <w:tab w:val="left" w:pos="0"/>
        </w:tabs>
        <w:spacing w:line="360" w:lineRule="auto"/>
        <w:ind w:left="0" w:leftChars="0" w:firstLine="0"/>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明确了四川省城市绿地生物多样性保护的总体目标。目标制定主要依据《四川省生物多样性保护战略与行动计划（2025-2030年）》提出的“全面形成绿色发展方式和生活方式，建成人与自然和谐共生的美丽中国，实现人与自然和谐共生的美好愿景”，充分衔接《四川省国土空间生态修复规划（2021-2035年）》，强调通过构建与四川省复杂地理环境和多样化生态系统相适应的保护策略，重点突出维护区域生态安全、保全地域生态特色、促进物种可持续繁衍等多重价值取向，为全省各地开展城市绿地生物多样性保护工作提供战略性指引。</w:t>
      </w:r>
    </w:p>
    <w:p w14:paraId="27615D75">
      <w:pPr>
        <w:numPr>
          <w:ilvl w:val="-1"/>
          <w:numId w:val="0"/>
        </w:numPr>
        <w:tabs>
          <w:tab w:val="left" w:pos="0"/>
        </w:tabs>
        <w:spacing w:line="360" w:lineRule="auto"/>
        <w:ind w:left="0" w:leftChars="0" w:firstLine="0"/>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5D1B9519">
      <w:pPr>
        <w:pStyle w:val="2"/>
        <w:bidi w:val="0"/>
        <w:rPr>
          <w:rFonts w:hint="eastAsia" w:ascii="Times New Roman" w:hAnsi="Times New Roman" w:eastAsia="黑体" w:cs="Times New Roman"/>
          <w:color w:val="000000" w:themeColor="text1"/>
          <w:sz w:val="32"/>
          <w:szCs w:val="32"/>
          <w:lang w:eastAsia="zh-CN"/>
          <w14:textFill>
            <w14:solidFill>
              <w14:schemeClr w14:val="tx1"/>
            </w14:solidFill>
          </w14:textFill>
        </w:rPr>
      </w:pPr>
      <w:bookmarkStart w:id="24" w:name="_Toc27798"/>
      <w:bookmarkStart w:id="25" w:name="_Toc25148"/>
      <w:bookmarkStart w:id="26" w:name="_Toc15698"/>
      <w:r>
        <w:rPr>
          <w:rFonts w:hint="eastAsia" w:ascii="Times New Roman" w:hAnsi="Times New Roman" w:eastAsia="黑体" w:cs="Times New Roman"/>
          <w:color w:val="000000" w:themeColor="text1"/>
          <w:sz w:val="32"/>
          <w:szCs w:val="32"/>
          <w14:textFill>
            <w14:solidFill>
              <w14:schemeClr w14:val="tx1"/>
            </w14:solidFill>
          </w14:textFill>
        </w:rPr>
        <w:t>4</w:t>
      </w:r>
      <w:r>
        <w:rPr>
          <w:rFonts w:hint="default" w:ascii="Times New Roman" w:hAnsi="Times New Roman" w:eastAsia="黑体" w:cs="Times New Roman"/>
          <w:color w:val="000000" w:themeColor="text1"/>
          <w:sz w:val="32"/>
          <w:szCs w:val="32"/>
          <w14:textFill>
            <w14:solidFill>
              <w14:schemeClr w14:val="tx1"/>
            </w14:solidFill>
          </w14:textFill>
        </w:rPr>
        <w:t xml:space="preserve">.2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24"/>
      <w:r>
        <w:rPr>
          <w:rFonts w:hint="eastAsia" w:ascii="Times New Roman" w:hAnsi="Times New Roman" w:eastAsia="黑体" w:cs="Times New Roman"/>
          <w:color w:val="000000" w:themeColor="text1"/>
          <w:sz w:val="32"/>
          <w:szCs w:val="32"/>
          <w:lang w:val="en-US" w:eastAsia="zh-CN"/>
          <w14:textFill>
            <w14:solidFill>
              <w14:schemeClr w14:val="tx1"/>
            </w14:solidFill>
          </w14:textFill>
        </w:rPr>
        <w:t>指标</w:t>
      </w:r>
      <w:bookmarkEnd w:id="25"/>
      <w:bookmarkEnd w:id="26"/>
    </w:p>
    <w:p w14:paraId="1E474061">
      <w:pPr>
        <w:numPr>
          <w:ilvl w:val="0"/>
          <w:numId w:val="17"/>
        </w:numPr>
        <w:tabs>
          <w:tab w:val="left" w:pos="0"/>
          <w:tab w:val="clear" w:pos="420"/>
        </w:tabs>
        <w:spacing w:line="360" w:lineRule="auto"/>
        <w:ind w:left="5" w:leftChars="0" w:hanging="5" w:firstLineChars="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城市绿地生物多样性保护</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宜</w:t>
      </w:r>
      <w:r>
        <w:rPr>
          <w:rFonts w:hint="default" w:ascii="Times New Roman" w:hAnsi="Times New Roman" w:eastAsia="宋体" w:cs="Times New Roman"/>
          <w:color w:val="000000" w:themeColor="text1"/>
          <w:sz w:val="21"/>
          <w:szCs w:val="21"/>
          <w14:textFill>
            <w14:solidFill>
              <w14:schemeClr w14:val="tx1"/>
            </w14:solidFill>
          </w14:textFill>
        </w:rPr>
        <w:t>建立科学完善的指标体系，宜涵盖生态系统完整性、物种多样性、生态功能和管理效能等方面。</w:t>
      </w:r>
    </w:p>
    <w:p w14:paraId="7B27E94C">
      <w:pPr>
        <w:numPr>
          <w:ilvl w:val="0"/>
          <w:numId w:val="0"/>
        </w:numPr>
        <w:tabs>
          <w:tab w:val="left" w:pos="0"/>
        </w:tabs>
        <w:spacing w:line="360" w:lineRule="auto"/>
        <w:ind w:leftChars="0"/>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确立了生物多样性保护指标体系的总体要求。指标体系构建参考了《四川省生物多样性保护战略与行动计划（2023-2030年）》中关于“建立生物多样性调查监测与评估体系”的要求，以及《四川科学绿化试点示范省建设实施方案（2023-2025年）》中关于“建立科学绿化成效评价体系”的相关规定。指标体系设计遵循系统性、科学性和可操作性原则，旨在通过多维度指标全面反映生物多样性保护状况。</w:t>
      </w:r>
    </w:p>
    <w:p w14:paraId="0924F94C">
      <w:pPr>
        <w:numPr>
          <w:ilvl w:val="0"/>
          <w:numId w:val="0"/>
        </w:numPr>
        <w:tabs>
          <w:tab w:val="left" w:pos="0"/>
        </w:tabs>
        <w:spacing w:line="360" w:lineRule="auto"/>
        <w:ind w:leftChars="0"/>
        <w:rPr>
          <w:rFonts w:hint="default" w:ascii="Times New Roman" w:hAnsi="Times New Roman" w:eastAsia="楷体"/>
          <w:color w:val="000000" w:themeColor="text1"/>
          <w14:textFill>
            <w14:solidFill>
              <w14:schemeClr w14:val="tx1"/>
            </w14:solidFill>
          </w14:textFill>
        </w:rPr>
      </w:pPr>
    </w:p>
    <w:p w14:paraId="70CFB53D">
      <w:pPr>
        <w:numPr>
          <w:ilvl w:val="0"/>
          <w:numId w:val="17"/>
        </w:numPr>
        <w:tabs>
          <w:tab w:val="left" w:pos="0"/>
          <w:tab w:val="clear" w:pos="420"/>
        </w:tabs>
        <w:spacing w:line="360" w:lineRule="auto"/>
        <w:ind w:left="5" w:leftChars="0" w:hanging="5" w:firstLineChars="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生态系统完整性指标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宜</w:t>
      </w:r>
      <w:r>
        <w:rPr>
          <w:rFonts w:hint="default" w:ascii="Times New Roman" w:hAnsi="Times New Roman" w:eastAsia="宋体" w:cs="Times New Roman"/>
          <w:color w:val="000000" w:themeColor="text1"/>
          <w:sz w:val="21"/>
          <w:szCs w:val="21"/>
          <w14:textFill>
            <w14:solidFill>
              <w14:schemeClr w14:val="tx1"/>
            </w14:solidFill>
          </w14:textFill>
        </w:rPr>
        <w:t>包括</w:t>
      </w:r>
      <w:bookmarkStart w:id="27" w:name="_Toc7434"/>
      <w:bookmarkStart w:id="28" w:name="_Toc9432"/>
      <w:bookmarkStart w:id="29" w:name="_Toc19540"/>
      <w:r>
        <w:rPr>
          <w:rFonts w:hint="eastAsia" w:ascii="Times New Roman" w:hAnsi="Times New Roman" w:eastAsia="宋体" w:cs="Times New Roman"/>
          <w:color w:val="000000" w:themeColor="text1"/>
          <w:sz w:val="21"/>
          <w:szCs w:val="21"/>
          <w14:textFill>
            <w14:solidFill>
              <w14:schemeClr w14:val="tx1"/>
            </w14:solidFill>
          </w14:textFill>
        </w:rPr>
        <w:t>蓝绿空间占比</w:t>
      </w:r>
      <w:bookmarkEnd w:id="27"/>
      <w:bookmarkEnd w:id="28"/>
      <w:bookmarkEnd w:id="29"/>
      <w:r>
        <w:rPr>
          <w:rFonts w:hint="default" w:ascii="Times New Roman" w:hAnsi="Times New Roman" w:eastAsia="宋体" w:cs="Times New Roman"/>
          <w:color w:val="000000" w:themeColor="text1"/>
          <w:sz w:val="21"/>
          <w:szCs w:val="21"/>
          <w14:textFill>
            <w14:solidFill>
              <w14:schemeClr w14:val="tx1"/>
            </w14:solidFill>
          </w14:textFill>
        </w:rPr>
        <w:t>、</w:t>
      </w:r>
      <w:bookmarkStart w:id="30" w:name="_Toc27436"/>
      <w:bookmarkStart w:id="31" w:name="_Toc22601"/>
      <w:bookmarkStart w:id="32" w:name="_Toc16490"/>
      <w:r>
        <w:rPr>
          <w:rFonts w:hint="eastAsia" w:ascii="Times New Roman" w:hAnsi="Times New Roman" w:eastAsia="宋体" w:cs="Times New Roman"/>
          <w:color w:val="000000" w:themeColor="text1"/>
          <w:sz w:val="21"/>
          <w:szCs w:val="21"/>
          <w14:textFill>
            <w14:solidFill>
              <w14:schemeClr w14:val="tx1"/>
            </w14:solidFill>
          </w14:textFill>
        </w:rPr>
        <w:t>生态连接指数</w:t>
      </w:r>
      <w:bookmarkEnd w:id="30"/>
      <w:bookmarkEnd w:id="31"/>
      <w:bookmarkEnd w:id="32"/>
      <w:r>
        <w:rPr>
          <w:rFonts w:hint="default" w:ascii="Times New Roman" w:hAnsi="Times New Roman" w:eastAsia="宋体" w:cs="Times New Roman"/>
          <w:color w:val="000000" w:themeColor="text1"/>
          <w:sz w:val="21"/>
          <w:szCs w:val="21"/>
          <w14:textFill>
            <w14:solidFill>
              <w14:schemeClr w14:val="tx1"/>
            </w14:solidFill>
          </w14:textFill>
        </w:rPr>
        <w:t>、</w:t>
      </w:r>
      <w:bookmarkStart w:id="33" w:name="_Toc1859"/>
      <w:bookmarkStart w:id="34" w:name="_Toc27893"/>
      <w:bookmarkStart w:id="35" w:name="_Toc31978"/>
      <w:r>
        <w:rPr>
          <w:rFonts w:hint="eastAsia" w:ascii="Times New Roman" w:hAnsi="Times New Roman" w:eastAsia="宋体" w:cs="Times New Roman"/>
          <w:color w:val="000000" w:themeColor="text1"/>
          <w:sz w:val="21"/>
          <w:szCs w:val="21"/>
          <w14:textFill>
            <w14:solidFill>
              <w14:schemeClr w14:val="tx1"/>
            </w14:solidFill>
          </w14:textFill>
        </w:rPr>
        <w:t>生态边缘密度</w:t>
      </w:r>
      <w:bookmarkEnd w:id="33"/>
      <w:bookmarkEnd w:id="34"/>
      <w:bookmarkEnd w:id="35"/>
      <w:r>
        <w:rPr>
          <w:rFonts w:hint="eastAsia" w:ascii="Times New Roman" w:hAnsi="Times New Roman" w:eastAsia="宋体" w:cs="Times New Roman"/>
          <w:color w:val="000000" w:themeColor="text1"/>
          <w:sz w:val="21"/>
          <w:szCs w:val="21"/>
          <w:lang w:eastAsia="zh-CN"/>
          <w14:textFill>
            <w14:solidFill>
              <w14:schemeClr w14:val="tx1"/>
            </w14:solidFill>
          </w14:textFill>
        </w:rPr>
        <w:t>、</w:t>
      </w:r>
      <w:bookmarkStart w:id="36" w:name="_Toc1254"/>
      <w:bookmarkStart w:id="37" w:name="_Toc29534"/>
      <w:bookmarkStart w:id="38" w:name="_Toc13247"/>
      <w:r>
        <w:rPr>
          <w:rFonts w:hint="eastAsia" w:ascii="Times New Roman" w:hAnsi="Times New Roman" w:eastAsia="宋体" w:cs="Times New Roman"/>
          <w:color w:val="000000" w:themeColor="text1"/>
          <w:sz w:val="21"/>
          <w:szCs w:val="21"/>
          <w14:textFill>
            <w14:solidFill>
              <w14:schemeClr w14:val="tx1"/>
            </w14:solidFill>
          </w14:textFill>
        </w:rPr>
        <w:t>生境类型多样性</w:t>
      </w:r>
      <w:bookmarkEnd w:id="36"/>
      <w:bookmarkEnd w:id="37"/>
      <w:bookmarkEnd w:id="38"/>
      <w:r>
        <w:rPr>
          <w:rFonts w:hint="default" w:ascii="Times New Roman" w:hAnsi="Times New Roman" w:eastAsia="宋体" w:cs="Times New Roman"/>
          <w:color w:val="000000" w:themeColor="text1"/>
          <w:sz w:val="21"/>
          <w:szCs w:val="21"/>
          <w14:textFill>
            <w14:solidFill>
              <w14:schemeClr w14:val="tx1"/>
            </w14:solidFill>
          </w14:textFill>
        </w:rPr>
        <w:t>等。</w:t>
      </w:r>
    </w:p>
    <w:p w14:paraId="29F97AA8">
      <w:pPr>
        <w:pStyle w:val="14"/>
        <w:spacing w:line="360" w:lineRule="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eastAsia" w:ascii="Times New Roman" w:hAnsi="Times New Roman" w:eastAsia="楷体"/>
          <w:b/>
          <w:bCs/>
          <w:color w:val="000000" w:themeColor="text1"/>
          <w:lang w:eastAsia="zh-CN"/>
          <w14:textFill>
            <w14:solidFill>
              <w14:schemeClr w14:val="tx1"/>
            </w14:solidFill>
          </w14:textFill>
        </w:rPr>
        <w:t>【</w:t>
      </w:r>
      <w:r>
        <w:rPr>
          <w:rFonts w:hint="default"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b/>
          <w:bCs/>
          <w:color w:val="000000" w:themeColor="text1"/>
          <w:lang w:eastAsia="zh-CN"/>
          <w14:textFill>
            <w14:solidFill>
              <w14:schemeClr w14:val="tx1"/>
            </w14:solidFill>
          </w14:textFill>
        </w:rPr>
        <w:t>】</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规定了生态系统完整性指标的具体内容。指标选取依据《四川省国土空间生态修复规划（2021-2035年）》中关于“完善生物多样性保护空间网络……提升生态系统多样性、稳定性、持续性”的要求，重点考量生态系统的结构和功能完整性。</w:t>
      </w:r>
    </w:p>
    <w:p w14:paraId="5572107C">
      <w:pPr>
        <w:rPr>
          <w:rFonts w:hint="eastAsia"/>
          <w:color w:val="000000" w:themeColor="text1"/>
          <w14:textFill>
            <w14:solidFill>
              <w14:schemeClr w14:val="tx1"/>
            </w14:solidFill>
          </w14:textFill>
        </w:rPr>
      </w:pPr>
    </w:p>
    <w:p w14:paraId="4B33648A">
      <w:pPr>
        <w:numPr>
          <w:ilvl w:val="0"/>
          <w:numId w:val="17"/>
        </w:numPr>
        <w:tabs>
          <w:tab w:val="left" w:pos="0"/>
          <w:tab w:val="clear" w:pos="420"/>
        </w:tabs>
        <w:spacing w:line="360" w:lineRule="auto"/>
        <w:ind w:left="5" w:leftChars="0" w:hanging="5"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物种多样性指标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宜</w:t>
      </w:r>
      <w:r>
        <w:rPr>
          <w:rFonts w:hint="default"/>
          <w:color w:val="000000" w:themeColor="text1"/>
          <w14:textFill>
            <w14:solidFill>
              <w14:schemeClr w14:val="tx1"/>
            </w14:solidFill>
          </w14:textFill>
        </w:rPr>
        <w:t>包括</w:t>
      </w:r>
      <w:bookmarkStart w:id="39" w:name="_Toc32659"/>
      <w:bookmarkStart w:id="40" w:name="_Toc22912"/>
      <w:bookmarkStart w:id="41" w:name="_Toc29354"/>
      <w:r>
        <w:rPr>
          <w:rFonts w:hint="eastAsia" w:ascii="宋体" w:hAnsi="宋体" w:eastAsia="宋体"/>
          <w:color w:val="000000" w:themeColor="text1"/>
          <w:kern w:val="2"/>
          <w:sz w:val="22"/>
          <w14:textFill>
            <w14:solidFill>
              <w14:schemeClr w14:val="tx1"/>
            </w14:solidFill>
          </w14:textFill>
        </w:rPr>
        <w:t>综</w:t>
      </w:r>
      <w:r>
        <w:rPr>
          <w:rFonts w:hint="eastAsia"/>
          <w:color w:val="000000" w:themeColor="text1"/>
          <w14:textFill>
            <w14:solidFill>
              <w14:schemeClr w14:val="tx1"/>
            </w14:solidFill>
          </w14:textFill>
        </w:rPr>
        <w:t>合物种指数</w:t>
      </w:r>
      <w:bookmarkEnd w:id="39"/>
      <w:bookmarkEnd w:id="40"/>
      <w:bookmarkEnd w:id="41"/>
      <w:r>
        <w:rPr>
          <w:rFonts w:hint="default"/>
          <w:color w:val="000000" w:themeColor="text1"/>
          <w14:textFill>
            <w14:solidFill>
              <w14:schemeClr w14:val="tx1"/>
            </w14:solidFill>
          </w14:textFill>
        </w:rPr>
        <w:t>、</w:t>
      </w:r>
      <w:bookmarkStart w:id="42" w:name="_Toc27136"/>
      <w:bookmarkStart w:id="43" w:name="_Toc19121"/>
      <w:bookmarkStart w:id="44" w:name="_Toc19160"/>
      <w:r>
        <w:rPr>
          <w:rFonts w:hint="eastAsia"/>
          <w:color w:val="000000" w:themeColor="text1"/>
          <w14:textFill>
            <w14:solidFill>
              <w14:schemeClr w14:val="tx1"/>
            </w14:solidFill>
          </w14:textFill>
        </w:rPr>
        <w:t>本地木本植物指数</w:t>
      </w:r>
      <w:bookmarkEnd w:id="42"/>
      <w:bookmarkEnd w:id="43"/>
      <w:bookmarkEnd w:id="44"/>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建成区鸟类物种丰富度、建成区野生动物丰富度、重点保护物种保护状况（种群动态）</w:t>
      </w:r>
      <w:r>
        <w:rPr>
          <w:rFonts w:hint="default"/>
          <w:color w:val="000000" w:themeColor="text1"/>
          <w14:textFill>
            <w14:solidFill>
              <w14:schemeClr w14:val="tx1"/>
            </w14:solidFill>
          </w14:textFill>
        </w:rPr>
        <w:t>等。</w:t>
      </w:r>
    </w:p>
    <w:p w14:paraId="1D232FFA">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t>条文说明】</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本条规定了物种多样性指标的具体内容。指标设置参考《四川省生物多样性保护战略与行动计划</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（2023-2030年）</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》中关于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加强野生物种资源可持续利用与全过程监管</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的要求，重点关注关键物种类群的动态变化。</w:t>
      </w:r>
    </w:p>
    <w:p w14:paraId="32CF1733">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1F22BBAF">
      <w:pPr>
        <w:numPr>
          <w:ilvl w:val="0"/>
          <w:numId w:val="17"/>
        </w:numPr>
        <w:tabs>
          <w:tab w:val="left" w:pos="0"/>
          <w:tab w:val="clear" w:pos="420"/>
        </w:tabs>
        <w:spacing w:line="360" w:lineRule="auto"/>
        <w:ind w:left="5" w:leftChars="0" w:hanging="5" w:firstLineChars="0"/>
        <w:rPr>
          <w:rFonts w:hint="default" w:ascii="宋体" w:hAnsi="宋体" w:eastAsia="宋体"/>
          <w:color w:val="000000" w:themeColor="text1"/>
          <w:kern w:val="2"/>
          <w:sz w:val="22"/>
          <w:lang w:val="en-US" w:eastAsia="zh-CN"/>
          <w14:textFill>
            <w14:solidFill>
              <w14:schemeClr w14:val="tx1"/>
            </w14:solidFill>
          </w14:textFill>
        </w:rPr>
      </w:pPr>
      <w:r>
        <w:rPr>
          <w:rFonts w:hint="default"/>
          <w:color w:val="000000" w:themeColor="text1"/>
          <w14:textFill>
            <w14:solidFill>
              <w14:schemeClr w14:val="tx1"/>
            </w14:solidFill>
          </w14:textFill>
        </w:rPr>
        <w:t>生态功能指标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宜</w:t>
      </w:r>
      <w:r>
        <w:rPr>
          <w:rFonts w:hint="default"/>
          <w:color w:val="000000" w:themeColor="text1"/>
          <w14:textFill>
            <w14:solidFill>
              <w14:schemeClr w14:val="tx1"/>
            </w14:solidFill>
          </w14:textFill>
        </w:rPr>
        <w:t>包括</w:t>
      </w:r>
      <w:r>
        <w:rPr>
          <w:rFonts w:hint="eastAsia" w:ascii="宋体" w:hAnsi="宋体" w:eastAsia="宋体"/>
          <w:color w:val="000000" w:themeColor="text1"/>
          <w:kern w:val="2"/>
          <w:sz w:val="22"/>
          <w:lang w:val="en-US" w:eastAsia="zh-CN"/>
          <w14:textFill>
            <w14:solidFill>
              <w14:schemeClr w14:val="tx1"/>
            </w14:solidFill>
          </w14:textFill>
        </w:rPr>
        <w:t>水体治理和修复率</w:t>
      </w:r>
      <w:r>
        <w:rPr>
          <w:rFonts w:hint="default" w:ascii="宋体" w:hAnsi="宋体" w:eastAsia="宋体"/>
          <w:color w:val="000000" w:themeColor="text1"/>
          <w:kern w:val="2"/>
          <w:sz w:val="22"/>
          <w:lang w:val="en-US" w:eastAsia="zh-CN"/>
          <w14:textFill>
            <w14:solidFill>
              <w14:schemeClr w14:val="tx1"/>
            </w14:solidFill>
          </w14:textFill>
        </w:rPr>
        <w:t>、</w:t>
      </w:r>
      <w:r>
        <w:rPr>
          <w:rFonts w:hint="eastAsia" w:ascii="宋体" w:hAnsi="宋体" w:eastAsia="宋体"/>
          <w:color w:val="000000" w:themeColor="text1"/>
          <w:kern w:val="2"/>
          <w:sz w:val="22"/>
          <w:lang w:val="en-US" w:eastAsia="zh-CN"/>
          <w14:textFill>
            <w14:solidFill>
              <w14:schemeClr w14:val="tx1"/>
            </w14:solidFill>
          </w14:textFill>
        </w:rPr>
        <w:t>城市热岛效应强度</w:t>
      </w:r>
      <w:r>
        <w:rPr>
          <w:rFonts w:hint="default" w:ascii="宋体" w:hAnsi="宋体" w:eastAsia="宋体"/>
          <w:color w:val="000000" w:themeColor="text1"/>
          <w:kern w:val="2"/>
          <w:sz w:val="22"/>
          <w:lang w:val="en-US" w:eastAsia="zh-CN"/>
          <w14:textFill>
            <w14:solidFill>
              <w14:schemeClr w14:val="tx1"/>
            </w14:solidFill>
          </w14:textFill>
        </w:rPr>
        <w:t>等。</w:t>
      </w:r>
    </w:p>
    <w:p w14:paraId="0FC5AA0F">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t>条文说明】</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本条规定了生态功能指标的具体内容。指标选取依据《四川省国土空间生态修复规划</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（2021-2030年）</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》中关于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提高城市生态系统服务功能和自维持能力</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的要求，重点关注生态系统对人类福祉的贡献。</w:t>
      </w:r>
    </w:p>
    <w:p w14:paraId="7C42CF3D">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3EA70ED7">
      <w:pPr>
        <w:numPr>
          <w:ilvl w:val="0"/>
          <w:numId w:val="17"/>
        </w:numPr>
        <w:tabs>
          <w:tab w:val="left" w:pos="0"/>
          <w:tab w:val="clear" w:pos="420"/>
        </w:tabs>
        <w:spacing w:line="360" w:lineRule="auto"/>
        <w:ind w:left="5" w:leftChars="0" w:hanging="5" w:firstLineChars="0"/>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管理效能指标</w:t>
      </w:r>
      <w:r>
        <w:rPr>
          <w:rFonts w:hint="eastAsia"/>
          <w:color w:val="000000" w:themeColor="text1"/>
          <w:lang w:val="en-US" w:eastAsia="zh-CN"/>
          <w14:textFill>
            <w14:solidFill>
              <w14:schemeClr w14:val="tx1"/>
            </w14:solidFill>
          </w14:textFill>
        </w:rPr>
        <w:t>宜</w:t>
      </w:r>
      <w:r>
        <w:rPr>
          <w:rFonts w:hint="default"/>
          <w:color w:val="000000" w:themeColor="text1"/>
          <w14:textFill>
            <w14:solidFill>
              <w14:schemeClr w14:val="tx1"/>
            </w14:solidFill>
          </w14:textFill>
        </w:rPr>
        <w:t>包括</w:t>
      </w:r>
      <w:bookmarkStart w:id="45" w:name="_Toc17844"/>
      <w:bookmarkStart w:id="46" w:name="_Toc9041"/>
      <w:bookmarkStart w:id="47" w:name="_Toc10673"/>
      <w:r>
        <w:rPr>
          <w:rFonts w:hint="eastAsia"/>
          <w:color w:val="000000" w:themeColor="text1"/>
          <w14:textFill>
            <w14:solidFill>
              <w14:schemeClr w14:val="tx1"/>
            </w14:solidFill>
          </w14:textFill>
        </w:rPr>
        <w:t>用于生物多样性保护的资金比例</w:t>
      </w:r>
      <w:bookmarkEnd w:id="45"/>
      <w:bookmarkEnd w:id="46"/>
      <w:bookmarkEnd w:id="47"/>
      <w:r>
        <w:rPr>
          <w:rFonts w:hint="default"/>
          <w:color w:val="000000" w:themeColor="text1"/>
          <w14:textFill>
            <w14:solidFill>
              <w14:schemeClr w14:val="tx1"/>
            </w14:solidFill>
          </w14:textFill>
        </w:rPr>
        <w:t>、</w:t>
      </w:r>
      <w:bookmarkStart w:id="48" w:name="_Toc11597"/>
      <w:bookmarkStart w:id="49" w:name="_Toc41"/>
      <w:bookmarkStart w:id="50" w:name="_Toc3368"/>
      <w:r>
        <w:rPr>
          <w:rFonts w:hint="eastAsia"/>
          <w:color w:val="000000" w:themeColor="text1"/>
          <w14:textFill>
            <w14:solidFill>
              <w14:schemeClr w14:val="tx1"/>
            </w14:solidFill>
          </w14:textFill>
        </w:rPr>
        <w:t>生物多样性知识教育普及率</w:t>
      </w:r>
      <w:bookmarkEnd w:id="48"/>
      <w:bookmarkEnd w:id="49"/>
      <w:bookmarkEnd w:id="50"/>
      <w:r>
        <w:rPr>
          <w:rFonts w:hint="default"/>
          <w:color w:val="000000" w:themeColor="text1"/>
          <w14:textFill>
            <w14:solidFill>
              <w14:schemeClr w14:val="tx1"/>
            </w14:solidFill>
          </w14:textFill>
        </w:rPr>
        <w:t>、</w:t>
      </w:r>
      <w:bookmarkStart w:id="51" w:name="_Toc11721"/>
      <w:bookmarkStart w:id="52" w:name="_Toc18915"/>
      <w:bookmarkStart w:id="53" w:name="_Toc8497"/>
      <w:r>
        <w:rPr>
          <w:rFonts w:hint="eastAsia"/>
          <w:color w:val="000000" w:themeColor="text1"/>
          <w14:textFill>
            <w14:solidFill>
              <w14:schemeClr w14:val="tx1"/>
            </w14:solidFill>
          </w14:textFill>
        </w:rPr>
        <w:t>生物多样性项目市民参与度</w:t>
      </w:r>
      <w:bookmarkEnd w:id="51"/>
      <w:bookmarkEnd w:id="52"/>
      <w:bookmarkEnd w:id="53"/>
      <w:r>
        <w:rPr>
          <w:rFonts w:hint="default"/>
          <w:color w:val="000000" w:themeColor="text1"/>
          <w14:textFill>
            <w14:solidFill>
              <w14:schemeClr w14:val="tx1"/>
            </w14:solidFill>
          </w14:textFill>
        </w:rPr>
        <w:t>等。</w:t>
      </w:r>
    </w:p>
    <w:p w14:paraId="48C1459E">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t>条文说明】</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本条规定了管理效能指标的具体内容。指标设置参考《四川省生物多样性保护战略与行动计划</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（2023-2030年）</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》中关于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将生物多样性保护纳入国民经济和社会发展规划及相关行业领域发展规划与计划，进一步发挥政府主导、企业响应、全民参与的行动共同体作用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的要求，重点关注保护工作的实施效果。</w:t>
      </w:r>
    </w:p>
    <w:p w14:paraId="6E0117A7">
      <w:pPr>
        <w:numPr>
          <w:ilvl w:val="0"/>
          <w:numId w:val="0"/>
        </w:numPr>
        <w:tabs>
          <w:tab w:val="left" w:pos="0"/>
        </w:tabs>
        <w:spacing w:line="360" w:lineRule="auto"/>
        <w:ind w:leftChars="0"/>
        <w:rPr>
          <w:rFonts w:hint="default"/>
          <w:color w:val="000000" w:themeColor="text1"/>
          <w:lang w:val="en-US" w:eastAsia="zh-CN"/>
          <w14:textFill>
            <w14:solidFill>
              <w14:schemeClr w14:val="tx1"/>
            </w14:solidFill>
          </w14:textFill>
        </w:rPr>
      </w:pPr>
    </w:p>
    <w:p w14:paraId="11CEE632">
      <w:pPr>
        <w:pStyle w:val="2"/>
        <w:bidi w:val="0"/>
        <w:rPr>
          <w:rFonts w:hint="default" w:ascii="Times New Roman" w:hAnsi="Times New Roman" w:eastAsia="黑体" w:cs="Times New Roman"/>
          <w:color w:val="000000" w:themeColor="text1"/>
          <w:sz w:val="32"/>
          <w:szCs w:val="32"/>
          <w:lang w:val="en-US"/>
          <w14:textFill>
            <w14:solidFill>
              <w14:schemeClr w14:val="tx1"/>
            </w14:solidFill>
          </w14:textFill>
        </w:rPr>
      </w:pPr>
      <w:bookmarkStart w:id="54" w:name="_Toc7095"/>
      <w:bookmarkStart w:id="55" w:name="_Toc22253"/>
      <w:bookmarkStart w:id="56" w:name="_Toc30884"/>
      <w:r>
        <w:rPr>
          <w:rFonts w:hint="eastAsia" w:ascii="Times New Roman" w:hAnsi="Times New Roman" w:eastAsia="黑体" w:cs="Times New Roman"/>
          <w:color w:val="000000" w:themeColor="text1"/>
          <w:sz w:val="32"/>
          <w:szCs w:val="32"/>
          <w14:textFill>
            <w14:solidFill>
              <w14:schemeClr w14:val="tx1"/>
            </w14:solidFill>
          </w14:textFill>
        </w:rPr>
        <w:t>4</w:t>
      </w:r>
      <w:r>
        <w:rPr>
          <w:rFonts w:hint="default" w:ascii="Times New Roman" w:hAnsi="Times New Roman" w:eastAsia="黑体" w:cs="Times New Roman"/>
          <w:color w:val="000000" w:themeColor="text1"/>
          <w:sz w:val="32"/>
          <w:szCs w:val="32"/>
          <w14:textFill>
            <w14:solidFill>
              <w14:schemeClr w14:val="tx1"/>
            </w14:solidFill>
          </w14:textFill>
        </w:rPr>
        <w:t xml:space="preserve">.3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54"/>
      <w:r>
        <w:rPr>
          <w:rFonts w:hint="eastAsia" w:ascii="Times New Roman" w:hAnsi="Times New Roman" w:eastAsia="黑体" w:cs="Times New Roman"/>
          <w:color w:val="000000" w:themeColor="text1"/>
          <w:sz w:val="32"/>
          <w:szCs w:val="32"/>
          <w:lang w:val="en-US" w:eastAsia="zh-CN"/>
          <w14:textFill>
            <w14:solidFill>
              <w14:schemeClr w14:val="tx1"/>
            </w14:solidFill>
          </w14:textFill>
        </w:rPr>
        <w:t>策略</w:t>
      </w:r>
      <w:bookmarkEnd w:id="55"/>
      <w:bookmarkEnd w:id="56"/>
    </w:p>
    <w:p w14:paraId="633FD761">
      <w:pPr>
        <w:numPr>
          <w:ilvl w:val="0"/>
          <w:numId w:val="18"/>
        </w:numPr>
        <w:tabs>
          <w:tab w:val="left" w:pos="420"/>
          <w:tab w:val="clear" w:pos="0"/>
        </w:tabs>
        <w:spacing w:line="360" w:lineRule="auto"/>
        <w:ind w:left="425" w:leftChars="0" w:hanging="425"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四川省城市绿地生物多样性保护</w:t>
      </w:r>
      <w:r>
        <w:rPr>
          <w:rFonts w:hint="eastAsia"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实施分区分类的差异化保护策略，基于不同区域的自然地理特征和生态功能定位，采取针对性的保护措施。</w:t>
      </w:r>
    </w:p>
    <w:p w14:paraId="6124BB19">
      <w:pPr>
        <w:numPr>
          <w:ilvl w:val="0"/>
          <w:numId w:val="0"/>
        </w:numPr>
        <w:tabs>
          <w:tab w:val="left" w:pos="420"/>
        </w:tabs>
        <w:spacing w:line="360" w:lineRule="auto"/>
        <w:ind w:leftChars="0"/>
        <w:rPr>
          <w:rFonts w:hint="eastAsia" w:ascii="Times New Roman" w:hAnsi="Times New Roman" w:eastAsia="楷体"/>
          <w:color w:val="000000" w:themeColor="text1"/>
          <w14:textFill>
            <w14:solidFill>
              <w14:schemeClr w14:val="tx1"/>
            </w14:solidFill>
          </w14:textFill>
        </w:rPr>
      </w:pPr>
      <w:r>
        <w:rPr>
          <w:rFonts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规定了差异化保护策略的总体要求。策略制定主要依据《四川科学绿化试点示范省建设实施方案（2023-2025年）》确立的五大分区治理框架，该方案明确将全省划分为成都平原区、盆地丘陵区、盆周山地区、川西南山地区和川西高山高原区。</w:t>
      </w:r>
    </w:p>
    <w:p w14:paraId="0652D2F0">
      <w:pPr>
        <w:numPr>
          <w:ilvl w:val="0"/>
          <w:numId w:val="0"/>
        </w:numPr>
        <w:tabs>
          <w:tab w:val="left" w:pos="420"/>
        </w:tabs>
        <w:spacing w:line="360" w:lineRule="auto"/>
        <w:ind w:leftChars="0"/>
        <w:rPr>
          <w:rFonts w:hint="default" w:ascii="Times New Roman" w:hAnsi="Times New Roman" w:eastAsia="楷体"/>
          <w:color w:val="000000" w:themeColor="text1"/>
          <w:lang w:eastAsia="zh-CN"/>
          <w14:textFill>
            <w14:solidFill>
              <w14:schemeClr w14:val="tx1"/>
            </w14:solidFill>
          </w14:textFill>
        </w:rPr>
      </w:pPr>
    </w:p>
    <w:p w14:paraId="5989C61C">
      <w:pPr>
        <w:numPr>
          <w:ilvl w:val="0"/>
          <w:numId w:val="18"/>
        </w:numPr>
        <w:tabs>
          <w:tab w:val="left" w:pos="420"/>
          <w:tab w:val="clear" w:pos="0"/>
        </w:tabs>
        <w:spacing w:line="360" w:lineRule="auto"/>
        <w:ind w:left="425" w:leftChars="0" w:hanging="425"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各区域差异化保护</w:t>
      </w:r>
      <w:r>
        <w:rPr>
          <w:rFonts w:hint="eastAsia" w:ascii="Times New Roman" w:hAnsi="Times New Roman" w:cs="Times New Roman"/>
          <w:color w:val="000000" w:themeColor="text1"/>
          <w:lang w:val="en-US" w:eastAsia="zh-CN"/>
          <w14:textFill>
            <w14:solidFill>
              <w14:schemeClr w14:val="tx1"/>
            </w14:solidFill>
          </w14:textFill>
        </w:rPr>
        <w:t>宜</w:t>
      </w:r>
      <w:r>
        <w:rPr>
          <w:rFonts w:hint="eastAsia" w:ascii="Times New Roman" w:hAnsi="Times New Roman" w:cs="Times New Roman"/>
          <w:color w:val="000000" w:themeColor="text1"/>
          <w14:textFill>
            <w14:solidFill>
              <w14:schemeClr w14:val="tx1"/>
            </w14:solidFill>
          </w14:textFill>
        </w:rPr>
        <w:t>重点围绕以下方向开展：</w:t>
      </w:r>
    </w:p>
    <w:p w14:paraId="156E614A">
      <w:pPr>
        <w:numPr>
          <w:ilvl w:val="0"/>
          <w:numId w:val="19"/>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成都平原区</w:t>
      </w:r>
      <w:r>
        <w:rPr>
          <w:rFonts w:hint="eastAsia" w:ascii="Times New Roman" w:hAnsi="Times New Roman" w:cs="Times New Roman"/>
          <w:color w:val="000000" w:themeColor="text1"/>
          <w:lang w:val="en-US" w:eastAsia="zh-CN"/>
          <w14:textFill>
            <w14:solidFill>
              <w14:schemeClr w14:val="tx1"/>
            </w14:solidFill>
          </w14:textFill>
        </w:rPr>
        <w:t>宜</w:t>
      </w:r>
      <w:r>
        <w:rPr>
          <w:rFonts w:hint="eastAsia" w:ascii="Times New Roman" w:hAnsi="Times New Roman" w:cs="Times New Roman"/>
          <w:color w:val="000000" w:themeColor="text1"/>
          <w14:textFill>
            <w14:solidFill>
              <w14:schemeClr w14:val="tx1"/>
            </w14:solidFill>
          </w14:textFill>
        </w:rPr>
        <w:t>重点构建生态廊道网络，修复高度城镇化带来的生境破碎化问题；</w:t>
      </w:r>
    </w:p>
    <w:p w14:paraId="77A88E89">
      <w:pPr>
        <w:numPr>
          <w:ilvl w:val="0"/>
          <w:numId w:val="19"/>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盆地丘陵区</w:t>
      </w:r>
      <w:r>
        <w:rPr>
          <w:rFonts w:hint="eastAsia"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强化水土保持功能，提升生态系统稳定性和生态屏障功能；</w:t>
      </w:r>
    </w:p>
    <w:p w14:paraId="1506CCEC">
      <w:pPr>
        <w:numPr>
          <w:ilvl w:val="0"/>
          <w:numId w:val="19"/>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盆周山地区</w:t>
      </w:r>
      <w:r>
        <w:rPr>
          <w:rFonts w:hint="eastAsia"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保障生物迁徙通道安全畅通，维护山地生态系统完整性；</w:t>
      </w:r>
    </w:p>
    <w:p w14:paraId="01C6D2CC">
      <w:pPr>
        <w:numPr>
          <w:ilvl w:val="0"/>
          <w:numId w:val="19"/>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川西南山地区</w:t>
      </w:r>
      <w:r>
        <w:rPr>
          <w:rFonts w:hint="eastAsia"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加强脆弱生态系统恢复和特有物种保护；</w:t>
      </w:r>
    </w:p>
    <w:p w14:paraId="364D147F">
      <w:pPr>
        <w:numPr>
          <w:ilvl w:val="0"/>
          <w:numId w:val="19"/>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川西高山高原区</w:t>
      </w:r>
      <w:r>
        <w:rPr>
          <w:rFonts w:hint="eastAsia"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严格保护原生生态系统，维护高寒生态系统原真性和稳定性。</w:t>
      </w:r>
    </w:p>
    <w:p w14:paraId="50C7F91E">
      <w:pPr>
        <w:numPr>
          <w:ilvl w:val="0"/>
          <w:numId w:val="0"/>
        </w:numPr>
        <w:rPr>
          <w:rFonts w:hint="eastAsia" w:ascii="Times New Roman" w:hAnsi="Times New Roman" w:cs="Times New Roman"/>
          <w:b/>
          <w:color w:val="000000" w:themeColor="text1"/>
          <w14:textFill>
            <w14:solidFill>
              <w14:schemeClr w14:val="tx1"/>
            </w14:solidFill>
          </w14:textFill>
        </w:rPr>
      </w:pPr>
      <w:r>
        <w:rPr>
          <w:rFonts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本条规定了各区域差异化保护的重点方向。</w:t>
      </w:r>
      <w:r>
        <w:rPr>
          <w:rFonts w:hint="eastAsia" w:ascii="Times New Roman" w:hAnsi="Times New Roman" w:cs="Times New Roman"/>
          <w:b/>
          <w:color w:val="000000" w:themeColor="text1"/>
          <w14:textFill>
            <w14:solidFill>
              <w14:schemeClr w14:val="tx1"/>
            </w14:solidFill>
          </w14:textFill>
        </w:rPr>
        <w:br w:type="page"/>
      </w:r>
    </w:p>
    <w:p w14:paraId="4E6D6675">
      <w:pPr>
        <w:pStyle w:val="4"/>
        <w:bidi w:val="0"/>
        <w:jc w:val="center"/>
        <w:rPr>
          <w:rFonts w:hint="default" w:ascii="Times New Roman" w:hAnsi="Times New Roman" w:cs="Times New Roman"/>
          <w:b/>
          <w:color w:val="000000" w:themeColor="text1"/>
          <w:lang w:val="en-US" w:eastAsia="zh-CN"/>
          <w14:textFill>
            <w14:solidFill>
              <w14:schemeClr w14:val="tx1"/>
            </w14:solidFill>
          </w14:textFill>
        </w:rPr>
      </w:pPr>
      <w:bookmarkStart w:id="57" w:name="_Toc20050"/>
      <w:bookmarkStart w:id="58" w:name="_Toc28024"/>
      <w:bookmarkStart w:id="59" w:name="_Toc31354"/>
      <w:r>
        <w:rPr>
          <w:rFonts w:hint="eastAsia" w:ascii="Times New Roman" w:hAnsi="Times New Roman" w:cs="Times New Roman"/>
          <w:b/>
          <w:color w:val="000000" w:themeColor="text1"/>
          <w14:textFill>
            <w14:solidFill>
              <w14:schemeClr w14:val="tx1"/>
            </w14:solidFill>
          </w14:textFill>
        </w:rPr>
        <w:t>5</w:t>
      </w:r>
      <w:r>
        <w:rPr>
          <w:rFonts w:hint="default" w:ascii="Times New Roman" w:hAnsi="Times New Roman" w:cs="Times New Roman"/>
          <w:b/>
          <w:color w:val="000000" w:themeColor="text1"/>
          <w14:textFill>
            <w14:solidFill>
              <w14:schemeClr w14:val="tx1"/>
            </w14:solidFill>
          </w14:textFill>
        </w:rPr>
        <w:t xml:space="preserve"> </w:t>
      </w:r>
      <w:r>
        <w:rPr>
          <w:rFonts w:hint="eastAsia" w:ascii="Times New Roman" w:hAnsi="Times New Roman" w:cs="Times New Roman"/>
          <w:b/>
          <w:color w:val="000000" w:themeColor="text1"/>
          <w:lang w:val="en-US" w:eastAsia="zh-CN"/>
          <w14:textFill>
            <w14:solidFill>
              <w14:schemeClr w14:val="tx1"/>
            </w14:solidFill>
          </w14:textFill>
        </w:rPr>
        <w:t xml:space="preserve"> </w:t>
      </w:r>
      <w:bookmarkEnd w:id="57"/>
      <w:r>
        <w:rPr>
          <w:rFonts w:hint="eastAsia" w:ascii="Times New Roman" w:hAnsi="Times New Roman" w:cs="Times New Roman"/>
          <w:b/>
          <w:color w:val="000000" w:themeColor="text1"/>
          <w:lang w:val="en-US" w:eastAsia="zh-CN"/>
          <w14:textFill>
            <w14:solidFill>
              <w14:schemeClr w14:val="tx1"/>
            </w14:solidFill>
          </w14:textFill>
        </w:rPr>
        <w:t>分区保护指引</w:t>
      </w:r>
      <w:bookmarkEnd w:id="58"/>
      <w:bookmarkEnd w:id="59"/>
    </w:p>
    <w:p w14:paraId="32290569">
      <w:pPr>
        <w:pStyle w:val="2"/>
        <w:bidi w:val="0"/>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60" w:name="_Toc11864"/>
      <w:bookmarkStart w:id="61" w:name="_Toc30597"/>
      <w:bookmarkStart w:id="62" w:name="_Toc30056"/>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60"/>
      <w:r>
        <w:rPr>
          <w:rFonts w:hint="eastAsia" w:ascii="Times New Roman" w:hAnsi="Times New Roman" w:eastAsia="黑体" w:cs="Times New Roman"/>
          <w:color w:val="000000" w:themeColor="text1"/>
          <w:sz w:val="32"/>
          <w:szCs w:val="32"/>
          <w:lang w:val="en-US" w:eastAsia="zh-CN"/>
          <w14:textFill>
            <w14:solidFill>
              <w14:schemeClr w14:val="tx1"/>
            </w14:solidFill>
          </w14:textFill>
        </w:rPr>
        <w:t>成都平原区</w:t>
      </w:r>
      <w:bookmarkEnd w:id="61"/>
      <w:bookmarkEnd w:id="62"/>
    </w:p>
    <w:p w14:paraId="54971047">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保护大型城市绿地斑块。保护森林、湖泊等自然空间；构建大型城市公园，按照人类活动对生境的干扰强度，可划定游憩休闲区、限定活动区、生境保育区，并针对不同分区设置活动要求。</w:t>
      </w:r>
    </w:p>
    <w:p w14:paraId="00D0262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美国城市公园联盟发布的《城市中促进健康与生物多样性的设计指南》第3条内容。大型城市绿地斑块是城市生态系统的核心区域，为许多物种（尤其对城市影响敏感的野生动物）提供不可或缺的栖息地，有助于维持生物多样性。</w:t>
      </w:r>
    </w:p>
    <w:p w14:paraId="7BB7AC63">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提高绿地连通性。宜维护生态系统整体性，明确区域重要生物栖息地和迁徙廊道；根据城市绿地需求和分布情况，分析连接薄弱环节和关键节点，规划建设绿色设施，提高绿地可达性和连通性；通过绿环、绿带、绿廊等绿地形式，将城区内各类绿地、生态廊道与近郊景观区、生态区等进行有机结合。</w:t>
      </w:r>
    </w:p>
    <w:p w14:paraId="2645FB9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本条参考美国城市公园联盟发布的《城市中促进健康与生物多样性的设计指南》、《生物多样性规划标准 T/CGDF 00029-2022》第5.4.1（1）条。绿地连通性旨在通过合理布局和连接城市公共绿地，构建完整的绿地网络，为野生动物提供迁徙通道，减少物种流失，维持生态平衡。</w:t>
      </w:r>
    </w:p>
    <w:p w14:paraId="4B871672">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优化绿地结构。加强人口密集区公共绿地体系建设，规划和建设各类公园，形成规模匹配、功能多样的公园体系，完善综合公园和专类公园，因地制宜地发展小微公园、街旁公园、闲置空地，鼓励发展屋顶和墙面绿化，改善城市绿色基底，缓解生境破碎化。</w:t>
      </w:r>
    </w:p>
    <w:p w14:paraId="10EA3C64">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《生物多样性规划标准 T/CGDF 00029-2022》5.4.1（2）条指出，绿地系统规划中要优化绿地结构，建设和改造中结合市(县)城区绿地系统规划，在城区各类绿地的建设和改造中优化绿地结构，为生物多样性创造适宜的条件。《生物多样性友好城市建设导则 T/ZAEPI 040-2025》第5.2.2条指出，加强城市人口密集区公共绿地体系建设，鼓励发展屋顶和墙面绿化。绿色城市结构建设能为小型城市适应物种提供栖息地和食物资源，还能提高城市整体绿化程度，改善居民生活环境，降低城市热岛效应，减少空气污染。</w:t>
      </w:r>
    </w:p>
    <w:p w14:paraId="5C479341">
      <w:pPr>
        <w:numPr>
          <w:ilvl w:val="0"/>
          <w:numId w:val="21"/>
        </w:numPr>
        <w:tabs>
          <w:tab w:val="left" w:pos="640"/>
          <w:tab w:val="clear" w:pos="420"/>
        </w:tabs>
        <w:bidi w:val="0"/>
        <w:spacing w:line="360" w:lineRule="auto"/>
        <w:ind w:left="0" w:leftChars="0" w:firstLine="420" w:firstLineChars="0"/>
        <w:outlineLvl w:val="9"/>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社区公园。种植乡土性植物，打造多层次、多类型植物结构，为昆虫、鸟类等小型动物提供城市栖息地；宜充分激活社区闲置用地、低效公共绿地、屋顶</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等营建社区花园，</w:t>
      </w:r>
      <w:r>
        <w:rPr>
          <w:rFonts w:hint="eastAsia" w:ascii="Times New Roman" w:hAnsi="Times New Roman" w:cs="Times New Roman"/>
          <w:color w:val="000000" w:themeColor="text1"/>
          <w:lang w:val="en-US" w:eastAsia="zh-CN"/>
          <w14:textFill>
            <w14:solidFill>
              <w14:schemeClr w14:val="tx1"/>
            </w14:solidFill>
          </w14:textFill>
        </w:rPr>
        <w:t>增加绿化面积。</w:t>
      </w:r>
    </w:p>
    <w:p w14:paraId="196F9AA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美国城市公园联盟发布的《城市中促进健康与生物多样性的设计指南》第5.2条。“生态踏脚石”通常指大生境斑块之间的一连串小型生境斑块，有助于缓解城市生境破碎化，增强物种在城市环境中的迁移、扩散与定殖能力。公园、绿地、庭院等是分布在城市中小尺度的生境节点，发挥生态踏脚石功能，根据《城市绿地分类标准 CJJ/T85-2017》，社区公园（G12）是用地独立，具有基本的游憩和服务设施，主要为一定社区范围内居民就近开展日常休闲活动服务的绿地。社区公园虽然面积有限，但通过增加数量和密度，可以有效增强城市生态网络的整体连通性。</w:t>
      </w:r>
    </w:p>
    <w:p w14:paraId="7597756D">
      <w:pPr>
        <w:numPr>
          <w:ilvl w:val="0"/>
          <w:numId w:val="21"/>
        </w:numPr>
        <w:tabs>
          <w:tab w:val="left" w:pos="640"/>
          <w:tab w:val="clear" w:pos="420"/>
        </w:tabs>
        <w:bidi w:val="0"/>
        <w:spacing w:line="360" w:lineRule="auto"/>
        <w:ind w:left="0" w:leftChars="0" w:firstLine="420" w:firstLineChars="0"/>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城市绿道。选线宜连接重要的区域绿地、城市公园和水域空间，提高生态系统的连通性；宜种植多样化植被，宽度不宜过窄，为更多种类的野生动物提供迁徙通道；宜在边缘设置多用途路径，增加可进入性，为野生动物保留自然栖息地。</w:t>
      </w:r>
    </w:p>
    <w:p w14:paraId="1E788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美国城市公园联盟发布的《城市中促进健康与生物多样性的设计指南》第5.3条内容。绿道是城市中的线性绿色空间，是野生动物迁徙和扩散的重要通道，增强城市生态系统连通性。当宽度达到10米以上时，能为更多种类的野生动物提供迁徙通道，有效提升生态系统的连通性。</w:t>
      </w:r>
    </w:p>
    <w:p w14:paraId="5F23D020">
      <w:pPr>
        <w:numPr>
          <w:ilvl w:val="0"/>
          <w:numId w:val="21"/>
        </w:numPr>
        <w:tabs>
          <w:tab w:val="left" w:pos="640"/>
          <w:tab w:val="clear" w:pos="420"/>
        </w:tabs>
        <w:bidi w:val="0"/>
        <w:spacing w:line="360" w:lineRule="auto"/>
        <w:ind w:left="0" w:leftChars="0" w:firstLine="420" w:firstLineChars="0"/>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滨水绿地。营造多水位的水体环境，丰富水域类型，为动物提供多种生态位；植物层从岸到水宜遵循“陆生乔木—灌木—草本—湿生植物—挺水植物—浮水植物—沉水植物”的搭配。</w:t>
      </w:r>
    </w:p>
    <w:p w14:paraId="0095C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美国城市公园联盟发布的《城市中促进健康与生物多样性的设计指南》第5.4条内容。滨水地区位于城市与水体交界处，拥有独特生态系统和景观资源。水体是动物获取水源的必要场所，是鸟类中游禽和涉禽栖息的主要空间，也是两栖类动物幼体生长发育的重要场所。</w:t>
      </w:r>
    </w:p>
    <w:p w14:paraId="51F2CF96">
      <w:pPr>
        <w:numPr>
          <w:ilvl w:val="0"/>
          <w:numId w:val="21"/>
        </w:numPr>
        <w:tabs>
          <w:tab w:val="left" w:pos="640"/>
          <w:tab w:val="clear" w:pos="420"/>
        </w:tabs>
        <w:bidi w:val="0"/>
        <w:spacing w:line="360" w:lineRule="auto"/>
        <w:ind w:left="0" w:leftChars="0" w:firstLine="420" w:firstLineChars="0"/>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道路绿化。加强道路绿化隔离带、道路分车带和林荫路建设，宜形成连续树冠；在途径生态空间管控区域路段设置限速、禁鸣喇叭、注意动物等警示标牌，并设置动物通道，光源的使用参考DB4403/T 429。</w:t>
      </w:r>
    </w:p>
    <w:p w14:paraId="06F36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本条参考《生物多样性规划标准 T/CGDF 00029-2022》5.4.1（2）条、美国城市公园联盟发布的《城市中促进健康与生物多样性的设计指南》第5.5条内容。街道景观是城市重要公共空间，合理规划街道景观，增加街道树木种植、设置绿化隔离带等，可为城市野生动物提供栖息地和迁徙通道。</w:t>
      </w:r>
    </w:p>
    <w:p w14:paraId="4EA3F1C6">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提高栖息地植被质量。丰富植物物种，增强植物群落的稳定性；优先选择乡土植物作为优势种，提高食源植物、蜜源植物、树干结构复杂的高大营巢树种应用比例；乔木过密时适当开设林窗；尽可能</w:t>
      </w:r>
      <w:r>
        <w:rPr>
          <w:rFonts w:hint="default" w:ascii="Times New Roman" w:hAnsi="Times New Roman" w:cs="Times New Roman"/>
          <w:color w:val="000000" w:themeColor="text1"/>
          <w:lang w:val="en-US" w:eastAsia="zh-CN"/>
          <w14:textFill>
            <w14:solidFill>
              <w14:schemeClr w14:val="tx1"/>
            </w14:solidFill>
          </w14:textFill>
        </w:rPr>
        <w:t>保护天然植被完整</w:t>
      </w:r>
      <w:r>
        <w:rPr>
          <w:rFonts w:hint="eastAsia" w:ascii="Times New Roman" w:hAnsi="Times New Roman" w:cs="Times New Roman"/>
          <w:color w:val="000000" w:themeColor="text1"/>
          <w:lang w:val="en-US" w:eastAsia="zh-CN"/>
          <w14:textFill>
            <w14:solidFill>
              <w14:schemeClr w14:val="tx1"/>
            </w14:solidFill>
          </w14:textFill>
        </w:rPr>
        <w:t>性、保留自然进程主导的荒地，增加栖息地多样性及城市绿地结构种类组成和结构的复杂性。</w:t>
      </w:r>
    </w:p>
    <w:p w14:paraId="14F24A9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本条参考《生物多样性规划标准 T/CGDF 00029-2022》第5.4.1（1）、（2）条，《生物多样性友好城市建设导则 T/ZAEPI 040-2025》第5.2.2条内容。植物作为动物觅食、筑巢、休憩和交流空间的重要组成要素，种植设计的合理性和倾向性是决定生境质量和生物多样性的重要因素。在满足城市绿地景观性和生态性的基础上，植物的种类选取和配置方式宜考虑动物的栖息偏好。</w:t>
      </w:r>
    </w:p>
    <w:p w14:paraId="03347DC9">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完善生境设施。合理完善生境设施，为动物提供庇护所保护作用，补偿因人类干扰而缺失的部分自然生态位。天然生境设施包括但不限于枯木、倒木、落叶、石堆等；人工生境设施包括但不限于人工巢箱、本杰士堆、昆虫旅店、璃坝、栅栏等。</w:t>
      </w:r>
    </w:p>
    <w:p w14:paraId="00ABBAD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生境设施可以帮助动物躲避天敌、降低不利的环境条件所带来的危害，发挥底护所的保护作用。其中人工辅助设施可以对动物起到招引作用，补偿因人类干扰而缺失的部分自然生态位。</w:t>
      </w:r>
    </w:p>
    <w:p w14:paraId="67FC63A9">
      <w:pPr>
        <w:outlineLvl w:val="9"/>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pPr>
    </w:p>
    <w:p w14:paraId="1DB17858">
      <w:pPr>
        <w:pStyle w:val="2"/>
        <w:bidi w:val="0"/>
        <w:jc w:val="cente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63" w:name="_Toc12656"/>
      <w:bookmarkStart w:id="64" w:name="_Toc11695"/>
      <w:bookmarkStart w:id="65" w:name="_Toc28621"/>
      <w:bookmarkStart w:id="66" w:name="_Hlk128060128"/>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.2 </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w:t>
      </w:r>
      <w:bookmarkEnd w:id="63"/>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盆地丘陵区</w:t>
      </w:r>
      <w:bookmarkEnd w:id="64"/>
      <w:bookmarkEnd w:id="65"/>
    </w:p>
    <w:p w14:paraId="473CD927">
      <w:pPr>
        <w:keepNext w:val="0"/>
        <w:keepLines w:val="0"/>
        <w:pageBreakBefore w:val="0"/>
        <w:widowControl w:val="0"/>
        <w:numPr>
          <w:ilvl w:val="0"/>
          <w:numId w:val="22"/>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建设水土保持型植物群落。积极采用</w:t>
      </w:r>
      <w:r>
        <w:rPr>
          <w:rFonts w:hint="default" w:ascii="Times New Roman" w:hAnsi="Times New Roman" w:cs="Times New Roman"/>
          <w:color w:val="000000" w:themeColor="text1"/>
          <w:highlight w:val="none"/>
          <w:lang w:val="en-US" w:eastAsia="zh-CN"/>
          <w14:textFill>
            <w14:solidFill>
              <w14:schemeClr w14:val="tx1"/>
            </w14:solidFill>
          </w14:textFill>
        </w:rPr>
        <w:t>乡土植物</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灌木优先选用根系发达、固土能力强的乡土</w:t>
      </w:r>
      <w:r>
        <w:rPr>
          <w:rFonts w:hint="eastAsia" w:ascii="Times New Roman" w:hAnsi="Times New Roman" w:cs="Times New Roman"/>
          <w:color w:val="000000" w:themeColor="text1"/>
          <w:highlight w:val="none"/>
          <w:lang w:val="en-US" w:eastAsia="zh-CN"/>
          <w14:textFill>
            <w14:solidFill>
              <w14:schemeClr w14:val="tx1"/>
            </w14:solidFill>
          </w14:textFill>
        </w:rPr>
        <w:t>植物</w:t>
      </w:r>
      <w:r>
        <w:rPr>
          <w:rFonts w:hint="default" w:ascii="Times New Roman" w:hAnsi="Times New Roman" w:cs="Times New Roman"/>
          <w:color w:val="000000" w:themeColor="text1"/>
          <w:highlight w:val="none"/>
          <w:lang w:val="en-US" w:eastAsia="zh-CN"/>
          <w14:textFill>
            <w14:solidFill>
              <w14:schemeClr w14:val="tx1"/>
            </w14:solidFill>
          </w14:textFill>
        </w:rPr>
        <w:t>。草本植物选用耐旱、耐瘠薄、根系密集的乡土植物。采用灌草结合、深浅根系搭配的立体配置模式，形成稳定的植物群落</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4055E0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pPr>
      <w:r>
        <w:rPr>
          <w:rFonts w:hint="eastAsia" w:ascii="Times New Roman" w:hAnsi="Times New Roman" w:eastAsia="楷体"/>
          <w:b/>
          <w:bCs/>
          <w:color w:val="000000" w:themeColor="text1"/>
          <w:lang w:eastAsia="zh-CN"/>
          <w14:textFill>
            <w14:solidFill>
              <w14:schemeClr w14:val="tx1"/>
            </w14:solidFill>
          </w14:textFill>
        </w:rPr>
        <w:t>【</w:t>
      </w:r>
      <w:r>
        <w:rPr>
          <w:rFonts w:hint="default"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b/>
          <w:bCs/>
          <w:color w:val="000000" w:themeColor="text1"/>
          <w:lang w:eastAsia="zh-CN"/>
          <w14:textFill>
            <w14:solidFill>
              <w14:schemeClr w14:val="tx1"/>
            </w14:solidFill>
          </w14:textFill>
        </w:rPr>
        <w:t>】</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盆地丘陵区主要聚焦在提升水土保持能力。根据《国务院办公厅关于科学绿化的指导意见》（国办发〔2021〕19号）第六条科学选择绿化树种草种指导意见，积极采用乡土树种草种进行绿化。各地要制定乡土树种草种名录，提倡使用多样化树种营造混交林。干旱缺水、风沙严重地区要优先选用耐干旱、耐瘠薄、抗风沙的灌木树种和草种。水土流失严重地区要优先选用根系发达、固土保水能力强的防护树种草种。因此针对盆地丘陵区首要任务是建设水土保持型的植物群落，注重乡土植物的选择，推荐相关乡土植物名录。</w:t>
      </w:r>
    </w:p>
    <w:p w14:paraId="009DC916">
      <w:pPr>
        <w:numPr>
          <w:ilvl w:val="0"/>
          <w:numId w:val="0"/>
        </w:numPr>
        <w:tabs>
          <w:tab w:val="left" w:pos="640"/>
        </w:tabs>
        <w:bidi w:val="0"/>
        <w:spacing w:line="360" w:lineRule="auto"/>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pPr>
    </w:p>
    <w:p w14:paraId="76D7832E">
      <w:pPr>
        <w:keepNext w:val="0"/>
        <w:keepLines w:val="0"/>
        <w:pageBreakBefore w:val="0"/>
        <w:widowControl w:val="0"/>
        <w:numPr>
          <w:ilvl w:val="0"/>
          <w:numId w:val="22"/>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人工林生态系统结构优化。</w:t>
      </w:r>
    </w:p>
    <w:p w14:paraId="21C9EFFB">
      <w:pPr>
        <w:numPr>
          <w:ilvl w:val="0"/>
          <w:numId w:val="23"/>
        </w:numPr>
        <w:tabs>
          <w:tab w:val="left" w:pos="640"/>
          <w:tab w:val="clear" w:pos="420"/>
        </w:tabs>
        <w:bidi w:val="0"/>
        <w:spacing w:line="360" w:lineRule="auto"/>
        <w:ind w:left="0" w:leftChars="0" w:firstLine="420" w:firstLineChars="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对盆地丘陵区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柏木</w:t>
      </w:r>
      <w:r>
        <w:rPr>
          <w:rFonts w:hint="default" w:ascii="Times New Roman" w:hAnsi="Times New Roman" w:eastAsia="宋体" w:cs="Times New Roman"/>
          <w:color w:val="000000" w:themeColor="text1"/>
          <w:sz w:val="21"/>
          <w:szCs w:val="21"/>
          <w14:textFill>
            <w14:solidFill>
              <w14:schemeClr w14:val="tx1"/>
            </w14:solidFill>
          </w14:textFill>
        </w:rPr>
        <w:t>低效人工林进行近自然化改造</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引入香樟、楠木等乡土树种，形成混交林，提高生态系统稳定性。通过间伐、补植等措施，调整林分密度，优化垂直结构。保留或补植林下灌木和草本层，增加生物多样性。</w:t>
      </w:r>
    </w:p>
    <w:p w14:paraId="1115CEA2">
      <w:pPr>
        <w:numPr>
          <w:ilvl w:val="0"/>
          <w:numId w:val="23"/>
        </w:numPr>
        <w:tabs>
          <w:tab w:val="left" w:pos="640"/>
          <w:tab w:val="clear" w:pos="420"/>
        </w:tabs>
        <w:bidi w:val="0"/>
        <w:spacing w:line="360" w:lineRule="auto"/>
        <w:ind w:left="0" w:leftChars="0" w:firstLine="420" w:firstLineChars="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针对退化人工林，采取补植乡土树种、改善土壤等措施进行修复。通过补播优良牧草、合理载畜量控制等措施，改良草山草坡生态功能。</w:t>
      </w:r>
    </w:p>
    <w:p w14:paraId="2A691C05">
      <w:pPr>
        <w:numPr>
          <w:ilvl w:val="0"/>
          <w:numId w:val="23"/>
        </w:numPr>
        <w:tabs>
          <w:tab w:val="left" w:pos="640"/>
          <w:tab w:val="clear" w:pos="420"/>
        </w:tabs>
        <w:bidi w:val="0"/>
        <w:spacing w:line="360" w:lineRule="auto"/>
        <w:ind w:left="0" w:leftChars="0" w:firstLine="420" w:firstLineChars="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推进国家储备林建设，构建稳定、健康、优质、高效的森林生态系统。</w:t>
      </w:r>
    </w:p>
    <w:p w14:paraId="7F1E5D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pPr>
      <w:r>
        <w:rPr>
          <w:rFonts w:hint="eastAsia" w:ascii="Times New Roman" w:hAnsi="Times New Roman" w:eastAsia="楷体"/>
          <w:b/>
          <w:bCs/>
          <w:color w:val="000000" w:themeColor="text1"/>
          <w:lang w:eastAsia="zh-CN"/>
          <w14:textFill>
            <w14:solidFill>
              <w14:schemeClr w14:val="tx1"/>
            </w14:solidFill>
          </w14:textFill>
        </w:rPr>
        <w:t>【</w:t>
      </w:r>
      <w:r>
        <w:rPr>
          <w:rFonts w:hint="default"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b/>
          <w:bCs/>
          <w:color w:val="000000" w:themeColor="text1"/>
          <w:lang w:eastAsia="zh-CN"/>
          <w14:textFill>
            <w14:solidFill>
              <w14:schemeClr w14:val="tx1"/>
            </w14:solidFill>
          </w14:textFill>
        </w:rPr>
        <w:t>】</w:t>
      </w:r>
      <w:r>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t>依据《低山丘陵区柏木低效人工林近自然经营技术规程</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 xml:space="preserve"> </w:t>
      </w:r>
      <w:r>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t>DB51/T 2402-2017》</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中的“近自然经营技术”，对需要调整林木生长空间和促进林木生长的林分，可采用目标树经营与抚育间伐进行改造。对需要调整组成、密度或结构的林分，可采取抚育间伐或林窗式采伐进行改造。根据《川中丘陵区柏木林森林抚育技术规程 DB51/T 1807-2014》，混交林较纯林更佳，混交林中尤其以樟、楠、柏混交林立地评价最佳，因此选用香樟、楠木等乡土树种进行补植，形成混交林。依据《退化林修复技术规程 GB/T 44351-2024》，</w:t>
      </w:r>
      <w:r>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t>退化人工林</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需结合森林主导功能和立地条件，科学选择补植或更新树种，优先选用乡土树种或珍贵树种，培育混交林。对有机质含量下降的林地，可在林木周围施用有机肥、营养土或生物菌剂,改良土壤环境。依据《草原生态修复技术规程 LY/T 3323-2022》，以草原初级生产力、植被盖度、当地草原的理论载畜量作为解除禁牧的主要参考指标，可选择休牧或禁牧等自然修复措施，又或选择补播移植等人工修复措施。</w:t>
      </w:r>
      <w:r>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t>国家储备林建设</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主要参照《国家储备林建设管理办法》（林规规〔2025〕1号）执行。</w:t>
      </w:r>
    </w:p>
    <w:p w14:paraId="2FAE6044">
      <w:pPr>
        <w:pStyle w:val="8"/>
        <w:rPr>
          <w:rFonts w:hint="eastAsia"/>
          <w:color w:val="000000" w:themeColor="text1"/>
          <w:lang w:val="en-US" w:eastAsia="zh-CN"/>
          <w14:textFill>
            <w14:solidFill>
              <w14:schemeClr w14:val="tx1"/>
            </w14:solidFill>
          </w14:textFill>
        </w:rPr>
      </w:pPr>
    </w:p>
    <w:p w14:paraId="5751DA04">
      <w:pPr>
        <w:keepNext w:val="0"/>
        <w:keepLines w:val="0"/>
        <w:pageBreakBefore w:val="0"/>
        <w:widowControl w:val="0"/>
        <w:numPr>
          <w:ilvl w:val="0"/>
          <w:numId w:val="22"/>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构建</w:t>
      </w:r>
      <w:r>
        <w:rPr>
          <w:rFonts w:hint="default" w:ascii="Times New Roman" w:hAnsi="Times New Roman" w:cs="Times New Roman"/>
          <w:color w:val="000000" w:themeColor="text1"/>
          <w:lang w:val="en-US" w:eastAsia="zh-CN"/>
          <w14:textFill>
            <w14:solidFill>
              <w14:schemeClr w14:val="tx1"/>
            </w14:solidFill>
          </w14:textFill>
        </w:rPr>
        <w:t>城乡生态连通网络</w:t>
      </w:r>
      <w:r>
        <w:rPr>
          <w:rFonts w:hint="eastAsia" w:ascii="Times New Roman" w:hAnsi="Times New Roman" w:cs="Times New Roman"/>
          <w:color w:val="000000" w:themeColor="text1"/>
          <w:lang w:val="en-US" w:eastAsia="zh-CN"/>
          <w14:textFill>
            <w14:solidFill>
              <w14:schemeClr w14:val="tx1"/>
            </w14:solidFill>
          </w14:textFill>
        </w:rPr>
        <w:t>。</w:t>
      </w:r>
    </w:p>
    <w:p w14:paraId="30F7378F">
      <w:pPr>
        <w:numPr>
          <w:ilvl w:val="0"/>
          <w:numId w:val="24"/>
        </w:numPr>
        <w:tabs>
          <w:tab w:val="left" w:pos="640"/>
          <w:tab w:val="clear" w:pos="420"/>
        </w:tabs>
        <w:bidi w:val="0"/>
        <w:spacing w:line="360" w:lineRule="auto"/>
        <w:ind w:left="0" w:leftChars="0" w:firstLine="42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通过绿楔、绿廊、绿道等线性生态空间，系统连接城市与乡村的生态斑块。规划</w:t>
      </w:r>
      <w:r>
        <w:rPr>
          <w:rFonts w:hint="eastAsia"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lang w:val="en-US" w:eastAsia="zh-CN"/>
          <w14:textFill>
            <w14:solidFill>
              <w14:schemeClr w14:val="tx1"/>
            </w14:solidFill>
          </w14:textFill>
        </w:rPr>
        <w:t>优先选用乡土植物构建廊道骨架，提升生态系统的内在连通性和稳定性，促进植物花粉、种子的自然传播与扩散</w:t>
      </w:r>
      <w:r>
        <w:rPr>
          <w:rFonts w:hint="eastAsia" w:ascii="Times New Roman" w:hAnsi="Times New Roman" w:cs="Times New Roman"/>
          <w:color w:val="000000" w:themeColor="text1"/>
          <w:lang w:val="en-US" w:eastAsia="zh-CN"/>
          <w14:textFill>
            <w14:solidFill>
              <w14:schemeClr w14:val="tx1"/>
            </w14:solidFill>
          </w14:textFill>
        </w:rPr>
        <w:t>。</w:t>
      </w:r>
    </w:p>
    <w:p w14:paraId="779B9724">
      <w:pPr>
        <w:numPr>
          <w:ilvl w:val="0"/>
          <w:numId w:val="24"/>
        </w:numPr>
        <w:tabs>
          <w:tab w:val="left" w:pos="640"/>
          <w:tab w:val="clear" w:pos="420"/>
        </w:tabs>
        <w:bidi w:val="0"/>
        <w:spacing w:line="360" w:lineRule="auto"/>
        <w:ind w:left="0" w:leftChars="0" w:firstLine="42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sz w:val="21"/>
          <w:szCs w:val="24"/>
          <w:lang w:val="en-US" w:eastAsia="zh-CN" w:bidi="ar-SA"/>
          <w14:textFill>
            <w14:solidFill>
              <w14:schemeClr w14:val="tx1"/>
            </w14:solidFill>
          </w14:textFill>
        </w:rPr>
        <w:t>城乡生态连通网络的规划与建设，</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宜</w:t>
      </w:r>
      <w:r>
        <w:rPr>
          <w:rFonts w:hint="default" w:ascii="Times New Roman" w:hAnsi="Times New Roman" w:cs="Times New Roman" w:eastAsiaTheme="minorEastAsia"/>
          <w:color w:val="000000" w:themeColor="text1"/>
          <w:kern w:val="2"/>
          <w:sz w:val="21"/>
          <w:szCs w:val="24"/>
          <w:lang w:val="en-US" w:eastAsia="zh-CN" w:bidi="ar-SA"/>
          <w14:textFill>
            <w14:solidFill>
              <w14:schemeClr w14:val="tx1"/>
            </w14:solidFill>
          </w14:textFill>
        </w:rPr>
        <w:t>注重保障区域野生动物迁徙安全。在鸟类等野生动物的重要繁殖地、栖息地及迁飞通道上，</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宜</w:t>
      </w:r>
      <w:r>
        <w:rPr>
          <w:rFonts w:hint="default" w:ascii="Times New Roman" w:hAnsi="Times New Roman" w:cs="Times New Roman" w:eastAsiaTheme="minorEastAsia"/>
          <w:color w:val="000000" w:themeColor="text1"/>
          <w:kern w:val="2"/>
          <w:sz w:val="21"/>
          <w:szCs w:val="24"/>
          <w:lang w:val="en-US" w:eastAsia="zh-CN" w:bidi="ar-SA"/>
          <w14:textFill>
            <w14:solidFill>
              <w14:schemeClr w14:val="tx1"/>
            </w14:solidFill>
          </w14:textFill>
        </w:rPr>
        <w:t>免进行不当的人工开发，并可根据需要通过建设生态隔离防护设施、设置安全警示标志等措施，降低人类活动干扰，切实维护生物多样性和生态平衡</w:t>
      </w:r>
    </w:p>
    <w:p w14:paraId="0BFDCF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pPr>
      <w:r>
        <w:rPr>
          <w:rFonts w:hint="eastAsia" w:ascii="Times New Roman" w:hAnsi="Times New Roman" w:eastAsia="楷体"/>
          <w:b/>
          <w:bCs/>
          <w:color w:val="000000" w:themeColor="text1"/>
          <w:lang w:eastAsia="zh-CN"/>
          <w14:textFill>
            <w14:solidFill>
              <w14:schemeClr w14:val="tx1"/>
            </w14:solidFill>
          </w14:textFill>
        </w:rPr>
        <w:t>【</w:t>
      </w:r>
      <w:r>
        <w:rPr>
          <w:rFonts w:hint="default" w:ascii="Times New Roman" w:hAnsi="Times New Roman" w:eastAsia="楷体"/>
          <w:b/>
          <w:bCs/>
          <w:color w:val="000000" w:themeColor="text1"/>
          <w14:textFill>
            <w14:solidFill>
              <w14:schemeClr w14:val="tx1"/>
            </w14:solidFill>
          </w14:textFill>
        </w:rPr>
        <w:t>条文说明</w:t>
      </w:r>
      <w:r>
        <w:rPr>
          <w:rFonts w:hint="eastAsia" w:ascii="Times New Roman" w:hAnsi="Times New Roman" w:eastAsia="楷体"/>
          <w:b/>
          <w:bCs/>
          <w:color w:val="000000" w:themeColor="text1"/>
          <w:lang w:eastAsia="zh-CN"/>
          <w14:textFill>
            <w14:solidFill>
              <w14:schemeClr w14:val="tx1"/>
            </w14:solidFill>
          </w14:textFill>
        </w:rPr>
        <w:t>】</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根据《美丽乡村建设实施方案》在“长效保护乡村自然生态”部分明确提出，要</w:t>
      </w:r>
      <w:r>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t>开展护村林、护路林、护岸林建设，构建乡村生态廊道体系</w:t>
      </w:r>
      <w: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t>，生态廊道是连接城乡生态空间、维护生物多样性的关键要素，是构建城乡生态连通网络在乡村层面的直接体现和重要任务。野生动物迁徙安全的保障措施主要参考《陆生野生动物廊道设计要求 GB/T 43646-2024》，专门针对在关键节点设置</w:t>
      </w:r>
      <w:r>
        <w:rPr>
          <w:rFonts w:hint="default" w:ascii="Times New Roman" w:hAnsi="Times New Roman" w:eastAsia="楷体" w:cstheme="minorBidi"/>
          <w:color w:val="000000" w:themeColor="text1"/>
          <w:kern w:val="2"/>
          <w:sz w:val="21"/>
          <w:szCs w:val="24"/>
          <w:lang w:val="en-US" w:eastAsia="zh-CN" w:bidi="ar-SA"/>
          <w14:textFill>
            <w14:solidFill>
              <w14:schemeClr w14:val="tx1"/>
            </w14:solidFill>
          </w14:textFill>
        </w:rPr>
        <w:t>生物通道（野生动物通道）的设计进行规范，旨在连接隔离的生境，缓解生境破碎化，促进野生动物迁移。</w:t>
      </w:r>
    </w:p>
    <w:p w14:paraId="0DBF7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000000" w:themeColor="text1"/>
          <w:lang w:val="en-US" w:eastAsia="zh-CN"/>
          <w14:textFill>
            <w14:solidFill>
              <w14:schemeClr w14:val="tx1"/>
            </w14:solidFill>
          </w14:textFill>
        </w:rPr>
      </w:pPr>
    </w:p>
    <w:bookmarkEnd w:id="66"/>
    <w:p w14:paraId="61763970">
      <w:pPr>
        <w:pStyle w:val="2"/>
        <w:bidi w:val="0"/>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67" w:name="_Toc861"/>
      <w:bookmarkStart w:id="68" w:name="_Toc11078"/>
      <w:bookmarkStart w:id="69" w:name="_Toc9328"/>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5.3  </w:t>
      </w:r>
      <w:bookmarkEnd w:id="67"/>
      <w:r>
        <w:rPr>
          <w:rFonts w:hint="eastAsia" w:ascii="Times New Roman" w:hAnsi="Times New Roman" w:eastAsia="黑体" w:cs="Times New Roman"/>
          <w:color w:val="000000" w:themeColor="text1"/>
          <w:sz w:val="32"/>
          <w:szCs w:val="32"/>
          <w:lang w:val="en-US" w:eastAsia="zh-CN"/>
          <w14:textFill>
            <w14:solidFill>
              <w14:schemeClr w14:val="tx1"/>
            </w14:solidFill>
          </w14:textFill>
        </w:rPr>
        <w:t>盆周山地区</w:t>
      </w:r>
      <w:bookmarkEnd w:id="68"/>
      <w:bookmarkEnd w:id="69"/>
    </w:p>
    <w:p w14:paraId="10C8A4AB">
      <w:pPr>
        <w:keepNext w:val="0"/>
        <w:keepLines w:val="0"/>
        <w:pageBreakBefore w:val="0"/>
        <w:widowControl w:val="0"/>
        <w:numPr>
          <w:ilvl w:val="0"/>
          <w:numId w:val="2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宜基于地理信息系统（GIS）与物种分布模型，科学划定其核心栖息地、扩散廊道及生态关键区。对退化的栖息地，宜采取近自然育林、乡土物种植被恢复、生态廊道建设等措施进行修复，确保栖息地的连通性、完整性和质量，确保其种群稳定繁衍。修复后，目标物种的关键栖息地面积不宜减少，植被覆盖度及群落结构宜趋于稳定或优化。</w:t>
      </w:r>
    </w:p>
    <w:p w14:paraId="5166D6F5">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盆周山区地形复杂，生物多样性热点分布不均，必须通过科学手段锁定保护关键区域。修复措施强调”近自然”，避免过度人工干预，以恢复生态系统的自我维持能力为目标。来源参考：《四川省国土空间生态修复规划（2021—2035年）》中关于岷山—大渡河水源涵养与生物多样性保护修复区、大巴山水土保持与生物多样性保护修复区、长江干流水土保持与岩溶石漠化综合治理区的重点区域及主攻方向要求。《四川省生物多样性保护优先区域规划（2022—2030年）》（川环发〔2023〕2号）中关于优先区域保护任务的要求。《全国生态保护红线划定指南》（环办生态〔2017〕48号）中关于生物多样性维护极重要区的识别技术方法。《造林技术规程 GB/T 15776-2023》中关于近自然造林和植被恢复的原则。</w:t>
      </w:r>
    </w:p>
    <w:p w14:paraId="57DE4F0C">
      <w:pPr>
        <w:keepNext w:val="0"/>
        <w:keepLines w:val="0"/>
        <w:pageBreakBefore w:val="0"/>
        <w:widowControl w:val="0"/>
        <w:numPr>
          <w:ilvl w:val="0"/>
          <w:numId w:val="2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宜基于景观生态学原理，利用遥感影像和物种分布数据，识别因道路交通、城镇建设、农业开垦等导致栖息地破碎化的关键节点。在此基础上，规划并建设野生动物等基因交流的关键廊道区域，优先连接孤立的核心栖息地。廊道建设宜因地制宜，大型兽类廊道有效宽度原则上不低于200米；中小型动物廊道不低于50米；廊道内植被宜以动物喜食的乡土乔灌木为主，形成隐蔽条件和食物来源。在穿越高速公路、国省干道的节点，宜设计建设生态桥梁（上跨式）或大型涵洞（下穿式），涵洞净高不低于3米，净宽不低于4米，并需在洞口设置引导性植被，确保植被群落结构与周边自然生态系统相衔接。</w:t>
      </w:r>
    </w:p>
    <w:p w14:paraId="0230AF6F">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本条标准旨在解决栖息地破碎化这一威胁生物多样性的核心问题。生物廊道是维持种群基因交流、帮助物种应对气候变化的生命通道。标准强调科学规划（先识别后建设）和差异化设计（针对不同目标物种），确保廊道的有效性和实用性，从而将孤立的保护“岛屿”连接成有机的生态网络。来源参考：《四川省建立以国家公园为主体的自然保护地体系实施方案》中关于“构建生态廊道，加强栖息地连通性”的明确要求。《大熊猫国家公园总体规划（2025-2030年）》（征求意见稿）中关于栖息地廊道建设和破碎化栖息地修复的具体技术规定。《区域生态保护修复工程生态成效评估技术指南（试行）》（环办科技〔2022〕4号）中关于生态系统连通性的评估指标。</w:t>
      </w:r>
    </w:p>
    <w:p w14:paraId="5D9FAE1D">
      <w:pP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pPr>
    </w:p>
    <w:p w14:paraId="0D95B14E">
      <w:pPr>
        <w:keepNext w:val="0"/>
        <w:keepLines w:val="0"/>
        <w:pageBreakBefore w:val="0"/>
        <w:widowControl w:val="0"/>
        <w:numPr>
          <w:ilvl w:val="0"/>
          <w:numId w:val="2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在水源涵养重要区域，宜划定并严格保护水源涵养林。森林经营宜以提升生态系统服务功能为主导，采取以择伐、补植、天然更新促进为主的近自然经营技术，基于自然解决方案开展火烧迹地生态修复，进行低产低效林改造，精准提升森林质量，为野生动物提供良好生境。禁止大面积替代性砍伐。经营目标宜包括：林分郁闭度不低于0.7，枯落物层厚度得到保持，林地土壤蓄水能力稳步提升，且经营作业不得对地表水体造成污染。</w:t>
      </w:r>
    </w:p>
    <w:p w14:paraId="1728D218">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盆周山区是长江上游重要水系的水源发源地。本条款将森林的水源涵养功能置于核心位置，推动从用材林经营向生态服务型经营转变。</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Times New Roman" w:hAnsi="Times New Roman" w:eastAsia="楷体"/>
          <w:b w:val="0"/>
          <w:bCs w:val="0"/>
          <w:color w:val="000000" w:themeColor="text1"/>
          <w:lang w:val="en-US" w:eastAsia="zh-CN"/>
          <w14:textFill>
            <w14:solidFill>
              <w14:schemeClr w14:val="tx1"/>
            </w14:solidFill>
          </w14:textFill>
        </w:rPr>
        <w:t>近自然经营”模式能最大限度地减少对森林结构的干扰，维护林内生物多样性，同时实现水源涵养、水土保持和木材生产的协同发展。来源参考：《四川省天然林保护修复制度实施方案》</w:t>
      </w:r>
      <w:r>
        <w:rPr>
          <w:rFonts w:hint="default" w:ascii="Times New Roman" w:hAnsi="Times New Roman" w:eastAsia="楷体"/>
          <w:b w:val="0"/>
          <w:bCs w:val="0"/>
          <w:color w:val="000000" w:themeColor="text1"/>
          <w:lang w:val="en-US" w:eastAsia="zh-CN"/>
          <w14:textFill>
            <w14:solidFill>
              <w14:schemeClr w14:val="tx1"/>
            </w14:solidFill>
          </w14:textFill>
        </w:rPr>
        <w:t>（川林规发〔2020〕22号）</w:t>
      </w:r>
      <w:r>
        <w:rPr>
          <w:rFonts w:hint="eastAsia" w:ascii="Times New Roman" w:hAnsi="Times New Roman" w:eastAsia="楷体"/>
          <w:b w:val="0"/>
          <w:bCs w:val="0"/>
          <w:color w:val="000000" w:themeColor="text1"/>
          <w:lang w:val="en-US" w:eastAsia="zh-CN"/>
          <w14:textFill>
            <w14:solidFill>
              <w14:schemeClr w14:val="tx1"/>
            </w14:solidFill>
          </w14:textFill>
        </w:rPr>
        <w:t>中关于全面保护、系统恢复天然林的要求。《森林经营技术规程 GB/T 26424-2010》中关于水源涵养林经营和近自然森林经营的原则。《生态公益林建设技术规程 GB/T 18337.3-2001》中对水源涵养林建设与管理的技术规定。《四川省国土空间生态修复规划（2021—2035年）》中关于金沙江中下游—大凉山水土保持与生物多样性保护修复区、大巴山水土保持与生物多样性保护修复区的重点区域及主攻方向要求。</w:t>
      </w:r>
    </w:p>
    <w:p w14:paraId="2684A061">
      <w:pPr>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pPr>
    </w:p>
    <w:p w14:paraId="34155700">
      <w:pPr>
        <w:keepNext w:val="0"/>
        <w:keepLines w:val="0"/>
        <w:pageBreakBefore w:val="0"/>
        <w:widowControl w:val="0"/>
        <w:numPr>
          <w:ilvl w:val="0"/>
          <w:numId w:val="2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宜在盆地周山地区典型植被带内，系统开展林木种质资源普查，重点收集珍稀、濒危、特有乡土树种的种质资源。采用原地保护与异地保存相结合的方式，区域内符合条件的植物园、大型城市公园或自然教育基地内，优先选址建立珍稀特有植物的专类保护小区。小区选址宜模拟目标物种的天然生境条件，并集中定植通过人工繁育获得的优质苗木，形成新的展示与保护种群。</w:t>
      </w:r>
    </w:p>
    <w:p w14:paraId="26B02F8C">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在盆周山地区乡土与珍稀树种种质资源的系统性保护工作，强调通过”就地保护与异地保存相结合”的原则，并创新性地利用植物园、城市公园等公共空间建立专类保护小区，以实现从单一的物种保存向包含生态关系的综合性、展示性保育转变。来源参考：《中华人民共和国种子法》中关于种质资源保护的规定。《全国林木种质资源调查收集与保存利用规划（2024-2030年）》的总体要求。《林木种质资源保存原则与方法 GB/T 29373-2012》的技术规范。</w:t>
      </w:r>
    </w:p>
    <w:p w14:paraId="76AB3D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楷体"/>
          <w:color w:val="000000" w:themeColor="text1"/>
          <w:lang w:eastAsia="zh-CN"/>
          <w14:textFill>
            <w14:solidFill>
              <w14:schemeClr w14:val="tx1"/>
            </w14:solidFill>
          </w14:textFill>
        </w:rPr>
      </w:pPr>
    </w:p>
    <w:p w14:paraId="7AF67261">
      <w:pPr>
        <w:pStyle w:val="2"/>
        <w:bidi w:val="0"/>
        <w:rPr>
          <w:rFonts w:hint="eastAsia" w:ascii="Times New Roman" w:hAnsi="Times New Roman" w:eastAsia="黑体" w:cs="Times New Roman"/>
          <w:color w:val="000000" w:themeColor="text1"/>
          <w:sz w:val="32"/>
          <w:szCs w:val="32"/>
          <w:lang w:val="en-US" w:eastAsia="zh-CN"/>
          <w14:textFill>
            <w14:solidFill>
              <w14:schemeClr w14:val="tx1"/>
            </w14:solidFill>
          </w14:textFill>
        </w:rPr>
      </w:pPr>
      <w:bookmarkStart w:id="70" w:name="_Toc28137"/>
      <w:bookmarkStart w:id="71" w:name="_Toc29149"/>
      <w:bookmarkStart w:id="72" w:name="_Toc29778"/>
      <w:bookmarkStart w:id="73" w:name="_Toc12127"/>
      <w:bookmarkStart w:id="74" w:name="_Toc30369"/>
      <w:bookmarkStart w:id="75" w:name="_Toc11808"/>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5.4  </w:t>
      </w:r>
      <w:bookmarkEnd w:id="70"/>
      <w:r>
        <w:rPr>
          <w:rFonts w:hint="default" w:ascii="Times New Roman" w:hAnsi="Times New Roman" w:eastAsia="黑体" w:cs="Times New Roman"/>
          <w:color w:val="000000" w:themeColor="text1"/>
          <w:sz w:val="32"/>
          <w:szCs w:val="32"/>
          <w:lang w:val="en-US" w:eastAsia="zh-CN"/>
          <w14:textFill>
            <w14:solidFill>
              <w14:schemeClr w14:val="tx1"/>
            </w14:solidFill>
          </w14:textFill>
        </w:rPr>
        <w:t>川西南山地区</w:t>
      </w:r>
      <w:bookmarkEnd w:id="71"/>
      <w:bookmarkEnd w:id="72"/>
      <w:bookmarkEnd w:id="73"/>
    </w:p>
    <w:p w14:paraId="270B1B43">
      <w:pPr>
        <w:keepNext w:val="0"/>
        <w:keepLines w:val="0"/>
        <w:pageBreakBefore w:val="0"/>
        <w:widowControl w:val="0"/>
        <w:numPr>
          <w:ilvl w:val="0"/>
          <w:numId w:val="26"/>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恢复干热河谷植被</w:t>
      </w:r>
      <w:r>
        <w:rPr>
          <w:rFonts w:hint="eastAsia" w:ascii="Times New Roman" w:hAnsi="Times New Roman" w:cs="Times New Roman"/>
          <w:color w:val="000000" w:themeColor="text1"/>
          <w:lang w:val="en-US" w:eastAsia="zh-CN"/>
          <w14:textFill>
            <w14:solidFill>
              <w14:schemeClr w14:val="tx1"/>
            </w14:solidFill>
          </w14:textFill>
        </w:rPr>
        <w:t>。修复土壤，选用耐旱食源性乡土物种，沿等高线带状种植；在河谷底部营建滨水植被带，植物配置遵循“陆生乔木—灌木—草本—湿生植物—挺水植物—浮水植物”层次，丰富水域生态，改善局部微气候，利于生物多样性巩固发展。</w:t>
      </w:r>
    </w:p>
    <w:p w14:paraId="431BF124">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修复土壤参照《</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干旱干热河谷区退化林地土壤修复技术规程</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 xml:space="preserve"> </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 xml:space="preserve">LY/T </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3180-</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2020</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食源与蜜源植物配置依据《生物多样性规划标准</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 xml:space="preserve"> T/CGDF 00029-2022</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》5.4.1（2）条</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为生物多样性创造适宜条件”的要求，可吸引传粉昆虫及小型鸟类，提升群落活力。</w:t>
      </w:r>
    </w:p>
    <w:p w14:paraId="2500ADE2">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59167CD2">
      <w:pPr>
        <w:keepNext w:val="0"/>
        <w:keepLines w:val="0"/>
        <w:pageBreakBefore w:val="0"/>
        <w:widowControl w:val="0"/>
        <w:numPr>
          <w:ilvl w:val="0"/>
          <w:numId w:val="26"/>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保护特有种。建立专类保护区，面积≥100公顷，定期人工拔除周边，搭配种植伴生植物，构建近自然群落；设置禁入区（面积≥500公顷），禁止放牧、采伐，在栖息地周边设置“注意鸟类”“注意兽类”警示标牌，减少人类活动干扰。</w:t>
      </w:r>
    </w:p>
    <w:p w14:paraId="66E95631">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警示标牌设置参考《城市中促进健康与生物多样性的设计指南》第5.5条，旨在降低人类活动对特有物种的影响。</w:t>
      </w:r>
    </w:p>
    <w:p w14:paraId="5FF76FCF">
      <w:pPr>
        <w:numPr>
          <w:ilvl w:val="0"/>
          <w:numId w:val="0"/>
        </w:numPr>
        <w:tabs>
          <w:tab w:val="left" w:pos="0"/>
        </w:tabs>
        <w:spacing w:line="360" w:lineRule="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5CE5E94F">
      <w:pPr>
        <w:keepNext w:val="0"/>
        <w:keepLines w:val="0"/>
        <w:pageBreakBefore w:val="0"/>
        <w:widowControl w:val="0"/>
        <w:numPr>
          <w:ilvl w:val="0"/>
          <w:numId w:val="26"/>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修复工矿废弃地。采用“土壤改良+植被重建”技术，施用有机肥，结合生物炭改良重金属污染土壤，种植耐污染乡土植物（构树、白刺、紫花苜蓿）；矿区周边建设宽度≥50米的防护林带，选用杨树、柳树等速生树种，逐步恢复生态功能；有效承载生物多样性。</w:t>
      </w:r>
    </w:p>
    <w:p w14:paraId="37330C2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土壤改良方法依据《矿山生态修复技术规范</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 xml:space="preserve"> </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GB/T 38360-2019》；建设活动评估要求参考《四川省生态保护红线方案》</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（川府发〔2018〕24号）</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中“严格避让核心保护区域，确需避让需开展评估”的规定，避免修复成果被破坏。</w:t>
      </w:r>
    </w:p>
    <w:p w14:paraId="337873D2">
      <w:pPr>
        <w:numPr>
          <w:ilvl w:val="0"/>
          <w:numId w:val="0"/>
        </w:numPr>
        <w:tabs>
          <w:tab w:val="left" w:pos="0"/>
        </w:tabs>
        <w:spacing w:line="360" w:lineRule="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3CBC5B47">
      <w:pPr>
        <w:keepNext w:val="0"/>
        <w:keepLines w:val="0"/>
        <w:pageBreakBefore w:val="0"/>
        <w:widowControl w:val="0"/>
        <w:numPr>
          <w:ilvl w:val="0"/>
          <w:numId w:val="26"/>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完善生境设施。在特有物种栖息地，保留枯木、倒木、落叶层及石堆等天然生境设施；每公顷配置2-3个鸟类人工巢箱、1-2处昆虫旅店；在工矿废弃地修复区周边设置璃坝，减缓地表径流，为小型哺乳动物（如岩松鼠）提供饮水点。</w:t>
      </w:r>
    </w:p>
    <w:p w14:paraId="640BD4A9">
      <w:pPr>
        <w:numPr>
          <w:ilvl w:val="0"/>
          <w:numId w:val="0"/>
        </w:numPr>
        <w:tabs>
          <w:tab w:val="left" w:pos="0"/>
        </w:tabs>
        <w:spacing w:line="360" w:lineRule="auto"/>
        <w:rPr>
          <w:rFonts w:hint="default" w:ascii="Times New Roman" w:hAnsi="Times New Roman" w:eastAsia="楷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default" w:ascii="Times New Roman" w:hAnsi="Times New Roman" w:eastAsia="楷体" w:cs="Times New Roman"/>
          <w:b w:val="0"/>
          <w:bCs w:val="0"/>
          <w:color w:val="000000" w:themeColor="text1"/>
          <w:sz w:val="21"/>
          <w:szCs w:val="21"/>
          <w:lang w:val="en-US" w:eastAsia="zh-CN"/>
          <w14:textFill>
            <w14:solidFill>
              <w14:schemeClr w14:val="tx1"/>
            </w14:solidFill>
          </w14:textFill>
        </w:rPr>
        <w:t>生境设施可补偿人类活动缺失的生态位，其中人工巢箱可提高小型鸟类繁殖成功率，研究表明此类设施可使区域鸟类种群数量提升10%-15%。</w:t>
      </w:r>
    </w:p>
    <w:p w14:paraId="5711AC07">
      <w:pPr>
        <w:outlineLvl w:val="9"/>
        <w:rPr>
          <w:rFonts w:hint="default"/>
          <w:lang w:val="en-US" w:eastAsia="zh-CN"/>
        </w:rPr>
      </w:pPr>
    </w:p>
    <w:p w14:paraId="7710A974">
      <w:pPr>
        <w:pStyle w:val="2"/>
        <w:bidi w:val="0"/>
        <w:rPr>
          <w:rFonts w:hint="eastAsia" w:ascii="Times New Roman" w:hAnsi="Times New Roman" w:eastAsia="黑体" w:cs="Times New Roman"/>
          <w:color w:val="000000" w:themeColor="text1"/>
          <w:sz w:val="32"/>
          <w:szCs w:val="32"/>
          <w:lang w:val="en-US" w:eastAsia="zh-CN"/>
          <w14:textFill>
            <w14:solidFill>
              <w14:schemeClr w14:val="tx1"/>
            </w14:solidFill>
          </w14:textFill>
        </w:rPr>
      </w:pPr>
      <w:bookmarkStart w:id="76" w:name="_Toc29815"/>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5.5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川西高山高原区</w:t>
      </w:r>
      <w:bookmarkEnd w:id="76"/>
    </w:p>
    <w:p w14:paraId="40E8D7F2">
      <w:pPr>
        <w:keepNext w:val="0"/>
        <w:keepLines w:val="0"/>
        <w:pageBreakBefore w:val="0"/>
        <w:widowControl w:val="0"/>
        <w:numPr>
          <w:ilvl w:val="0"/>
          <w:numId w:val="27"/>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以维护区域生态系统的原真性与完整性为核心，严格划定并守护生态保护红线区域，禁止一切开发性建设活动。重点强化关键区域的野生动植物栖息地保护，维护生态功能功能稳定。</w:t>
      </w:r>
    </w:p>
    <w:p w14:paraId="47C6404A">
      <w:pPr>
        <w:numPr>
          <w:ilvl w:val="0"/>
          <w:numId w:val="0"/>
        </w:numPr>
        <w:tabs>
          <w:tab w:val="left" w:pos="0"/>
        </w:tabs>
        <w:spacing w:line="360" w:lineRule="auto"/>
        <w:rPr>
          <w:rFonts w:hint="default" w:ascii="Times New Roman" w:hAnsi="Times New Roman" w:eastAsia="楷体" w:cs="Times New Roman"/>
          <w:b w:val="0"/>
          <w:bCs w:val="0"/>
          <w:color w:val="000000" w:themeColor="text1"/>
          <w:sz w:val="21"/>
          <w:szCs w:val="21"/>
          <w:lang w:val="en-US" w:eastAsia="zh-CN"/>
          <w14:textFill>
            <w14:solidFill>
              <w14:schemeClr w14:val="tx1"/>
            </w14:solidFill>
          </w14:textFill>
        </w:rPr>
      </w:pPr>
      <w:bookmarkStart w:id="77" w:name="OLE_LINK1"/>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【条文说明】</w:t>
      </w:r>
      <w:r>
        <w:rPr>
          <w:rFonts w:hint="default" w:ascii="Times New Roman" w:hAnsi="Times New Roman" w:eastAsia="楷体" w:cs="Times New Roman"/>
          <w:b w:val="0"/>
          <w:bCs w:val="0"/>
          <w:color w:val="000000" w:themeColor="text1"/>
          <w:sz w:val="21"/>
          <w:szCs w:val="21"/>
          <w:lang w:val="en-US" w:eastAsia="zh-CN"/>
          <w14:textFill>
            <w14:solidFill>
              <w14:schemeClr w14:val="tx1"/>
            </w14:solidFill>
          </w14:textFill>
        </w:rPr>
        <w:t>本条依据《四川科学绿化试点示范省建设实施方案（2023—2025年）》中关于川西高山高原区科学绿化的要求制定。同时，结合《四川省生态保护红线方案》</w:t>
      </w: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（川府发〔2018〕24号）</w:t>
      </w:r>
      <w:r>
        <w:rPr>
          <w:rFonts w:hint="default" w:ascii="Times New Roman" w:hAnsi="Times New Roman" w:eastAsia="楷体" w:cs="Times New Roman"/>
          <w:b w:val="0"/>
          <w:bCs w:val="0"/>
          <w:color w:val="000000" w:themeColor="text1"/>
          <w:sz w:val="21"/>
          <w:szCs w:val="21"/>
          <w:lang w:val="en-US" w:eastAsia="zh-CN"/>
          <w14:textFill>
            <w14:solidFill>
              <w14:schemeClr w14:val="tx1"/>
            </w14:solidFill>
          </w14:textFill>
        </w:rPr>
        <w:t>中“川西高山高原区是我省生物多样性保护的重点区域”的定位，进一步强调了本区域的保护重点。</w:t>
      </w:r>
    </w:p>
    <w:bookmarkEnd w:id="77"/>
    <w:p w14:paraId="4A78A9B4">
      <w:pPr>
        <w:rPr>
          <w:rFonts w:hint="default" w:ascii="Times New Roman" w:hAnsi="Times New Roman" w:cs="Times New Roman"/>
          <w:color w:val="000000" w:themeColor="text1"/>
          <w:lang w:val="en-US" w:eastAsia="zh-CN"/>
          <w14:textFill>
            <w14:solidFill>
              <w14:schemeClr w14:val="tx1"/>
            </w14:solidFill>
          </w14:textFill>
        </w:rPr>
      </w:pPr>
    </w:p>
    <w:p w14:paraId="2F7263BE">
      <w:pPr>
        <w:keepNext w:val="0"/>
        <w:keepLines w:val="0"/>
        <w:pageBreakBefore w:val="0"/>
        <w:widowControl w:val="0"/>
        <w:numPr>
          <w:ilvl w:val="0"/>
          <w:numId w:val="28"/>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宜重点修复高山河谷等关键生境，贯通受阻的动物迁徙廊道，并整合城乡绿地与自然保护区，形成完整连通的区域生物多样性保护网络。</w:t>
      </w:r>
    </w:p>
    <w:p w14:paraId="0A5355E8">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《四川省国土空间生态修复规划(2021—2035 年)》第三章第四节（修复任务）中提出优化完善生物多样性保护网络，恢复核心生境，修复生态廊道。本条针对川西高山高原区生态系统连通性弱、生境破碎化突出的问题，提出通过修复关键生境、贯通生态廊道、整合绿地与保护区等系统性措施，增强生态系统的结构与功能连通性，从而提升区域生物多样性保护网络的完整性与稳定性。</w:t>
      </w:r>
    </w:p>
    <w:p w14:paraId="41012A75">
      <w:pPr>
        <w:rPr>
          <w:rFonts w:hint="eastAsia" w:ascii="Times New Roman" w:hAnsi="Times New Roman" w:eastAsia="楷体"/>
          <w:color w:val="000000" w:themeColor="text1"/>
          <w:lang w:eastAsia="zh-CN"/>
          <w14:textFill>
            <w14:solidFill>
              <w14:schemeClr w14:val="tx1"/>
            </w14:solidFill>
          </w14:textFill>
        </w:rPr>
      </w:pPr>
    </w:p>
    <w:p w14:paraId="4CF3DCB5">
      <w:pPr>
        <w:keepNext w:val="0"/>
        <w:keepLines w:val="0"/>
        <w:pageBreakBefore w:val="0"/>
        <w:widowControl w:val="0"/>
        <w:numPr>
          <w:ilvl w:val="0"/>
          <w:numId w:val="28"/>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城市建设</w:t>
      </w:r>
      <w:r>
        <w:rPr>
          <w:rFonts w:hint="eastAsia" w:ascii="Times New Roman" w:hAnsi="Times New Roman" w:cs="Times New Roman"/>
          <w:color w:val="000000" w:themeColor="text1"/>
          <w:lang w:val="en-US" w:eastAsia="zh-CN"/>
          <w14:textFill>
            <w14:solidFill>
              <w14:schemeClr w14:val="tx1"/>
            </w14:solidFill>
          </w14:textFill>
        </w:rPr>
        <w:t>活动宜</w:t>
      </w:r>
      <w:r>
        <w:rPr>
          <w:rFonts w:hint="default" w:ascii="Times New Roman" w:hAnsi="Times New Roman" w:cs="Times New Roman"/>
          <w:color w:val="000000" w:themeColor="text1"/>
          <w:lang w:val="en-US" w:eastAsia="zh-CN"/>
          <w14:textFill>
            <w14:solidFill>
              <w14:schemeClr w14:val="tx1"/>
            </w14:solidFill>
          </w14:textFill>
        </w:rPr>
        <w:t>严格避让野生动植物核心栖息地、自然保护区、生态红线区域</w:t>
      </w:r>
      <w:r>
        <w:rPr>
          <w:rFonts w:hint="eastAsia" w:ascii="Times New Roman" w:hAnsi="Times New Roman"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lang w:val="en-US" w:eastAsia="zh-CN"/>
          <w14:textFill>
            <w14:solidFill>
              <w14:schemeClr w14:val="tx1"/>
            </w14:solidFill>
          </w14:textFill>
        </w:rPr>
        <w:t>生物多样性保护关键区</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确因特殊情况无法避让的，开展生态影响评估，确保生态功能不减退。</w:t>
      </w:r>
    </w:p>
    <w:p w14:paraId="423F4517">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高山高原地区生态脆弱，破坏后修复难度大。四川省人民政府《四川省生态保护红线方案》（川府发〔2018〕24号）指出“生态空间被挤占是生物多样性保护的主要威胁”。因此，本条对建设活动的避让、评估提出要求。</w:t>
      </w:r>
    </w:p>
    <w:p w14:paraId="40A1EE04">
      <w:pPr>
        <w:rPr>
          <w:rFonts w:hint="eastAsia"/>
          <w:color w:val="000000" w:themeColor="text1"/>
          <w14:textFill>
            <w14:solidFill>
              <w14:schemeClr w14:val="tx1"/>
            </w14:solidFill>
          </w14:textFill>
        </w:rPr>
      </w:pPr>
    </w:p>
    <w:p w14:paraId="62508B55">
      <w:pPr>
        <w:keepNext w:val="0"/>
        <w:keepLines w:val="0"/>
        <w:pageBreakBefore w:val="0"/>
        <w:widowControl w:val="0"/>
        <w:numPr>
          <w:ilvl w:val="0"/>
          <w:numId w:val="28"/>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城市绿地植物配置宜优先选用川西高山高原区乡土物种，</w:t>
      </w:r>
      <w:r>
        <w:rPr>
          <w:rFonts w:hint="default" w:ascii="Times New Roman" w:hAnsi="Times New Roman" w:cs="Times New Roman"/>
          <w:color w:val="000000" w:themeColor="text1"/>
          <w:lang w:val="en-US" w:eastAsia="zh-CN"/>
          <w14:textFill>
            <w14:solidFill>
              <w14:schemeClr w14:val="tx1"/>
            </w14:solidFill>
          </w14:textFill>
        </w:rPr>
        <w:t>重点选用耐寒、抗旱的乡土草种及灌乔木，严禁引入外来入侵物种。</w:t>
      </w:r>
    </w:p>
    <w:p w14:paraId="2E820217">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bCs/>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ascii="Times New Roman" w:hAnsi="Times New Roman" w:eastAsia="楷体"/>
          <w:color w:val="000000" w:themeColor="text1"/>
          <w14:textFill>
            <w14:solidFill>
              <w14:schemeClr w14:val="tx1"/>
            </w14:solidFill>
          </w14:textFill>
        </w:rPr>
        <w:t>根据</w:t>
      </w:r>
      <w:r>
        <w:rPr>
          <w:rFonts w:hint="eastAsia" w:ascii="Times New Roman" w:hAnsi="Times New Roman" w:eastAsia="楷体"/>
          <w:color w:val="000000" w:themeColor="text1"/>
          <w14:textFill>
            <w14:solidFill>
              <w14:schemeClr w14:val="tx1"/>
            </w14:solidFill>
          </w14:textFill>
        </w:rPr>
        <w:t>四川省生态环境厅</w:t>
      </w:r>
      <w:r>
        <w:rPr>
          <w:rFonts w:hint="eastAsia" w:ascii="Times New Roman" w:hAnsi="Times New Roman" w:eastAsia="楷体"/>
          <w:color w:val="000000" w:themeColor="text1"/>
          <w:lang w:val="en-US" w:eastAsia="zh-CN"/>
          <w14:textFill>
            <w14:solidFill>
              <w14:schemeClr w14:val="tx1"/>
            </w14:solidFill>
          </w14:textFill>
        </w:rPr>
        <w:t>在官网发布的</w:t>
      </w:r>
      <w:r>
        <w:rPr>
          <w:rFonts w:ascii="Times New Roman" w:hAnsi="Times New Roman" w:eastAsia="楷体"/>
          <w:color w:val="000000" w:themeColor="text1"/>
          <w14:textFill>
            <w14:solidFill>
              <w14:schemeClr w14:val="tx1"/>
            </w14:solidFill>
          </w14:textFill>
        </w:rPr>
        <w:t>四川省生物多样性格局，川西高山高原区野生维管束植物种类丰富，是乡土物种的重要分布区。本条遵循城市绿地建设应以乡土植物为主的基本原则，旨在维护本地生态系统的稳定与安全</w:t>
      </w:r>
      <w:r>
        <w:rPr>
          <w:rFonts w:hint="eastAsia" w:ascii="Times New Roman" w:hAnsi="Times New Roman" w:eastAsia="楷体"/>
          <w:color w:val="000000" w:themeColor="text1"/>
          <w14:textFill>
            <w14:solidFill>
              <w14:schemeClr w14:val="tx1"/>
            </w14:solidFill>
          </w14:textFill>
        </w:rPr>
        <w:t>。</w:t>
      </w:r>
    </w:p>
    <w:p w14:paraId="505B82B6">
      <w:pPr>
        <w:rPr>
          <w:color w:val="000000" w:themeColor="text1"/>
          <w14:textFill>
            <w14:solidFill>
              <w14:schemeClr w14:val="tx1"/>
            </w14:solidFill>
          </w14:textFill>
        </w:rPr>
      </w:pPr>
    </w:p>
    <w:p w14:paraId="4DA268D6">
      <w:pPr>
        <w:keepNext w:val="0"/>
        <w:keepLines w:val="0"/>
        <w:pageBreakBefore w:val="0"/>
        <w:widowControl w:val="0"/>
        <w:numPr>
          <w:ilvl w:val="0"/>
          <w:numId w:val="28"/>
        </w:numPr>
        <w:tabs>
          <w:tab w:val="clear" w:pos="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加强</w:t>
      </w:r>
      <w:r>
        <w:rPr>
          <w:rFonts w:hint="default" w:ascii="Times New Roman" w:hAnsi="Times New Roman" w:cs="Times New Roman"/>
          <w:color w:val="000000" w:themeColor="text1"/>
          <w:lang w:val="en-US" w:eastAsia="zh-CN"/>
          <w14:textFill>
            <w14:solidFill>
              <w14:schemeClr w14:val="tx1"/>
            </w14:solidFill>
          </w14:textFill>
        </w:rPr>
        <w:t>高原城市湿地的保护与修复，保留湖泊、河流的自然岸线，优先采用本土水生、湿生植物进行植被恢复，维护水生昆虫、两栖动物等关键物种的生存环境。</w:t>
      </w:r>
    </w:p>
    <w:p w14:paraId="607A6CC2">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中华人民共和国湿地保护法》第三条提出湿地保护应当坚持保护优先、严格管理、系统治理、科学修复、合理利用的原则，发挥湿地涵养水源、调节气候、改善环境、维护生物多样性等多种生态功能。结合川西高山高原的地区特点，提出本条规定。</w:t>
      </w:r>
    </w:p>
    <w:p w14:paraId="3F456762">
      <w:pPr>
        <w:rPr>
          <w:rFonts w:hint="eastAsia" w:ascii="Times New Roman" w:hAnsi="Times New Roman" w:eastAsia="楷体"/>
          <w:color w:val="000000" w:themeColor="text1"/>
          <w14:textFill>
            <w14:solidFill>
              <w14:schemeClr w14:val="tx1"/>
            </w14:solidFill>
          </w14:textFill>
        </w:rPr>
      </w:pPr>
    </w:p>
    <w:p w14:paraId="6CF5AD8C">
      <w:pPr>
        <w:pStyle w:val="4"/>
        <w:bidi w:val="0"/>
        <w:jc w:val="center"/>
        <w:rPr>
          <w:rFonts w:hint="eastAsia" w:ascii="Times New Roman" w:hAnsi="Times New Roman" w:cs="Times New Roman"/>
          <w:b/>
          <w:color w:val="000000" w:themeColor="text1"/>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1AAA6DA">
      <w:pPr>
        <w:pStyle w:val="4"/>
        <w:bidi w:val="0"/>
        <w:jc w:val="center"/>
        <w:rPr>
          <w:rFonts w:hint="default" w:ascii="Times New Roman" w:hAnsi="Times New Roman" w:cs="Times New Roman" w:eastAsiaTheme="minorEastAsia"/>
          <w:b/>
          <w:color w:val="000000" w:themeColor="text1"/>
          <w:lang w:val="en-US" w:eastAsia="zh-CN"/>
          <w14:textFill>
            <w14:solidFill>
              <w14:schemeClr w14:val="tx1"/>
            </w14:solidFill>
          </w14:textFill>
        </w:rPr>
      </w:pPr>
      <w:bookmarkStart w:id="78" w:name="_Toc14620"/>
      <w:r>
        <w:rPr>
          <w:rFonts w:hint="eastAsia" w:ascii="Times New Roman" w:hAnsi="Times New Roman" w:cs="Times New Roman"/>
          <w:b/>
          <w:color w:val="000000" w:themeColor="text1"/>
          <w14:textFill>
            <w14:solidFill>
              <w14:schemeClr w14:val="tx1"/>
            </w14:solidFill>
          </w14:textFill>
        </w:rPr>
        <w:t>6</w:t>
      </w:r>
      <w:r>
        <w:rPr>
          <w:rFonts w:hint="eastAsia" w:ascii="Times New Roman" w:hAnsi="Times New Roman" w:cs="Times New Roman"/>
          <w:b/>
          <w:color w:val="000000" w:themeColor="text1"/>
          <w:lang w:val="en-US" w:eastAsia="zh-CN"/>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 xml:space="preserve"> </w:t>
      </w:r>
      <w:bookmarkEnd w:id="74"/>
      <w:r>
        <w:rPr>
          <w:rFonts w:hint="eastAsia" w:ascii="Times New Roman" w:hAnsi="Times New Roman" w:cs="Times New Roman"/>
          <w:b/>
          <w:color w:val="000000" w:themeColor="text1"/>
          <w:lang w:val="en-US" w:eastAsia="zh-CN"/>
          <w14:textFill>
            <w14:solidFill>
              <w14:schemeClr w14:val="tx1"/>
            </w14:solidFill>
          </w14:textFill>
        </w:rPr>
        <w:t>共建共享与自然教育</w:t>
      </w:r>
      <w:bookmarkEnd w:id="75"/>
      <w:bookmarkEnd w:id="78"/>
    </w:p>
    <w:p w14:paraId="6B10EBFA">
      <w:pPr>
        <w:pStyle w:val="2"/>
        <w:bidi w:val="0"/>
        <w:rPr>
          <w:rFonts w:hint="default"/>
          <w:color w:val="000000" w:themeColor="text1"/>
          <w:lang w:val="en-US"/>
          <w14:textFill>
            <w14:solidFill>
              <w14:schemeClr w14:val="tx1"/>
            </w14:solidFill>
          </w14:textFill>
        </w:rPr>
      </w:pPr>
      <w:bookmarkStart w:id="79" w:name="_Toc21865"/>
      <w:bookmarkStart w:id="80" w:name="_Toc27299"/>
      <w:bookmarkStart w:id="81" w:name="_Toc22302"/>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6.1  </w:t>
      </w:r>
      <w:bookmarkEnd w:id="79"/>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公众参与机制</w:t>
      </w:r>
      <w:bookmarkEnd w:id="80"/>
      <w:bookmarkEnd w:id="81"/>
    </w:p>
    <w:p w14:paraId="232AD752">
      <w:pPr>
        <w:keepNext w:val="0"/>
        <w:keepLines w:val="0"/>
        <w:pageBreakBefore w:val="0"/>
        <w:numPr>
          <w:ilvl w:val="0"/>
          <w:numId w:val="29"/>
        </w:numPr>
        <w:kinsoku/>
        <w:wordWrap/>
        <w:overflowPunct/>
        <w:topLinePunct w:val="0"/>
        <w:autoSpaceDE/>
        <w:autoSpaceDN/>
        <w:bidi w:val="0"/>
        <w:spacing w:line="360" w:lineRule="auto"/>
        <w:ind w:left="0" w:leftChars="0" w:firstLine="0" w:firstLineChars="0"/>
        <w:textAlignment w:val="auto"/>
        <w:rPr>
          <w:rFonts w:hint="eastAsia" w:ascii="Times New Roman" w:hAnsi="Times New Roman"/>
          <w:b w:val="0"/>
          <w:color w:val="000000" w:themeColor="text1"/>
          <w:sz w:val="21"/>
          <w:szCs w:val="21"/>
          <w:lang w:val="en-US" w:eastAsia="zh-CN"/>
          <w14:textFill>
            <w14:solidFill>
              <w14:schemeClr w14:val="tx1"/>
            </w14:solidFill>
          </w14:textFill>
        </w:rPr>
      </w:pPr>
      <w:r>
        <w:rPr>
          <w:rFonts w:hint="eastAsia" w:ascii="Times New Roman" w:hAnsi="Times New Roman"/>
          <w:b w:val="0"/>
          <w:color w:val="000000" w:themeColor="text1"/>
          <w:sz w:val="21"/>
          <w:szCs w:val="21"/>
          <w:lang w:val="en-US" w:eastAsia="zh-CN"/>
          <w14:textFill>
            <w14:solidFill>
              <w14:schemeClr w14:val="tx1"/>
            </w14:solidFill>
          </w14:textFill>
        </w:rPr>
        <w:t xml:space="preserve"> 建立城市绿地生物多样性保护全过程公众参与制度，在城市绿地的规划、设计、建设、管理与评估全过程中，宜建立规范、透明的公众参与机制。</w:t>
      </w:r>
    </w:p>
    <w:p w14:paraId="6A2C0F45">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旨在将公众参与从“事后被告知”转变为“事前共商、事中共建、事后共监”的全过程模式，强调在城乡建设中鼓励公众参与，为本条款建立全社会共同参与的保护机制提供了政策依据。</w:t>
      </w:r>
    </w:p>
    <w:p w14:paraId="5F64413C">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Times New Roman" w:hAnsi="Times New Roman"/>
          <w:b w:val="0"/>
          <w:color w:val="000000" w:themeColor="text1"/>
          <w:sz w:val="21"/>
          <w:szCs w:val="21"/>
          <w:lang w:val="en-US" w:eastAsia="zh-CN"/>
          <w14:textFill>
            <w14:solidFill>
              <w14:schemeClr w14:val="tx1"/>
            </w14:solidFill>
          </w14:textFill>
        </w:rPr>
      </w:pPr>
    </w:p>
    <w:p w14:paraId="2F6DFAC0">
      <w:pPr>
        <w:keepNext w:val="0"/>
        <w:keepLines w:val="0"/>
        <w:pageBreakBefore w:val="0"/>
        <w:numPr>
          <w:ilvl w:val="0"/>
          <w:numId w:val="29"/>
        </w:numPr>
        <w:kinsoku/>
        <w:wordWrap/>
        <w:overflowPunct/>
        <w:topLinePunct w:val="0"/>
        <w:autoSpaceDE/>
        <w:autoSpaceDN/>
        <w:bidi w:val="0"/>
        <w:spacing w:line="360" w:lineRule="auto"/>
        <w:ind w:left="0" w:leftChars="0" w:firstLine="0" w:firstLineChars="0"/>
        <w:textAlignment w:val="auto"/>
        <w:rPr>
          <w:rFonts w:hint="eastAsia" w:ascii="Times New Roman" w:hAnsi="Times New Roman"/>
          <w:b w:val="0"/>
          <w:color w:val="000000" w:themeColor="text1"/>
          <w:sz w:val="21"/>
          <w:szCs w:val="21"/>
          <w:lang w:val="en-US" w:eastAsia="zh-CN"/>
          <w14:textFill>
            <w14:solidFill>
              <w14:schemeClr w14:val="tx1"/>
            </w14:solidFill>
          </w14:textFill>
        </w:rPr>
      </w:pPr>
      <w:r>
        <w:rPr>
          <w:rFonts w:hint="eastAsia" w:ascii="Times New Roman" w:hAnsi="Times New Roman"/>
          <w:b w:val="0"/>
          <w:color w:val="000000" w:themeColor="text1"/>
          <w:sz w:val="21"/>
          <w:szCs w:val="21"/>
          <w:lang w:val="en-US" w:eastAsia="zh-CN"/>
          <w14:textFill>
            <w14:solidFill>
              <w14:schemeClr w14:val="tx1"/>
            </w14:solidFill>
          </w14:textFill>
        </w:rPr>
        <w:t xml:space="preserve"> 构建城市绿地生物多样性保护社区共建共管机制，推动街道、社区、物业管理单位与园林部门协同，建立“社区生态管家”或“绿色议事厅”等平台，组织居民参与小微绿地的认养认管、乡土植物抚育、生物多样性监测等活动。</w:t>
      </w:r>
    </w:p>
    <w:p w14:paraId="33BB3144">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本条款聚焦于发动社会力量进行常态化、精细化的保护。参考来源《四川省绿色社区创建行动实施方案》（2021年）：方案创建内容要求建立健全社区人居环境建设和整治机制，充分调动社区居民积极性，推动广大社区健全居民自治机制。本条是对上述条例在城市绿地生物多样性保护这一具体领域的细化应用。</w:t>
      </w:r>
    </w:p>
    <w:p w14:paraId="39D40A92">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p>
    <w:p w14:paraId="4B4808DE">
      <w:pPr>
        <w:keepNext w:val="0"/>
        <w:keepLines w:val="0"/>
        <w:pageBreakBefore w:val="0"/>
        <w:numPr>
          <w:ilvl w:val="0"/>
          <w:numId w:val="29"/>
        </w:numPr>
        <w:kinsoku/>
        <w:wordWrap/>
        <w:overflowPunct/>
        <w:topLinePunct w:val="0"/>
        <w:autoSpaceDE/>
        <w:autoSpaceDN/>
        <w:bidi w:val="0"/>
        <w:spacing w:line="360" w:lineRule="auto"/>
        <w:ind w:left="0" w:leftChars="0" w:firstLine="0" w:firstLineChars="0"/>
        <w:textAlignment w:val="auto"/>
        <w:rPr>
          <w:rFonts w:hint="eastAsia" w:ascii="Times New Roman" w:hAnsi="Times New Roman"/>
          <w:b w:val="0"/>
          <w:color w:val="000000" w:themeColor="text1"/>
          <w:sz w:val="21"/>
          <w:szCs w:val="21"/>
          <w:lang w:val="en-US" w:eastAsia="zh-CN"/>
          <w14:textFill>
            <w14:solidFill>
              <w14:schemeClr w14:val="tx1"/>
            </w14:solidFill>
          </w14:textFill>
        </w:rPr>
      </w:pPr>
      <w:r>
        <w:rPr>
          <w:rFonts w:hint="eastAsia" w:ascii="Times New Roman" w:hAnsi="Times New Roman"/>
          <w:b w:val="0"/>
          <w:color w:val="000000" w:themeColor="text1"/>
          <w:sz w:val="21"/>
          <w:szCs w:val="21"/>
          <w:lang w:val="en-US" w:eastAsia="zh-CN"/>
          <w14:textFill>
            <w14:solidFill>
              <w14:schemeClr w14:val="tx1"/>
            </w14:solidFill>
          </w14:textFill>
        </w:rPr>
        <w:t xml:space="preserve"> 建立城市绿地生物多样性保护志愿者服务体系，对志愿者进行专业培训，组织其参与外来入侵物种清查、栖息地巡护、自然讲解等服务，并建立相应的服务时长记录与激励机制。</w:t>
      </w:r>
    </w:p>
    <w:p w14:paraId="1DABE924">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本条款是对上述条例在城市绿地生物多样性保护这一具体领域的细化应用，强调了在该领域建立专业化、常态化志愿者队伍的必要性。</w:t>
      </w:r>
    </w:p>
    <w:p w14:paraId="4641D798">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楷体" w:cs="Times New Roman"/>
          <w:color w:val="000000" w:themeColor="text1"/>
          <w:kern w:val="2"/>
          <w:sz w:val="21"/>
          <w:szCs w:val="24"/>
          <w:lang w:val="en-US" w:eastAsia="zh-CN" w:bidi="ar-SA"/>
          <w14:textFill>
            <w14:solidFill>
              <w14:schemeClr w14:val="tx1"/>
            </w14:solidFill>
          </w14:textFill>
        </w:rPr>
      </w:pPr>
    </w:p>
    <w:p w14:paraId="1502C1E3">
      <w:pPr>
        <w:pStyle w:val="2"/>
        <w:bidi w:val="0"/>
        <w:rPr>
          <w:rFonts w:hint="default"/>
          <w:color w:val="000000" w:themeColor="text1"/>
          <w:lang w:val="en-US" w:eastAsia="zh-CN"/>
          <w14:textFill>
            <w14:solidFill>
              <w14:schemeClr w14:val="tx1"/>
            </w14:solidFill>
          </w14:textFill>
        </w:rPr>
      </w:pPr>
      <w:bookmarkStart w:id="82" w:name="_Toc14199"/>
      <w:bookmarkStart w:id="83" w:name="_Toc18359"/>
      <w:bookmarkStart w:id="84" w:name="_Toc12022"/>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6.2  </w:t>
      </w:r>
      <w:bookmarkEnd w:id="82"/>
      <w:r>
        <w:rPr>
          <w:rFonts w:hint="eastAsia" w:ascii="Times New Roman" w:hAnsi="Times New Roman" w:eastAsia="黑体" w:cs="Times New Roman"/>
          <w:color w:val="000000" w:themeColor="text1"/>
          <w:sz w:val="32"/>
          <w:szCs w:val="32"/>
          <w:lang w:val="en-US" w:eastAsia="zh-CN"/>
          <w14:textFill>
            <w14:solidFill>
              <w14:schemeClr w14:val="tx1"/>
            </w14:solidFill>
          </w14:textFill>
        </w:rPr>
        <w:t>自然教育设施建设</w:t>
      </w:r>
      <w:bookmarkEnd w:id="83"/>
      <w:bookmarkEnd w:id="84"/>
    </w:p>
    <w:p w14:paraId="5CB950AC">
      <w:pPr>
        <w:numPr>
          <w:ilvl w:val="0"/>
          <w:numId w:val="30"/>
        </w:numPr>
        <w:tabs>
          <w:tab w:val="left" w:pos="420"/>
          <w:tab w:val="clear" w:pos="0"/>
        </w:tabs>
        <w:spacing w:line="360" w:lineRule="auto"/>
        <w:ind w:left="0" w:leftChars="0" w:firstLine="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系统布局与建设生物多样性自然教育基地，基地自然资源类型丰富，具多样性或代表性、典型性、独特性，自然与人文价值满足自然教育需求。基地面积满足自然教育活动需求。按基地面积规模分为小型基地(小于10公顷)、中型基地(大于等于10公顷，小于100公顷)、大型基地(大于等于100公顷)。</w:t>
      </w:r>
    </w:p>
    <w:p w14:paraId="2571F0B3">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本条款旨在将城市绿地转化为开放的“自然课堂”。参考来源：《四川省自然教育基地建设 DB51/T 2739-2020》：明确了自然教育基地在资源环境条件的要求。</w:t>
      </w:r>
    </w:p>
    <w:p w14:paraId="6A6B963F">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p>
    <w:p w14:paraId="3BB618D5">
      <w:pPr>
        <w:numPr>
          <w:ilvl w:val="0"/>
          <w:numId w:val="30"/>
        </w:numPr>
        <w:tabs>
          <w:tab w:val="left" w:pos="420"/>
          <w:tab w:val="clear" w:pos="0"/>
        </w:tabs>
        <w:spacing w:line="360" w:lineRule="auto"/>
        <w:ind w:left="0" w:leftChars="0" w:firstLine="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推动自然教育基地的规范化建设与运营，设立自然教育基地的管理机构，配备相应人员，建立健全各项管理制度和行为准则。编制有自然教育基地发展规划或建设方案，保障自然教育基地可持续发展。</w:t>
      </w:r>
    </w:p>
    <w:p w14:paraId="33B2A59E">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r>
        <w:rPr>
          <w:rFonts w:hint="eastAsia" w:ascii="Times New Roman" w:hAnsi="Times New Roman" w:eastAsia="楷体"/>
          <w:b/>
          <w:bCs/>
          <w:color w:val="000000" w:themeColor="text1"/>
          <w:lang w:val="en-US" w:eastAsia="zh-CN"/>
          <w14:textFill>
            <w14:solidFill>
              <w14:schemeClr w14:val="tx1"/>
            </w14:solidFill>
          </w14:textFill>
        </w:rPr>
        <w:t>【条文说明】</w:t>
      </w:r>
      <w:r>
        <w:rPr>
          <w:rFonts w:hint="eastAsia" w:ascii="Times New Roman" w:hAnsi="Times New Roman" w:eastAsia="楷体"/>
          <w:b w:val="0"/>
          <w:bCs w:val="0"/>
          <w:color w:val="000000" w:themeColor="text1"/>
          <w:lang w:val="en-US" w:eastAsia="zh-CN"/>
          <w14:textFill>
            <w14:solidFill>
              <w14:schemeClr w14:val="tx1"/>
            </w14:solidFill>
          </w14:textFill>
        </w:rPr>
        <w:t>强调“规范化”，旨在避免建设流于形式，确保教育基地具备持续提供高质量教育服务的能力。参考来源：《四川省自然教育基地建设 DB51/T 2739-2020》：明确了自然教育在运行管理条件的要求。</w:t>
      </w:r>
    </w:p>
    <w:p w14:paraId="15611F8F">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eastAsia="楷体"/>
          <w:b w:val="0"/>
          <w:bCs w:val="0"/>
          <w:color w:val="000000" w:themeColor="text1"/>
          <w:lang w:val="en-US" w:eastAsia="zh-CN"/>
          <w14:textFill>
            <w14:solidFill>
              <w14:schemeClr w14:val="tx1"/>
            </w14:solidFill>
          </w14:textFill>
        </w:rPr>
      </w:pPr>
    </w:p>
    <w:p w14:paraId="17732762">
      <w:pPr>
        <w:numPr>
          <w:ilvl w:val="0"/>
          <w:numId w:val="30"/>
        </w:numPr>
        <w:tabs>
          <w:tab w:val="left" w:pos="420"/>
          <w:tab w:val="clear" w:pos="0"/>
        </w:tabs>
        <w:spacing w:line="360" w:lineRule="auto"/>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开发与推广特色自然教育课程与活动体系</w:t>
      </w:r>
      <w:r>
        <w:rPr>
          <w:rFonts w:hint="eastAsia" w:ascii="Times New Roman" w:hAnsi="Times New Roman" w:cs="Times New Roman"/>
          <w:color w:val="000000" w:themeColor="text1"/>
          <w:sz w:val="21"/>
          <w:szCs w:val="21"/>
          <w:lang w:val="en-US" w:eastAsia="zh-CN"/>
          <w14:textFill>
            <w14:solidFill>
              <w14:schemeClr w14:val="tx1"/>
            </w14:solidFill>
          </w14:textFill>
        </w:rPr>
        <w:t>，立足于基地条件，制定有主题明确、特色鲜明、操作性强的自然教育方案与活动计划。针对不同群体特性和需求，开发不低于3套彰显基地特色的自然教育课程。课程内容包括知识性学习、体验式学习和动手式学习等，既要突出自然教育自身特征，又要注重与中小学（幼儿园）综合实践课程、研学等有机衔接。</w:t>
      </w:r>
    </w:p>
    <w:p w14:paraId="3FB80257">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default" w:ascii="Times New Roman" w:hAnsi="Times New Roman" w:eastAsia="楷体"/>
          <w:b w:val="0"/>
          <w:bCs w:val="0"/>
          <w:color w:val="000000" w:themeColor="text1"/>
          <w:lang w:val="en-US" w:eastAsia="zh-CN"/>
          <w14:textFill>
            <w14:solidFill>
              <w14:schemeClr w14:val="tx1"/>
            </w14:solidFill>
          </w14:textFill>
        </w:rPr>
      </w:pPr>
      <w:r>
        <w:rPr>
          <w:rFonts w:hint="default" w:ascii="Times New Roman" w:hAnsi="Times New Roman" w:eastAsia="楷体"/>
          <w:b/>
          <w:bCs/>
          <w:color w:val="000000" w:themeColor="text1"/>
          <w:lang w:val="en-US" w:eastAsia="zh-CN"/>
          <w14:textFill>
            <w14:solidFill>
              <w14:schemeClr w14:val="tx1"/>
            </w14:solidFill>
          </w14:textFill>
        </w:rPr>
        <w:t>【条文说明】</w:t>
      </w:r>
      <w:r>
        <w:rPr>
          <w:rFonts w:hint="default" w:ascii="Times New Roman" w:hAnsi="Times New Roman" w:eastAsia="楷体"/>
          <w:b w:val="0"/>
          <w:bCs w:val="0"/>
          <w:color w:val="000000" w:themeColor="text1"/>
          <w:lang w:val="en-US" w:eastAsia="zh-CN"/>
          <w14:textFill>
            <w14:solidFill>
              <w14:schemeClr w14:val="tx1"/>
            </w14:solidFill>
          </w14:textFill>
        </w:rPr>
        <w:t>本条款强调</w:t>
      </w:r>
      <w:r>
        <w:rPr>
          <w:rFonts w:hint="eastAsia" w:ascii="Times New Roman" w:hAnsi="Times New Roman" w:eastAsia="楷体"/>
          <w:b w:val="0"/>
          <w:bCs w:val="0"/>
          <w:color w:val="000000" w:themeColor="text1"/>
          <w:lang w:val="en-US" w:eastAsia="zh-CN"/>
          <w14:textFill>
            <w14:solidFill>
              <w14:schemeClr w14:val="tx1"/>
            </w14:solidFill>
          </w14:textFill>
        </w:rPr>
        <w:t>“</w:t>
      </w:r>
      <w:r>
        <w:rPr>
          <w:rFonts w:hint="default" w:ascii="Times New Roman" w:hAnsi="Times New Roman" w:eastAsia="楷体"/>
          <w:b w:val="0"/>
          <w:bCs w:val="0"/>
          <w:color w:val="000000" w:themeColor="text1"/>
          <w:lang w:val="en-US" w:eastAsia="zh-CN"/>
          <w14:textFill>
            <w14:solidFill>
              <w14:schemeClr w14:val="tx1"/>
            </w14:solidFill>
          </w14:textFill>
        </w:rPr>
        <w:t>本土化</w:t>
      </w:r>
      <w:r>
        <w:rPr>
          <w:rFonts w:hint="eastAsia" w:ascii="Times New Roman" w:hAnsi="Times New Roman" w:eastAsia="楷体"/>
          <w:b w:val="0"/>
          <w:bCs w:val="0"/>
          <w:color w:val="000000" w:themeColor="text1"/>
          <w:lang w:val="en-US" w:eastAsia="zh-CN"/>
          <w14:textFill>
            <w14:solidFill>
              <w14:schemeClr w14:val="tx1"/>
            </w14:solidFill>
          </w14:textFill>
        </w:rPr>
        <w:t>”</w:t>
      </w:r>
      <w:r>
        <w:rPr>
          <w:rFonts w:hint="default" w:ascii="Times New Roman" w:hAnsi="Times New Roman" w:eastAsia="楷体"/>
          <w:b w:val="0"/>
          <w:bCs w:val="0"/>
          <w:color w:val="000000" w:themeColor="text1"/>
          <w:lang w:val="en-US" w:eastAsia="zh-CN"/>
          <w14:textFill>
            <w14:solidFill>
              <w14:schemeClr w14:val="tx1"/>
            </w14:solidFill>
          </w14:textFill>
        </w:rPr>
        <w:t>和</w:t>
      </w:r>
      <w:r>
        <w:rPr>
          <w:rFonts w:hint="eastAsia" w:ascii="Times New Roman" w:hAnsi="Times New Roman" w:eastAsia="楷体"/>
          <w:b w:val="0"/>
          <w:bCs w:val="0"/>
          <w:color w:val="000000" w:themeColor="text1"/>
          <w:lang w:val="en-US" w:eastAsia="zh-CN"/>
          <w14:textFill>
            <w14:solidFill>
              <w14:schemeClr w14:val="tx1"/>
            </w14:solidFill>
          </w14:textFill>
        </w:rPr>
        <w:t>“</w:t>
      </w:r>
      <w:r>
        <w:rPr>
          <w:rFonts w:hint="default" w:ascii="Times New Roman" w:hAnsi="Times New Roman" w:eastAsia="楷体"/>
          <w:b w:val="0"/>
          <w:bCs w:val="0"/>
          <w:color w:val="000000" w:themeColor="text1"/>
          <w:lang w:val="en-US" w:eastAsia="zh-CN"/>
          <w14:textFill>
            <w14:solidFill>
              <w14:schemeClr w14:val="tx1"/>
            </w14:solidFill>
          </w14:textFill>
        </w:rPr>
        <w:t>分众化</w:t>
      </w:r>
      <w:r>
        <w:rPr>
          <w:rFonts w:hint="eastAsia" w:ascii="Times New Roman" w:hAnsi="Times New Roman" w:eastAsia="楷体"/>
          <w:b w:val="0"/>
          <w:bCs w:val="0"/>
          <w:color w:val="000000" w:themeColor="text1"/>
          <w:lang w:val="en-US" w:eastAsia="zh-CN"/>
          <w14:textFill>
            <w14:solidFill>
              <w14:schemeClr w14:val="tx1"/>
            </w14:solidFill>
          </w14:textFill>
        </w:rPr>
        <w:t>”</w:t>
      </w:r>
      <w:r>
        <w:rPr>
          <w:rFonts w:hint="default" w:ascii="Times New Roman" w:hAnsi="Times New Roman" w:eastAsia="楷体"/>
          <w:b w:val="0"/>
          <w:bCs w:val="0"/>
          <w:color w:val="000000" w:themeColor="text1"/>
          <w:lang w:val="en-US" w:eastAsia="zh-CN"/>
          <w14:textFill>
            <w14:solidFill>
              <w14:schemeClr w14:val="tx1"/>
            </w14:solidFill>
          </w14:textFill>
        </w:rPr>
        <w:t>，避免课程内容的同质化。参考来源：《四川省自然教育基地建设</w:t>
      </w:r>
      <w:r>
        <w:rPr>
          <w:rFonts w:hint="eastAsia" w:ascii="Times New Roman" w:hAnsi="Times New Roman" w:eastAsia="楷体"/>
          <w:b w:val="0"/>
          <w:bCs w:val="0"/>
          <w:color w:val="000000" w:themeColor="text1"/>
          <w:lang w:val="en-US" w:eastAsia="zh-CN"/>
          <w14:textFill>
            <w14:solidFill>
              <w14:schemeClr w14:val="tx1"/>
            </w14:solidFill>
          </w14:textFill>
        </w:rPr>
        <w:t xml:space="preserve"> </w:t>
      </w:r>
      <w:r>
        <w:rPr>
          <w:rFonts w:hint="default" w:ascii="Times New Roman" w:hAnsi="Times New Roman" w:eastAsia="楷体"/>
          <w:b w:val="0"/>
          <w:bCs w:val="0"/>
          <w:color w:val="000000" w:themeColor="text1"/>
          <w:lang w:val="en-US" w:eastAsia="zh-CN"/>
          <w14:textFill>
            <w14:solidFill>
              <w14:schemeClr w14:val="tx1"/>
            </w14:solidFill>
          </w14:textFill>
        </w:rPr>
        <w:t>DB51/T 2739-2020》：明确了自然教育</w:t>
      </w:r>
      <w:r>
        <w:rPr>
          <w:rFonts w:hint="eastAsia" w:ascii="Times New Roman" w:hAnsi="Times New Roman" w:eastAsia="楷体"/>
          <w:b w:val="0"/>
          <w:bCs w:val="0"/>
          <w:color w:val="000000" w:themeColor="text1"/>
          <w:lang w:val="en-US" w:eastAsia="zh-CN"/>
          <w14:textFill>
            <w14:solidFill>
              <w14:schemeClr w14:val="tx1"/>
            </w14:solidFill>
          </w14:textFill>
        </w:rPr>
        <w:t>在</w:t>
      </w:r>
      <w:r>
        <w:rPr>
          <w:rFonts w:hint="default" w:ascii="Times New Roman" w:hAnsi="Times New Roman" w:eastAsia="楷体"/>
          <w:b w:val="0"/>
          <w:bCs w:val="0"/>
          <w:color w:val="000000" w:themeColor="text1"/>
          <w:lang w:val="en-US" w:eastAsia="zh-CN"/>
          <w14:textFill>
            <w14:solidFill>
              <w14:schemeClr w14:val="tx1"/>
            </w14:solidFill>
          </w14:textFill>
        </w:rPr>
        <w:t>产品服务条件</w:t>
      </w:r>
      <w:r>
        <w:rPr>
          <w:rFonts w:hint="eastAsia" w:ascii="Times New Roman" w:hAnsi="Times New Roman" w:eastAsia="楷体"/>
          <w:b w:val="0"/>
          <w:bCs w:val="0"/>
          <w:color w:val="000000" w:themeColor="text1"/>
          <w:lang w:val="en-US" w:eastAsia="zh-CN"/>
          <w14:textFill>
            <w14:solidFill>
              <w14:schemeClr w14:val="tx1"/>
            </w14:solidFill>
          </w14:textFill>
        </w:rPr>
        <w:t>的要求。</w:t>
      </w:r>
    </w:p>
    <w:p w14:paraId="53FDD2F6">
      <w:pPr>
        <w:numPr>
          <w:ilvl w:val="0"/>
          <w:numId w:val="0"/>
        </w:numPr>
        <w:tabs>
          <w:tab w:val="left" w:pos="0"/>
        </w:tabs>
        <w:spacing w:line="360" w:lineRule="auto"/>
        <w:rPr>
          <w:rFonts w:hint="eastAsia" w:ascii="Times New Roman" w:hAnsi="Times New Roman" w:eastAsia="楷体" w:cstheme="minorBidi"/>
          <w:color w:val="000000" w:themeColor="text1"/>
          <w:kern w:val="2"/>
          <w:sz w:val="21"/>
          <w:szCs w:val="24"/>
          <w:lang w:val="en-US" w:eastAsia="zh-CN" w:bidi="ar-SA"/>
          <w14:textFill>
            <w14:solidFill>
              <w14:schemeClr w14:val="tx1"/>
            </w14:solidFill>
          </w14:textFill>
        </w:rPr>
      </w:pPr>
    </w:p>
    <w:p w14:paraId="0366C83C">
      <w:pPr>
        <w:pStyle w:val="4"/>
        <w:bidi w:val="0"/>
        <w:jc w:val="center"/>
        <w:rPr>
          <w:rFonts w:hint="eastAsia" w:ascii="Times New Roman" w:hAnsi="Times New Roman" w:cs="Times New Roman"/>
          <w:b/>
          <w:color w:val="000000" w:themeColor="text1"/>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5" w:name="_Toc28962"/>
      <w:bookmarkStart w:id="86" w:name="_Toc8986"/>
    </w:p>
    <w:bookmarkEnd w:id="85"/>
    <w:bookmarkEnd w:id="86"/>
    <w:p w14:paraId="1C60753F">
      <w:pPr>
        <w:pStyle w:val="4"/>
        <w:bidi w:val="0"/>
        <w:jc w:val="center"/>
        <w:rPr>
          <w:rFonts w:hint="default" w:ascii="Times New Roman" w:hAnsi="Times New Roman" w:cs="Times New Roman" w:eastAsiaTheme="minorEastAsia"/>
          <w:b/>
          <w:color w:val="000000" w:themeColor="text1"/>
          <w:lang w:val="en-US" w:eastAsia="zh-CN"/>
          <w14:textFill>
            <w14:solidFill>
              <w14:schemeClr w14:val="tx1"/>
            </w14:solidFill>
          </w14:textFill>
        </w:rPr>
      </w:pPr>
      <w:bookmarkStart w:id="87" w:name="_Toc5924"/>
      <w:bookmarkStart w:id="88" w:name="_Toc10946"/>
      <w:r>
        <w:rPr>
          <w:rFonts w:hint="eastAsia" w:ascii="Times New Roman" w:hAnsi="Times New Roman" w:cs="Times New Roman"/>
          <w:b/>
          <w:color w:val="000000" w:themeColor="text1"/>
          <w14:textFill>
            <w14:solidFill>
              <w14:schemeClr w14:val="tx1"/>
            </w14:solidFill>
          </w14:textFill>
        </w:rPr>
        <w:t>7</w:t>
      </w:r>
      <w:r>
        <w:rPr>
          <w:rFonts w:hint="eastAsia" w:ascii="Times New Roman" w:hAnsi="Times New Roman" w:cs="Times New Roman"/>
          <w:b/>
          <w:color w:val="000000" w:themeColor="text1"/>
          <w:lang w:val="en-US" w:eastAsia="zh-CN"/>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 xml:space="preserve"> </w:t>
      </w:r>
      <w:r>
        <w:rPr>
          <w:rFonts w:hint="eastAsia" w:ascii="Times New Roman" w:hAnsi="Times New Roman" w:cs="Times New Roman"/>
          <w:b/>
          <w:color w:val="000000" w:themeColor="text1"/>
          <w:lang w:val="en-US" w:eastAsia="zh-CN"/>
          <w14:textFill>
            <w14:solidFill>
              <w14:schemeClr w14:val="tx1"/>
            </w14:solidFill>
          </w14:textFill>
        </w:rPr>
        <w:t>保障机制</w:t>
      </w:r>
      <w:bookmarkEnd w:id="87"/>
      <w:bookmarkEnd w:id="88"/>
    </w:p>
    <w:p w14:paraId="3D3EEFE0">
      <w:pPr>
        <w:pStyle w:val="2"/>
        <w:bidi w:val="0"/>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89" w:name="_Toc21920"/>
      <w:bookmarkStart w:id="90" w:name="_Toc4642"/>
      <w:bookmarkStart w:id="91" w:name="_Toc14153"/>
      <w:bookmarkStart w:id="92" w:name="_Toc25865"/>
      <w:r>
        <w:rPr>
          <w:rFonts w:hint="eastAsia" w:ascii="Times New Roman" w:hAnsi="Times New Roman" w:eastAsia="黑体" w:cs="Times New Roman"/>
          <w:color w:val="000000" w:themeColor="text1"/>
          <w:sz w:val="32"/>
          <w:szCs w:val="32"/>
          <w:lang w:val="en-US" w:eastAsia="zh-CN"/>
          <w14:textFill>
            <w14:solidFill>
              <w14:schemeClr w14:val="tx1"/>
            </w14:solidFill>
          </w14:textFill>
        </w:rPr>
        <w:t>7</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.1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89"/>
      <w:r>
        <w:rPr>
          <w:rFonts w:hint="eastAsia" w:ascii="Times New Roman" w:hAnsi="Times New Roman" w:eastAsia="黑体" w:cs="Times New Roman"/>
          <w:color w:val="000000" w:themeColor="text1"/>
          <w:sz w:val="32"/>
          <w:szCs w:val="32"/>
          <w:lang w:val="en-US" w:eastAsia="zh-CN"/>
          <w14:textFill>
            <w14:solidFill>
              <w14:schemeClr w14:val="tx1"/>
            </w14:solidFill>
          </w14:textFill>
        </w:rPr>
        <w:t>监测与反馈</w:t>
      </w:r>
      <w:bookmarkEnd w:id="90"/>
      <w:bookmarkEnd w:id="91"/>
      <w:bookmarkEnd w:id="92"/>
    </w:p>
    <w:p w14:paraId="53635D2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监测体系构建</w:t>
      </w:r>
    </w:p>
    <w:p w14:paraId="0A06E5B4">
      <w:pPr>
        <w:numPr>
          <w:ilvl w:val="0"/>
          <w:numId w:val="32"/>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固定观测点：每个县（市、区）设置1~2处，重点监测典型绿地植物、鸟类、两栖爬行类的物种组成、群落结构及环境因子，观测频率每月1次；</w:t>
      </w:r>
    </w:p>
    <w:p w14:paraId="68D61832">
      <w:pPr>
        <w:numPr>
          <w:ilvl w:val="0"/>
          <w:numId w:val="32"/>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区域监测区：每类生态区域设置3~5处，监测生境连通性、景观破碎化程度（计算斑块蔓延度指数）；</w:t>
      </w:r>
    </w:p>
    <w:p w14:paraId="62D74A14">
      <w:pPr>
        <w:numPr>
          <w:ilvl w:val="0"/>
          <w:numId w:val="32"/>
        </w:numPr>
        <w:tabs>
          <w:tab w:val="left" w:pos="640"/>
          <w:tab w:val="clear" w:pos="420"/>
        </w:tabs>
        <w:bidi w:val="0"/>
        <w:spacing w:line="360" w:lineRule="auto"/>
        <w:ind w:left="0" w:leftChars="0" w:firstLine="42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综合监测网络：整合各级监测数据，搭建“四川省城市绿地生物多样性监测平台”，实现红外相机影像、物候数据、水质数据等实时上传与共享。</w:t>
      </w:r>
    </w:p>
    <w:p w14:paraId="5550D5D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绿地植物观测方法参照参照《生物多样性观测技术导则 陆生维管植物 HJ 710.1-2014》</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fldChar w:fldCharType="begin"/>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instrText xml:space="preserve"> HYPERLINK "http://www.mee.gov.cn/ywgz/fgbz/bz/bzwb/stzl/201411/t20141106_291239.htm" </w:instrTex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fldChar w:fldCharType="separate"/>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fldChar w:fldCharType="end"/>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两栖爬行类观测方法参照《生物多样性观测技术导则 两栖动物 HJ 710.6-2014》；植物监测方法参照《环境影响评价技术导则 HJ 19-2022》；平台建设衔接《四川省国土空间生态修复规划（2021-2035 年）》“天空地一体化监测”要求。</w:t>
      </w:r>
    </w:p>
    <w:p w14:paraId="56C0179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1CDA9F7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反馈机制</w:t>
      </w:r>
    </w:p>
    <w:p w14:paraId="04701A9D">
      <w:pPr>
        <w:numPr>
          <w:ilvl w:val="0"/>
          <w:numId w:val="33"/>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数据上报：基层管护单位每月向区县主管部门提交监测报告，区县每季度汇总至市级平台，市级每年形成全省监测年报；</w:t>
      </w:r>
    </w:p>
    <w:p w14:paraId="090DD891">
      <w:pPr>
        <w:numPr>
          <w:ilvl w:val="0"/>
          <w:numId w:val="33"/>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分析评估：每年组织专家对监测数据进行评估，识别生境退、物种减少等问题；</w:t>
      </w:r>
    </w:p>
    <w:p w14:paraId="0D998E97">
      <w:pPr>
        <w:numPr>
          <w:ilvl w:val="0"/>
          <w:numId w:val="33"/>
        </w:numPr>
        <w:tabs>
          <w:tab w:val="left" w:pos="640"/>
          <w:tab w:val="clear" w:pos="420"/>
        </w:tabs>
        <w:bidi w:val="0"/>
        <w:spacing w:line="360" w:lineRule="auto"/>
        <w:ind w:left="0" w:leftChars="0" w:firstLine="42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问题整改：对监测发现的问题，明确责任单位与整改时限，整改完成后需复核验收，验收不合格的暂停相关绿地项目审批。</w:t>
      </w:r>
    </w:p>
    <w:p w14:paraId="5336BE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反馈流程衔接《四川科学绿化试点示范省建设实施方案（2023—2025 年）》“成效考核”机制；评估方法参照《生物多样性评估标准 T/CGDF 00002-2020》。</w:t>
      </w:r>
    </w:p>
    <w:p w14:paraId="37EAC039">
      <w:pPr>
        <w:numPr>
          <w:ilvl w:val="0"/>
          <w:numId w:val="0"/>
        </w:numPr>
        <w:tabs>
          <w:tab w:val="left" w:pos="420"/>
        </w:tabs>
        <w:spacing w:line="360" w:lineRule="auto"/>
        <w:ind w:leftChars="0"/>
        <w:rPr>
          <w:rFonts w:hint="default" w:ascii="Times New Roman" w:hAnsi="Times New Roman" w:eastAsia="楷体" w:cs="Times New Roman"/>
          <w:color w:val="000000" w:themeColor="text1"/>
          <w:kern w:val="2"/>
          <w:sz w:val="21"/>
          <w:szCs w:val="24"/>
          <w:lang w:val="en-US" w:eastAsia="zh-CN" w:bidi="ar-SA"/>
          <w14:textFill>
            <w14:solidFill>
              <w14:schemeClr w14:val="tx1"/>
            </w14:solidFill>
          </w14:textFill>
        </w:rPr>
      </w:pPr>
    </w:p>
    <w:p w14:paraId="55A44936">
      <w:pPr>
        <w:pStyle w:val="2"/>
        <w:bidi w:val="0"/>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93" w:name="_Toc3628"/>
      <w:bookmarkStart w:id="94" w:name="_Toc17962"/>
      <w:bookmarkStart w:id="95" w:name="_Toc19737"/>
      <w:bookmarkStart w:id="96" w:name="_Toc21244"/>
      <w:r>
        <w:rPr>
          <w:rFonts w:hint="eastAsia" w:ascii="Times New Roman" w:hAnsi="Times New Roman" w:eastAsia="黑体" w:cs="Times New Roman"/>
          <w:color w:val="000000" w:themeColor="text1"/>
          <w:sz w:val="32"/>
          <w:szCs w:val="32"/>
          <w:lang w:val="en-US" w:eastAsia="zh-CN"/>
          <w14:textFill>
            <w14:solidFill>
              <w14:schemeClr w14:val="tx1"/>
            </w14:solidFill>
          </w14:textFill>
        </w:rPr>
        <w:t>7</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.2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bookmarkEnd w:id="93"/>
      <w:r>
        <w:rPr>
          <w:rFonts w:hint="eastAsia" w:ascii="Times New Roman" w:hAnsi="Times New Roman" w:eastAsia="黑体" w:cs="Times New Roman"/>
          <w:color w:val="000000" w:themeColor="text1"/>
          <w:sz w:val="32"/>
          <w:szCs w:val="32"/>
          <w:lang w:val="en-US" w:eastAsia="zh-CN"/>
          <w14:textFill>
            <w14:solidFill>
              <w14:schemeClr w14:val="tx1"/>
            </w14:solidFill>
          </w14:textFill>
        </w:rPr>
        <w:t>管护与提升</w:t>
      </w:r>
      <w:bookmarkEnd w:id="94"/>
      <w:bookmarkEnd w:id="95"/>
      <w:bookmarkEnd w:id="96"/>
    </w:p>
    <w:p w14:paraId="2F6D1652">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精准管护措施</w:t>
      </w:r>
    </w:p>
    <w:p w14:paraId="4AD5FC33">
      <w:pPr>
        <w:numPr>
          <w:ilvl w:val="0"/>
          <w:numId w:val="35"/>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植物管护：乡土植物优先：严格执行乡土植物应用比例，育苗采用本地种源，禁止调入未经驯化的省外种苗；野花草甸修剪每年≤2次（春秋季各1次），修剪高度≥15cm；枯落物保留率≥30%，禁止全面清理，为昆虫、土壤微生物提供栖息地；</w:t>
      </w:r>
    </w:p>
    <w:p w14:paraId="4B33285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乡土植物比例结合《四川科学绿化试点示范省建设实施方案（2023-2025年）》“乡土物种主导”要求；外来物种管控参考《四川省生物多样性格局》“严禁引入外来入侵物种”要求，生物防治可避免对本土生态系统二次破坏。</w:t>
      </w:r>
    </w:p>
    <w:p w14:paraId="6439A8D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color w:val="000000" w:themeColor="text1"/>
          <w:kern w:val="0"/>
          <w:sz w:val="21"/>
          <w:szCs w:val="20"/>
          <w:lang w:val="en-US" w:eastAsia="zh-CN" w:bidi="ar-SA"/>
          <w14:textFill>
            <w14:solidFill>
              <w14:schemeClr w14:val="tx1"/>
            </w14:solidFill>
          </w14:textFill>
        </w:rPr>
      </w:pPr>
    </w:p>
    <w:p w14:paraId="2AD1B653">
      <w:pPr>
        <w:numPr>
          <w:ilvl w:val="0"/>
          <w:numId w:val="35"/>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鸟类栖息地保护：滨水绿地保留≥10%裸露滩涂，种植挺水植物与食源植物；林地绿地每公顷设置1~2个鸟类巢箱，巢箱材质选用防腐木材，避免化学涂层。</w:t>
      </w:r>
    </w:p>
    <w:p w14:paraId="77838E1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b w:val="0"/>
          <w:bCs w:val="0"/>
          <w:color w:val="000000" w:themeColor="text1"/>
          <w:sz w:val="21"/>
          <w:szCs w:val="21"/>
          <w:highlight w:val="none"/>
          <w:lang w:val="en-US" w:eastAsia="zh-CN"/>
          <w14:textFill>
            <w14:solidFill>
              <w14:schemeClr w14:val="tx1"/>
            </w14:solidFill>
          </w14:textFill>
        </w:rPr>
        <w:t>鸟类</w:t>
      </w:r>
      <w:r>
        <w:rPr>
          <w:rFonts w:hint="eastAsia" w:ascii="Times New Roman" w:hAnsi="Times New Roman" w:eastAsia="楷体" w:cs="Times New Roman"/>
          <w:b w:val="0"/>
          <w:bCs w:val="0"/>
          <w:color w:val="000000" w:themeColor="text1"/>
          <w:kern w:val="0"/>
          <w:sz w:val="21"/>
          <w:szCs w:val="20"/>
          <w:highlight w:val="none"/>
          <w:lang w:val="en-US" w:eastAsia="zh-CN" w:bidi="ar-SA"/>
          <w14:textFill>
            <w14:solidFill>
              <w14:schemeClr w14:val="tx1"/>
            </w14:solidFill>
          </w14:textFill>
        </w:rPr>
        <w:t>栖</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息地营建参考《城市绿地鸟类栖息地营造及恢复技术规范 DB11/T 1513—2018》。</w:t>
      </w:r>
    </w:p>
    <w:p w14:paraId="71CA97E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p>
    <w:p w14:paraId="76CCB9DB">
      <w:pPr>
        <w:numPr>
          <w:ilvl w:val="0"/>
          <w:numId w:val="35"/>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两栖爬行类栖息地保护：绿地内自然水体水深控制在0.3~0.5m，岸边种植灌草，禁止硬化驳岸。设施维护：生态廊道标识、昆虫旅馆等设施每季度检查1次，损坏设施48小时内修复，确保动物活动不受干扰。</w:t>
      </w:r>
    </w:p>
    <w:p w14:paraId="5B7289B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栖息地营建参考《大鲵野外栖息地修复技术规范 DB 43/T 2999—2024》；设施维护参照《城市中促进健康与生物多样性的设计指南》“生境设施持续发挥作用”要求，确保动物活动不受干扰。</w:t>
      </w:r>
    </w:p>
    <w:p w14:paraId="7DFD125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color w:val="000000" w:themeColor="text1"/>
          <w:kern w:val="0"/>
          <w:sz w:val="21"/>
          <w:szCs w:val="20"/>
          <w:lang w:val="en-US" w:eastAsia="zh-CN" w:bidi="ar-SA"/>
          <w14:textFill>
            <w14:solidFill>
              <w14:schemeClr w14:val="tx1"/>
            </w14:solidFill>
          </w14:textFill>
        </w:rPr>
      </w:pPr>
    </w:p>
    <w:p w14:paraId="4166174D">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质量提升路径</w:t>
      </w:r>
    </w:p>
    <w:p w14:paraId="311804C4">
      <w:pPr>
        <w:numPr>
          <w:ilvl w:val="0"/>
          <w:numId w:val="36"/>
        </w:numPr>
        <w:tabs>
          <w:tab w:val="left" w:pos="640"/>
          <w:tab w:val="clear" w:pos="420"/>
        </w:tabs>
        <w:bidi w:val="0"/>
        <w:spacing w:line="360" w:lineRule="auto"/>
        <w:ind w:left="0" w:leftChars="0" w:firstLine="420" w:firstLineChars="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优化群落结构。对单一纯林（如柏木、马尾松纯林）进行近自然改造，引入阔叶乡土树种（香樟、栾树），构建针阔混交林；林下补植耐荫灌草（冬青、苔草），提升群落垂直分层，参照《四川科学绿化试点方案》“退化林修复”任务；</w:t>
      </w:r>
    </w:p>
    <w:p w14:paraId="2C61CFB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参照《四川科学绿化试点示范省建设实施方案（2023-2025年）》“退化林修复”任务；干热河谷群落优化参考《</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干旱干热河谷区退化林地土壤修复技术规程</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 xml:space="preserve"> </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 xml:space="preserve">LY/T </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3180-</w:t>
      </w:r>
      <w:r>
        <w:rPr>
          <w:rFonts w:hint="default"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2020</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》；复层结构可提升生境复杂性。</w:t>
      </w:r>
    </w:p>
    <w:p w14:paraId="7AEDA50F">
      <w:pPr>
        <w:numPr>
          <w:ilvl w:val="0"/>
          <w:numId w:val="0"/>
        </w:numPr>
        <w:tabs>
          <w:tab w:val="left" w:pos="640"/>
        </w:tabs>
        <w:bidi w:val="0"/>
        <w:spacing w:line="360" w:lineRule="auto"/>
        <w:ind w:left="420" w:leftChars="0"/>
        <w:rPr>
          <w:rFonts w:hint="eastAsia" w:ascii="Times New Roman" w:hAnsi="Times New Roman" w:cs="Times New Roman"/>
          <w:color w:val="000000" w:themeColor="text1"/>
          <w:sz w:val="21"/>
          <w:szCs w:val="21"/>
          <w:lang w:val="en-US" w:eastAsia="zh-CN"/>
          <w14:textFill>
            <w14:solidFill>
              <w14:schemeClr w14:val="tx1"/>
            </w14:solidFill>
          </w14:textFill>
        </w:rPr>
      </w:pPr>
    </w:p>
    <w:p w14:paraId="46FEBDCD">
      <w:pPr>
        <w:numPr>
          <w:ilvl w:val="0"/>
          <w:numId w:val="36"/>
        </w:numPr>
        <w:tabs>
          <w:tab w:val="left" w:pos="640"/>
          <w:tab w:val="clear" w:pos="420"/>
        </w:tabs>
        <w:bidi w:val="0"/>
        <w:spacing w:line="360" w:lineRule="auto"/>
        <w:ind w:left="0" w:leftChars="0" w:firstLine="42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提升生境连通性：在城市道路、铁路等生态断裂点，建设宽度≥20m的生态桥涵，桥上种植本地灌木（荚蒾、忍冬）；沿水系营建宽度≥50m的滨水绿带，连接孤立绿地斑块（如城市公园、郊野公园）；</w:t>
      </w:r>
    </w:p>
    <w:p w14:paraId="2FEFA8C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楷体" w:cs="Times New Roman"/>
          <w:b/>
          <w:bCs/>
          <w:color w:val="000000" w:themeColor="text1"/>
          <w:sz w:val="21"/>
          <w:szCs w:val="21"/>
          <w:highlight w:val="none"/>
          <w:lang w:val="en-US" w:eastAsia="zh-CN"/>
          <w14:textFill>
            <w14:solidFill>
              <w14:schemeClr w14:val="tx1"/>
            </w14:solidFill>
          </w14:textFill>
        </w:rPr>
        <w:t>【条文说明】</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衔接《四川省国</w:t>
      </w:r>
      <w:r>
        <w:rPr>
          <w:rFonts w:hint="eastAsia" w:ascii="Times New Roman" w:hAnsi="Times New Roman" w:cs="Times New Roman"/>
          <w:color w:val="000000" w:themeColor="text1"/>
          <w:sz w:val="21"/>
          <w:szCs w:val="21"/>
          <w:lang w:val="en-US" w:eastAsia="zh-CN"/>
          <w14:textFill>
            <w14:solidFill>
              <w14:schemeClr w14:val="tx1"/>
            </w14:solidFill>
          </w14:textFill>
        </w:rPr>
        <w:t>土空间生态修复规划（2021-2035年）》“生</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态网络构建”目标；生态桥涵宽度加宽至20米以适配川西南山地物种需求，确保连通性效果。</w:t>
      </w:r>
    </w:p>
    <w:p w14:paraId="06F4AF50">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5A63E14D">
      <w:pPr>
        <w:pStyle w:val="4"/>
        <w:bidi w:val="0"/>
        <w:jc w:val="center"/>
        <w:rPr>
          <w:rFonts w:hint="default" w:ascii="Times New Roman" w:hAnsi="Times New Roman" w:cs="Times New Roman"/>
          <w:color w:val="000000" w:themeColor="text1"/>
          <w:lang w:val="en-US" w:eastAsia="zh-CN"/>
          <w14:textFill>
            <w14:solidFill>
              <w14:schemeClr w14:val="tx1"/>
            </w14:solidFill>
          </w14:textFill>
        </w:rPr>
      </w:pPr>
      <w:bookmarkStart w:id="97" w:name="_Toc11358"/>
      <w:bookmarkStart w:id="98" w:name="_Toc18428"/>
      <w:bookmarkStart w:id="99" w:name="_Toc1111"/>
      <w:bookmarkStart w:id="100" w:name="_Toc1256"/>
      <w:bookmarkStart w:id="101" w:name="_Toc32361"/>
      <w:r>
        <w:rPr>
          <w:rFonts w:hint="default" w:ascii="Times New Roman" w:hAnsi="Times New Roman" w:cs="Times New Roman"/>
          <w:color w:val="000000" w:themeColor="text1"/>
          <w:lang w:val="en-US" w:eastAsia="zh-CN"/>
          <w14:textFill>
            <w14:solidFill>
              <w14:schemeClr w14:val="tx1"/>
            </w14:solidFill>
          </w14:textFill>
        </w:rPr>
        <w:t>附录</w:t>
      </w:r>
      <w:r>
        <w:rPr>
          <w:rFonts w:hint="eastAsia" w:ascii="Times New Roman" w:hAnsi="Times New Roman" w:cs="Times New Roman"/>
          <w:color w:val="000000" w:themeColor="text1"/>
          <w:lang w:val="en-US" w:eastAsia="zh-CN"/>
          <w14:textFill>
            <w14:solidFill>
              <w14:schemeClr w14:val="tx1"/>
            </w14:solidFill>
          </w14:textFill>
        </w:rPr>
        <w:t>A</w:t>
      </w:r>
      <w:r>
        <w:rPr>
          <w:rFonts w:hint="default" w:ascii="Times New Roman" w:hAnsi="Times New Roman" w:cs="Times New Roman"/>
          <w:color w:val="000000" w:themeColor="text1"/>
          <w:lang w:val="en-US" w:eastAsia="zh-CN"/>
          <w14:textFill>
            <w14:solidFill>
              <w14:schemeClr w14:val="tx1"/>
            </w14:solidFill>
          </w14:textFill>
        </w:rPr>
        <w:t xml:space="preserve"> </w:t>
      </w:r>
      <w:bookmarkEnd w:id="97"/>
      <w:bookmarkEnd w:id="98"/>
      <w:r>
        <w:rPr>
          <w:rFonts w:hint="eastAsia" w:ascii="Times New Roman" w:hAnsi="Times New Roman" w:cs="Times New Roman"/>
          <w:color w:val="000000" w:themeColor="text1"/>
          <w:lang w:val="en-US" w:eastAsia="zh-CN"/>
          <w14:textFill>
            <w14:solidFill>
              <w14:schemeClr w14:val="tx1"/>
            </w14:solidFill>
          </w14:textFill>
        </w:rPr>
        <w:t>四川省城市绿地生物多样性保护植物推荐名录</w:t>
      </w:r>
      <w:bookmarkEnd w:id="99"/>
    </w:p>
    <w:p w14:paraId="5615AC8A">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54" w:leftChars="0" w:hanging="454" w:firstLineChar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本附录为</w:t>
      </w:r>
      <w:r>
        <w:rPr>
          <w:rFonts w:hint="eastAsia" w:ascii="Times New Roman" w:hAnsi="Times New Roman" w:cs="Times New Roman"/>
          <w:color w:val="000000" w:themeColor="text1"/>
          <w:lang w:val="en-US" w:eastAsia="zh-CN"/>
          <w14:textFill>
            <w14:solidFill>
              <w14:schemeClr w14:val="tx1"/>
            </w14:solidFill>
          </w14:textFill>
        </w:rPr>
        <w:t>四川省城市绿地生物多样性保护植物</w:t>
      </w:r>
      <w:r>
        <w:rPr>
          <w:rFonts w:hint="eastAsia" w:ascii="Times New Roman" w:hAnsi="Times New Roman" w:cs="Times New Roman"/>
          <w:b w:val="0"/>
          <w:bCs/>
          <w:color w:val="000000" w:themeColor="text1"/>
          <w:lang w:val="en-US" w:eastAsia="zh-CN"/>
          <w14:textFill>
            <w14:solidFill>
              <w14:schemeClr w14:val="tx1"/>
            </w14:solidFill>
          </w14:textFill>
        </w:rPr>
        <w:t>推荐名录。</w:t>
      </w:r>
    </w:p>
    <w:tbl>
      <w:tblPr>
        <w:tblStyle w:val="17"/>
        <w:tblpPr w:leftFromText="180" w:rightFromText="180" w:vertAnchor="text" w:horzAnchor="page" w:tblpX="1427" w:tblpY="799"/>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870"/>
        <w:gridCol w:w="997"/>
        <w:gridCol w:w="1761"/>
        <w:gridCol w:w="3264"/>
        <w:gridCol w:w="1665"/>
      </w:tblGrid>
      <w:tr w14:paraId="57EF5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25501F6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序号</w:t>
            </w:r>
          </w:p>
        </w:tc>
        <w:tc>
          <w:tcPr>
            <w:tcW w:w="870" w:type="dxa"/>
            <w:tcBorders>
              <w:tl2br w:val="nil"/>
              <w:tr2bl w:val="nil"/>
            </w:tcBorders>
            <w:vAlign w:val="center"/>
          </w:tcPr>
          <w:p w14:paraId="3669E2F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植物类型</w:t>
            </w:r>
          </w:p>
        </w:tc>
        <w:tc>
          <w:tcPr>
            <w:tcW w:w="997" w:type="dxa"/>
            <w:tcBorders>
              <w:tl2br w:val="nil"/>
              <w:tr2bl w:val="nil"/>
            </w:tcBorders>
            <w:vAlign w:val="center"/>
          </w:tcPr>
          <w:p w14:paraId="4368753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植物名称</w:t>
            </w:r>
          </w:p>
        </w:tc>
        <w:tc>
          <w:tcPr>
            <w:tcW w:w="1761" w:type="dxa"/>
            <w:tcBorders>
              <w:tl2br w:val="nil"/>
              <w:tr2bl w:val="nil"/>
            </w:tcBorders>
            <w:vAlign w:val="center"/>
          </w:tcPr>
          <w:p w14:paraId="2DC7B35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学名</w:t>
            </w:r>
          </w:p>
        </w:tc>
        <w:tc>
          <w:tcPr>
            <w:tcW w:w="3264" w:type="dxa"/>
            <w:tcBorders>
              <w:tl2br w:val="nil"/>
              <w:tr2bl w:val="nil"/>
            </w:tcBorders>
            <w:vAlign w:val="center"/>
          </w:tcPr>
          <w:p w14:paraId="6D4919D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生态特性</w:t>
            </w:r>
          </w:p>
        </w:tc>
        <w:tc>
          <w:tcPr>
            <w:tcW w:w="1665" w:type="dxa"/>
            <w:tcBorders>
              <w:tl2br w:val="nil"/>
              <w:tr2bl w:val="nil"/>
            </w:tcBorders>
            <w:vAlign w:val="center"/>
          </w:tcPr>
          <w:p w14:paraId="0EAE44F5">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适用场景</w:t>
            </w:r>
          </w:p>
        </w:tc>
      </w:tr>
      <w:tr w14:paraId="14F62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227FC977">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w:t>
            </w:r>
          </w:p>
        </w:tc>
        <w:tc>
          <w:tcPr>
            <w:tcW w:w="870" w:type="dxa"/>
            <w:vMerge w:val="restart"/>
            <w:tcBorders>
              <w:tl2br w:val="nil"/>
              <w:tr2bl w:val="nil"/>
            </w:tcBorders>
            <w:vAlign w:val="center"/>
          </w:tcPr>
          <w:p w14:paraId="12C68B7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乔木</w:t>
            </w:r>
          </w:p>
        </w:tc>
        <w:tc>
          <w:tcPr>
            <w:tcW w:w="997" w:type="dxa"/>
            <w:tcBorders>
              <w:tl2br w:val="nil"/>
              <w:tr2bl w:val="nil"/>
            </w:tcBorders>
            <w:vAlign w:val="center"/>
          </w:tcPr>
          <w:p w14:paraId="32595CC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麻栎</w:t>
            </w:r>
          </w:p>
        </w:tc>
        <w:tc>
          <w:tcPr>
            <w:tcW w:w="1761" w:type="dxa"/>
            <w:tcBorders>
              <w:tl2br w:val="nil"/>
              <w:tr2bl w:val="nil"/>
            </w:tcBorders>
            <w:vAlign w:val="center"/>
          </w:tcPr>
          <w:p w14:paraId="2073C332">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ascii="Times New Roman" w:hAnsi="Times New Roman" w:eastAsia="宋体" w:cs="Times New Roman"/>
                <w:i/>
                <w:iCs/>
                <w:color w:val="000000" w:themeColor="text1"/>
                <w:kern w:val="0"/>
                <w:sz w:val="18"/>
                <w:szCs w:val="18"/>
                <w:lang w:bidi="ar"/>
                <w14:textFill>
                  <w14:solidFill>
                    <w14:schemeClr w14:val="tx1"/>
                  </w14:solidFill>
                </w14:textFill>
              </w:rPr>
              <w:t>Quercus acutissima</w:t>
            </w:r>
            <w:r>
              <w:rPr>
                <w:rFonts w:hint="default" w:ascii="Times New Roman" w:hAnsi="Times New Roman" w:eastAsia="宋体" w:cs="Times New Roman"/>
                <w:i/>
                <w:iCs/>
                <w:color w:val="000000" w:themeColor="text1"/>
                <w:kern w:val="0"/>
                <w:sz w:val="18"/>
                <w:szCs w:val="18"/>
                <w:lang w:bidi="ar"/>
                <w14:textFill>
                  <w14:solidFill>
                    <w14:schemeClr w14:val="tx1"/>
                  </w14:solidFill>
                </w14:textFill>
              </w:rPr>
              <w:t> Carruth.</w:t>
            </w:r>
          </w:p>
        </w:tc>
        <w:tc>
          <w:tcPr>
            <w:tcW w:w="3264" w:type="dxa"/>
            <w:tcBorders>
              <w:tl2br w:val="nil"/>
              <w:tr2bl w:val="nil"/>
            </w:tcBorders>
            <w:vAlign w:val="center"/>
          </w:tcPr>
          <w:p w14:paraId="3B8C662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深根性，固土能力强，耐瘠薄。</w:t>
            </w:r>
          </w:p>
        </w:tc>
        <w:tc>
          <w:tcPr>
            <w:tcW w:w="1665" w:type="dxa"/>
            <w:tcBorders>
              <w:tl2br w:val="nil"/>
              <w:tr2bl w:val="nil"/>
            </w:tcBorders>
            <w:vAlign w:val="center"/>
          </w:tcPr>
          <w:p w14:paraId="0C603FC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防护林，生态修复</w:t>
            </w:r>
          </w:p>
        </w:tc>
      </w:tr>
      <w:tr w14:paraId="465D7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4F5A8A9A">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w:t>
            </w:r>
          </w:p>
        </w:tc>
        <w:tc>
          <w:tcPr>
            <w:tcW w:w="870" w:type="dxa"/>
            <w:vMerge w:val="continue"/>
            <w:tcBorders>
              <w:tl2br w:val="nil"/>
              <w:tr2bl w:val="nil"/>
            </w:tcBorders>
            <w:vAlign w:val="center"/>
          </w:tcPr>
          <w:p w14:paraId="744AEB30">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1A00EB0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栓皮栎</w:t>
            </w:r>
          </w:p>
        </w:tc>
        <w:tc>
          <w:tcPr>
            <w:tcW w:w="1761" w:type="dxa"/>
            <w:tcBorders>
              <w:tl2br w:val="nil"/>
              <w:tr2bl w:val="nil"/>
            </w:tcBorders>
            <w:vAlign w:val="center"/>
          </w:tcPr>
          <w:p w14:paraId="7F7EA26E">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ascii="Times New Roman" w:hAnsi="Times New Roman" w:eastAsia="宋体" w:cs="Times New Roman"/>
                <w:i/>
                <w:iCs/>
                <w:color w:val="000000" w:themeColor="text1"/>
                <w:kern w:val="0"/>
                <w:sz w:val="18"/>
                <w:szCs w:val="18"/>
                <w:lang w:bidi="ar"/>
                <w14:textFill>
                  <w14:solidFill>
                    <w14:schemeClr w14:val="tx1"/>
                  </w14:solidFill>
                </w14:textFill>
              </w:rPr>
              <w:t>Quercus variabilis</w:t>
            </w:r>
            <w:r>
              <w:rPr>
                <w:rFonts w:hint="default" w:ascii="Times New Roman" w:hAnsi="Times New Roman" w:eastAsia="宋体" w:cs="Times New Roman"/>
                <w:i/>
                <w:iCs/>
                <w:color w:val="000000" w:themeColor="text1"/>
                <w:kern w:val="0"/>
                <w:sz w:val="18"/>
                <w:szCs w:val="18"/>
                <w:lang w:bidi="ar"/>
                <w14:textFill>
                  <w14:solidFill>
                    <w14:schemeClr w14:val="tx1"/>
                  </w14:solidFill>
                </w14:textFill>
              </w:rPr>
              <w:t> Blume</w:t>
            </w:r>
          </w:p>
        </w:tc>
        <w:tc>
          <w:tcPr>
            <w:tcW w:w="3264" w:type="dxa"/>
            <w:tcBorders>
              <w:tl2br w:val="nil"/>
              <w:tr2bl w:val="nil"/>
            </w:tcBorders>
            <w:vAlign w:val="center"/>
          </w:tcPr>
          <w:p w14:paraId="0F52798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根系发达，适应性强，防火。</w:t>
            </w:r>
          </w:p>
        </w:tc>
        <w:tc>
          <w:tcPr>
            <w:tcW w:w="1665" w:type="dxa"/>
            <w:tcBorders>
              <w:tl2br w:val="nil"/>
              <w:tr2bl w:val="nil"/>
            </w:tcBorders>
            <w:vAlign w:val="center"/>
          </w:tcPr>
          <w:p w14:paraId="32AEDB5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防护林，生态修复</w:t>
            </w:r>
          </w:p>
        </w:tc>
      </w:tr>
      <w:tr w14:paraId="09937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D92BEDC">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w:t>
            </w:r>
          </w:p>
        </w:tc>
        <w:tc>
          <w:tcPr>
            <w:tcW w:w="870" w:type="dxa"/>
            <w:vMerge w:val="continue"/>
            <w:tcBorders>
              <w:tl2br w:val="nil"/>
              <w:tr2bl w:val="nil"/>
            </w:tcBorders>
            <w:vAlign w:val="center"/>
          </w:tcPr>
          <w:p w14:paraId="1750B9CD">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59E5E9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刺槐</w:t>
            </w:r>
          </w:p>
        </w:tc>
        <w:tc>
          <w:tcPr>
            <w:tcW w:w="1761" w:type="dxa"/>
            <w:tcBorders>
              <w:tl2br w:val="nil"/>
              <w:tr2bl w:val="nil"/>
            </w:tcBorders>
            <w:vAlign w:val="center"/>
          </w:tcPr>
          <w:p w14:paraId="00B3C74C">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ascii="Times New Roman" w:hAnsi="Times New Roman" w:eastAsia="宋体" w:cs="Times New Roman"/>
                <w:i/>
                <w:iCs/>
                <w:color w:val="000000" w:themeColor="text1"/>
                <w:kern w:val="0"/>
                <w:sz w:val="18"/>
                <w:szCs w:val="18"/>
                <w:lang w:bidi="ar"/>
                <w14:textFill>
                  <w14:solidFill>
                    <w14:schemeClr w14:val="tx1"/>
                  </w14:solidFill>
                </w14:textFill>
              </w:rPr>
              <w:t>Robinia pseudoacacia</w:t>
            </w:r>
            <w:r>
              <w:rPr>
                <w:rFonts w:hint="default" w:ascii="Times New Roman" w:hAnsi="Times New Roman" w:eastAsia="宋体" w:cs="Times New Roman"/>
                <w:i/>
                <w:iCs/>
                <w:color w:val="000000" w:themeColor="text1"/>
                <w:kern w:val="0"/>
                <w:sz w:val="18"/>
                <w:szCs w:val="18"/>
                <w:lang w:bidi="ar"/>
                <w14:textFill>
                  <w14:solidFill>
                    <w14:schemeClr w14:val="tx1"/>
                  </w14:solidFill>
                </w14:textFill>
              </w:rPr>
              <w:t> L.</w:t>
            </w:r>
          </w:p>
        </w:tc>
        <w:tc>
          <w:tcPr>
            <w:tcW w:w="3264" w:type="dxa"/>
            <w:tcBorders>
              <w:tl2br w:val="nil"/>
              <w:tr2bl w:val="nil"/>
            </w:tcBorders>
            <w:vAlign w:val="center"/>
          </w:tcPr>
          <w:p w14:paraId="1DFA430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生长快，耐贫瘠，有根瘤菌可固氮改良土壤。</w:t>
            </w:r>
          </w:p>
        </w:tc>
        <w:tc>
          <w:tcPr>
            <w:tcW w:w="1665" w:type="dxa"/>
            <w:tcBorders>
              <w:tl2br w:val="nil"/>
              <w:tr2bl w:val="nil"/>
            </w:tcBorders>
            <w:vAlign w:val="center"/>
          </w:tcPr>
          <w:p w14:paraId="65ECCBE5">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土壤改良，荒山绿化</w:t>
            </w:r>
          </w:p>
        </w:tc>
      </w:tr>
      <w:tr w14:paraId="7740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3EAB118">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w:t>
            </w:r>
          </w:p>
        </w:tc>
        <w:tc>
          <w:tcPr>
            <w:tcW w:w="870" w:type="dxa"/>
            <w:vMerge w:val="continue"/>
            <w:tcBorders>
              <w:tl2br w:val="nil"/>
              <w:tr2bl w:val="nil"/>
            </w:tcBorders>
            <w:vAlign w:val="center"/>
          </w:tcPr>
          <w:p w14:paraId="3EA727FB">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343FC9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桤木</w:t>
            </w:r>
          </w:p>
        </w:tc>
        <w:tc>
          <w:tcPr>
            <w:tcW w:w="1761" w:type="dxa"/>
            <w:tcBorders>
              <w:tl2br w:val="nil"/>
              <w:tr2bl w:val="nil"/>
            </w:tcBorders>
            <w:vAlign w:val="center"/>
          </w:tcPr>
          <w:p w14:paraId="7FD2EE40">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ascii="Times New Roman" w:hAnsi="Times New Roman" w:eastAsia="宋体" w:cs="Times New Roman"/>
                <w:i/>
                <w:iCs/>
                <w:color w:val="000000" w:themeColor="text1"/>
                <w:kern w:val="0"/>
                <w:sz w:val="18"/>
                <w:szCs w:val="18"/>
                <w:lang w:bidi="ar"/>
                <w14:textFill>
                  <w14:solidFill>
                    <w14:schemeClr w14:val="tx1"/>
                  </w14:solidFill>
                </w14:textFill>
              </w:rPr>
              <w:t>Alnus cremastogyne</w:t>
            </w:r>
            <w:r>
              <w:rPr>
                <w:rFonts w:hint="default" w:ascii="Times New Roman" w:hAnsi="Times New Roman" w:eastAsia="宋体" w:cs="Times New Roman"/>
                <w:i/>
                <w:iCs/>
                <w:color w:val="000000" w:themeColor="text1"/>
                <w:kern w:val="0"/>
                <w:sz w:val="18"/>
                <w:szCs w:val="18"/>
                <w:lang w:bidi="ar"/>
                <w14:textFill>
                  <w14:solidFill>
                    <w14:schemeClr w14:val="tx1"/>
                  </w14:solidFill>
                </w14:textFill>
              </w:rPr>
              <w:t> Burkill</w:t>
            </w:r>
          </w:p>
        </w:tc>
        <w:tc>
          <w:tcPr>
            <w:tcW w:w="3264" w:type="dxa"/>
            <w:tcBorders>
              <w:tl2br w:val="nil"/>
              <w:tr2bl w:val="nil"/>
            </w:tcBorders>
            <w:vAlign w:val="center"/>
          </w:tcPr>
          <w:p w14:paraId="542F3B9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耐水湿，固氮能力强，能改善土壤。</w:t>
            </w:r>
          </w:p>
        </w:tc>
        <w:tc>
          <w:tcPr>
            <w:tcW w:w="1665" w:type="dxa"/>
            <w:tcBorders>
              <w:tl2br w:val="nil"/>
              <w:tr2bl w:val="nil"/>
            </w:tcBorders>
            <w:vAlign w:val="center"/>
          </w:tcPr>
          <w:p w14:paraId="2065EBF5">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农林复合系统，水边绿化</w:t>
            </w:r>
          </w:p>
        </w:tc>
      </w:tr>
      <w:tr w14:paraId="552DD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1BA37C06">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5</w:t>
            </w:r>
          </w:p>
        </w:tc>
        <w:tc>
          <w:tcPr>
            <w:tcW w:w="870" w:type="dxa"/>
            <w:vMerge w:val="continue"/>
            <w:tcBorders>
              <w:tl2br w:val="nil"/>
              <w:tr2bl w:val="nil"/>
            </w:tcBorders>
            <w:vAlign w:val="center"/>
          </w:tcPr>
          <w:p w14:paraId="083460CA">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6A393A9">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柏木</w:t>
            </w:r>
          </w:p>
        </w:tc>
        <w:tc>
          <w:tcPr>
            <w:tcW w:w="1761" w:type="dxa"/>
            <w:tcBorders>
              <w:tl2br w:val="nil"/>
              <w:tr2bl w:val="nil"/>
            </w:tcBorders>
            <w:vAlign w:val="center"/>
          </w:tcPr>
          <w:p w14:paraId="6BD84E72">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Cupressus funebris Endl.</w:t>
            </w:r>
          </w:p>
        </w:tc>
        <w:tc>
          <w:tcPr>
            <w:tcW w:w="3264" w:type="dxa"/>
            <w:tcBorders>
              <w:tl2br w:val="nil"/>
              <w:tr2bl w:val="nil"/>
            </w:tcBorders>
            <w:vAlign w:val="center"/>
          </w:tcPr>
          <w:p w14:paraId="60A7C60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侧根发达，耐干旱瘠薄，寿命长。</w:t>
            </w:r>
          </w:p>
        </w:tc>
        <w:tc>
          <w:tcPr>
            <w:tcW w:w="1665" w:type="dxa"/>
            <w:tcBorders>
              <w:tl2br w:val="nil"/>
              <w:tr2bl w:val="nil"/>
            </w:tcBorders>
            <w:vAlign w:val="center"/>
          </w:tcPr>
          <w:p w14:paraId="4391938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水土保持林</w:t>
            </w:r>
          </w:p>
        </w:tc>
      </w:tr>
      <w:tr w14:paraId="78941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44A6C752">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6</w:t>
            </w:r>
          </w:p>
        </w:tc>
        <w:tc>
          <w:tcPr>
            <w:tcW w:w="870" w:type="dxa"/>
            <w:vMerge w:val="continue"/>
            <w:tcBorders>
              <w:tl2br w:val="nil"/>
              <w:tr2bl w:val="nil"/>
            </w:tcBorders>
            <w:vAlign w:val="center"/>
          </w:tcPr>
          <w:p w14:paraId="714B825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2AEFDDD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黄连木</w:t>
            </w:r>
          </w:p>
        </w:tc>
        <w:tc>
          <w:tcPr>
            <w:tcW w:w="1761" w:type="dxa"/>
            <w:tcBorders>
              <w:tl2br w:val="nil"/>
              <w:tr2bl w:val="nil"/>
            </w:tcBorders>
            <w:vAlign w:val="center"/>
          </w:tcPr>
          <w:p w14:paraId="02113399">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Pistacia chinensis Bunge</w:t>
            </w:r>
          </w:p>
        </w:tc>
        <w:tc>
          <w:tcPr>
            <w:tcW w:w="3264" w:type="dxa"/>
            <w:tcBorders>
              <w:tl2br w:val="nil"/>
              <w:tr2bl w:val="nil"/>
            </w:tcBorders>
            <w:vAlign w:val="center"/>
          </w:tcPr>
          <w:p w14:paraId="4AB1724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耐干旱，根系深，寿命长。</w:t>
            </w:r>
          </w:p>
        </w:tc>
        <w:tc>
          <w:tcPr>
            <w:tcW w:w="1665" w:type="dxa"/>
            <w:tcBorders>
              <w:tl2br w:val="nil"/>
              <w:tr2bl w:val="nil"/>
            </w:tcBorders>
            <w:vAlign w:val="center"/>
          </w:tcPr>
          <w:p w14:paraId="19226AB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干旱地区绿化，生态修复</w:t>
            </w:r>
          </w:p>
        </w:tc>
      </w:tr>
      <w:tr w14:paraId="3DD88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E47535B">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7</w:t>
            </w:r>
          </w:p>
        </w:tc>
        <w:tc>
          <w:tcPr>
            <w:tcW w:w="870" w:type="dxa"/>
            <w:vMerge w:val="continue"/>
            <w:tcBorders>
              <w:tl2br w:val="nil"/>
              <w:tr2bl w:val="nil"/>
            </w:tcBorders>
            <w:vAlign w:val="center"/>
          </w:tcPr>
          <w:p w14:paraId="20185061">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0E9AB3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合欢</w:t>
            </w:r>
          </w:p>
        </w:tc>
        <w:tc>
          <w:tcPr>
            <w:tcW w:w="1761" w:type="dxa"/>
            <w:tcBorders>
              <w:tl2br w:val="nil"/>
              <w:tr2bl w:val="nil"/>
            </w:tcBorders>
            <w:vAlign w:val="center"/>
          </w:tcPr>
          <w:p w14:paraId="63B34081">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Albizia julibrissin Durazz.</w:t>
            </w:r>
          </w:p>
        </w:tc>
        <w:tc>
          <w:tcPr>
            <w:tcW w:w="3264" w:type="dxa"/>
            <w:tcBorders>
              <w:tl2br w:val="nil"/>
              <w:tr2bl w:val="nil"/>
            </w:tcBorders>
            <w:vAlign w:val="center"/>
          </w:tcPr>
          <w:p w14:paraId="56C42BF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生长快，耐贫瘠，能固氮。</w:t>
            </w:r>
          </w:p>
        </w:tc>
        <w:tc>
          <w:tcPr>
            <w:tcW w:w="1665" w:type="dxa"/>
            <w:tcBorders>
              <w:tl2br w:val="nil"/>
              <w:tr2bl w:val="nil"/>
            </w:tcBorders>
            <w:vAlign w:val="center"/>
          </w:tcPr>
          <w:p w14:paraId="07AFB20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土壤改良，生态修复</w:t>
            </w:r>
          </w:p>
        </w:tc>
      </w:tr>
      <w:tr w14:paraId="00DCA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BA2DE64">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8</w:t>
            </w:r>
          </w:p>
        </w:tc>
        <w:tc>
          <w:tcPr>
            <w:tcW w:w="870" w:type="dxa"/>
            <w:vMerge w:val="continue"/>
            <w:tcBorders>
              <w:tl2br w:val="nil"/>
              <w:tr2bl w:val="nil"/>
            </w:tcBorders>
            <w:vAlign w:val="center"/>
          </w:tcPr>
          <w:p w14:paraId="55C43906">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24E2AE2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喜树</w:t>
            </w:r>
          </w:p>
        </w:tc>
        <w:tc>
          <w:tcPr>
            <w:tcW w:w="1761" w:type="dxa"/>
            <w:tcBorders>
              <w:tl2br w:val="nil"/>
              <w:tr2bl w:val="nil"/>
            </w:tcBorders>
            <w:vAlign w:val="center"/>
          </w:tcPr>
          <w:p w14:paraId="35548F10">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Camptotheca acuminata Decne.</w:t>
            </w:r>
          </w:p>
        </w:tc>
        <w:tc>
          <w:tcPr>
            <w:tcW w:w="3264" w:type="dxa"/>
            <w:tcBorders>
              <w:tl2br w:val="nil"/>
              <w:tr2bl w:val="nil"/>
            </w:tcBorders>
            <w:vAlign w:val="center"/>
          </w:tcPr>
          <w:p w14:paraId="0C1AEF9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生长迅速，根系发达。</w:t>
            </w:r>
          </w:p>
        </w:tc>
        <w:tc>
          <w:tcPr>
            <w:tcW w:w="1665" w:type="dxa"/>
            <w:tcBorders>
              <w:tl2br w:val="nil"/>
              <w:tr2bl w:val="nil"/>
            </w:tcBorders>
            <w:vAlign w:val="center"/>
          </w:tcPr>
          <w:p w14:paraId="403B479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w:t>
            </w:r>
          </w:p>
        </w:tc>
      </w:tr>
      <w:tr w14:paraId="24808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85B0766">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w:t>
            </w:r>
          </w:p>
        </w:tc>
        <w:tc>
          <w:tcPr>
            <w:tcW w:w="870" w:type="dxa"/>
            <w:vMerge w:val="continue"/>
            <w:tcBorders>
              <w:tl2br w:val="nil"/>
              <w:tr2bl w:val="nil"/>
            </w:tcBorders>
            <w:vAlign w:val="center"/>
          </w:tcPr>
          <w:p w14:paraId="7DE9FBDC">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7517563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香椿</w:t>
            </w:r>
          </w:p>
        </w:tc>
        <w:tc>
          <w:tcPr>
            <w:tcW w:w="1761" w:type="dxa"/>
            <w:tcBorders>
              <w:tl2br w:val="nil"/>
              <w:tr2bl w:val="nil"/>
            </w:tcBorders>
            <w:vAlign w:val="center"/>
          </w:tcPr>
          <w:p w14:paraId="5FE71015">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Toona sinensis (Juss.) Roem.</w:t>
            </w:r>
          </w:p>
        </w:tc>
        <w:tc>
          <w:tcPr>
            <w:tcW w:w="3264" w:type="dxa"/>
            <w:tcBorders>
              <w:tl2br w:val="nil"/>
              <w:tr2bl w:val="nil"/>
            </w:tcBorders>
            <w:vAlign w:val="center"/>
          </w:tcPr>
          <w:p w14:paraId="2CD174C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生长较快，根系深。</w:t>
            </w:r>
          </w:p>
        </w:tc>
        <w:tc>
          <w:tcPr>
            <w:tcW w:w="1665" w:type="dxa"/>
            <w:tcBorders>
              <w:tl2br w:val="nil"/>
              <w:tr2bl w:val="nil"/>
            </w:tcBorders>
            <w:vAlign w:val="center"/>
          </w:tcPr>
          <w:p w14:paraId="3CEE8B0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w:t>
            </w:r>
          </w:p>
        </w:tc>
      </w:tr>
      <w:tr w14:paraId="4648E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5EC45081">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870" w:type="dxa"/>
            <w:vMerge w:val="continue"/>
            <w:tcBorders>
              <w:tl2br w:val="nil"/>
              <w:tr2bl w:val="nil"/>
            </w:tcBorders>
            <w:vAlign w:val="center"/>
          </w:tcPr>
          <w:p w14:paraId="753AF590">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1DF5119B">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楠木</w:t>
            </w:r>
          </w:p>
        </w:tc>
        <w:tc>
          <w:tcPr>
            <w:tcW w:w="1761" w:type="dxa"/>
            <w:tcBorders>
              <w:tl2br w:val="nil"/>
              <w:tr2bl w:val="nil"/>
            </w:tcBorders>
            <w:vAlign w:val="center"/>
          </w:tcPr>
          <w:p w14:paraId="0D312637">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Phoebe zhennan</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S. K. Lee &amp; F. N. Wei</w:t>
            </w:r>
          </w:p>
        </w:tc>
        <w:tc>
          <w:tcPr>
            <w:tcW w:w="3264" w:type="dxa"/>
            <w:tcBorders>
              <w:tl2br w:val="nil"/>
              <w:tr2bl w:val="nil"/>
            </w:tcBorders>
            <w:vAlign w:val="center"/>
          </w:tcPr>
          <w:p w14:paraId="755C372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深根性，耐阴，生长缓慢，材质优良</w:t>
            </w:r>
          </w:p>
        </w:tc>
        <w:tc>
          <w:tcPr>
            <w:tcW w:w="1665" w:type="dxa"/>
            <w:tcBorders>
              <w:tl2br w:val="nil"/>
              <w:tr2bl w:val="nil"/>
            </w:tcBorders>
            <w:vAlign w:val="center"/>
          </w:tcPr>
          <w:p w14:paraId="0C77798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生态修复，用材林</w:t>
            </w:r>
          </w:p>
        </w:tc>
      </w:tr>
      <w:tr w14:paraId="0A81A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6E1CCE0">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11</w:t>
            </w:r>
          </w:p>
        </w:tc>
        <w:tc>
          <w:tcPr>
            <w:tcW w:w="870" w:type="dxa"/>
            <w:vMerge w:val="continue"/>
            <w:tcBorders>
              <w:tl2br w:val="nil"/>
              <w:tr2bl w:val="nil"/>
            </w:tcBorders>
            <w:vAlign w:val="center"/>
          </w:tcPr>
          <w:p w14:paraId="03909BD5">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414371B">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珙桐</w:t>
            </w:r>
          </w:p>
        </w:tc>
        <w:tc>
          <w:tcPr>
            <w:tcW w:w="1761" w:type="dxa"/>
            <w:tcBorders>
              <w:tl2br w:val="nil"/>
              <w:tr2bl w:val="nil"/>
            </w:tcBorders>
            <w:vAlign w:val="center"/>
          </w:tcPr>
          <w:p w14:paraId="1AB93ECC">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Davidia involucrata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Baill.</w:t>
            </w:r>
          </w:p>
        </w:tc>
        <w:tc>
          <w:tcPr>
            <w:tcW w:w="3264" w:type="dxa"/>
            <w:tcBorders>
              <w:tl2br w:val="nil"/>
              <w:tr2bl w:val="nil"/>
            </w:tcBorders>
            <w:vAlign w:val="center"/>
          </w:tcPr>
          <w:p w14:paraId="40859F5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喜湿润气候，不耐干旱瘠薄</w:t>
            </w:r>
          </w:p>
        </w:tc>
        <w:tc>
          <w:tcPr>
            <w:tcW w:w="1665" w:type="dxa"/>
            <w:tcBorders>
              <w:tl2br w:val="nil"/>
              <w:tr2bl w:val="nil"/>
            </w:tcBorders>
            <w:vAlign w:val="center"/>
          </w:tcPr>
          <w:p w14:paraId="25AB67A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生态修复，景观绿化</w:t>
            </w:r>
          </w:p>
        </w:tc>
      </w:tr>
      <w:tr w14:paraId="133F2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1C9FBFBC">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870" w:type="dxa"/>
            <w:vMerge w:val="continue"/>
            <w:tcBorders>
              <w:tl2br w:val="nil"/>
              <w:tr2bl w:val="nil"/>
            </w:tcBorders>
            <w:vAlign w:val="center"/>
          </w:tcPr>
          <w:p w14:paraId="4AF8C102">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2BF5F27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红豆杉</w:t>
            </w:r>
          </w:p>
        </w:tc>
        <w:tc>
          <w:tcPr>
            <w:tcW w:w="1761" w:type="dxa"/>
            <w:tcBorders>
              <w:tl2br w:val="nil"/>
              <w:tr2bl w:val="nil"/>
            </w:tcBorders>
            <w:vAlign w:val="center"/>
          </w:tcPr>
          <w:p w14:paraId="6ADFEEDC">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Taxus wallichiana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var. chinensis (Pilg.) Florin</w:t>
            </w:r>
          </w:p>
        </w:tc>
        <w:tc>
          <w:tcPr>
            <w:tcW w:w="3264" w:type="dxa"/>
            <w:tcBorders>
              <w:tl2br w:val="nil"/>
              <w:tr2bl w:val="nil"/>
            </w:tcBorders>
            <w:vAlign w:val="center"/>
          </w:tcPr>
          <w:p w14:paraId="16D789C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耐阴，生长缓慢，药用价值</w:t>
            </w:r>
          </w:p>
        </w:tc>
        <w:tc>
          <w:tcPr>
            <w:tcW w:w="1665" w:type="dxa"/>
            <w:tcBorders>
              <w:tl2br w:val="nil"/>
              <w:tr2bl w:val="nil"/>
            </w:tcBorders>
            <w:vAlign w:val="center"/>
          </w:tcPr>
          <w:p w14:paraId="3DF4CDE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生态修复，经济林</w:t>
            </w:r>
          </w:p>
        </w:tc>
      </w:tr>
      <w:tr w14:paraId="4E56A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5C38E10">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13</w:t>
            </w:r>
          </w:p>
        </w:tc>
        <w:tc>
          <w:tcPr>
            <w:tcW w:w="870" w:type="dxa"/>
            <w:vMerge w:val="continue"/>
            <w:tcBorders>
              <w:tl2br w:val="nil"/>
              <w:tr2bl w:val="nil"/>
            </w:tcBorders>
            <w:vAlign w:val="center"/>
          </w:tcPr>
          <w:p w14:paraId="62986901">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0318948">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崖柏</w:t>
            </w:r>
          </w:p>
        </w:tc>
        <w:tc>
          <w:tcPr>
            <w:tcW w:w="1761" w:type="dxa"/>
            <w:tcBorders>
              <w:tl2br w:val="nil"/>
              <w:tr2bl w:val="nil"/>
            </w:tcBorders>
            <w:vAlign w:val="center"/>
          </w:tcPr>
          <w:p w14:paraId="185862A3">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Thuja sutchuenensis</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Franch.</w:t>
            </w:r>
          </w:p>
        </w:tc>
        <w:tc>
          <w:tcPr>
            <w:tcW w:w="3264" w:type="dxa"/>
            <w:tcBorders>
              <w:tl2br w:val="nil"/>
              <w:tr2bl w:val="nil"/>
            </w:tcBorders>
            <w:vAlign w:val="center"/>
          </w:tcPr>
          <w:p w14:paraId="7F4B920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耐干旱瘠薄，生长缓慢</w:t>
            </w:r>
          </w:p>
        </w:tc>
        <w:tc>
          <w:tcPr>
            <w:tcW w:w="1665" w:type="dxa"/>
            <w:tcBorders>
              <w:tl2br w:val="nil"/>
              <w:tr2bl w:val="nil"/>
            </w:tcBorders>
            <w:vAlign w:val="center"/>
          </w:tcPr>
          <w:p w14:paraId="1E45978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水土保持，生态修复</w:t>
            </w:r>
          </w:p>
        </w:tc>
      </w:tr>
      <w:tr w14:paraId="159F7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57C6C690">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14</w:t>
            </w:r>
          </w:p>
        </w:tc>
        <w:tc>
          <w:tcPr>
            <w:tcW w:w="870" w:type="dxa"/>
            <w:vMerge w:val="continue"/>
            <w:tcBorders>
              <w:tl2br w:val="nil"/>
              <w:tr2bl w:val="nil"/>
            </w:tcBorders>
            <w:vAlign w:val="center"/>
          </w:tcPr>
          <w:p w14:paraId="55F53C80">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256AE2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攀枝花苏铁</w:t>
            </w:r>
          </w:p>
        </w:tc>
        <w:tc>
          <w:tcPr>
            <w:tcW w:w="1761" w:type="dxa"/>
            <w:tcBorders>
              <w:tl2br w:val="nil"/>
              <w:tr2bl w:val="nil"/>
            </w:tcBorders>
            <w:vAlign w:val="center"/>
          </w:tcPr>
          <w:p w14:paraId="76F13730">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Cycas panzhihuaensis</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L. Zhou &amp; S. Y. Yang</w:t>
            </w:r>
          </w:p>
        </w:tc>
        <w:tc>
          <w:tcPr>
            <w:tcW w:w="3264" w:type="dxa"/>
            <w:tcBorders>
              <w:tl2br w:val="nil"/>
              <w:tr2bl w:val="nil"/>
            </w:tcBorders>
            <w:vAlign w:val="center"/>
          </w:tcPr>
          <w:p w14:paraId="5D3AD6D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耐干旱，喜钙，生长缓慢</w:t>
            </w:r>
          </w:p>
        </w:tc>
        <w:tc>
          <w:tcPr>
            <w:tcW w:w="1665" w:type="dxa"/>
            <w:tcBorders>
              <w:tl2br w:val="nil"/>
              <w:tr2bl w:val="nil"/>
            </w:tcBorders>
            <w:vAlign w:val="center"/>
          </w:tcPr>
          <w:p w14:paraId="7651C29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生态修复，景观绿化</w:t>
            </w:r>
          </w:p>
        </w:tc>
      </w:tr>
      <w:tr w14:paraId="0F7E1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1D50CB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870" w:type="dxa"/>
            <w:vMerge w:val="continue"/>
            <w:tcBorders>
              <w:tl2br w:val="nil"/>
              <w:tr2bl w:val="nil"/>
            </w:tcBorders>
            <w:vAlign w:val="center"/>
          </w:tcPr>
          <w:p w14:paraId="3F3356E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C0B55A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杜鹃</w:t>
            </w:r>
          </w:p>
        </w:tc>
        <w:tc>
          <w:tcPr>
            <w:tcW w:w="1761" w:type="dxa"/>
            <w:tcBorders>
              <w:tl2br w:val="nil"/>
              <w:tr2bl w:val="nil"/>
            </w:tcBorders>
            <w:vAlign w:val="center"/>
          </w:tcPr>
          <w:p w14:paraId="6E3A72AF">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Rhododendron simsii</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Planch.</w:t>
            </w:r>
          </w:p>
        </w:tc>
        <w:tc>
          <w:tcPr>
            <w:tcW w:w="3264" w:type="dxa"/>
            <w:tcBorders>
              <w:tl2br w:val="nil"/>
              <w:tr2bl w:val="nil"/>
            </w:tcBorders>
            <w:vAlign w:val="center"/>
          </w:tcPr>
          <w:p w14:paraId="61C17C9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喜酸性土壤，耐瘠薄</w:t>
            </w:r>
          </w:p>
        </w:tc>
        <w:tc>
          <w:tcPr>
            <w:tcW w:w="1665" w:type="dxa"/>
            <w:tcBorders>
              <w:tl2br w:val="nil"/>
              <w:tr2bl w:val="nil"/>
            </w:tcBorders>
            <w:vAlign w:val="center"/>
          </w:tcPr>
          <w:p w14:paraId="27154CB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生态修复，景观绿化</w:t>
            </w:r>
          </w:p>
        </w:tc>
      </w:tr>
      <w:tr w14:paraId="6B94D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98BA1F6">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16</w:t>
            </w:r>
          </w:p>
        </w:tc>
        <w:tc>
          <w:tcPr>
            <w:tcW w:w="870" w:type="dxa"/>
            <w:vMerge w:val="continue"/>
            <w:tcBorders>
              <w:tl2br w:val="nil"/>
              <w:tr2bl w:val="nil"/>
            </w:tcBorders>
            <w:vAlign w:val="center"/>
          </w:tcPr>
          <w:p w14:paraId="6AAFB05A">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0E29C09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高山柳</w:t>
            </w:r>
          </w:p>
        </w:tc>
        <w:tc>
          <w:tcPr>
            <w:tcW w:w="1761" w:type="dxa"/>
            <w:tcBorders>
              <w:tl2br w:val="nil"/>
              <w:tr2bl w:val="nil"/>
            </w:tcBorders>
            <w:vAlign w:val="center"/>
          </w:tcPr>
          <w:p w14:paraId="480CF508">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Salix paraplesia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Schneid.</w:t>
            </w:r>
          </w:p>
        </w:tc>
        <w:tc>
          <w:tcPr>
            <w:tcW w:w="3264" w:type="dxa"/>
            <w:tcBorders>
              <w:tl2br w:val="nil"/>
              <w:tr2bl w:val="nil"/>
            </w:tcBorders>
            <w:vAlign w:val="center"/>
          </w:tcPr>
          <w:p w14:paraId="1992F0B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耐寒，喜湿，根系发达</w:t>
            </w:r>
          </w:p>
        </w:tc>
        <w:tc>
          <w:tcPr>
            <w:tcW w:w="1665" w:type="dxa"/>
            <w:tcBorders>
              <w:tl2br w:val="nil"/>
              <w:tr2bl w:val="nil"/>
            </w:tcBorders>
            <w:vAlign w:val="center"/>
          </w:tcPr>
          <w:p w14:paraId="759F5DE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护坡，水边绿化</w:t>
            </w:r>
          </w:p>
        </w:tc>
      </w:tr>
      <w:tr w14:paraId="6177A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E6B28CF">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17</w:t>
            </w:r>
          </w:p>
        </w:tc>
        <w:tc>
          <w:tcPr>
            <w:tcW w:w="870" w:type="dxa"/>
            <w:vMerge w:val="continue"/>
            <w:tcBorders>
              <w:tl2br w:val="nil"/>
              <w:tr2bl w:val="nil"/>
            </w:tcBorders>
            <w:vAlign w:val="center"/>
          </w:tcPr>
          <w:p w14:paraId="67851EFE">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17E930FB">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余甘子</w:t>
            </w:r>
          </w:p>
        </w:tc>
        <w:tc>
          <w:tcPr>
            <w:tcW w:w="1761" w:type="dxa"/>
            <w:tcBorders>
              <w:tl2br w:val="nil"/>
              <w:tr2bl w:val="nil"/>
            </w:tcBorders>
            <w:vAlign w:val="center"/>
          </w:tcPr>
          <w:p w14:paraId="303CA8EA">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Phyllanthus emblica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L.</w:t>
            </w:r>
          </w:p>
        </w:tc>
        <w:tc>
          <w:tcPr>
            <w:tcW w:w="3264" w:type="dxa"/>
            <w:tcBorders>
              <w:tl2br w:val="nil"/>
              <w:tr2bl w:val="nil"/>
            </w:tcBorders>
            <w:vAlign w:val="center"/>
          </w:tcPr>
          <w:p w14:paraId="4D682AF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耐干旱瘠薄，适应性强</w:t>
            </w:r>
          </w:p>
        </w:tc>
        <w:tc>
          <w:tcPr>
            <w:tcW w:w="1665" w:type="dxa"/>
            <w:tcBorders>
              <w:tl2br w:val="nil"/>
              <w:tr2bl w:val="nil"/>
            </w:tcBorders>
            <w:vAlign w:val="center"/>
          </w:tcPr>
          <w:p w14:paraId="0608A77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水土保持，经济林</w:t>
            </w:r>
          </w:p>
        </w:tc>
      </w:tr>
      <w:tr w14:paraId="6E468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1D6F916A">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18</w:t>
            </w:r>
          </w:p>
        </w:tc>
        <w:tc>
          <w:tcPr>
            <w:tcW w:w="870" w:type="dxa"/>
            <w:vMerge w:val="continue"/>
            <w:tcBorders>
              <w:tl2br w:val="nil"/>
              <w:tr2bl w:val="nil"/>
            </w:tcBorders>
            <w:vAlign w:val="center"/>
          </w:tcPr>
          <w:p w14:paraId="75DB056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2106417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枇杷</w:t>
            </w:r>
          </w:p>
        </w:tc>
        <w:tc>
          <w:tcPr>
            <w:tcW w:w="1761" w:type="dxa"/>
            <w:tcBorders>
              <w:tl2br w:val="nil"/>
              <w:tr2bl w:val="nil"/>
            </w:tcBorders>
            <w:vAlign w:val="center"/>
          </w:tcPr>
          <w:p w14:paraId="106790FE">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Eriobotrya japonica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(Thunb.) Lindl.</w:t>
            </w:r>
          </w:p>
        </w:tc>
        <w:tc>
          <w:tcPr>
            <w:tcW w:w="3264" w:type="dxa"/>
            <w:tcBorders>
              <w:tl2br w:val="nil"/>
              <w:tr2bl w:val="nil"/>
            </w:tcBorders>
            <w:vAlign w:val="center"/>
          </w:tcPr>
          <w:p w14:paraId="5B556BB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生长快，根系发达</w:t>
            </w:r>
          </w:p>
        </w:tc>
        <w:tc>
          <w:tcPr>
            <w:tcW w:w="1665" w:type="dxa"/>
            <w:tcBorders>
              <w:tl2br w:val="nil"/>
              <w:tr2bl w:val="nil"/>
            </w:tcBorders>
            <w:vAlign w:val="center"/>
          </w:tcPr>
          <w:p w14:paraId="530C8DA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生态修复，经济林</w:t>
            </w:r>
          </w:p>
        </w:tc>
      </w:tr>
      <w:tr w14:paraId="3D9D4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49AE8D2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19</w:t>
            </w:r>
          </w:p>
        </w:tc>
        <w:tc>
          <w:tcPr>
            <w:tcW w:w="870" w:type="dxa"/>
            <w:vMerge w:val="continue"/>
            <w:tcBorders>
              <w:tl2br w:val="nil"/>
              <w:tr2bl w:val="nil"/>
            </w:tcBorders>
            <w:vAlign w:val="center"/>
          </w:tcPr>
          <w:p w14:paraId="6D281382">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740C09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云南松</w:t>
            </w:r>
          </w:p>
        </w:tc>
        <w:tc>
          <w:tcPr>
            <w:tcW w:w="1761" w:type="dxa"/>
            <w:tcBorders>
              <w:tl2br w:val="nil"/>
              <w:tr2bl w:val="nil"/>
            </w:tcBorders>
            <w:vAlign w:val="center"/>
          </w:tcPr>
          <w:p w14:paraId="5893AA11">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Pinus yunnanensis</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Franch.</w:t>
            </w:r>
          </w:p>
        </w:tc>
        <w:tc>
          <w:tcPr>
            <w:tcW w:w="3264" w:type="dxa"/>
            <w:tcBorders>
              <w:tl2br w:val="nil"/>
              <w:tr2bl w:val="nil"/>
            </w:tcBorders>
            <w:vAlign w:val="center"/>
          </w:tcPr>
          <w:p w14:paraId="655E910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耐干旱瘠薄，深根性</w:t>
            </w:r>
          </w:p>
        </w:tc>
        <w:tc>
          <w:tcPr>
            <w:tcW w:w="1665" w:type="dxa"/>
            <w:tcBorders>
              <w:tl2br w:val="nil"/>
              <w:tr2bl w:val="nil"/>
            </w:tcBorders>
            <w:vAlign w:val="center"/>
          </w:tcPr>
          <w:p w14:paraId="57DCA67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水土保持林，用材林</w:t>
            </w:r>
          </w:p>
        </w:tc>
      </w:tr>
      <w:tr w14:paraId="6013E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44F34C10">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w:t>
            </w:r>
          </w:p>
        </w:tc>
        <w:tc>
          <w:tcPr>
            <w:tcW w:w="870" w:type="dxa"/>
            <w:vMerge w:val="continue"/>
            <w:tcBorders>
              <w:tl2br w:val="nil"/>
              <w:tr2bl w:val="nil"/>
            </w:tcBorders>
            <w:vAlign w:val="center"/>
          </w:tcPr>
          <w:p w14:paraId="0C47238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72FBDAD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云南油杉</w:t>
            </w:r>
          </w:p>
        </w:tc>
        <w:tc>
          <w:tcPr>
            <w:tcW w:w="1761" w:type="dxa"/>
            <w:tcBorders>
              <w:tl2br w:val="nil"/>
              <w:tr2bl w:val="nil"/>
            </w:tcBorders>
            <w:vAlign w:val="center"/>
          </w:tcPr>
          <w:p w14:paraId="25EE9E54">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Keteleeria evelyniana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Mast.</w:t>
            </w:r>
          </w:p>
        </w:tc>
        <w:tc>
          <w:tcPr>
            <w:tcW w:w="3264" w:type="dxa"/>
            <w:tcBorders>
              <w:tl2br w:val="nil"/>
              <w:tr2bl w:val="nil"/>
            </w:tcBorders>
            <w:vAlign w:val="center"/>
          </w:tcPr>
          <w:p w14:paraId="04F9E6F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耐干旱，适应性强</w:t>
            </w:r>
          </w:p>
        </w:tc>
        <w:tc>
          <w:tcPr>
            <w:tcW w:w="1665" w:type="dxa"/>
            <w:tcBorders>
              <w:tl2br w:val="nil"/>
              <w:tr2bl w:val="nil"/>
            </w:tcBorders>
            <w:vAlign w:val="center"/>
          </w:tcPr>
          <w:p w14:paraId="359EC33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水土保持林，生态修复</w:t>
            </w:r>
          </w:p>
        </w:tc>
      </w:tr>
      <w:tr w14:paraId="4F5BA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6776294">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21</w:t>
            </w:r>
          </w:p>
        </w:tc>
        <w:tc>
          <w:tcPr>
            <w:tcW w:w="870" w:type="dxa"/>
            <w:vMerge w:val="continue"/>
            <w:tcBorders>
              <w:tl2br w:val="nil"/>
              <w:tr2bl w:val="nil"/>
            </w:tcBorders>
            <w:vAlign w:val="center"/>
          </w:tcPr>
          <w:p w14:paraId="7504F920">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C90040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构树</w:t>
            </w:r>
          </w:p>
        </w:tc>
        <w:tc>
          <w:tcPr>
            <w:tcW w:w="1761" w:type="dxa"/>
            <w:tcBorders>
              <w:tl2br w:val="nil"/>
              <w:tr2bl w:val="nil"/>
            </w:tcBorders>
            <w:vAlign w:val="center"/>
          </w:tcPr>
          <w:p w14:paraId="6C119796">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Broussonetia papyrifera</w:t>
            </w: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 xml:space="preserve"> (L.) L'Hér. ex Vent.</w:t>
            </w:r>
          </w:p>
        </w:tc>
        <w:tc>
          <w:tcPr>
            <w:tcW w:w="3264" w:type="dxa"/>
            <w:tcBorders>
              <w:tl2br w:val="nil"/>
              <w:tr2bl w:val="nil"/>
            </w:tcBorders>
            <w:vAlign w:val="center"/>
          </w:tcPr>
          <w:p w14:paraId="1437199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生长快，耐瘠薄，适应性强</w:t>
            </w:r>
          </w:p>
        </w:tc>
        <w:tc>
          <w:tcPr>
            <w:tcW w:w="1665" w:type="dxa"/>
            <w:tcBorders>
              <w:tl2br w:val="nil"/>
              <w:tr2bl w:val="nil"/>
            </w:tcBorders>
            <w:vAlign w:val="center"/>
          </w:tcPr>
          <w:p w14:paraId="6616154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土壤改良，生态修复</w:t>
            </w:r>
          </w:p>
        </w:tc>
      </w:tr>
      <w:tr w14:paraId="5BA1E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54B32A1">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22</w:t>
            </w:r>
          </w:p>
        </w:tc>
        <w:tc>
          <w:tcPr>
            <w:tcW w:w="870" w:type="dxa"/>
            <w:vMerge w:val="restart"/>
            <w:tcBorders>
              <w:tl2br w:val="nil"/>
              <w:tr2bl w:val="nil"/>
            </w:tcBorders>
            <w:vAlign w:val="center"/>
          </w:tcPr>
          <w:p w14:paraId="0B5D971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灌木</w:t>
            </w:r>
          </w:p>
        </w:tc>
        <w:tc>
          <w:tcPr>
            <w:tcW w:w="997" w:type="dxa"/>
            <w:tcBorders>
              <w:tl2br w:val="nil"/>
              <w:tr2bl w:val="nil"/>
            </w:tcBorders>
            <w:vAlign w:val="center"/>
          </w:tcPr>
          <w:p w14:paraId="0EEE857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马桑</w:t>
            </w:r>
          </w:p>
        </w:tc>
        <w:tc>
          <w:tcPr>
            <w:tcW w:w="1761" w:type="dxa"/>
            <w:tcBorders>
              <w:tl2br w:val="nil"/>
              <w:tr2bl w:val="nil"/>
            </w:tcBorders>
            <w:vAlign w:val="center"/>
          </w:tcPr>
          <w:p w14:paraId="0470B50E">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Coriaria nepalensis Wall.</w:t>
            </w:r>
          </w:p>
        </w:tc>
        <w:tc>
          <w:tcPr>
            <w:tcW w:w="3264" w:type="dxa"/>
            <w:tcBorders>
              <w:tl2br w:val="nil"/>
              <w:tr2bl w:val="nil"/>
            </w:tcBorders>
            <w:vAlign w:val="center"/>
          </w:tcPr>
          <w:p w14:paraId="5BC4408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丛生性强，根系密集，耐瘠薄。</w:t>
            </w:r>
          </w:p>
        </w:tc>
        <w:tc>
          <w:tcPr>
            <w:tcW w:w="1665" w:type="dxa"/>
            <w:tcBorders>
              <w:tl2br w:val="nil"/>
              <w:tr2bl w:val="nil"/>
            </w:tcBorders>
            <w:vAlign w:val="center"/>
          </w:tcPr>
          <w:p w14:paraId="7607561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固坡护坎，水土保持</w:t>
            </w:r>
          </w:p>
        </w:tc>
      </w:tr>
      <w:tr w14:paraId="0D475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10B7C10D">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23</w:t>
            </w:r>
          </w:p>
        </w:tc>
        <w:tc>
          <w:tcPr>
            <w:tcW w:w="870" w:type="dxa"/>
            <w:vMerge w:val="continue"/>
            <w:tcBorders>
              <w:tl2br w:val="nil"/>
              <w:tr2bl w:val="nil"/>
            </w:tcBorders>
            <w:vAlign w:val="center"/>
          </w:tcPr>
          <w:p w14:paraId="7FD0F202">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57E57F6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黄荆</w:t>
            </w:r>
          </w:p>
        </w:tc>
        <w:tc>
          <w:tcPr>
            <w:tcW w:w="1761" w:type="dxa"/>
            <w:tcBorders>
              <w:tl2br w:val="nil"/>
              <w:tr2bl w:val="nil"/>
            </w:tcBorders>
            <w:vAlign w:val="center"/>
          </w:tcPr>
          <w:p w14:paraId="2DB5345E">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Vitex negundo L.</w:t>
            </w:r>
          </w:p>
        </w:tc>
        <w:tc>
          <w:tcPr>
            <w:tcW w:w="3264" w:type="dxa"/>
            <w:tcBorders>
              <w:tl2br w:val="nil"/>
              <w:tr2bl w:val="nil"/>
            </w:tcBorders>
            <w:vAlign w:val="center"/>
          </w:tcPr>
          <w:p w14:paraId="378D3CF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耐干旱瘠薄，萌蘖力强。</w:t>
            </w:r>
          </w:p>
        </w:tc>
        <w:tc>
          <w:tcPr>
            <w:tcW w:w="1665" w:type="dxa"/>
            <w:tcBorders>
              <w:tl2br w:val="nil"/>
              <w:tr2bl w:val="nil"/>
            </w:tcBorders>
            <w:vAlign w:val="center"/>
          </w:tcPr>
          <w:p w14:paraId="6774653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水土保持，土壤改良</w:t>
            </w:r>
          </w:p>
        </w:tc>
      </w:tr>
      <w:tr w14:paraId="2D0B6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A652BD5">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24</w:t>
            </w:r>
          </w:p>
        </w:tc>
        <w:tc>
          <w:tcPr>
            <w:tcW w:w="870" w:type="dxa"/>
            <w:vMerge w:val="continue"/>
            <w:tcBorders>
              <w:tl2br w:val="nil"/>
              <w:tr2bl w:val="nil"/>
            </w:tcBorders>
            <w:vAlign w:val="center"/>
          </w:tcPr>
          <w:p w14:paraId="2146FF19">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2762BF5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火棘</w:t>
            </w:r>
          </w:p>
        </w:tc>
        <w:tc>
          <w:tcPr>
            <w:tcW w:w="1761" w:type="dxa"/>
            <w:tcBorders>
              <w:tl2br w:val="nil"/>
              <w:tr2bl w:val="nil"/>
            </w:tcBorders>
            <w:vAlign w:val="center"/>
          </w:tcPr>
          <w:p w14:paraId="58FDEFB5">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Pyracantha fortuneana (Maxim.) H.L.Li</w:t>
            </w:r>
          </w:p>
        </w:tc>
        <w:tc>
          <w:tcPr>
            <w:tcW w:w="3264" w:type="dxa"/>
            <w:tcBorders>
              <w:tl2br w:val="nil"/>
              <w:tr2bl w:val="nil"/>
            </w:tcBorders>
            <w:vAlign w:val="center"/>
          </w:tcPr>
          <w:p w14:paraId="7A91C1A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根系发达，固土能力强，耐修剪。</w:t>
            </w:r>
          </w:p>
        </w:tc>
        <w:tc>
          <w:tcPr>
            <w:tcW w:w="1665" w:type="dxa"/>
            <w:tcBorders>
              <w:tl2br w:val="nil"/>
              <w:tr2bl w:val="nil"/>
            </w:tcBorders>
            <w:vAlign w:val="center"/>
          </w:tcPr>
          <w:p w14:paraId="3C18191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护坡，绿篱</w:t>
            </w:r>
          </w:p>
        </w:tc>
      </w:tr>
      <w:tr w14:paraId="65DE0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4F341DA">
            <w:pPr>
              <w:spacing w:line="4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25</w:t>
            </w:r>
          </w:p>
        </w:tc>
        <w:tc>
          <w:tcPr>
            <w:tcW w:w="870" w:type="dxa"/>
            <w:vMerge w:val="continue"/>
            <w:tcBorders>
              <w:tl2br w:val="nil"/>
              <w:tr2bl w:val="nil"/>
            </w:tcBorders>
            <w:vAlign w:val="center"/>
          </w:tcPr>
          <w:p w14:paraId="5515DB74">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5D9B5FF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车桑子</w:t>
            </w:r>
          </w:p>
        </w:tc>
        <w:tc>
          <w:tcPr>
            <w:tcW w:w="1761" w:type="dxa"/>
            <w:tcBorders>
              <w:tl2br w:val="nil"/>
              <w:tr2bl w:val="nil"/>
            </w:tcBorders>
            <w:vAlign w:val="center"/>
          </w:tcPr>
          <w:p w14:paraId="1AEE6FCD">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Dodonaea viscosa Jacquem.</w:t>
            </w:r>
          </w:p>
        </w:tc>
        <w:tc>
          <w:tcPr>
            <w:tcW w:w="3264" w:type="dxa"/>
            <w:tcBorders>
              <w:tl2br w:val="nil"/>
              <w:tr2bl w:val="nil"/>
            </w:tcBorders>
            <w:vAlign w:val="center"/>
          </w:tcPr>
          <w:p w14:paraId="5A5A429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极耐干旱瘠薄，适应性强。</w:t>
            </w:r>
          </w:p>
        </w:tc>
        <w:tc>
          <w:tcPr>
            <w:tcW w:w="1665" w:type="dxa"/>
            <w:tcBorders>
              <w:tl2br w:val="nil"/>
              <w:tr2bl w:val="nil"/>
            </w:tcBorders>
            <w:vAlign w:val="center"/>
          </w:tcPr>
          <w:p w14:paraId="1791E2C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干热河谷区植被恢复</w:t>
            </w:r>
          </w:p>
        </w:tc>
      </w:tr>
      <w:tr w14:paraId="249FA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455901D">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26</w:t>
            </w:r>
          </w:p>
        </w:tc>
        <w:tc>
          <w:tcPr>
            <w:tcW w:w="870" w:type="dxa"/>
            <w:vMerge w:val="continue"/>
            <w:tcBorders>
              <w:tl2br w:val="nil"/>
              <w:tr2bl w:val="nil"/>
            </w:tcBorders>
            <w:vAlign w:val="center"/>
          </w:tcPr>
          <w:p w14:paraId="23851116">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08B8C41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霸王鞭</w:t>
            </w:r>
          </w:p>
        </w:tc>
        <w:tc>
          <w:tcPr>
            <w:tcW w:w="1761" w:type="dxa"/>
            <w:tcBorders>
              <w:tl2br w:val="nil"/>
              <w:tr2bl w:val="nil"/>
            </w:tcBorders>
            <w:vAlign w:val="center"/>
          </w:tcPr>
          <w:p w14:paraId="40CCC8D7">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Euphorbia royleana Boiss.</w:t>
            </w:r>
          </w:p>
        </w:tc>
        <w:tc>
          <w:tcPr>
            <w:tcW w:w="3264" w:type="dxa"/>
            <w:tcBorders>
              <w:tl2br w:val="nil"/>
              <w:tr2bl w:val="nil"/>
            </w:tcBorders>
            <w:vAlign w:val="center"/>
          </w:tcPr>
          <w:p w14:paraId="71EB199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耐干旱，喜阳，适应性强</w:t>
            </w:r>
          </w:p>
        </w:tc>
        <w:tc>
          <w:tcPr>
            <w:tcW w:w="1665" w:type="dxa"/>
            <w:tcBorders>
              <w:tl2br w:val="nil"/>
              <w:tr2bl w:val="nil"/>
            </w:tcBorders>
            <w:vAlign w:val="center"/>
          </w:tcPr>
          <w:p w14:paraId="1972935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护坡，水土保持</w:t>
            </w:r>
          </w:p>
        </w:tc>
      </w:tr>
      <w:tr w14:paraId="3A86F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449476EC">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27</w:t>
            </w:r>
          </w:p>
        </w:tc>
        <w:tc>
          <w:tcPr>
            <w:tcW w:w="870" w:type="dxa"/>
            <w:vMerge w:val="continue"/>
            <w:tcBorders>
              <w:tl2br w:val="nil"/>
              <w:tr2bl w:val="nil"/>
            </w:tcBorders>
            <w:vAlign w:val="center"/>
          </w:tcPr>
          <w:p w14:paraId="3436E2EA">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A4695D3">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野迎春</w:t>
            </w:r>
          </w:p>
        </w:tc>
        <w:tc>
          <w:tcPr>
            <w:tcW w:w="1761" w:type="dxa"/>
            <w:tcBorders>
              <w:tl2br w:val="nil"/>
              <w:tr2bl w:val="nil"/>
            </w:tcBorders>
            <w:vAlign w:val="center"/>
          </w:tcPr>
          <w:p w14:paraId="3D423C1D">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Jasminum mesnyi Hance</w:t>
            </w:r>
          </w:p>
        </w:tc>
        <w:tc>
          <w:tcPr>
            <w:tcW w:w="3264" w:type="dxa"/>
            <w:tcBorders>
              <w:tl2br w:val="nil"/>
              <w:tr2bl w:val="nil"/>
            </w:tcBorders>
            <w:vAlign w:val="center"/>
          </w:tcPr>
          <w:p w14:paraId="107AAAC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适应性强，耐修剪</w:t>
            </w:r>
          </w:p>
        </w:tc>
        <w:tc>
          <w:tcPr>
            <w:tcW w:w="1665" w:type="dxa"/>
            <w:tcBorders>
              <w:tl2br w:val="nil"/>
              <w:tr2bl w:val="nil"/>
            </w:tcBorders>
            <w:vAlign w:val="center"/>
          </w:tcPr>
          <w:p w14:paraId="2EC555A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护坡，景观绿化</w:t>
            </w:r>
          </w:p>
        </w:tc>
      </w:tr>
      <w:tr w14:paraId="323E3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CE9D036">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28</w:t>
            </w:r>
          </w:p>
        </w:tc>
        <w:tc>
          <w:tcPr>
            <w:tcW w:w="870" w:type="dxa"/>
            <w:vMerge w:val="continue"/>
            <w:tcBorders>
              <w:tl2br w:val="nil"/>
              <w:tr2bl w:val="nil"/>
            </w:tcBorders>
            <w:vAlign w:val="center"/>
          </w:tcPr>
          <w:p w14:paraId="1F764F1D">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158CBEC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清香木</w:t>
            </w:r>
          </w:p>
        </w:tc>
        <w:tc>
          <w:tcPr>
            <w:tcW w:w="1761" w:type="dxa"/>
            <w:tcBorders>
              <w:tl2br w:val="nil"/>
              <w:tr2bl w:val="nil"/>
            </w:tcBorders>
            <w:vAlign w:val="center"/>
          </w:tcPr>
          <w:p w14:paraId="50B17BA7">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Pistacia weinmannifolia J. Poiss. ex Franch.</w:t>
            </w:r>
          </w:p>
        </w:tc>
        <w:tc>
          <w:tcPr>
            <w:tcW w:w="3264" w:type="dxa"/>
            <w:tcBorders>
              <w:tl2br w:val="nil"/>
              <w:tr2bl w:val="nil"/>
            </w:tcBorders>
            <w:vAlign w:val="center"/>
          </w:tcPr>
          <w:p w14:paraId="7E8E4CE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耐干旱瘠薄，根系发达</w:t>
            </w:r>
          </w:p>
        </w:tc>
        <w:tc>
          <w:tcPr>
            <w:tcW w:w="1665" w:type="dxa"/>
            <w:tcBorders>
              <w:tl2br w:val="nil"/>
              <w:tr2bl w:val="nil"/>
            </w:tcBorders>
            <w:vAlign w:val="center"/>
          </w:tcPr>
          <w:p w14:paraId="106ABB0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水土保持，生态修复</w:t>
            </w:r>
          </w:p>
        </w:tc>
      </w:tr>
      <w:tr w14:paraId="5BA3D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FB5E123">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29</w:t>
            </w:r>
          </w:p>
        </w:tc>
        <w:tc>
          <w:tcPr>
            <w:tcW w:w="870" w:type="dxa"/>
            <w:vMerge w:val="restart"/>
            <w:tcBorders>
              <w:tl2br w:val="nil"/>
              <w:tr2bl w:val="nil"/>
            </w:tcBorders>
            <w:vAlign w:val="center"/>
          </w:tcPr>
          <w:p w14:paraId="114A1B73">
            <w:pPr>
              <w:widowControl/>
              <w:adjustRightInd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草本</w:t>
            </w:r>
          </w:p>
        </w:tc>
        <w:tc>
          <w:tcPr>
            <w:tcW w:w="997" w:type="dxa"/>
            <w:tcBorders>
              <w:tl2br w:val="nil"/>
              <w:tr2bl w:val="nil"/>
            </w:tcBorders>
            <w:vAlign w:val="center"/>
          </w:tcPr>
          <w:p w14:paraId="2DBEAD6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白车轴草</w:t>
            </w:r>
          </w:p>
        </w:tc>
        <w:tc>
          <w:tcPr>
            <w:tcW w:w="1761" w:type="dxa"/>
            <w:tcBorders>
              <w:tl2br w:val="nil"/>
              <w:tr2bl w:val="nil"/>
            </w:tcBorders>
            <w:vAlign w:val="center"/>
          </w:tcPr>
          <w:p w14:paraId="17A92822">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Trifolium repens L.</w:t>
            </w:r>
          </w:p>
        </w:tc>
        <w:tc>
          <w:tcPr>
            <w:tcW w:w="3264" w:type="dxa"/>
            <w:tcBorders>
              <w:tl2br w:val="nil"/>
              <w:tr2bl w:val="nil"/>
            </w:tcBorders>
            <w:vAlign w:val="center"/>
          </w:tcPr>
          <w:p w14:paraId="636993F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匍匐茎覆盖好，固氮，耐阴。</w:t>
            </w:r>
          </w:p>
        </w:tc>
        <w:tc>
          <w:tcPr>
            <w:tcW w:w="1665" w:type="dxa"/>
            <w:tcBorders>
              <w:tl2br w:val="nil"/>
              <w:tr2bl w:val="nil"/>
            </w:tcBorders>
            <w:vAlign w:val="center"/>
          </w:tcPr>
          <w:p w14:paraId="74D68F2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林下覆盖，护坡</w:t>
            </w:r>
          </w:p>
        </w:tc>
      </w:tr>
      <w:tr w14:paraId="069B5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9F01654">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30</w:t>
            </w:r>
          </w:p>
        </w:tc>
        <w:tc>
          <w:tcPr>
            <w:tcW w:w="870" w:type="dxa"/>
            <w:vMerge w:val="continue"/>
            <w:tcBorders>
              <w:tl2br w:val="nil"/>
              <w:tr2bl w:val="nil"/>
            </w:tcBorders>
            <w:vAlign w:val="center"/>
          </w:tcPr>
          <w:p w14:paraId="5460D4B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DA126F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狗牙根</w:t>
            </w:r>
          </w:p>
        </w:tc>
        <w:tc>
          <w:tcPr>
            <w:tcW w:w="1761" w:type="dxa"/>
            <w:tcBorders>
              <w:tl2br w:val="nil"/>
              <w:tr2bl w:val="nil"/>
            </w:tcBorders>
            <w:vAlign w:val="center"/>
          </w:tcPr>
          <w:p w14:paraId="45563DFB">
            <w:pPr>
              <w:widowControl/>
              <w:adjustRightInd w:val="0"/>
              <w:spacing w:line="240" w:lineRule="auto"/>
              <w:jc w:val="center"/>
              <w:textAlignment w:val="cente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Cynodon dactylon (L.) Persoon</w:t>
            </w:r>
          </w:p>
        </w:tc>
        <w:tc>
          <w:tcPr>
            <w:tcW w:w="3264" w:type="dxa"/>
            <w:tcBorders>
              <w:tl2br w:val="nil"/>
              <w:tr2bl w:val="nil"/>
            </w:tcBorders>
            <w:vAlign w:val="center"/>
          </w:tcPr>
          <w:p w14:paraId="376EEF8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根系极发达，蔓延力强，耐践踏。</w:t>
            </w:r>
          </w:p>
        </w:tc>
        <w:tc>
          <w:tcPr>
            <w:tcW w:w="1665" w:type="dxa"/>
            <w:tcBorders>
              <w:tl2br w:val="nil"/>
              <w:tr2bl w:val="nil"/>
            </w:tcBorders>
            <w:vAlign w:val="center"/>
          </w:tcPr>
          <w:p w14:paraId="7E7F8F5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护坡固土</w:t>
            </w:r>
          </w:p>
        </w:tc>
      </w:tr>
      <w:tr w14:paraId="30DEC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2165E24">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31</w:t>
            </w:r>
          </w:p>
        </w:tc>
        <w:tc>
          <w:tcPr>
            <w:tcW w:w="870" w:type="dxa"/>
            <w:vMerge w:val="continue"/>
            <w:tcBorders>
              <w:tl2br w:val="nil"/>
              <w:tr2bl w:val="nil"/>
            </w:tcBorders>
            <w:vAlign w:val="center"/>
          </w:tcPr>
          <w:p w14:paraId="04F0FBCA">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5DDBE37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高羊茅</w:t>
            </w:r>
          </w:p>
        </w:tc>
        <w:tc>
          <w:tcPr>
            <w:tcW w:w="1761" w:type="dxa"/>
            <w:tcBorders>
              <w:tl2br w:val="nil"/>
              <w:tr2bl w:val="nil"/>
            </w:tcBorders>
            <w:vAlign w:val="center"/>
          </w:tcPr>
          <w:p w14:paraId="4873E9D2">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Festuca elata Keng ex E. B.Alexeev</w:t>
            </w:r>
          </w:p>
        </w:tc>
        <w:tc>
          <w:tcPr>
            <w:tcW w:w="3264" w:type="dxa"/>
            <w:tcBorders>
              <w:tl2br w:val="nil"/>
              <w:tr2bl w:val="nil"/>
            </w:tcBorders>
            <w:vAlign w:val="center"/>
          </w:tcPr>
          <w:p w14:paraId="32F3321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生长快，覆盖度高。</w:t>
            </w:r>
          </w:p>
        </w:tc>
        <w:tc>
          <w:tcPr>
            <w:tcW w:w="1665" w:type="dxa"/>
            <w:tcBorders>
              <w:tl2br w:val="nil"/>
              <w:tr2bl w:val="nil"/>
            </w:tcBorders>
            <w:vAlign w:val="center"/>
          </w:tcPr>
          <w:p w14:paraId="4CEF6A2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快速护坡</w:t>
            </w:r>
          </w:p>
        </w:tc>
      </w:tr>
      <w:tr w14:paraId="683E8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649122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32</w:t>
            </w:r>
          </w:p>
        </w:tc>
        <w:tc>
          <w:tcPr>
            <w:tcW w:w="870" w:type="dxa"/>
            <w:vMerge w:val="continue"/>
            <w:tcBorders>
              <w:tl2br w:val="nil"/>
              <w:tr2bl w:val="nil"/>
            </w:tcBorders>
            <w:vAlign w:val="center"/>
          </w:tcPr>
          <w:p w14:paraId="289194C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2C54D46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黑麦草</w:t>
            </w:r>
          </w:p>
        </w:tc>
        <w:tc>
          <w:tcPr>
            <w:tcW w:w="1761" w:type="dxa"/>
            <w:tcBorders>
              <w:tl2br w:val="nil"/>
              <w:tr2bl w:val="nil"/>
            </w:tcBorders>
            <w:vAlign w:val="center"/>
          </w:tcPr>
          <w:p w14:paraId="22140347">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Lolium perenne L.</w:t>
            </w:r>
          </w:p>
        </w:tc>
        <w:tc>
          <w:tcPr>
            <w:tcW w:w="3264" w:type="dxa"/>
            <w:tcBorders>
              <w:tl2br w:val="nil"/>
              <w:tr2bl w:val="nil"/>
            </w:tcBorders>
            <w:vAlign w:val="center"/>
          </w:tcPr>
          <w:p w14:paraId="057980C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耐寒，冬季保持绿色，覆盖快。</w:t>
            </w:r>
          </w:p>
        </w:tc>
        <w:tc>
          <w:tcPr>
            <w:tcW w:w="1665" w:type="dxa"/>
            <w:tcBorders>
              <w:tl2br w:val="nil"/>
              <w:tr2bl w:val="nil"/>
            </w:tcBorders>
            <w:vAlign w:val="center"/>
          </w:tcPr>
          <w:p w14:paraId="289D5A2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冬季水土保持</w:t>
            </w:r>
          </w:p>
        </w:tc>
      </w:tr>
      <w:tr w14:paraId="383F5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4F62D8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33</w:t>
            </w:r>
          </w:p>
        </w:tc>
        <w:tc>
          <w:tcPr>
            <w:tcW w:w="870" w:type="dxa"/>
            <w:vMerge w:val="continue"/>
            <w:tcBorders>
              <w:tl2br w:val="nil"/>
              <w:tr2bl w:val="nil"/>
            </w:tcBorders>
            <w:vAlign w:val="center"/>
          </w:tcPr>
          <w:p w14:paraId="0DB6A274">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137985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紫羊茅</w:t>
            </w:r>
          </w:p>
        </w:tc>
        <w:tc>
          <w:tcPr>
            <w:tcW w:w="1761" w:type="dxa"/>
            <w:tcBorders>
              <w:tl2br w:val="nil"/>
              <w:tr2bl w:val="nil"/>
            </w:tcBorders>
            <w:vAlign w:val="center"/>
          </w:tcPr>
          <w:p w14:paraId="59747D67">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Festuca rubra L.</w:t>
            </w:r>
          </w:p>
        </w:tc>
        <w:tc>
          <w:tcPr>
            <w:tcW w:w="3264" w:type="dxa"/>
            <w:tcBorders>
              <w:tl2br w:val="nil"/>
              <w:tr2bl w:val="nil"/>
            </w:tcBorders>
            <w:vAlign w:val="center"/>
          </w:tcPr>
          <w:p w14:paraId="12EC826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耐旱耐瘠薄，对土壤要求不高。</w:t>
            </w:r>
          </w:p>
        </w:tc>
        <w:tc>
          <w:tcPr>
            <w:tcW w:w="1665" w:type="dxa"/>
            <w:tcBorders>
              <w:tl2br w:val="nil"/>
              <w:tr2bl w:val="nil"/>
            </w:tcBorders>
            <w:vAlign w:val="center"/>
          </w:tcPr>
          <w:p w14:paraId="53DC172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边坡绿化</w:t>
            </w:r>
          </w:p>
        </w:tc>
      </w:tr>
      <w:tr w14:paraId="39658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A6B1E0A">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34</w:t>
            </w:r>
          </w:p>
        </w:tc>
        <w:tc>
          <w:tcPr>
            <w:tcW w:w="870" w:type="dxa"/>
            <w:vMerge w:val="continue"/>
            <w:tcBorders>
              <w:tl2br w:val="nil"/>
              <w:tr2bl w:val="nil"/>
            </w:tcBorders>
            <w:vAlign w:val="center"/>
          </w:tcPr>
          <w:p w14:paraId="07EB4D7E">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439456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斜茎黄芪</w:t>
            </w:r>
          </w:p>
        </w:tc>
        <w:tc>
          <w:tcPr>
            <w:tcW w:w="1761" w:type="dxa"/>
            <w:tcBorders>
              <w:tl2br w:val="nil"/>
              <w:tr2bl w:val="nil"/>
            </w:tcBorders>
            <w:vAlign w:val="center"/>
          </w:tcPr>
          <w:p w14:paraId="4A8D497D">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t>Astragalus laxmannii Jacq.</w:t>
            </w:r>
          </w:p>
        </w:tc>
        <w:tc>
          <w:tcPr>
            <w:tcW w:w="3264" w:type="dxa"/>
            <w:tcBorders>
              <w:tl2br w:val="nil"/>
              <w:tr2bl w:val="nil"/>
            </w:tcBorders>
            <w:vAlign w:val="center"/>
          </w:tcPr>
          <w:p w14:paraId="0D11B5E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耐旱，固氮作用强。</w:t>
            </w:r>
          </w:p>
        </w:tc>
        <w:tc>
          <w:tcPr>
            <w:tcW w:w="1665" w:type="dxa"/>
            <w:tcBorders>
              <w:tl2br w:val="nil"/>
              <w:tr2bl w:val="nil"/>
            </w:tcBorders>
            <w:vAlign w:val="center"/>
          </w:tcPr>
          <w:p w14:paraId="6ADF713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干旱半干旱地区土壤改良</w:t>
            </w:r>
          </w:p>
        </w:tc>
      </w:tr>
      <w:tr w14:paraId="093E6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4853CE1">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35</w:t>
            </w:r>
          </w:p>
        </w:tc>
        <w:tc>
          <w:tcPr>
            <w:tcW w:w="870" w:type="dxa"/>
            <w:vMerge w:val="continue"/>
            <w:tcBorders>
              <w:tl2br w:val="nil"/>
              <w:tr2bl w:val="nil"/>
            </w:tcBorders>
            <w:vAlign w:val="center"/>
          </w:tcPr>
          <w:p w14:paraId="462ADAD5">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8CD3D1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细锥香茶菜</w:t>
            </w:r>
          </w:p>
        </w:tc>
        <w:tc>
          <w:tcPr>
            <w:tcW w:w="1761" w:type="dxa"/>
            <w:tcBorders>
              <w:tl2br w:val="nil"/>
              <w:tr2bl w:val="nil"/>
            </w:tcBorders>
            <w:vAlign w:val="center"/>
          </w:tcPr>
          <w:p w14:paraId="35F31104">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Isodon coetsa (Buch.-Ham. ex D. Don) Kudô</w:t>
            </w:r>
          </w:p>
        </w:tc>
        <w:tc>
          <w:tcPr>
            <w:tcW w:w="3264" w:type="dxa"/>
            <w:tcBorders>
              <w:tl2br w:val="nil"/>
              <w:tr2bl w:val="nil"/>
            </w:tcBorders>
            <w:vAlign w:val="center"/>
          </w:tcPr>
          <w:p w14:paraId="7FE255F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耐阴，适应性强</w:t>
            </w:r>
          </w:p>
        </w:tc>
        <w:tc>
          <w:tcPr>
            <w:tcW w:w="1665" w:type="dxa"/>
            <w:tcBorders>
              <w:tl2br w:val="nil"/>
              <w:tr2bl w:val="nil"/>
            </w:tcBorders>
            <w:vAlign w:val="center"/>
          </w:tcPr>
          <w:p w14:paraId="2A1F67D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林下覆盖，护坡</w:t>
            </w:r>
          </w:p>
        </w:tc>
      </w:tr>
      <w:tr w14:paraId="3A07D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E8F3C94">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36</w:t>
            </w:r>
          </w:p>
        </w:tc>
        <w:tc>
          <w:tcPr>
            <w:tcW w:w="870" w:type="dxa"/>
            <w:vMerge w:val="continue"/>
            <w:tcBorders>
              <w:tl2br w:val="nil"/>
              <w:tr2bl w:val="nil"/>
            </w:tcBorders>
            <w:vAlign w:val="center"/>
          </w:tcPr>
          <w:p w14:paraId="7003973F">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079717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狗尾草</w:t>
            </w:r>
          </w:p>
        </w:tc>
        <w:tc>
          <w:tcPr>
            <w:tcW w:w="1761" w:type="dxa"/>
            <w:tcBorders>
              <w:tl2br w:val="nil"/>
              <w:tr2bl w:val="nil"/>
            </w:tcBorders>
            <w:vAlign w:val="center"/>
          </w:tcPr>
          <w:p w14:paraId="5F83DC8D">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Setaria viridis (L.) P. Beauv.</w:t>
            </w:r>
          </w:p>
        </w:tc>
        <w:tc>
          <w:tcPr>
            <w:tcW w:w="3264" w:type="dxa"/>
            <w:tcBorders>
              <w:tl2br w:val="nil"/>
              <w:tr2bl w:val="nil"/>
            </w:tcBorders>
            <w:vAlign w:val="center"/>
          </w:tcPr>
          <w:p w14:paraId="53E4B34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耐贫瘠，生长快</w:t>
            </w:r>
          </w:p>
        </w:tc>
        <w:tc>
          <w:tcPr>
            <w:tcW w:w="1665" w:type="dxa"/>
            <w:tcBorders>
              <w:tl2br w:val="nil"/>
              <w:tr2bl w:val="nil"/>
            </w:tcBorders>
            <w:vAlign w:val="center"/>
          </w:tcPr>
          <w:p w14:paraId="6162D85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快速护坡，土壤改良</w:t>
            </w:r>
          </w:p>
        </w:tc>
      </w:tr>
      <w:tr w14:paraId="474DB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32E05C9">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37</w:t>
            </w:r>
          </w:p>
        </w:tc>
        <w:tc>
          <w:tcPr>
            <w:tcW w:w="870" w:type="dxa"/>
            <w:vMerge w:val="continue"/>
            <w:tcBorders>
              <w:tl2br w:val="nil"/>
              <w:tr2bl w:val="nil"/>
            </w:tcBorders>
            <w:vAlign w:val="center"/>
          </w:tcPr>
          <w:p w14:paraId="03EF03E6">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55D3E42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白茅</w:t>
            </w:r>
          </w:p>
        </w:tc>
        <w:tc>
          <w:tcPr>
            <w:tcW w:w="1761" w:type="dxa"/>
            <w:tcBorders>
              <w:tl2br w:val="nil"/>
              <w:tr2bl w:val="nil"/>
            </w:tcBorders>
            <w:vAlign w:val="center"/>
          </w:tcPr>
          <w:p w14:paraId="1DCD341D">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Imperata cylindrica (L.) Raeusch.</w:t>
            </w:r>
          </w:p>
        </w:tc>
        <w:tc>
          <w:tcPr>
            <w:tcW w:w="3264" w:type="dxa"/>
            <w:tcBorders>
              <w:tl2br w:val="nil"/>
              <w:tr2bl w:val="nil"/>
            </w:tcBorders>
            <w:vAlign w:val="center"/>
          </w:tcPr>
          <w:p w14:paraId="50937B1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耐干旱，根系发达</w:t>
            </w:r>
          </w:p>
        </w:tc>
        <w:tc>
          <w:tcPr>
            <w:tcW w:w="1665" w:type="dxa"/>
            <w:tcBorders>
              <w:tl2br w:val="nil"/>
              <w:tr2bl w:val="nil"/>
            </w:tcBorders>
            <w:vAlign w:val="center"/>
          </w:tcPr>
          <w:p w14:paraId="068DE98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护坡固土</w:t>
            </w:r>
          </w:p>
        </w:tc>
      </w:tr>
      <w:tr w14:paraId="51D89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4B09A1B6">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38</w:t>
            </w:r>
          </w:p>
        </w:tc>
        <w:tc>
          <w:tcPr>
            <w:tcW w:w="870" w:type="dxa"/>
            <w:vMerge w:val="continue"/>
            <w:tcBorders>
              <w:tl2br w:val="nil"/>
              <w:tr2bl w:val="nil"/>
            </w:tcBorders>
            <w:vAlign w:val="center"/>
          </w:tcPr>
          <w:p w14:paraId="47E0753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30CD503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香蒲</w:t>
            </w:r>
          </w:p>
        </w:tc>
        <w:tc>
          <w:tcPr>
            <w:tcW w:w="1761" w:type="dxa"/>
            <w:tcBorders>
              <w:tl2br w:val="nil"/>
              <w:tr2bl w:val="nil"/>
            </w:tcBorders>
            <w:vAlign w:val="center"/>
          </w:tcPr>
          <w:p w14:paraId="2AAE784D">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Typha orientalis Presl</w:t>
            </w:r>
          </w:p>
        </w:tc>
        <w:tc>
          <w:tcPr>
            <w:tcW w:w="3264" w:type="dxa"/>
            <w:tcBorders>
              <w:tl2br w:val="nil"/>
              <w:tr2bl w:val="nil"/>
            </w:tcBorders>
            <w:vAlign w:val="center"/>
          </w:tcPr>
          <w:p w14:paraId="44EF448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水生植物，耐水湿</w:t>
            </w:r>
          </w:p>
        </w:tc>
        <w:tc>
          <w:tcPr>
            <w:tcW w:w="1665" w:type="dxa"/>
            <w:tcBorders>
              <w:tl2br w:val="nil"/>
              <w:tr2bl w:val="nil"/>
            </w:tcBorders>
            <w:vAlign w:val="center"/>
          </w:tcPr>
          <w:p w14:paraId="565A0C6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水边绿化，净化水质</w:t>
            </w:r>
          </w:p>
        </w:tc>
      </w:tr>
      <w:tr w14:paraId="332FD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1374660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39</w:t>
            </w:r>
          </w:p>
        </w:tc>
        <w:tc>
          <w:tcPr>
            <w:tcW w:w="870" w:type="dxa"/>
            <w:vMerge w:val="continue"/>
            <w:tcBorders>
              <w:tl2br w:val="nil"/>
              <w:tr2bl w:val="nil"/>
            </w:tcBorders>
            <w:vAlign w:val="center"/>
          </w:tcPr>
          <w:p w14:paraId="53A9D7F5">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0F4AE17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芒草</w:t>
            </w:r>
          </w:p>
        </w:tc>
        <w:tc>
          <w:tcPr>
            <w:tcW w:w="1761" w:type="dxa"/>
            <w:tcBorders>
              <w:tl2br w:val="nil"/>
              <w:tr2bl w:val="nil"/>
            </w:tcBorders>
            <w:vAlign w:val="center"/>
          </w:tcPr>
          <w:p w14:paraId="046E58BC">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Miscanthus sinensis Anderss.</w:t>
            </w:r>
          </w:p>
        </w:tc>
        <w:tc>
          <w:tcPr>
            <w:tcW w:w="3264" w:type="dxa"/>
            <w:tcBorders>
              <w:tl2br w:val="nil"/>
              <w:tr2bl w:val="nil"/>
            </w:tcBorders>
            <w:vAlign w:val="center"/>
          </w:tcPr>
          <w:p w14:paraId="4D0856E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耐瘠薄，适应性强</w:t>
            </w:r>
          </w:p>
        </w:tc>
        <w:tc>
          <w:tcPr>
            <w:tcW w:w="1665" w:type="dxa"/>
            <w:tcBorders>
              <w:tl2br w:val="nil"/>
              <w:tr2bl w:val="nil"/>
            </w:tcBorders>
            <w:vAlign w:val="center"/>
          </w:tcPr>
          <w:p w14:paraId="0D5AA3C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护坡，生态修复</w:t>
            </w:r>
          </w:p>
        </w:tc>
      </w:tr>
      <w:tr w14:paraId="37CD9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691A1F3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40</w:t>
            </w:r>
          </w:p>
        </w:tc>
        <w:tc>
          <w:tcPr>
            <w:tcW w:w="870" w:type="dxa"/>
            <w:vMerge w:val="continue"/>
            <w:tcBorders>
              <w:tl2br w:val="nil"/>
              <w:tr2bl w:val="nil"/>
            </w:tcBorders>
            <w:vAlign w:val="center"/>
          </w:tcPr>
          <w:p w14:paraId="6DE85F84">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0E3A270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水烛</w:t>
            </w:r>
          </w:p>
        </w:tc>
        <w:tc>
          <w:tcPr>
            <w:tcW w:w="1761" w:type="dxa"/>
            <w:tcBorders>
              <w:tl2br w:val="nil"/>
              <w:tr2bl w:val="nil"/>
            </w:tcBorders>
            <w:vAlign w:val="center"/>
          </w:tcPr>
          <w:p w14:paraId="5BCC61CE">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Typha angustifolia L.</w:t>
            </w:r>
          </w:p>
        </w:tc>
        <w:tc>
          <w:tcPr>
            <w:tcW w:w="3264" w:type="dxa"/>
            <w:tcBorders>
              <w:tl2br w:val="nil"/>
              <w:tr2bl w:val="nil"/>
            </w:tcBorders>
            <w:vAlign w:val="center"/>
          </w:tcPr>
          <w:p w14:paraId="33D024C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水生植物，耐水湿</w:t>
            </w:r>
          </w:p>
        </w:tc>
        <w:tc>
          <w:tcPr>
            <w:tcW w:w="1665" w:type="dxa"/>
            <w:tcBorders>
              <w:tl2br w:val="nil"/>
              <w:tr2bl w:val="nil"/>
            </w:tcBorders>
            <w:vAlign w:val="center"/>
          </w:tcPr>
          <w:p w14:paraId="0D5761F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水边绿化，净化水质</w:t>
            </w:r>
          </w:p>
        </w:tc>
      </w:tr>
      <w:tr w14:paraId="4E355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506FB30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41</w:t>
            </w:r>
          </w:p>
        </w:tc>
        <w:tc>
          <w:tcPr>
            <w:tcW w:w="870" w:type="dxa"/>
            <w:vMerge w:val="continue"/>
            <w:tcBorders>
              <w:tl2br w:val="nil"/>
              <w:tr2bl w:val="nil"/>
            </w:tcBorders>
            <w:vAlign w:val="center"/>
          </w:tcPr>
          <w:p w14:paraId="0D5546F8">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58792C3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芦苇</w:t>
            </w:r>
          </w:p>
        </w:tc>
        <w:tc>
          <w:tcPr>
            <w:tcW w:w="1761" w:type="dxa"/>
            <w:tcBorders>
              <w:tl2br w:val="nil"/>
              <w:tr2bl w:val="nil"/>
            </w:tcBorders>
            <w:vAlign w:val="center"/>
          </w:tcPr>
          <w:p w14:paraId="0E7922A2">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Phragmites australis (Cav.) Trin. ex Steud.</w:t>
            </w:r>
          </w:p>
        </w:tc>
        <w:tc>
          <w:tcPr>
            <w:tcW w:w="3264" w:type="dxa"/>
            <w:tcBorders>
              <w:tl2br w:val="nil"/>
              <w:tr2bl w:val="nil"/>
            </w:tcBorders>
            <w:vAlign w:val="center"/>
          </w:tcPr>
          <w:p w14:paraId="5B58B1A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水生或湿生，适应性强</w:t>
            </w:r>
          </w:p>
        </w:tc>
        <w:tc>
          <w:tcPr>
            <w:tcW w:w="1665" w:type="dxa"/>
            <w:tcBorders>
              <w:tl2br w:val="nil"/>
              <w:tr2bl w:val="nil"/>
            </w:tcBorders>
            <w:vAlign w:val="center"/>
          </w:tcPr>
          <w:p w14:paraId="46F6EC4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水边绿化，净化水质</w:t>
            </w:r>
          </w:p>
        </w:tc>
      </w:tr>
      <w:tr w14:paraId="3B991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0ACA76BF">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42</w:t>
            </w:r>
          </w:p>
        </w:tc>
        <w:tc>
          <w:tcPr>
            <w:tcW w:w="870" w:type="dxa"/>
            <w:vMerge w:val="continue"/>
            <w:tcBorders>
              <w:tl2br w:val="nil"/>
              <w:tr2bl w:val="nil"/>
            </w:tcBorders>
            <w:vAlign w:val="center"/>
          </w:tcPr>
          <w:p w14:paraId="15BE4BE6">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B8B816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茭白</w:t>
            </w:r>
          </w:p>
        </w:tc>
        <w:tc>
          <w:tcPr>
            <w:tcW w:w="1761" w:type="dxa"/>
            <w:tcBorders>
              <w:tl2br w:val="nil"/>
              <w:tr2bl w:val="nil"/>
            </w:tcBorders>
            <w:vAlign w:val="center"/>
          </w:tcPr>
          <w:p w14:paraId="24960EEA">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Zizania latifolia (Griseb.) Turcz. ex Stapf</w:t>
            </w:r>
          </w:p>
        </w:tc>
        <w:tc>
          <w:tcPr>
            <w:tcW w:w="3264" w:type="dxa"/>
            <w:tcBorders>
              <w:tl2br w:val="nil"/>
              <w:tr2bl w:val="nil"/>
            </w:tcBorders>
            <w:vAlign w:val="center"/>
          </w:tcPr>
          <w:p w14:paraId="1D3B1BD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水生植物，喜温暖湿润</w:t>
            </w:r>
          </w:p>
        </w:tc>
        <w:tc>
          <w:tcPr>
            <w:tcW w:w="1665" w:type="dxa"/>
            <w:tcBorders>
              <w:tl2br w:val="nil"/>
              <w:tr2bl w:val="nil"/>
            </w:tcBorders>
            <w:vAlign w:val="center"/>
          </w:tcPr>
          <w:p w14:paraId="49DC345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水边绿化，经济作物</w:t>
            </w:r>
          </w:p>
        </w:tc>
      </w:tr>
      <w:tr w14:paraId="33341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300546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43</w:t>
            </w:r>
          </w:p>
        </w:tc>
        <w:tc>
          <w:tcPr>
            <w:tcW w:w="870" w:type="dxa"/>
            <w:vMerge w:val="continue"/>
            <w:tcBorders>
              <w:tl2br w:val="nil"/>
              <w:tr2bl w:val="nil"/>
            </w:tcBorders>
            <w:vAlign w:val="center"/>
          </w:tcPr>
          <w:p w14:paraId="3B201201">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C574A8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浮萍</w:t>
            </w:r>
          </w:p>
        </w:tc>
        <w:tc>
          <w:tcPr>
            <w:tcW w:w="1761" w:type="dxa"/>
            <w:tcBorders>
              <w:tl2br w:val="nil"/>
              <w:tr2bl w:val="nil"/>
            </w:tcBorders>
            <w:vAlign w:val="center"/>
          </w:tcPr>
          <w:p w14:paraId="6D7E33D4">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Lemna minor L.</w:t>
            </w:r>
          </w:p>
        </w:tc>
        <w:tc>
          <w:tcPr>
            <w:tcW w:w="3264" w:type="dxa"/>
            <w:tcBorders>
              <w:tl2br w:val="nil"/>
              <w:tr2bl w:val="nil"/>
            </w:tcBorders>
            <w:vAlign w:val="center"/>
          </w:tcPr>
          <w:p w14:paraId="0F2AC36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漂浮植物，繁殖快</w:t>
            </w:r>
          </w:p>
        </w:tc>
        <w:tc>
          <w:tcPr>
            <w:tcW w:w="1665" w:type="dxa"/>
            <w:tcBorders>
              <w:tl2br w:val="nil"/>
              <w:tr2bl w:val="nil"/>
            </w:tcBorders>
            <w:vAlign w:val="center"/>
          </w:tcPr>
          <w:p w14:paraId="4D79533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净化水质</w:t>
            </w:r>
          </w:p>
        </w:tc>
      </w:tr>
      <w:tr w14:paraId="2EB25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3624E1C1">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44</w:t>
            </w:r>
          </w:p>
        </w:tc>
        <w:tc>
          <w:tcPr>
            <w:tcW w:w="870" w:type="dxa"/>
            <w:vMerge w:val="continue"/>
            <w:tcBorders>
              <w:tl2br w:val="nil"/>
              <w:tr2bl w:val="nil"/>
            </w:tcBorders>
            <w:vAlign w:val="center"/>
          </w:tcPr>
          <w:p w14:paraId="43B67F80">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312F2A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紫萍</w:t>
            </w:r>
          </w:p>
        </w:tc>
        <w:tc>
          <w:tcPr>
            <w:tcW w:w="1761" w:type="dxa"/>
            <w:tcBorders>
              <w:tl2br w:val="nil"/>
              <w:tr2bl w:val="nil"/>
            </w:tcBorders>
            <w:vAlign w:val="center"/>
          </w:tcPr>
          <w:p w14:paraId="2BA20BF0">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Spirodela polyrrhiza (L.) Schleid.</w:t>
            </w:r>
          </w:p>
        </w:tc>
        <w:tc>
          <w:tcPr>
            <w:tcW w:w="3264" w:type="dxa"/>
            <w:tcBorders>
              <w:tl2br w:val="nil"/>
              <w:tr2bl w:val="nil"/>
            </w:tcBorders>
            <w:vAlign w:val="center"/>
          </w:tcPr>
          <w:p w14:paraId="66ADC99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漂浮植物，繁殖快</w:t>
            </w:r>
          </w:p>
        </w:tc>
        <w:tc>
          <w:tcPr>
            <w:tcW w:w="1665" w:type="dxa"/>
            <w:tcBorders>
              <w:tl2br w:val="nil"/>
              <w:tr2bl w:val="nil"/>
            </w:tcBorders>
            <w:vAlign w:val="center"/>
          </w:tcPr>
          <w:p w14:paraId="78DFBA7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净化水质</w:t>
            </w:r>
          </w:p>
        </w:tc>
      </w:tr>
      <w:tr w14:paraId="3D344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58923686">
            <w:pPr>
              <w:spacing w:line="40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45</w:t>
            </w:r>
          </w:p>
        </w:tc>
        <w:tc>
          <w:tcPr>
            <w:tcW w:w="870" w:type="dxa"/>
            <w:vMerge w:val="continue"/>
            <w:tcBorders>
              <w:tl2br w:val="nil"/>
              <w:tr2bl w:val="nil"/>
            </w:tcBorders>
            <w:vAlign w:val="center"/>
          </w:tcPr>
          <w:p w14:paraId="461DC9EB">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6FE3628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金鱼藻</w:t>
            </w:r>
          </w:p>
        </w:tc>
        <w:tc>
          <w:tcPr>
            <w:tcW w:w="1761" w:type="dxa"/>
            <w:tcBorders>
              <w:tl2br w:val="nil"/>
              <w:tr2bl w:val="nil"/>
            </w:tcBorders>
            <w:vAlign w:val="center"/>
          </w:tcPr>
          <w:p w14:paraId="512B3EEF">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Ceratophyllum demersum L.</w:t>
            </w:r>
          </w:p>
        </w:tc>
        <w:tc>
          <w:tcPr>
            <w:tcW w:w="3264" w:type="dxa"/>
            <w:tcBorders>
              <w:tl2br w:val="nil"/>
              <w:tr2bl w:val="nil"/>
            </w:tcBorders>
            <w:vAlign w:val="center"/>
          </w:tcPr>
          <w:p w14:paraId="58B601A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沉水植物，净化水质</w:t>
            </w:r>
          </w:p>
        </w:tc>
        <w:tc>
          <w:tcPr>
            <w:tcW w:w="1665" w:type="dxa"/>
            <w:tcBorders>
              <w:tl2br w:val="nil"/>
              <w:tr2bl w:val="nil"/>
            </w:tcBorders>
            <w:vAlign w:val="center"/>
          </w:tcPr>
          <w:p w14:paraId="638B134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净化水质</w:t>
            </w:r>
          </w:p>
        </w:tc>
      </w:tr>
      <w:tr w14:paraId="7A0AE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14:paraId="7661EFC9">
            <w:pPr>
              <w:spacing w:line="40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46</w:t>
            </w:r>
          </w:p>
        </w:tc>
        <w:tc>
          <w:tcPr>
            <w:tcW w:w="870" w:type="dxa"/>
            <w:vMerge w:val="continue"/>
            <w:tcBorders>
              <w:tl2br w:val="nil"/>
              <w:tr2bl w:val="nil"/>
            </w:tcBorders>
            <w:vAlign w:val="center"/>
          </w:tcPr>
          <w:p w14:paraId="19C4E8B6">
            <w:pPr>
              <w:jc w:val="center"/>
              <w:rPr>
                <w:rFonts w:hint="eastAsia" w:ascii="宋体" w:hAnsi="宋体" w:eastAsia="宋体" w:cs="宋体"/>
                <w:color w:val="000000" w:themeColor="text1"/>
                <w:sz w:val="18"/>
                <w:szCs w:val="18"/>
                <w14:textFill>
                  <w14:solidFill>
                    <w14:schemeClr w14:val="tx1"/>
                  </w14:solidFill>
                </w14:textFill>
              </w:rPr>
            </w:pPr>
          </w:p>
        </w:tc>
        <w:tc>
          <w:tcPr>
            <w:tcW w:w="997" w:type="dxa"/>
            <w:tcBorders>
              <w:tl2br w:val="nil"/>
              <w:tr2bl w:val="nil"/>
            </w:tcBorders>
            <w:vAlign w:val="center"/>
          </w:tcPr>
          <w:p w14:paraId="47919E03">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狐尾藻</w:t>
            </w:r>
          </w:p>
        </w:tc>
        <w:tc>
          <w:tcPr>
            <w:tcW w:w="1761" w:type="dxa"/>
            <w:tcBorders>
              <w:tl2br w:val="nil"/>
              <w:tr2bl w:val="nil"/>
            </w:tcBorders>
            <w:vAlign w:val="center"/>
          </w:tcPr>
          <w:p w14:paraId="7DA8EE6A">
            <w:pPr>
              <w:widowControl/>
              <w:adjustRightInd w:val="0"/>
              <w:spacing w:line="240" w:lineRule="auto"/>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t>Myriophyllum verticillatum L.</w:t>
            </w:r>
          </w:p>
        </w:tc>
        <w:tc>
          <w:tcPr>
            <w:tcW w:w="3264" w:type="dxa"/>
            <w:tcBorders>
              <w:tl2br w:val="nil"/>
              <w:tr2bl w:val="nil"/>
            </w:tcBorders>
            <w:vAlign w:val="center"/>
          </w:tcPr>
          <w:p w14:paraId="464536F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沉水植物，净化水质</w:t>
            </w:r>
          </w:p>
        </w:tc>
        <w:tc>
          <w:tcPr>
            <w:tcW w:w="1665" w:type="dxa"/>
            <w:tcBorders>
              <w:tl2br w:val="nil"/>
              <w:tr2bl w:val="nil"/>
            </w:tcBorders>
            <w:vAlign w:val="center"/>
          </w:tcPr>
          <w:p w14:paraId="7A010B1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净化水质</w:t>
            </w:r>
          </w:p>
        </w:tc>
      </w:tr>
    </w:tbl>
    <w:p w14:paraId="406D7D78">
      <w:pPr>
        <w:rPr>
          <w:rFonts w:hint="default" w:ascii="Times New Roman" w:hAnsi="Times New Roman" w:eastAsia="黑体" w:cs="Times New Roman"/>
          <w:b w:val="0"/>
          <w:bCs w:val="0"/>
          <w:color w:val="000000" w:themeColor="text1"/>
          <w:sz w:val="18"/>
          <w:szCs w:val="18"/>
          <w14:textFill>
            <w14:solidFill>
              <w14:schemeClr w14:val="tx1"/>
            </w14:solidFill>
          </w14:textFill>
        </w:rPr>
      </w:pPr>
      <w:r>
        <w:rPr>
          <w:rFonts w:hint="default" w:ascii="Times New Roman" w:hAnsi="Times New Roman" w:eastAsia="黑体" w:cs="Times New Roman"/>
          <w:b w:val="0"/>
          <w:bCs w:val="0"/>
          <w:color w:val="000000" w:themeColor="text1"/>
          <w:sz w:val="18"/>
          <w:szCs w:val="18"/>
          <w14:textFill>
            <w14:solidFill>
              <w14:schemeClr w14:val="tx1"/>
            </w14:solidFill>
          </w14:textFill>
        </w:rPr>
        <w:br w:type="page"/>
      </w:r>
    </w:p>
    <w:p w14:paraId="66E2C255">
      <w:pPr>
        <w:pStyle w:val="4"/>
        <w:bidi w:val="0"/>
        <w:jc w:val="center"/>
        <w:rPr>
          <w:rFonts w:hint="default" w:ascii="Times New Roman" w:hAnsi="Times New Roman" w:cs="Times New Roman"/>
          <w:color w:val="000000" w:themeColor="text1"/>
          <w:lang w:val="en-US" w:eastAsia="zh-CN"/>
          <w14:textFill>
            <w14:solidFill>
              <w14:schemeClr w14:val="tx1"/>
            </w14:solidFill>
          </w14:textFill>
        </w:rPr>
      </w:pPr>
      <w:bookmarkStart w:id="102" w:name="_Toc12500"/>
      <w:r>
        <w:rPr>
          <w:rFonts w:hint="default" w:ascii="Times New Roman" w:hAnsi="Times New Roman" w:cs="Times New Roman"/>
          <w:color w:val="000000" w:themeColor="text1"/>
          <w:lang w:val="en-US" w:eastAsia="zh-CN"/>
          <w14:textFill>
            <w14:solidFill>
              <w14:schemeClr w14:val="tx1"/>
            </w14:solidFill>
          </w14:textFill>
        </w:rPr>
        <w:t>附录</w:t>
      </w:r>
      <w:r>
        <w:rPr>
          <w:rFonts w:hint="eastAsia" w:ascii="Times New Roman" w:hAnsi="Times New Roman" w:cs="Times New Roman"/>
          <w:color w:val="000000" w:themeColor="text1"/>
          <w:lang w:val="en-US" w:eastAsia="zh-CN"/>
          <w14:textFill>
            <w14:solidFill>
              <w14:schemeClr w14:val="tx1"/>
            </w14:solidFill>
          </w14:textFill>
        </w:rPr>
        <w:t>B</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四川省城市绿地生物多样性保护动物名录</w:t>
      </w:r>
      <w:bookmarkEnd w:id="102"/>
    </w:p>
    <w:p w14:paraId="32A53BEC">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454" w:leftChars="0" w:hanging="454" w:firstLineChar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本附录为</w:t>
      </w:r>
      <w:r>
        <w:rPr>
          <w:rFonts w:hint="eastAsia" w:ascii="Times New Roman" w:hAnsi="Times New Roman" w:cs="Times New Roman"/>
          <w:color w:val="000000" w:themeColor="text1"/>
          <w:lang w:val="en-US" w:eastAsia="zh-CN"/>
          <w14:textFill>
            <w14:solidFill>
              <w14:schemeClr w14:val="tx1"/>
            </w14:solidFill>
          </w14:textFill>
        </w:rPr>
        <w:t>四川省城市绿地生物多样性保护动物</w:t>
      </w:r>
      <w:r>
        <w:rPr>
          <w:rFonts w:hint="eastAsia" w:ascii="Times New Roman" w:hAnsi="Times New Roman" w:cs="Times New Roman"/>
          <w:b w:val="0"/>
          <w:bCs/>
          <w:color w:val="000000" w:themeColor="text1"/>
          <w:lang w:val="en-US" w:eastAsia="zh-CN"/>
          <w14:textFill>
            <w14:solidFill>
              <w14:schemeClr w14:val="tx1"/>
            </w14:solidFill>
          </w14:textFill>
        </w:rPr>
        <w:t>推荐名录。</w:t>
      </w:r>
    </w:p>
    <w:tbl>
      <w:tblPr>
        <w:tblStyle w:val="17"/>
        <w:tblpPr w:leftFromText="180" w:rightFromText="180" w:vertAnchor="text" w:horzAnchor="page" w:tblpX="1427" w:tblpY="799"/>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54"/>
        <w:gridCol w:w="986"/>
        <w:gridCol w:w="1916"/>
        <w:gridCol w:w="3177"/>
        <w:gridCol w:w="1635"/>
      </w:tblGrid>
      <w:tr w14:paraId="7CCB0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6711A5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序号</w:t>
            </w:r>
          </w:p>
        </w:tc>
        <w:tc>
          <w:tcPr>
            <w:tcW w:w="854" w:type="dxa"/>
            <w:tcBorders>
              <w:tl2br w:val="nil"/>
              <w:tr2bl w:val="nil"/>
            </w:tcBorders>
            <w:vAlign w:val="center"/>
          </w:tcPr>
          <w:p w14:paraId="3CD1A37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动物类型</w:t>
            </w:r>
          </w:p>
        </w:tc>
        <w:tc>
          <w:tcPr>
            <w:tcW w:w="986" w:type="dxa"/>
            <w:tcBorders>
              <w:tl2br w:val="nil"/>
              <w:tr2bl w:val="nil"/>
            </w:tcBorders>
            <w:vAlign w:val="center"/>
          </w:tcPr>
          <w:p w14:paraId="746B4CC9">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动物名称</w:t>
            </w:r>
          </w:p>
        </w:tc>
        <w:tc>
          <w:tcPr>
            <w:tcW w:w="1916" w:type="dxa"/>
            <w:tcBorders>
              <w:tl2br w:val="nil"/>
              <w:tr2bl w:val="nil"/>
            </w:tcBorders>
            <w:vAlign w:val="center"/>
          </w:tcPr>
          <w:p w14:paraId="2BA04887">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学名</w:t>
            </w:r>
          </w:p>
        </w:tc>
        <w:tc>
          <w:tcPr>
            <w:tcW w:w="3177" w:type="dxa"/>
            <w:tcBorders>
              <w:tl2br w:val="nil"/>
              <w:tr2bl w:val="nil"/>
            </w:tcBorders>
            <w:vAlign w:val="center"/>
          </w:tcPr>
          <w:p w14:paraId="652BD8F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生态角色</w:t>
            </w:r>
          </w:p>
        </w:tc>
        <w:tc>
          <w:tcPr>
            <w:tcW w:w="1635" w:type="dxa"/>
            <w:tcBorders>
              <w:tl2br w:val="nil"/>
              <w:tr2bl w:val="nil"/>
            </w:tcBorders>
            <w:vAlign w:val="center"/>
          </w:tcPr>
          <w:p w14:paraId="72B3CFA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栖息地要求</w:t>
            </w:r>
          </w:p>
        </w:tc>
      </w:tr>
      <w:tr w14:paraId="5AE3A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4CC1C78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w:t>
            </w:r>
          </w:p>
        </w:tc>
        <w:tc>
          <w:tcPr>
            <w:tcW w:w="854" w:type="dxa"/>
            <w:vMerge w:val="restart"/>
            <w:tcBorders>
              <w:tl2br w:val="nil"/>
              <w:tr2bl w:val="nil"/>
            </w:tcBorders>
            <w:vAlign w:val="center"/>
          </w:tcPr>
          <w:p w14:paraId="52A622C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鸟类</w:t>
            </w:r>
          </w:p>
        </w:tc>
        <w:tc>
          <w:tcPr>
            <w:tcW w:w="986" w:type="dxa"/>
            <w:tcBorders>
              <w:tl2br w:val="nil"/>
              <w:tr2bl w:val="nil"/>
            </w:tcBorders>
            <w:vAlign w:val="center"/>
          </w:tcPr>
          <w:p w14:paraId="6D742A7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麻雀</w:t>
            </w:r>
          </w:p>
        </w:tc>
        <w:tc>
          <w:tcPr>
            <w:tcW w:w="1916" w:type="dxa"/>
            <w:tcBorders>
              <w:tl2br w:val="nil"/>
              <w:tr2bl w:val="nil"/>
            </w:tcBorders>
            <w:vAlign w:val="center"/>
          </w:tcPr>
          <w:p w14:paraId="0C3B5BAE">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Passer montanus</w:t>
            </w:r>
          </w:p>
        </w:tc>
        <w:tc>
          <w:tcPr>
            <w:tcW w:w="3177" w:type="dxa"/>
            <w:tcBorders>
              <w:tl2br w:val="nil"/>
              <w:tr2bl w:val="nil"/>
            </w:tcBorders>
            <w:vAlign w:val="center"/>
          </w:tcPr>
          <w:p w14:paraId="2BCFB35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食谷鸟，昆虫天敌（育雏期）</w:t>
            </w:r>
          </w:p>
        </w:tc>
        <w:tc>
          <w:tcPr>
            <w:tcW w:w="1635" w:type="dxa"/>
            <w:tcBorders>
              <w:tl2br w:val="nil"/>
              <w:tr2bl w:val="nil"/>
            </w:tcBorders>
            <w:vAlign w:val="center"/>
          </w:tcPr>
          <w:p w14:paraId="66BABB7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建筑缝隙、灌丛、林地边缘</w:t>
            </w:r>
          </w:p>
        </w:tc>
      </w:tr>
      <w:tr w14:paraId="5710A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26CB4A7">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w:t>
            </w:r>
          </w:p>
        </w:tc>
        <w:tc>
          <w:tcPr>
            <w:tcW w:w="854" w:type="dxa"/>
            <w:vMerge w:val="continue"/>
            <w:tcBorders>
              <w:tl2br w:val="nil"/>
              <w:tr2bl w:val="nil"/>
            </w:tcBorders>
            <w:vAlign w:val="center"/>
          </w:tcPr>
          <w:p w14:paraId="53AA702E">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64F484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白头鹎</w:t>
            </w:r>
          </w:p>
        </w:tc>
        <w:tc>
          <w:tcPr>
            <w:tcW w:w="1916" w:type="dxa"/>
            <w:tcBorders>
              <w:tl2br w:val="nil"/>
              <w:tr2bl w:val="nil"/>
            </w:tcBorders>
            <w:vAlign w:val="center"/>
          </w:tcPr>
          <w:p w14:paraId="6501FEE7">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Pycnonotus sinensis</w:t>
            </w:r>
          </w:p>
        </w:tc>
        <w:tc>
          <w:tcPr>
            <w:tcW w:w="3177" w:type="dxa"/>
            <w:tcBorders>
              <w:tl2br w:val="nil"/>
              <w:tr2bl w:val="nil"/>
            </w:tcBorders>
            <w:vAlign w:val="center"/>
          </w:tcPr>
          <w:p w14:paraId="17BBB4A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食果、传粉、昆虫天敌</w:t>
            </w:r>
          </w:p>
        </w:tc>
        <w:tc>
          <w:tcPr>
            <w:tcW w:w="1635" w:type="dxa"/>
            <w:tcBorders>
              <w:tl2br w:val="nil"/>
              <w:tr2bl w:val="nil"/>
            </w:tcBorders>
            <w:vAlign w:val="center"/>
          </w:tcPr>
          <w:p w14:paraId="174FD5C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园林、阔叶林、灌丛</w:t>
            </w:r>
          </w:p>
        </w:tc>
      </w:tr>
      <w:tr w14:paraId="72CEE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5316FBC9">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w:t>
            </w:r>
          </w:p>
        </w:tc>
        <w:tc>
          <w:tcPr>
            <w:tcW w:w="854" w:type="dxa"/>
            <w:vMerge w:val="continue"/>
            <w:tcBorders>
              <w:tl2br w:val="nil"/>
              <w:tr2bl w:val="nil"/>
            </w:tcBorders>
            <w:vAlign w:val="center"/>
          </w:tcPr>
          <w:p w14:paraId="080D371B">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38C3B7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珠颈斑鸠</w:t>
            </w:r>
          </w:p>
        </w:tc>
        <w:tc>
          <w:tcPr>
            <w:tcW w:w="1916" w:type="dxa"/>
            <w:tcBorders>
              <w:tl2br w:val="nil"/>
              <w:tr2bl w:val="nil"/>
            </w:tcBorders>
            <w:vAlign w:val="center"/>
          </w:tcPr>
          <w:p w14:paraId="44BCF2A4">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Spilopelia chinensis</w:t>
            </w:r>
          </w:p>
        </w:tc>
        <w:tc>
          <w:tcPr>
            <w:tcW w:w="3177" w:type="dxa"/>
            <w:tcBorders>
              <w:tl2br w:val="nil"/>
              <w:tr2bl w:val="nil"/>
            </w:tcBorders>
            <w:vAlign w:val="center"/>
          </w:tcPr>
          <w:p w14:paraId="4C7EEE1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食谷</w:t>
            </w:r>
          </w:p>
        </w:tc>
        <w:tc>
          <w:tcPr>
            <w:tcW w:w="1635" w:type="dxa"/>
            <w:tcBorders>
              <w:tl2br w:val="nil"/>
              <w:tr2bl w:val="nil"/>
            </w:tcBorders>
            <w:vAlign w:val="center"/>
          </w:tcPr>
          <w:p w14:paraId="2CF509C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乔木林、城市公园、庭院</w:t>
            </w:r>
          </w:p>
        </w:tc>
      </w:tr>
      <w:tr w14:paraId="2CE9E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7C64D305">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w:t>
            </w:r>
          </w:p>
        </w:tc>
        <w:tc>
          <w:tcPr>
            <w:tcW w:w="854" w:type="dxa"/>
            <w:vMerge w:val="continue"/>
            <w:tcBorders>
              <w:tl2br w:val="nil"/>
              <w:tr2bl w:val="nil"/>
            </w:tcBorders>
            <w:vAlign w:val="center"/>
          </w:tcPr>
          <w:p w14:paraId="23E459F8">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0BCA6ED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白颊噪鹛</w:t>
            </w:r>
          </w:p>
        </w:tc>
        <w:tc>
          <w:tcPr>
            <w:tcW w:w="1916" w:type="dxa"/>
            <w:tcBorders>
              <w:tl2br w:val="nil"/>
              <w:tr2bl w:val="nil"/>
            </w:tcBorders>
            <w:vAlign w:val="center"/>
          </w:tcPr>
          <w:p w14:paraId="3ACEB0C7">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Pterorhinus sannio</w:t>
            </w:r>
          </w:p>
        </w:tc>
        <w:tc>
          <w:tcPr>
            <w:tcW w:w="3177" w:type="dxa"/>
            <w:tcBorders>
              <w:tl2br w:val="nil"/>
              <w:tr2bl w:val="nil"/>
            </w:tcBorders>
            <w:vAlign w:val="center"/>
          </w:tcPr>
          <w:p w14:paraId="0FC4795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食虫、食果</w:t>
            </w:r>
          </w:p>
        </w:tc>
        <w:tc>
          <w:tcPr>
            <w:tcW w:w="1635" w:type="dxa"/>
            <w:tcBorders>
              <w:tl2br w:val="nil"/>
              <w:tr2bl w:val="nil"/>
            </w:tcBorders>
            <w:vAlign w:val="center"/>
          </w:tcPr>
          <w:p w14:paraId="5363628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灌丛、竹林、林下植被</w:t>
            </w:r>
          </w:p>
        </w:tc>
      </w:tr>
      <w:tr w14:paraId="574AF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3B862EF">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5</w:t>
            </w:r>
          </w:p>
        </w:tc>
        <w:tc>
          <w:tcPr>
            <w:tcW w:w="854" w:type="dxa"/>
            <w:vMerge w:val="continue"/>
            <w:tcBorders>
              <w:tl2br w:val="nil"/>
              <w:tr2bl w:val="nil"/>
            </w:tcBorders>
            <w:vAlign w:val="center"/>
          </w:tcPr>
          <w:p w14:paraId="5AEC0554">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7628236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乌鸫</w:t>
            </w:r>
          </w:p>
        </w:tc>
        <w:tc>
          <w:tcPr>
            <w:tcW w:w="1916" w:type="dxa"/>
            <w:tcBorders>
              <w:tl2br w:val="nil"/>
              <w:tr2bl w:val="nil"/>
            </w:tcBorders>
            <w:vAlign w:val="center"/>
          </w:tcPr>
          <w:p w14:paraId="7AA3FB1F">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Turdus mandarinus</w:t>
            </w:r>
          </w:p>
        </w:tc>
        <w:tc>
          <w:tcPr>
            <w:tcW w:w="3177" w:type="dxa"/>
            <w:tcBorders>
              <w:tl2br w:val="nil"/>
              <w:tr2bl w:val="nil"/>
            </w:tcBorders>
            <w:vAlign w:val="center"/>
          </w:tcPr>
          <w:p w14:paraId="2BF542B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食虫、食果</w:t>
            </w:r>
          </w:p>
        </w:tc>
        <w:tc>
          <w:tcPr>
            <w:tcW w:w="1635" w:type="dxa"/>
            <w:tcBorders>
              <w:tl2br w:val="nil"/>
              <w:tr2bl w:val="nil"/>
            </w:tcBorders>
            <w:vAlign w:val="center"/>
          </w:tcPr>
          <w:p w14:paraId="783A0EC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林地、草坪、园林</w:t>
            </w:r>
          </w:p>
        </w:tc>
      </w:tr>
      <w:tr w14:paraId="0660E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79CA55B1">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6</w:t>
            </w:r>
          </w:p>
        </w:tc>
        <w:tc>
          <w:tcPr>
            <w:tcW w:w="854" w:type="dxa"/>
            <w:vMerge w:val="continue"/>
            <w:tcBorders>
              <w:tl2br w:val="nil"/>
              <w:tr2bl w:val="nil"/>
            </w:tcBorders>
            <w:vAlign w:val="center"/>
          </w:tcPr>
          <w:p w14:paraId="60062B5E">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70A245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喜鹊</w:t>
            </w:r>
          </w:p>
        </w:tc>
        <w:tc>
          <w:tcPr>
            <w:tcW w:w="1916" w:type="dxa"/>
            <w:tcBorders>
              <w:tl2br w:val="nil"/>
              <w:tr2bl w:val="nil"/>
            </w:tcBorders>
            <w:vAlign w:val="center"/>
          </w:tcPr>
          <w:p w14:paraId="2BE7BB84">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Pica pica</w:t>
            </w:r>
          </w:p>
        </w:tc>
        <w:tc>
          <w:tcPr>
            <w:tcW w:w="3177" w:type="dxa"/>
            <w:tcBorders>
              <w:tl2br w:val="nil"/>
              <w:tr2bl w:val="nil"/>
            </w:tcBorders>
            <w:vAlign w:val="center"/>
          </w:tcPr>
          <w:p w14:paraId="6A7CFE7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杂食，顶级消费者</w:t>
            </w:r>
          </w:p>
        </w:tc>
        <w:tc>
          <w:tcPr>
            <w:tcW w:w="1635" w:type="dxa"/>
            <w:tcBorders>
              <w:tl2br w:val="nil"/>
              <w:tr2bl w:val="nil"/>
            </w:tcBorders>
            <w:vAlign w:val="center"/>
          </w:tcPr>
          <w:p w14:paraId="6F69D96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高大乔木（用于筑巢）、开阔地</w:t>
            </w:r>
          </w:p>
        </w:tc>
      </w:tr>
      <w:tr w14:paraId="03D6E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0513BFFB">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7</w:t>
            </w:r>
          </w:p>
        </w:tc>
        <w:tc>
          <w:tcPr>
            <w:tcW w:w="854" w:type="dxa"/>
            <w:vMerge w:val="continue"/>
            <w:tcBorders>
              <w:tl2br w:val="nil"/>
              <w:tr2bl w:val="nil"/>
            </w:tcBorders>
            <w:vAlign w:val="center"/>
          </w:tcPr>
          <w:p w14:paraId="0B295DFA">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20AD957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远东山雀</w:t>
            </w:r>
          </w:p>
        </w:tc>
        <w:tc>
          <w:tcPr>
            <w:tcW w:w="1916" w:type="dxa"/>
            <w:tcBorders>
              <w:tl2br w:val="nil"/>
              <w:tr2bl w:val="nil"/>
            </w:tcBorders>
            <w:vAlign w:val="center"/>
          </w:tcPr>
          <w:p w14:paraId="449E2448">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Parus minor</w:t>
            </w:r>
          </w:p>
        </w:tc>
        <w:tc>
          <w:tcPr>
            <w:tcW w:w="3177" w:type="dxa"/>
            <w:tcBorders>
              <w:tl2br w:val="nil"/>
              <w:tr2bl w:val="nil"/>
            </w:tcBorders>
            <w:vAlign w:val="center"/>
          </w:tcPr>
          <w:p w14:paraId="5CE62A8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1900BF9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林地、园林，需要树洞巢位</w:t>
            </w:r>
          </w:p>
        </w:tc>
      </w:tr>
      <w:tr w14:paraId="69DBA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6CB73F33">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8</w:t>
            </w:r>
          </w:p>
        </w:tc>
        <w:tc>
          <w:tcPr>
            <w:tcW w:w="854" w:type="dxa"/>
            <w:vMerge w:val="continue"/>
            <w:tcBorders>
              <w:tl2br w:val="nil"/>
              <w:tr2bl w:val="nil"/>
            </w:tcBorders>
            <w:vAlign w:val="center"/>
          </w:tcPr>
          <w:p w14:paraId="430BC2CD">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07E718A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棕头鸦雀</w:t>
            </w:r>
          </w:p>
        </w:tc>
        <w:tc>
          <w:tcPr>
            <w:tcW w:w="1916" w:type="dxa"/>
            <w:tcBorders>
              <w:tl2br w:val="nil"/>
              <w:tr2bl w:val="nil"/>
            </w:tcBorders>
            <w:vAlign w:val="center"/>
          </w:tcPr>
          <w:p w14:paraId="6F3148C3">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Sinosuthora webbiana</w:t>
            </w:r>
          </w:p>
        </w:tc>
        <w:tc>
          <w:tcPr>
            <w:tcW w:w="3177" w:type="dxa"/>
            <w:tcBorders>
              <w:tl2br w:val="nil"/>
              <w:tr2bl w:val="nil"/>
            </w:tcBorders>
            <w:vAlign w:val="center"/>
          </w:tcPr>
          <w:p w14:paraId="60FF8D7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2CBD986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茂密灌丛、芦苇丛</w:t>
            </w:r>
          </w:p>
        </w:tc>
      </w:tr>
      <w:tr w14:paraId="31372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56AC5DC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w:t>
            </w:r>
          </w:p>
        </w:tc>
        <w:tc>
          <w:tcPr>
            <w:tcW w:w="854" w:type="dxa"/>
            <w:vMerge w:val="continue"/>
            <w:tcBorders>
              <w:tl2br w:val="nil"/>
              <w:tr2bl w:val="nil"/>
            </w:tcBorders>
            <w:vAlign w:val="center"/>
          </w:tcPr>
          <w:p w14:paraId="17EEB04B">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4A7122E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家燕</w:t>
            </w:r>
          </w:p>
        </w:tc>
        <w:tc>
          <w:tcPr>
            <w:tcW w:w="1916" w:type="dxa"/>
            <w:tcBorders>
              <w:tl2br w:val="nil"/>
              <w:tr2bl w:val="nil"/>
            </w:tcBorders>
            <w:vAlign w:val="center"/>
          </w:tcPr>
          <w:p w14:paraId="64044D64">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Hirundo rustica</w:t>
            </w:r>
          </w:p>
        </w:tc>
        <w:tc>
          <w:tcPr>
            <w:tcW w:w="3177" w:type="dxa"/>
            <w:tcBorders>
              <w:tl2br w:val="nil"/>
              <w:tr2bl w:val="nil"/>
            </w:tcBorders>
            <w:vAlign w:val="center"/>
          </w:tcPr>
          <w:p w14:paraId="0F2E35D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飞行捕虫</w:t>
            </w:r>
          </w:p>
        </w:tc>
        <w:tc>
          <w:tcPr>
            <w:tcW w:w="1635" w:type="dxa"/>
            <w:tcBorders>
              <w:tl2br w:val="nil"/>
              <w:tr2bl w:val="nil"/>
            </w:tcBorders>
            <w:vAlign w:val="center"/>
          </w:tcPr>
          <w:p w14:paraId="73FA224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开阔地、水域上空，需屋檐等筑巢点</w:t>
            </w:r>
          </w:p>
        </w:tc>
      </w:tr>
      <w:tr w14:paraId="071B6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1BD037D">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854" w:type="dxa"/>
            <w:vMerge w:val="continue"/>
            <w:tcBorders>
              <w:tl2br w:val="nil"/>
              <w:tr2bl w:val="nil"/>
            </w:tcBorders>
            <w:vAlign w:val="center"/>
          </w:tcPr>
          <w:p w14:paraId="459309A4">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25F6499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金腰燕</w:t>
            </w:r>
          </w:p>
        </w:tc>
        <w:tc>
          <w:tcPr>
            <w:tcW w:w="1916" w:type="dxa"/>
            <w:tcBorders>
              <w:tl2br w:val="nil"/>
              <w:tr2bl w:val="nil"/>
            </w:tcBorders>
            <w:vAlign w:val="center"/>
          </w:tcPr>
          <w:p w14:paraId="761371C1">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Cecropis daurica</w:t>
            </w:r>
          </w:p>
        </w:tc>
        <w:tc>
          <w:tcPr>
            <w:tcW w:w="3177" w:type="dxa"/>
            <w:tcBorders>
              <w:tl2br w:val="nil"/>
              <w:tr2bl w:val="nil"/>
            </w:tcBorders>
            <w:vAlign w:val="center"/>
          </w:tcPr>
          <w:p w14:paraId="188B4C4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飞行捕虫</w:t>
            </w:r>
          </w:p>
        </w:tc>
        <w:tc>
          <w:tcPr>
            <w:tcW w:w="1635" w:type="dxa"/>
            <w:tcBorders>
              <w:tl2br w:val="nil"/>
              <w:tr2bl w:val="nil"/>
            </w:tcBorders>
            <w:vAlign w:val="center"/>
          </w:tcPr>
          <w:p w14:paraId="3B29754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同家燕，巢为壶形</w:t>
            </w:r>
          </w:p>
        </w:tc>
      </w:tr>
      <w:tr w14:paraId="2772E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B29D0AA">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11</w:t>
            </w:r>
          </w:p>
        </w:tc>
        <w:tc>
          <w:tcPr>
            <w:tcW w:w="854" w:type="dxa"/>
            <w:vMerge w:val="continue"/>
            <w:tcBorders>
              <w:tl2br w:val="nil"/>
              <w:tr2bl w:val="nil"/>
            </w:tcBorders>
            <w:vAlign w:val="center"/>
          </w:tcPr>
          <w:p w14:paraId="3DBDEF1B">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04FA6581">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白鹡鸰</w:t>
            </w:r>
          </w:p>
        </w:tc>
        <w:tc>
          <w:tcPr>
            <w:tcW w:w="1916" w:type="dxa"/>
            <w:tcBorders>
              <w:tl2br w:val="nil"/>
              <w:tr2bl w:val="nil"/>
            </w:tcBorders>
            <w:vAlign w:val="center"/>
          </w:tcPr>
          <w:p w14:paraId="1C331DEF">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Motacilla alba</w:t>
            </w:r>
          </w:p>
        </w:tc>
        <w:tc>
          <w:tcPr>
            <w:tcW w:w="3177" w:type="dxa"/>
            <w:tcBorders>
              <w:tl2br w:val="nil"/>
              <w:tr2bl w:val="nil"/>
            </w:tcBorders>
            <w:vAlign w:val="center"/>
          </w:tcPr>
          <w:p w14:paraId="1F30AB3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水边昆虫捕食者</w:t>
            </w:r>
          </w:p>
        </w:tc>
        <w:tc>
          <w:tcPr>
            <w:tcW w:w="1635" w:type="dxa"/>
            <w:tcBorders>
              <w:tl2br w:val="nil"/>
              <w:tr2bl w:val="nil"/>
            </w:tcBorders>
            <w:vAlign w:val="center"/>
          </w:tcPr>
          <w:p w14:paraId="0D38F4D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河流、溪边、滩涂、草坪</w:t>
            </w:r>
          </w:p>
        </w:tc>
      </w:tr>
      <w:tr w14:paraId="446FD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5441E882">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854" w:type="dxa"/>
            <w:vMerge w:val="continue"/>
            <w:tcBorders>
              <w:tl2br w:val="nil"/>
              <w:tr2bl w:val="nil"/>
            </w:tcBorders>
            <w:vAlign w:val="center"/>
          </w:tcPr>
          <w:p w14:paraId="6355BE26">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41371CC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普通翠鸟</w:t>
            </w:r>
          </w:p>
        </w:tc>
        <w:tc>
          <w:tcPr>
            <w:tcW w:w="1916" w:type="dxa"/>
            <w:tcBorders>
              <w:tl2br w:val="nil"/>
              <w:tr2bl w:val="nil"/>
            </w:tcBorders>
            <w:vAlign w:val="center"/>
          </w:tcPr>
          <w:p w14:paraId="557F5A79">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Alcedo atthis</w:t>
            </w:r>
          </w:p>
        </w:tc>
        <w:tc>
          <w:tcPr>
            <w:tcW w:w="3177" w:type="dxa"/>
            <w:tcBorders>
              <w:tl2br w:val="nil"/>
              <w:tr2bl w:val="nil"/>
            </w:tcBorders>
            <w:vAlign w:val="center"/>
          </w:tcPr>
          <w:p w14:paraId="019D553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捕鱼，指示水质</w:t>
            </w:r>
          </w:p>
        </w:tc>
        <w:tc>
          <w:tcPr>
            <w:tcW w:w="1635" w:type="dxa"/>
            <w:tcBorders>
              <w:tl2br w:val="nil"/>
              <w:tr2bl w:val="nil"/>
            </w:tcBorders>
            <w:vAlign w:val="center"/>
          </w:tcPr>
          <w:p w14:paraId="6AF7530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清澈的水体、有栖枝的河岸</w:t>
            </w:r>
          </w:p>
        </w:tc>
      </w:tr>
      <w:tr w14:paraId="134AB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72FF4A8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13</w:t>
            </w:r>
          </w:p>
        </w:tc>
        <w:tc>
          <w:tcPr>
            <w:tcW w:w="854" w:type="dxa"/>
            <w:vMerge w:val="continue"/>
            <w:tcBorders>
              <w:tl2br w:val="nil"/>
              <w:tr2bl w:val="nil"/>
            </w:tcBorders>
            <w:vAlign w:val="center"/>
          </w:tcPr>
          <w:p w14:paraId="32E2ACC3">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0098999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夜鹭</w:t>
            </w:r>
          </w:p>
        </w:tc>
        <w:tc>
          <w:tcPr>
            <w:tcW w:w="1916" w:type="dxa"/>
            <w:tcBorders>
              <w:tl2br w:val="nil"/>
              <w:tr2bl w:val="nil"/>
            </w:tcBorders>
            <w:vAlign w:val="center"/>
          </w:tcPr>
          <w:p w14:paraId="7D7D6A96">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Nycticorax nycticorax</w:t>
            </w:r>
          </w:p>
        </w:tc>
        <w:tc>
          <w:tcPr>
            <w:tcW w:w="3177" w:type="dxa"/>
            <w:tcBorders>
              <w:tl2br w:val="nil"/>
              <w:tr2bl w:val="nil"/>
            </w:tcBorders>
            <w:vAlign w:val="center"/>
          </w:tcPr>
          <w:p w14:paraId="487CE3B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涉禽，捕食鱼虾</w:t>
            </w:r>
          </w:p>
        </w:tc>
        <w:tc>
          <w:tcPr>
            <w:tcW w:w="1635" w:type="dxa"/>
            <w:tcBorders>
              <w:tl2br w:val="nil"/>
              <w:tr2bl w:val="nil"/>
            </w:tcBorders>
            <w:vAlign w:val="center"/>
          </w:tcPr>
          <w:p w14:paraId="315CCA7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水域、林地（集群营巢）</w:t>
            </w:r>
          </w:p>
        </w:tc>
      </w:tr>
      <w:tr w14:paraId="40B39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8E8D52F">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14</w:t>
            </w:r>
          </w:p>
        </w:tc>
        <w:tc>
          <w:tcPr>
            <w:tcW w:w="854" w:type="dxa"/>
            <w:vMerge w:val="continue"/>
            <w:tcBorders>
              <w:tl2br w:val="nil"/>
              <w:tr2bl w:val="nil"/>
            </w:tcBorders>
            <w:vAlign w:val="center"/>
          </w:tcPr>
          <w:p w14:paraId="46C1E6C0">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C01714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白鹭</w:t>
            </w:r>
          </w:p>
        </w:tc>
        <w:tc>
          <w:tcPr>
            <w:tcW w:w="1916" w:type="dxa"/>
            <w:tcBorders>
              <w:tl2br w:val="nil"/>
              <w:tr2bl w:val="nil"/>
            </w:tcBorders>
            <w:vAlign w:val="center"/>
          </w:tcPr>
          <w:p w14:paraId="0AD9A031">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Egretta garzetta</w:t>
            </w:r>
          </w:p>
        </w:tc>
        <w:tc>
          <w:tcPr>
            <w:tcW w:w="3177" w:type="dxa"/>
            <w:tcBorders>
              <w:tl2br w:val="nil"/>
              <w:tr2bl w:val="nil"/>
            </w:tcBorders>
            <w:vAlign w:val="center"/>
          </w:tcPr>
          <w:p w14:paraId="3E6B8AD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涉禽，指示湿地健康</w:t>
            </w:r>
          </w:p>
        </w:tc>
        <w:tc>
          <w:tcPr>
            <w:tcW w:w="1635" w:type="dxa"/>
            <w:tcBorders>
              <w:tl2br w:val="nil"/>
              <w:tr2bl w:val="nil"/>
            </w:tcBorders>
            <w:vAlign w:val="center"/>
          </w:tcPr>
          <w:p w14:paraId="5DD9E25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稻田、河流、浅滩</w:t>
            </w:r>
          </w:p>
        </w:tc>
      </w:tr>
      <w:tr w14:paraId="06B06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E0081B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854" w:type="dxa"/>
            <w:vMerge w:val="continue"/>
            <w:tcBorders>
              <w:tl2br w:val="nil"/>
              <w:tr2bl w:val="nil"/>
            </w:tcBorders>
            <w:vAlign w:val="center"/>
          </w:tcPr>
          <w:p w14:paraId="7B965E07">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9BB9E2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戴胜</w:t>
            </w:r>
          </w:p>
        </w:tc>
        <w:tc>
          <w:tcPr>
            <w:tcW w:w="1916" w:type="dxa"/>
            <w:tcBorders>
              <w:tl2br w:val="nil"/>
              <w:tr2bl w:val="nil"/>
            </w:tcBorders>
            <w:vAlign w:val="center"/>
          </w:tcPr>
          <w:p w14:paraId="29A641FA">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Upupa epops</w:t>
            </w:r>
          </w:p>
        </w:tc>
        <w:tc>
          <w:tcPr>
            <w:tcW w:w="3177" w:type="dxa"/>
            <w:tcBorders>
              <w:tl2br w:val="nil"/>
              <w:tr2bl w:val="nil"/>
            </w:tcBorders>
            <w:vAlign w:val="center"/>
          </w:tcPr>
          <w:p w14:paraId="356D437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食地下害虫</w:t>
            </w:r>
          </w:p>
        </w:tc>
        <w:tc>
          <w:tcPr>
            <w:tcW w:w="1635" w:type="dxa"/>
            <w:tcBorders>
              <w:tl2br w:val="nil"/>
              <w:tr2bl w:val="nil"/>
            </w:tcBorders>
            <w:vAlign w:val="center"/>
          </w:tcPr>
          <w:p w14:paraId="0DA0736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林缘、草地，需要树洞或墙洞巢位</w:t>
            </w:r>
          </w:p>
        </w:tc>
      </w:tr>
      <w:tr w14:paraId="46D12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6B6A87A8">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16</w:t>
            </w:r>
          </w:p>
        </w:tc>
        <w:tc>
          <w:tcPr>
            <w:tcW w:w="854" w:type="dxa"/>
            <w:vMerge w:val="continue"/>
            <w:tcBorders>
              <w:tl2br w:val="nil"/>
              <w:tr2bl w:val="nil"/>
            </w:tcBorders>
            <w:vAlign w:val="center"/>
          </w:tcPr>
          <w:p w14:paraId="3DB15C00">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D07A99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黑水鸡</w:t>
            </w:r>
          </w:p>
        </w:tc>
        <w:tc>
          <w:tcPr>
            <w:tcW w:w="1916" w:type="dxa"/>
            <w:tcBorders>
              <w:tl2br w:val="nil"/>
              <w:tr2bl w:val="nil"/>
            </w:tcBorders>
            <w:vAlign w:val="center"/>
          </w:tcPr>
          <w:p w14:paraId="201E202E">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Gallinula chloropus</w:t>
            </w:r>
          </w:p>
        </w:tc>
        <w:tc>
          <w:tcPr>
            <w:tcW w:w="3177" w:type="dxa"/>
            <w:tcBorders>
              <w:tl2br w:val="nil"/>
              <w:tr2bl w:val="nil"/>
            </w:tcBorders>
            <w:vAlign w:val="center"/>
          </w:tcPr>
          <w:p w14:paraId="1861D8D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游禽、涉禽</w:t>
            </w:r>
          </w:p>
        </w:tc>
        <w:tc>
          <w:tcPr>
            <w:tcW w:w="1635" w:type="dxa"/>
            <w:tcBorders>
              <w:tl2br w:val="nil"/>
              <w:tr2bl w:val="nil"/>
            </w:tcBorders>
            <w:vAlign w:val="center"/>
          </w:tcPr>
          <w:p w14:paraId="574065F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富有水生植物的湿地</w:t>
            </w:r>
          </w:p>
        </w:tc>
      </w:tr>
      <w:tr w14:paraId="24B77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08D2B982">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17</w:t>
            </w:r>
          </w:p>
        </w:tc>
        <w:tc>
          <w:tcPr>
            <w:tcW w:w="854" w:type="dxa"/>
            <w:vMerge w:val="continue"/>
            <w:tcBorders>
              <w:tl2br w:val="nil"/>
              <w:tr2bl w:val="nil"/>
            </w:tcBorders>
            <w:vAlign w:val="center"/>
          </w:tcPr>
          <w:p w14:paraId="2A115BFB">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144D95DF">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䴙䴘 (小䴙䴘)</w:t>
            </w:r>
          </w:p>
        </w:tc>
        <w:tc>
          <w:tcPr>
            <w:tcW w:w="1916" w:type="dxa"/>
            <w:tcBorders>
              <w:tl2br w:val="nil"/>
              <w:tr2bl w:val="nil"/>
            </w:tcBorders>
            <w:vAlign w:val="center"/>
          </w:tcPr>
          <w:p w14:paraId="6903C920">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Tachybaptus ruficollis</w:t>
            </w:r>
          </w:p>
        </w:tc>
        <w:tc>
          <w:tcPr>
            <w:tcW w:w="3177" w:type="dxa"/>
            <w:tcBorders>
              <w:tl2br w:val="nil"/>
              <w:tr2bl w:val="nil"/>
            </w:tcBorders>
            <w:vAlign w:val="center"/>
          </w:tcPr>
          <w:p w14:paraId="2D8591E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游禽，潜水捕食</w:t>
            </w:r>
          </w:p>
        </w:tc>
        <w:tc>
          <w:tcPr>
            <w:tcW w:w="1635" w:type="dxa"/>
            <w:tcBorders>
              <w:tl2br w:val="nil"/>
              <w:tr2bl w:val="nil"/>
            </w:tcBorders>
            <w:vAlign w:val="center"/>
          </w:tcPr>
          <w:p w14:paraId="6E5D041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湖泊、池塘，需挺水植物</w:t>
            </w:r>
          </w:p>
        </w:tc>
      </w:tr>
      <w:tr w14:paraId="40EAD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60D58484">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18</w:t>
            </w:r>
          </w:p>
        </w:tc>
        <w:tc>
          <w:tcPr>
            <w:tcW w:w="854" w:type="dxa"/>
            <w:vMerge w:val="continue"/>
            <w:tcBorders>
              <w:tl2br w:val="nil"/>
              <w:tr2bl w:val="nil"/>
            </w:tcBorders>
            <w:vAlign w:val="center"/>
          </w:tcPr>
          <w:p w14:paraId="1AD59B44">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6A1D20F">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四川短翅莺</w:t>
            </w:r>
          </w:p>
        </w:tc>
        <w:tc>
          <w:tcPr>
            <w:tcW w:w="1916" w:type="dxa"/>
            <w:tcBorders>
              <w:tl2br w:val="nil"/>
              <w:tr2bl w:val="nil"/>
            </w:tcBorders>
            <w:vAlign w:val="center"/>
          </w:tcPr>
          <w:p w14:paraId="2DBD6224">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Locustella chengi</w:t>
            </w:r>
          </w:p>
        </w:tc>
        <w:tc>
          <w:tcPr>
            <w:tcW w:w="3177" w:type="dxa"/>
            <w:tcBorders>
              <w:tl2br w:val="nil"/>
              <w:tr2bl w:val="nil"/>
            </w:tcBorders>
            <w:vAlign w:val="center"/>
          </w:tcPr>
          <w:p w14:paraId="69E9F0B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33936D4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四川特有种，要求高草灌丛生境</w:t>
            </w:r>
          </w:p>
        </w:tc>
      </w:tr>
      <w:tr w14:paraId="1EEFB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51BDCDFD">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19</w:t>
            </w:r>
          </w:p>
        </w:tc>
        <w:tc>
          <w:tcPr>
            <w:tcW w:w="854" w:type="dxa"/>
            <w:vMerge w:val="continue"/>
            <w:tcBorders>
              <w:tl2br w:val="nil"/>
              <w:tr2bl w:val="nil"/>
            </w:tcBorders>
            <w:vAlign w:val="center"/>
          </w:tcPr>
          <w:p w14:paraId="7F89779F">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08BF78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红头长尾山雀</w:t>
            </w:r>
          </w:p>
        </w:tc>
        <w:tc>
          <w:tcPr>
            <w:tcW w:w="1916" w:type="dxa"/>
            <w:tcBorders>
              <w:tl2br w:val="nil"/>
              <w:tr2bl w:val="nil"/>
            </w:tcBorders>
            <w:vAlign w:val="center"/>
          </w:tcPr>
          <w:p w14:paraId="3BCC9B97">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Aegithalos concinnus</w:t>
            </w:r>
          </w:p>
        </w:tc>
        <w:tc>
          <w:tcPr>
            <w:tcW w:w="3177" w:type="dxa"/>
            <w:tcBorders>
              <w:tl2br w:val="nil"/>
              <w:tr2bl w:val="nil"/>
            </w:tcBorders>
            <w:vAlign w:val="center"/>
          </w:tcPr>
          <w:p w14:paraId="7AC0D9E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1C69098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阔叶林、灌丛，常集群活动</w:t>
            </w:r>
          </w:p>
        </w:tc>
      </w:tr>
      <w:tr w14:paraId="0497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2E097E7">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20</w:t>
            </w:r>
          </w:p>
        </w:tc>
        <w:tc>
          <w:tcPr>
            <w:tcW w:w="854" w:type="dxa"/>
            <w:vMerge w:val="continue"/>
            <w:tcBorders>
              <w:tl2br w:val="nil"/>
              <w:tr2bl w:val="nil"/>
            </w:tcBorders>
            <w:vAlign w:val="center"/>
          </w:tcPr>
          <w:p w14:paraId="1EE74BE8">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5B8FE4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画眉</w:t>
            </w:r>
          </w:p>
        </w:tc>
        <w:tc>
          <w:tcPr>
            <w:tcW w:w="1916" w:type="dxa"/>
            <w:tcBorders>
              <w:tl2br w:val="nil"/>
              <w:tr2bl w:val="nil"/>
            </w:tcBorders>
            <w:vAlign w:val="center"/>
          </w:tcPr>
          <w:p w14:paraId="6B657592">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Garrulax canorus</w:t>
            </w:r>
          </w:p>
        </w:tc>
        <w:tc>
          <w:tcPr>
            <w:tcW w:w="3177" w:type="dxa"/>
            <w:tcBorders>
              <w:tl2br w:val="nil"/>
              <w:tr2bl w:val="nil"/>
            </w:tcBorders>
            <w:vAlign w:val="center"/>
          </w:tcPr>
          <w:p w14:paraId="5AE99D0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食虫、食果</w:t>
            </w:r>
          </w:p>
        </w:tc>
        <w:tc>
          <w:tcPr>
            <w:tcW w:w="1635" w:type="dxa"/>
            <w:tcBorders>
              <w:tl2br w:val="nil"/>
              <w:tr2bl w:val="nil"/>
            </w:tcBorders>
            <w:vAlign w:val="center"/>
          </w:tcPr>
          <w:p w14:paraId="20A987F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国家二级重点保护，要求茂密林下植被</w:t>
            </w:r>
          </w:p>
        </w:tc>
      </w:tr>
      <w:tr w14:paraId="574C1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779F8CF">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21</w:t>
            </w:r>
          </w:p>
        </w:tc>
        <w:tc>
          <w:tcPr>
            <w:tcW w:w="854" w:type="dxa"/>
            <w:vMerge w:val="restart"/>
            <w:tcBorders>
              <w:tl2br w:val="nil"/>
              <w:tr2bl w:val="nil"/>
            </w:tcBorders>
            <w:vAlign w:val="center"/>
          </w:tcPr>
          <w:p w14:paraId="54AB1D00">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两栖爬行类</w:t>
            </w:r>
          </w:p>
        </w:tc>
        <w:tc>
          <w:tcPr>
            <w:tcW w:w="986" w:type="dxa"/>
            <w:tcBorders>
              <w:tl2br w:val="nil"/>
              <w:tr2bl w:val="nil"/>
            </w:tcBorders>
            <w:vAlign w:val="center"/>
          </w:tcPr>
          <w:p w14:paraId="42673F3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中华蟾蜍</w:t>
            </w:r>
          </w:p>
        </w:tc>
        <w:tc>
          <w:tcPr>
            <w:tcW w:w="1916" w:type="dxa"/>
            <w:tcBorders>
              <w:tl2br w:val="nil"/>
              <w:tr2bl w:val="nil"/>
            </w:tcBorders>
            <w:vAlign w:val="center"/>
          </w:tcPr>
          <w:p w14:paraId="2FF27960">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Bufo gargarizans</w:t>
            </w:r>
          </w:p>
        </w:tc>
        <w:tc>
          <w:tcPr>
            <w:tcW w:w="3177" w:type="dxa"/>
            <w:tcBorders>
              <w:tl2br w:val="nil"/>
              <w:tr2bl w:val="nil"/>
            </w:tcBorders>
            <w:vAlign w:val="center"/>
          </w:tcPr>
          <w:p w14:paraId="603CDF9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27D82CF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潮湿的草丛、石缝、近水区域</w:t>
            </w:r>
          </w:p>
        </w:tc>
      </w:tr>
      <w:tr w14:paraId="0A19C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0B0DCA7">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22</w:t>
            </w:r>
          </w:p>
        </w:tc>
        <w:tc>
          <w:tcPr>
            <w:tcW w:w="854" w:type="dxa"/>
            <w:vMerge w:val="continue"/>
            <w:tcBorders>
              <w:tl2br w:val="nil"/>
              <w:tr2bl w:val="nil"/>
            </w:tcBorders>
            <w:vAlign w:val="center"/>
          </w:tcPr>
          <w:p w14:paraId="26F164AE">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3CB68BD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泽陆蛙</w:t>
            </w:r>
          </w:p>
        </w:tc>
        <w:tc>
          <w:tcPr>
            <w:tcW w:w="1916" w:type="dxa"/>
            <w:tcBorders>
              <w:tl2br w:val="nil"/>
              <w:tr2bl w:val="nil"/>
            </w:tcBorders>
            <w:vAlign w:val="center"/>
          </w:tcPr>
          <w:p w14:paraId="62113873">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Fejervarya multistriata</w:t>
            </w:r>
          </w:p>
        </w:tc>
        <w:tc>
          <w:tcPr>
            <w:tcW w:w="3177" w:type="dxa"/>
            <w:tcBorders>
              <w:tl2br w:val="nil"/>
              <w:tr2bl w:val="nil"/>
            </w:tcBorders>
            <w:vAlign w:val="center"/>
          </w:tcPr>
          <w:p w14:paraId="5A44BE4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3BC1F5B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水田、池塘、沟渠及周边草地</w:t>
            </w:r>
          </w:p>
        </w:tc>
      </w:tr>
      <w:tr w14:paraId="614DA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2F96397E">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23</w:t>
            </w:r>
          </w:p>
        </w:tc>
        <w:tc>
          <w:tcPr>
            <w:tcW w:w="854" w:type="dxa"/>
            <w:vMerge w:val="continue"/>
            <w:tcBorders>
              <w:tl2br w:val="nil"/>
              <w:tr2bl w:val="nil"/>
            </w:tcBorders>
            <w:vAlign w:val="center"/>
          </w:tcPr>
          <w:p w14:paraId="2FAEBD77">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1BFAAE3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黑斑侧褶蛙</w:t>
            </w:r>
          </w:p>
        </w:tc>
        <w:tc>
          <w:tcPr>
            <w:tcW w:w="1916" w:type="dxa"/>
            <w:tcBorders>
              <w:tl2br w:val="nil"/>
              <w:tr2bl w:val="nil"/>
            </w:tcBorders>
            <w:vAlign w:val="center"/>
          </w:tcPr>
          <w:p w14:paraId="53D9A8CA">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Pelophylax nigromaculatus</w:t>
            </w:r>
          </w:p>
        </w:tc>
        <w:tc>
          <w:tcPr>
            <w:tcW w:w="3177" w:type="dxa"/>
            <w:tcBorders>
              <w:tl2br w:val="nil"/>
              <w:tr2bl w:val="nil"/>
            </w:tcBorders>
            <w:vAlign w:val="center"/>
          </w:tcPr>
          <w:p w14:paraId="095E1A6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3A700DB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国家二级重点保护，静水或缓流水体</w:t>
            </w:r>
          </w:p>
        </w:tc>
      </w:tr>
      <w:tr w14:paraId="305E8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0E80089B">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24</w:t>
            </w:r>
          </w:p>
        </w:tc>
        <w:tc>
          <w:tcPr>
            <w:tcW w:w="854" w:type="dxa"/>
            <w:vMerge w:val="continue"/>
            <w:tcBorders>
              <w:tl2br w:val="nil"/>
              <w:tr2bl w:val="nil"/>
            </w:tcBorders>
            <w:vAlign w:val="center"/>
          </w:tcPr>
          <w:p w14:paraId="04FE07F0">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0BBC7CD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饰纹姬蛙</w:t>
            </w:r>
          </w:p>
        </w:tc>
        <w:tc>
          <w:tcPr>
            <w:tcW w:w="1916" w:type="dxa"/>
            <w:tcBorders>
              <w:tl2br w:val="nil"/>
              <w:tr2bl w:val="nil"/>
            </w:tcBorders>
            <w:vAlign w:val="center"/>
          </w:tcPr>
          <w:p w14:paraId="59A8E830">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Microhyla fissipes</w:t>
            </w:r>
          </w:p>
        </w:tc>
        <w:tc>
          <w:tcPr>
            <w:tcW w:w="3177" w:type="dxa"/>
            <w:tcBorders>
              <w:tl2br w:val="nil"/>
              <w:tr2bl w:val="nil"/>
            </w:tcBorders>
            <w:vAlign w:val="center"/>
          </w:tcPr>
          <w:p w14:paraId="301EE30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52BC4DA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水田、临时水坑及周边</w:t>
            </w:r>
          </w:p>
        </w:tc>
      </w:tr>
      <w:tr w14:paraId="780B4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45E2FC3B">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25</w:t>
            </w:r>
          </w:p>
        </w:tc>
        <w:tc>
          <w:tcPr>
            <w:tcW w:w="854" w:type="dxa"/>
            <w:vMerge w:val="continue"/>
            <w:tcBorders>
              <w:tl2br w:val="nil"/>
              <w:tr2bl w:val="nil"/>
            </w:tcBorders>
            <w:vAlign w:val="center"/>
          </w:tcPr>
          <w:p w14:paraId="6151DB1D">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7AC4119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中国林蛙</w:t>
            </w:r>
          </w:p>
        </w:tc>
        <w:tc>
          <w:tcPr>
            <w:tcW w:w="1916" w:type="dxa"/>
            <w:tcBorders>
              <w:tl2br w:val="nil"/>
              <w:tr2bl w:val="nil"/>
            </w:tcBorders>
            <w:vAlign w:val="center"/>
          </w:tcPr>
          <w:p w14:paraId="547FAF2F">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Rana chensinensis</w:t>
            </w:r>
          </w:p>
        </w:tc>
        <w:tc>
          <w:tcPr>
            <w:tcW w:w="3177" w:type="dxa"/>
            <w:tcBorders>
              <w:tl2br w:val="nil"/>
              <w:tr2bl w:val="nil"/>
            </w:tcBorders>
            <w:vAlign w:val="center"/>
          </w:tcPr>
          <w:p w14:paraId="2B2959C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04D7438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山林、溪流附近</w:t>
            </w:r>
          </w:p>
        </w:tc>
      </w:tr>
      <w:tr w14:paraId="46D9E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7F30C090">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26</w:t>
            </w:r>
          </w:p>
        </w:tc>
        <w:tc>
          <w:tcPr>
            <w:tcW w:w="854" w:type="dxa"/>
            <w:vMerge w:val="continue"/>
            <w:tcBorders>
              <w:tl2br w:val="nil"/>
              <w:tr2bl w:val="nil"/>
            </w:tcBorders>
            <w:vAlign w:val="center"/>
          </w:tcPr>
          <w:p w14:paraId="2CFB3CB4">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0D4B0E8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蹼趾壁虎</w:t>
            </w:r>
          </w:p>
        </w:tc>
        <w:tc>
          <w:tcPr>
            <w:tcW w:w="1916" w:type="dxa"/>
            <w:tcBorders>
              <w:tl2br w:val="nil"/>
              <w:tr2bl w:val="nil"/>
            </w:tcBorders>
            <w:vAlign w:val="center"/>
          </w:tcPr>
          <w:p w14:paraId="12940F8F">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Gekko subpalmatus</w:t>
            </w:r>
          </w:p>
        </w:tc>
        <w:tc>
          <w:tcPr>
            <w:tcW w:w="3177" w:type="dxa"/>
            <w:tcBorders>
              <w:tl2br w:val="nil"/>
              <w:tr2bl w:val="nil"/>
            </w:tcBorders>
            <w:vAlign w:val="center"/>
          </w:tcPr>
          <w:p w14:paraId="1BA8668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食虫（飞蛾等）</w:t>
            </w:r>
          </w:p>
        </w:tc>
        <w:tc>
          <w:tcPr>
            <w:tcW w:w="1635" w:type="dxa"/>
            <w:tcBorders>
              <w:tl2br w:val="nil"/>
              <w:tr2bl w:val="nil"/>
            </w:tcBorders>
            <w:vAlign w:val="center"/>
          </w:tcPr>
          <w:p w14:paraId="62FDE6E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建筑物墙壁、岩石缝隙</w:t>
            </w:r>
          </w:p>
        </w:tc>
      </w:tr>
      <w:tr w14:paraId="5DE09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7FC138F">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27</w:t>
            </w:r>
          </w:p>
        </w:tc>
        <w:tc>
          <w:tcPr>
            <w:tcW w:w="854" w:type="dxa"/>
            <w:vMerge w:val="continue"/>
            <w:tcBorders>
              <w:tl2br w:val="nil"/>
              <w:tr2bl w:val="nil"/>
            </w:tcBorders>
            <w:vAlign w:val="center"/>
          </w:tcPr>
          <w:p w14:paraId="5BCFCA38">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61437671">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铜蜓蜥</w:t>
            </w:r>
          </w:p>
        </w:tc>
        <w:tc>
          <w:tcPr>
            <w:tcW w:w="1916" w:type="dxa"/>
            <w:tcBorders>
              <w:tl2br w:val="nil"/>
              <w:tr2bl w:val="nil"/>
            </w:tcBorders>
            <w:vAlign w:val="center"/>
          </w:tcPr>
          <w:p w14:paraId="3C2A66AF">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Sphenomorphus indicus</w:t>
            </w:r>
          </w:p>
        </w:tc>
        <w:tc>
          <w:tcPr>
            <w:tcW w:w="3177" w:type="dxa"/>
            <w:tcBorders>
              <w:tl2br w:val="nil"/>
              <w:tr2bl w:val="nil"/>
            </w:tcBorders>
            <w:vAlign w:val="center"/>
          </w:tcPr>
          <w:p w14:paraId="51C5527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w:t>
            </w:r>
          </w:p>
        </w:tc>
        <w:tc>
          <w:tcPr>
            <w:tcW w:w="1635" w:type="dxa"/>
            <w:tcBorders>
              <w:tl2br w:val="nil"/>
              <w:tr2bl w:val="nil"/>
            </w:tcBorders>
            <w:vAlign w:val="center"/>
          </w:tcPr>
          <w:p w14:paraId="4AF670B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林下、石堆、潮湿草丛</w:t>
            </w:r>
          </w:p>
        </w:tc>
      </w:tr>
      <w:tr w14:paraId="6B389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4C31C9C1">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28</w:t>
            </w:r>
          </w:p>
        </w:tc>
        <w:tc>
          <w:tcPr>
            <w:tcW w:w="854" w:type="dxa"/>
            <w:vMerge w:val="continue"/>
            <w:tcBorders>
              <w:tl2br w:val="nil"/>
              <w:tr2bl w:val="nil"/>
            </w:tcBorders>
            <w:vAlign w:val="center"/>
          </w:tcPr>
          <w:p w14:paraId="053E00DA">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1749081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赤链蛇</w:t>
            </w:r>
          </w:p>
        </w:tc>
        <w:tc>
          <w:tcPr>
            <w:tcW w:w="1916" w:type="dxa"/>
            <w:tcBorders>
              <w:tl2br w:val="nil"/>
              <w:tr2bl w:val="nil"/>
            </w:tcBorders>
            <w:vAlign w:val="center"/>
          </w:tcPr>
          <w:p w14:paraId="20360CA6">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Lycodon rufozonatus</w:t>
            </w:r>
          </w:p>
        </w:tc>
        <w:tc>
          <w:tcPr>
            <w:tcW w:w="3177" w:type="dxa"/>
            <w:tcBorders>
              <w:tl2br w:val="nil"/>
              <w:tr2bl w:val="nil"/>
            </w:tcBorders>
            <w:vAlign w:val="center"/>
          </w:tcPr>
          <w:p w14:paraId="0CCC148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捕食鼠类、两栖类</w:t>
            </w:r>
          </w:p>
        </w:tc>
        <w:tc>
          <w:tcPr>
            <w:tcW w:w="1635" w:type="dxa"/>
            <w:tcBorders>
              <w:tl2br w:val="nil"/>
              <w:tr2bl w:val="nil"/>
            </w:tcBorders>
            <w:vAlign w:val="center"/>
          </w:tcPr>
          <w:p w14:paraId="08ED8CA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近水区域、民居附近</w:t>
            </w:r>
          </w:p>
        </w:tc>
      </w:tr>
      <w:tr w14:paraId="41551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204040A3">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29</w:t>
            </w:r>
          </w:p>
        </w:tc>
        <w:tc>
          <w:tcPr>
            <w:tcW w:w="854" w:type="dxa"/>
            <w:vMerge w:val="continue"/>
            <w:tcBorders>
              <w:tl2br w:val="nil"/>
              <w:tr2bl w:val="nil"/>
            </w:tcBorders>
            <w:vAlign w:val="center"/>
          </w:tcPr>
          <w:p w14:paraId="2F385773">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3155B5EF">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王锦蛇</w:t>
            </w:r>
          </w:p>
        </w:tc>
        <w:tc>
          <w:tcPr>
            <w:tcW w:w="1916" w:type="dxa"/>
            <w:tcBorders>
              <w:tl2br w:val="nil"/>
              <w:tr2bl w:val="nil"/>
            </w:tcBorders>
            <w:vAlign w:val="center"/>
          </w:tcPr>
          <w:p w14:paraId="1B26EE15">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Elaphe carinata</w:t>
            </w:r>
          </w:p>
        </w:tc>
        <w:tc>
          <w:tcPr>
            <w:tcW w:w="3177" w:type="dxa"/>
            <w:tcBorders>
              <w:tl2br w:val="nil"/>
              <w:tr2bl w:val="nil"/>
            </w:tcBorders>
            <w:vAlign w:val="center"/>
          </w:tcPr>
          <w:p w14:paraId="035E0C3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捕食鼠类、其他蛇类</w:t>
            </w:r>
          </w:p>
        </w:tc>
        <w:tc>
          <w:tcPr>
            <w:tcW w:w="1635" w:type="dxa"/>
            <w:tcBorders>
              <w:tl2br w:val="nil"/>
              <w:tr2bl w:val="nil"/>
            </w:tcBorders>
            <w:vAlign w:val="center"/>
          </w:tcPr>
          <w:p w14:paraId="1052110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国家二级重点保护，山林、灌丛、农区</w:t>
            </w:r>
          </w:p>
        </w:tc>
      </w:tr>
      <w:tr w14:paraId="54A69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3B8BAEB">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30</w:t>
            </w:r>
          </w:p>
        </w:tc>
        <w:tc>
          <w:tcPr>
            <w:tcW w:w="854" w:type="dxa"/>
            <w:vMerge w:val="continue"/>
            <w:tcBorders>
              <w:tl2br w:val="nil"/>
              <w:tr2bl w:val="nil"/>
            </w:tcBorders>
            <w:vAlign w:val="center"/>
          </w:tcPr>
          <w:p w14:paraId="3A6398C1">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8252AF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乌梢蛇</w:t>
            </w:r>
          </w:p>
        </w:tc>
        <w:tc>
          <w:tcPr>
            <w:tcW w:w="1916" w:type="dxa"/>
            <w:tcBorders>
              <w:tl2br w:val="nil"/>
              <w:tr2bl w:val="nil"/>
            </w:tcBorders>
            <w:vAlign w:val="center"/>
          </w:tcPr>
          <w:p w14:paraId="101074DC">
            <w:pPr>
              <w:keepNext w:val="0"/>
              <w:keepLines w:val="0"/>
              <w:widowControl/>
              <w:suppressLineNumbers w:val="0"/>
              <w:jc w:val="center"/>
              <w:textAlignment w:val="center"/>
              <w:rPr>
                <w:rFonts w:hint="default"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Ptyas dhumnades</w:t>
            </w:r>
          </w:p>
        </w:tc>
        <w:tc>
          <w:tcPr>
            <w:tcW w:w="3177" w:type="dxa"/>
            <w:tcBorders>
              <w:tl2br w:val="nil"/>
              <w:tr2bl w:val="nil"/>
            </w:tcBorders>
            <w:vAlign w:val="center"/>
          </w:tcPr>
          <w:p w14:paraId="0E222C3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捕食鼠类</w:t>
            </w:r>
          </w:p>
        </w:tc>
        <w:tc>
          <w:tcPr>
            <w:tcW w:w="1635" w:type="dxa"/>
            <w:tcBorders>
              <w:tl2br w:val="nil"/>
              <w:tr2bl w:val="nil"/>
            </w:tcBorders>
            <w:vAlign w:val="center"/>
          </w:tcPr>
          <w:p w14:paraId="49ADEF9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国家二级重点保护，丘陵、田野、林缘</w:t>
            </w:r>
          </w:p>
        </w:tc>
      </w:tr>
      <w:tr w14:paraId="50326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586AAE9B">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31</w:t>
            </w:r>
          </w:p>
        </w:tc>
        <w:tc>
          <w:tcPr>
            <w:tcW w:w="854" w:type="dxa"/>
            <w:vMerge w:val="restart"/>
            <w:tcBorders>
              <w:tl2br w:val="nil"/>
              <w:tr2bl w:val="nil"/>
            </w:tcBorders>
            <w:vAlign w:val="center"/>
          </w:tcPr>
          <w:p w14:paraId="3DD76AF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哺乳类</w:t>
            </w:r>
          </w:p>
        </w:tc>
        <w:tc>
          <w:tcPr>
            <w:tcW w:w="986" w:type="dxa"/>
            <w:tcBorders>
              <w:tl2br w:val="nil"/>
              <w:tr2bl w:val="nil"/>
            </w:tcBorders>
            <w:vAlign w:val="center"/>
          </w:tcPr>
          <w:p w14:paraId="746942A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东亚伏翼</w:t>
            </w:r>
          </w:p>
        </w:tc>
        <w:tc>
          <w:tcPr>
            <w:tcW w:w="1916" w:type="dxa"/>
            <w:tcBorders>
              <w:tl2br w:val="nil"/>
              <w:tr2bl w:val="nil"/>
            </w:tcBorders>
            <w:vAlign w:val="center"/>
          </w:tcPr>
          <w:p w14:paraId="50429FA3">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Pipistrellus abramus</w:t>
            </w:r>
          </w:p>
        </w:tc>
        <w:tc>
          <w:tcPr>
            <w:tcW w:w="3177" w:type="dxa"/>
            <w:tcBorders>
              <w:tl2br w:val="nil"/>
              <w:tr2bl w:val="nil"/>
            </w:tcBorders>
            <w:vAlign w:val="center"/>
          </w:tcPr>
          <w:p w14:paraId="2183DCC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夜行捕虫</w:t>
            </w:r>
          </w:p>
        </w:tc>
        <w:tc>
          <w:tcPr>
            <w:tcW w:w="1635" w:type="dxa"/>
            <w:tcBorders>
              <w:tl2br w:val="nil"/>
              <w:tr2bl w:val="nil"/>
            </w:tcBorders>
            <w:vAlign w:val="center"/>
          </w:tcPr>
          <w:p w14:paraId="18953B9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“三有”动物，需要建筑物缝隙、树洞作为昼间栖息地</w:t>
            </w:r>
          </w:p>
        </w:tc>
      </w:tr>
      <w:tr w14:paraId="12CCF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6211C27">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32</w:t>
            </w:r>
          </w:p>
        </w:tc>
        <w:tc>
          <w:tcPr>
            <w:tcW w:w="854" w:type="dxa"/>
            <w:vMerge w:val="continue"/>
            <w:tcBorders>
              <w:tl2br w:val="nil"/>
              <w:tr2bl w:val="nil"/>
            </w:tcBorders>
            <w:vAlign w:val="center"/>
          </w:tcPr>
          <w:p w14:paraId="1340E856">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489906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四川短尾鼩</w:t>
            </w:r>
          </w:p>
        </w:tc>
        <w:tc>
          <w:tcPr>
            <w:tcW w:w="1916" w:type="dxa"/>
            <w:tcBorders>
              <w:tl2br w:val="nil"/>
              <w:tr2bl w:val="nil"/>
            </w:tcBorders>
            <w:vAlign w:val="center"/>
          </w:tcPr>
          <w:p w14:paraId="156B7014">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Anourosorex squamipes</w:t>
            </w:r>
          </w:p>
        </w:tc>
        <w:tc>
          <w:tcPr>
            <w:tcW w:w="3177" w:type="dxa"/>
            <w:tcBorders>
              <w:tl2br w:val="nil"/>
              <w:tr2bl w:val="nil"/>
            </w:tcBorders>
            <w:vAlign w:val="center"/>
          </w:tcPr>
          <w:p w14:paraId="38FF91A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食虫、土壤改良</w:t>
            </w:r>
          </w:p>
        </w:tc>
        <w:tc>
          <w:tcPr>
            <w:tcW w:w="1635" w:type="dxa"/>
            <w:tcBorders>
              <w:tl2br w:val="nil"/>
              <w:tr2bl w:val="nil"/>
            </w:tcBorders>
            <w:vAlign w:val="center"/>
          </w:tcPr>
          <w:p w14:paraId="567431E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“三有”动物，林下枯枝落叶层、潮湿土壤</w:t>
            </w:r>
          </w:p>
        </w:tc>
      </w:tr>
      <w:tr w14:paraId="39D1F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BB1CBF3">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33</w:t>
            </w:r>
          </w:p>
        </w:tc>
        <w:tc>
          <w:tcPr>
            <w:tcW w:w="854" w:type="dxa"/>
            <w:vMerge w:val="continue"/>
            <w:tcBorders>
              <w:tl2br w:val="nil"/>
              <w:tr2bl w:val="nil"/>
            </w:tcBorders>
            <w:vAlign w:val="center"/>
          </w:tcPr>
          <w:p w14:paraId="596F30BD">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2A881E8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黄鼬</w:t>
            </w:r>
          </w:p>
        </w:tc>
        <w:tc>
          <w:tcPr>
            <w:tcW w:w="1916" w:type="dxa"/>
            <w:tcBorders>
              <w:tl2br w:val="nil"/>
              <w:tr2bl w:val="nil"/>
            </w:tcBorders>
            <w:vAlign w:val="center"/>
          </w:tcPr>
          <w:p w14:paraId="195D7C10">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Mustela sibirica</w:t>
            </w:r>
          </w:p>
        </w:tc>
        <w:tc>
          <w:tcPr>
            <w:tcW w:w="3177" w:type="dxa"/>
            <w:tcBorders>
              <w:tl2br w:val="nil"/>
              <w:tr2bl w:val="nil"/>
            </w:tcBorders>
            <w:vAlign w:val="center"/>
          </w:tcPr>
          <w:p w14:paraId="3805A75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捕食鼠类</w:t>
            </w:r>
          </w:p>
        </w:tc>
        <w:tc>
          <w:tcPr>
            <w:tcW w:w="1635" w:type="dxa"/>
            <w:tcBorders>
              <w:tl2br w:val="nil"/>
              <w:tr2bl w:val="nil"/>
            </w:tcBorders>
            <w:vAlign w:val="center"/>
          </w:tcPr>
          <w:p w14:paraId="4925243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“三有”动物，林地、灌丛、仓库附近</w:t>
            </w:r>
          </w:p>
        </w:tc>
      </w:tr>
      <w:tr w14:paraId="435F2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497E59DD">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34</w:t>
            </w:r>
          </w:p>
        </w:tc>
        <w:tc>
          <w:tcPr>
            <w:tcW w:w="854" w:type="dxa"/>
            <w:vMerge w:val="continue"/>
            <w:tcBorders>
              <w:tl2br w:val="nil"/>
              <w:tr2bl w:val="nil"/>
            </w:tcBorders>
            <w:vAlign w:val="center"/>
          </w:tcPr>
          <w:p w14:paraId="0800BAA8">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2AEECC7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华南兔</w:t>
            </w:r>
          </w:p>
        </w:tc>
        <w:tc>
          <w:tcPr>
            <w:tcW w:w="1916" w:type="dxa"/>
            <w:tcBorders>
              <w:tl2br w:val="nil"/>
              <w:tr2bl w:val="nil"/>
            </w:tcBorders>
            <w:vAlign w:val="center"/>
          </w:tcPr>
          <w:p w14:paraId="27534D70">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Lepus sinensis</w:t>
            </w:r>
          </w:p>
        </w:tc>
        <w:tc>
          <w:tcPr>
            <w:tcW w:w="3177" w:type="dxa"/>
            <w:tcBorders>
              <w:tl2br w:val="nil"/>
              <w:tr2bl w:val="nil"/>
            </w:tcBorders>
            <w:vAlign w:val="center"/>
          </w:tcPr>
          <w:p w14:paraId="5AA5CAE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食草</w:t>
            </w:r>
          </w:p>
        </w:tc>
        <w:tc>
          <w:tcPr>
            <w:tcW w:w="1635" w:type="dxa"/>
            <w:tcBorders>
              <w:tl2br w:val="nil"/>
              <w:tr2bl w:val="nil"/>
            </w:tcBorders>
            <w:vAlign w:val="center"/>
          </w:tcPr>
          <w:p w14:paraId="006A457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“三有”动物，草地、林缘、灌丛</w:t>
            </w:r>
          </w:p>
        </w:tc>
      </w:tr>
      <w:tr w14:paraId="67D0B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732C4FA">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35</w:t>
            </w:r>
          </w:p>
        </w:tc>
        <w:tc>
          <w:tcPr>
            <w:tcW w:w="854" w:type="dxa"/>
            <w:vMerge w:val="continue"/>
            <w:tcBorders>
              <w:tl2br w:val="nil"/>
              <w:tr2bl w:val="nil"/>
            </w:tcBorders>
            <w:vAlign w:val="center"/>
          </w:tcPr>
          <w:p w14:paraId="1972CD99">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4BB42F3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赤腹松鼠</w:t>
            </w:r>
          </w:p>
        </w:tc>
        <w:tc>
          <w:tcPr>
            <w:tcW w:w="1916" w:type="dxa"/>
            <w:tcBorders>
              <w:tl2br w:val="nil"/>
              <w:tr2bl w:val="nil"/>
            </w:tcBorders>
            <w:vAlign w:val="center"/>
          </w:tcPr>
          <w:p w14:paraId="4D338068">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Callosciurus erythraeus</w:t>
            </w:r>
          </w:p>
        </w:tc>
        <w:tc>
          <w:tcPr>
            <w:tcW w:w="3177" w:type="dxa"/>
            <w:tcBorders>
              <w:tl2br w:val="nil"/>
              <w:tr2bl w:val="nil"/>
            </w:tcBorders>
            <w:vAlign w:val="center"/>
          </w:tcPr>
          <w:p w14:paraId="268BCE6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食果、传播种子</w:t>
            </w:r>
          </w:p>
        </w:tc>
        <w:tc>
          <w:tcPr>
            <w:tcW w:w="1635" w:type="dxa"/>
            <w:tcBorders>
              <w:tl2br w:val="nil"/>
              <w:tr2bl w:val="nil"/>
            </w:tcBorders>
            <w:vAlign w:val="center"/>
          </w:tcPr>
          <w:p w14:paraId="5300772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“三有”动物，需要高大的乔木林</w:t>
            </w:r>
          </w:p>
        </w:tc>
      </w:tr>
      <w:tr w14:paraId="29036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28803D5B">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36</w:t>
            </w:r>
          </w:p>
        </w:tc>
        <w:tc>
          <w:tcPr>
            <w:tcW w:w="854" w:type="dxa"/>
            <w:vMerge w:val="restart"/>
            <w:tcBorders>
              <w:tl2br w:val="nil"/>
              <w:tr2bl w:val="nil"/>
            </w:tcBorders>
            <w:vAlign w:val="center"/>
          </w:tcPr>
          <w:p w14:paraId="62DEF0E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昆虫及无脊椎动物</w:t>
            </w:r>
          </w:p>
        </w:tc>
        <w:tc>
          <w:tcPr>
            <w:tcW w:w="986" w:type="dxa"/>
            <w:tcBorders>
              <w:tl2br w:val="nil"/>
              <w:tr2bl w:val="nil"/>
            </w:tcBorders>
            <w:vAlign w:val="center"/>
          </w:tcPr>
          <w:p w14:paraId="03409DF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中华蜜蜂</w:t>
            </w:r>
          </w:p>
        </w:tc>
        <w:tc>
          <w:tcPr>
            <w:tcW w:w="1916" w:type="dxa"/>
            <w:tcBorders>
              <w:tl2br w:val="nil"/>
              <w:tr2bl w:val="nil"/>
            </w:tcBorders>
            <w:vAlign w:val="center"/>
          </w:tcPr>
          <w:p w14:paraId="733348B0">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Apis cerana</w:t>
            </w:r>
          </w:p>
        </w:tc>
        <w:tc>
          <w:tcPr>
            <w:tcW w:w="3177" w:type="dxa"/>
            <w:tcBorders>
              <w:tl2br w:val="nil"/>
              <w:tr2bl w:val="nil"/>
            </w:tcBorders>
            <w:vAlign w:val="center"/>
          </w:tcPr>
          <w:p w14:paraId="02959A7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关键传粉者</w:t>
            </w:r>
          </w:p>
        </w:tc>
        <w:tc>
          <w:tcPr>
            <w:tcW w:w="1635" w:type="dxa"/>
            <w:tcBorders>
              <w:tl2br w:val="nil"/>
              <w:tr2bl w:val="nil"/>
            </w:tcBorders>
            <w:vAlign w:val="center"/>
          </w:tcPr>
          <w:p w14:paraId="5E34F42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国家二级重点保护，蜜源植物、可供筑巢的树洞或人工蜂箱</w:t>
            </w:r>
          </w:p>
        </w:tc>
      </w:tr>
      <w:tr w14:paraId="31E03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49D6F28D">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37</w:t>
            </w:r>
          </w:p>
        </w:tc>
        <w:tc>
          <w:tcPr>
            <w:tcW w:w="854" w:type="dxa"/>
            <w:vMerge w:val="continue"/>
            <w:tcBorders>
              <w:tl2br w:val="nil"/>
              <w:tr2bl w:val="nil"/>
            </w:tcBorders>
            <w:vAlign w:val="center"/>
          </w:tcPr>
          <w:p w14:paraId="4CC92DC7">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241871D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多种蝴蝶 (如菜粉蝶、玉带凤蝶等)</w:t>
            </w:r>
          </w:p>
        </w:tc>
        <w:tc>
          <w:tcPr>
            <w:tcW w:w="1916" w:type="dxa"/>
            <w:tcBorders>
              <w:tl2br w:val="nil"/>
              <w:tr2bl w:val="nil"/>
            </w:tcBorders>
            <w:vAlign w:val="center"/>
          </w:tcPr>
          <w:p w14:paraId="419A6209">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Pieris rapae, Papilio polytes</w:t>
            </w:r>
            <w:r>
              <w:rPr>
                <w:rStyle w:val="34"/>
                <w:color w:val="000000" w:themeColor="text1"/>
                <w:lang w:val="en-US" w:eastAsia="zh-CN" w:bidi="ar"/>
                <w14:textFill>
                  <w14:solidFill>
                    <w14:schemeClr w14:val="tx1"/>
                  </w14:solidFill>
                </w14:textFill>
              </w:rPr>
              <w:t xml:space="preserve"> etc.</w:t>
            </w:r>
          </w:p>
        </w:tc>
        <w:tc>
          <w:tcPr>
            <w:tcW w:w="3177" w:type="dxa"/>
            <w:tcBorders>
              <w:tl2br w:val="nil"/>
              <w:tr2bl w:val="nil"/>
            </w:tcBorders>
            <w:vAlign w:val="center"/>
          </w:tcPr>
          <w:p w14:paraId="5320E53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传粉者</w:t>
            </w:r>
          </w:p>
        </w:tc>
        <w:tc>
          <w:tcPr>
            <w:tcW w:w="1635" w:type="dxa"/>
            <w:tcBorders>
              <w:tl2br w:val="nil"/>
              <w:tr2bl w:val="nil"/>
            </w:tcBorders>
            <w:vAlign w:val="center"/>
          </w:tcPr>
          <w:p w14:paraId="2F7CA13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蜜源植物（成虫）、寄主植物（幼虫）</w:t>
            </w:r>
          </w:p>
        </w:tc>
      </w:tr>
      <w:tr w14:paraId="7EC69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E04D6C3">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38</w:t>
            </w:r>
          </w:p>
        </w:tc>
        <w:tc>
          <w:tcPr>
            <w:tcW w:w="854" w:type="dxa"/>
            <w:vMerge w:val="continue"/>
            <w:tcBorders>
              <w:tl2br w:val="nil"/>
              <w:tr2bl w:val="nil"/>
            </w:tcBorders>
            <w:vAlign w:val="center"/>
          </w:tcPr>
          <w:p w14:paraId="15992AD1">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47A2CAF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多种蜻蜓</w:t>
            </w:r>
          </w:p>
        </w:tc>
        <w:tc>
          <w:tcPr>
            <w:tcW w:w="1916" w:type="dxa"/>
            <w:tcBorders>
              <w:tl2br w:val="nil"/>
              <w:tr2bl w:val="nil"/>
            </w:tcBorders>
            <w:vAlign w:val="center"/>
          </w:tcPr>
          <w:p w14:paraId="33A08A56">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Odonata</w:t>
            </w:r>
          </w:p>
        </w:tc>
        <w:tc>
          <w:tcPr>
            <w:tcW w:w="3177" w:type="dxa"/>
            <w:tcBorders>
              <w:tl2br w:val="nil"/>
              <w:tr2bl w:val="nil"/>
            </w:tcBorders>
            <w:vAlign w:val="center"/>
          </w:tcPr>
          <w:p w14:paraId="06571C7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捕食性昆虫，指示水质</w:t>
            </w:r>
          </w:p>
        </w:tc>
        <w:tc>
          <w:tcPr>
            <w:tcW w:w="1635" w:type="dxa"/>
            <w:tcBorders>
              <w:tl2br w:val="nil"/>
              <w:tr2bl w:val="nil"/>
            </w:tcBorders>
            <w:vAlign w:val="center"/>
          </w:tcPr>
          <w:p w14:paraId="7F81933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清洁的水体、挺水植物</w:t>
            </w:r>
          </w:p>
        </w:tc>
      </w:tr>
      <w:tr w14:paraId="158BA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9CFCF39">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39</w:t>
            </w:r>
          </w:p>
        </w:tc>
        <w:tc>
          <w:tcPr>
            <w:tcW w:w="854" w:type="dxa"/>
            <w:vMerge w:val="continue"/>
            <w:tcBorders>
              <w:tl2br w:val="nil"/>
              <w:tr2bl w:val="nil"/>
            </w:tcBorders>
            <w:vAlign w:val="center"/>
          </w:tcPr>
          <w:p w14:paraId="243F7679">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4B286E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螳螂</w:t>
            </w:r>
          </w:p>
        </w:tc>
        <w:tc>
          <w:tcPr>
            <w:tcW w:w="1916" w:type="dxa"/>
            <w:tcBorders>
              <w:tl2br w:val="nil"/>
              <w:tr2bl w:val="nil"/>
            </w:tcBorders>
            <w:vAlign w:val="center"/>
          </w:tcPr>
          <w:p w14:paraId="0FB6535D">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Mantodea</w:t>
            </w:r>
          </w:p>
        </w:tc>
        <w:tc>
          <w:tcPr>
            <w:tcW w:w="3177" w:type="dxa"/>
            <w:tcBorders>
              <w:tl2br w:val="nil"/>
              <w:tr2bl w:val="nil"/>
            </w:tcBorders>
            <w:vAlign w:val="center"/>
          </w:tcPr>
          <w:p w14:paraId="7BCD016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捕食性昆虫</w:t>
            </w:r>
          </w:p>
        </w:tc>
        <w:tc>
          <w:tcPr>
            <w:tcW w:w="1635" w:type="dxa"/>
            <w:tcBorders>
              <w:tl2br w:val="nil"/>
              <w:tr2bl w:val="nil"/>
            </w:tcBorders>
            <w:vAlign w:val="center"/>
          </w:tcPr>
          <w:p w14:paraId="3797273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草丛、灌木丛</w:t>
            </w:r>
          </w:p>
        </w:tc>
      </w:tr>
      <w:tr w14:paraId="147AB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43937A82">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40</w:t>
            </w:r>
          </w:p>
        </w:tc>
        <w:tc>
          <w:tcPr>
            <w:tcW w:w="854" w:type="dxa"/>
            <w:vMerge w:val="continue"/>
            <w:tcBorders>
              <w:tl2br w:val="nil"/>
              <w:tr2bl w:val="nil"/>
            </w:tcBorders>
            <w:vAlign w:val="center"/>
          </w:tcPr>
          <w:p w14:paraId="3AEDD571">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90CBF6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七星瓢虫</w:t>
            </w:r>
          </w:p>
        </w:tc>
        <w:tc>
          <w:tcPr>
            <w:tcW w:w="1916" w:type="dxa"/>
            <w:tcBorders>
              <w:tl2br w:val="nil"/>
              <w:tr2bl w:val="nil"/>
            </w:tcBorders>
            <w:vAlign w:val="center"/>
          </w:tcPr>
          <w:p w14:paraId="08FE4FC8">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Coccinella septempunctata</w:t>
            </w:r>
          </w:p>
        </w:tc>
        <w:tc>
          <w:tcPr>
            <w:tcW w:w="3177" w:type="dxa"/>
            <w:tcBorders>
              <w:tl2br w:val="nil"/>
              <w:tr2bl w:val="nil"/>
            </w:tcBorders>
            <w:vAlign w:val="center"/>
          </w:tcPr>
          <w:p w14:paraId="65B5E31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捕食蚜虫</w:t>
            </w:r>
          </w:p>
        </w:tc>
        <w:tc>
          <w:tcPr>
            <w:tcW w:w="1635" w:type="dxa"/>
            <w:tcBorders>
              <w:tl2br w:val="nil"/>
              <w:tr2bl w:val="nil"/>
            </w:tcBorders>
            <w:vAlign w:val="center"/>
          </w:tcPr>
          <w:p w14:paraId="1D6A4FF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有蚜虫分布的植物</w:t>
            </w:r>
          </w:p>
        </w:tc>
      </w:tr>
      <w:tr w14:paraId="74C24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A0F22CD">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41</w:t>
            </w:r>
          </w:p>
        </w:tc>
        <w:tc>
          <w:tcPr>
            <w:tcW w:w="854" w:type="dxa"/>
            <w:vMerge w:val="continue"/>
            <w:tcBorders>
              <w:tl2br w:val="nil"/>
              <w:tr2bl w:val="nil"/>
            </w:tcBorders>
            <w:vAlign w:val="center"/>
          </w:tcPr>
          <w:p w14:paraId="2EA43D7B">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C15C14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中华大刀螳</w:t>
            </w:r>
          </w:p>
        </w:tc>
        <w:tc>
          <w:tcPr>
            <w:tcW w:w="1916" w:type="dxa"/>
            <w:tcBorders>
              <w:tl2br w:val="nil"/>
              <w:tr2bl w:val="nil"/>
            </w:tcBorders>
            <w:vAlign w:val="center"/>
          </w:tcPr>
          <w:p w14:paraId="5DFC8787">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Tenodera sinensis</w:t>
            </w:r>
          </w:p>
        </w:tc>
        <w:tc>
          <w:tcPr>
            <w:tcW w:w="3177" w:type="dxa"/>
            <w:tcBorders>
              <w:tl2br w:val="nil"/>
              <w:tr2bl w:val="nil"/>
            </w:tcBorders>
            <w:vAlign w:val="center"/>
          </w:tcPr>
          <w:p w14:paraId="34CC5ED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捕食性昆虫</w:t>
            </w:r>
          </w:p>
        </w:tc>
        <w:tc>
          <w:tcPr>
            <w:tcW w:w="1635" w:type="dxa"/>
            <w:tcBorders>
              <w:tl2br w:val="nil"/>
              <w:tr2bl w:val="nil"/>
            </w:tcBorders>
            <w:vAlign w:val="center"/>
          </w:tcPr>
          <w:p w14:paraId="2BE000A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高草、灌丛</w:t>
            </w:r>
          </w:p>
        </w:tc>
      </w:tr>
      <w:tr w14:paraId="4198C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3FD86719">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42</w:t>
            </w:r>
          </w:p>
        </w:tc>
        <w:tc>
          <w:tcPr>
            <w:tcW w:w="854" w:type="dxa"/>
            <w:vMerge w:val="continue"/>
            <w:tcBorders>
              <w:tl2br w:val="nil"/>
              <w:tr2bl w:val="nil"/>
            </w:tcBorders>
            <w:vAlign w:val="center"/>
          </w:tcPr>
          <w:p w14:paraId="251BC1D0">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31EADDA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蟋蟀/螽斯</w:t>
            </w:r>
          </w:p>
        </w:tc>
        <w:tc>
          <w:tcPr>
            <w:tcW w:w="1916" w:type="dxa"/>
            <w:tcBorders>
              <w:tl2br w:val="nil"/>
              <w:tr2bl w:val="nil"/>
            </w:tcBorders>
            <w:vAlign w:val="center"/>
          </w:tcPr>
          <w:p w14:paraId="384E6F48">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Gryllidae/Tettigoniidae</w:t>
            </w:r>
          </w:p>
        </w:tc>
        <w:tc>
          <w:tcPr>
            <w:tcW w:w="3177" w:type="dxa"/>
            <w:tcBorders>
              <w:tl2br w:val="nil"/>
              <w:tr2bl w:val="nil"/>
            </w:tcBorders>
            <w:vAlign w:val="center"/>
          </w:tcPr>
          <w:p w14:paraId="726CA6A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食植/杂食，鸣虫</w:t>
            </w:r>
          </w:p>
        </w:tc>
        <w:tc>
          <w:tcPr>
            <w:tcW w:w="1635" w:type="dxa"/>
            <w:tcBorders>
              <w:tl2br w:val="nil"/>
              <w:tr2bl w:val="nil"/>
            </w:tcBorders>
            <w:vAlign w:val="center"/>
          </w:tcPr>
          <w:p w14:paraId="773E40D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草地、石下</w:t>
            </w:r>
          </w:p>
        </w:tc>
      </w:tr>
      <w:tr w14:paraId="0585D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1D888A27">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43</w:t>
            </w:r>
          </w:p>
        </w:tc>
        <w:tc>
          <w:tcPr>
            <w:tcW w:w="854" w:type="dxa"/>
            <w:vMerge w:val="continue"/>
            <w:tcBorders>
              <w:tl2br w:val="nil"/>
              <w:tr2bl w:val="nil"/>
            </w:tcBorders>
            <w:vAlign w:val="center"/>
          </w:tcPr>
          <w:p w14:paraId="72661F77">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34F7A9B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蚯蚓</w:t>
            </w:r>
          </w:p>
        </w:tc>
        <w:tc>
          <w:tcPr>
            <w:tcW w:w="1916" w:type="dxa"/>
            <w:tcBorders>
              <w:tl2br w:val="nil"/>
              <w:tr2bl w:val="nil"/>
            </w:tcBorders>
            <w:vAlign w:val="center"/>
          </w:tcPr>
          <w:p w14:paraId="3254265A">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Oligochaeta</w:t>
            </w:r>
          </w:p>
        </w:tc>
        <w:tc>
          <w:tcPr>
            <w:tcW w:w="3177" w:type="dxa"/>
            <w:tcBorders>
              <w:tl2br w:val="nil"/>
              <w:tr2bl w:val="nil"/>
            </w:tcBorders>
            <w:vAlign w:val="center"/>
          </w:tcPr>
          <w:p w14:paraId="12AC8D0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土壤分解与改良者</w:t>
            </w:r>
          </w:p>
        </w:tc>
        <w:tc>
          <w:tcPr>
            <w:tcW w:w="1635" w:type="dxa"/>
            <w:tcBorders>
              <w:tl2br w:val="nil"/>
              <w:tr2bl w:val="nil"/>
            </w:tcBorders>
            <w:vAlign w:val="center"/>
          </w:tcPr>
          <w:p w14:paraId="1FF3263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潮湿、有机质丰富的土壤</w:t>
            </w:r>
          </w:p>
        </w:tc>
      </w:tr>
      <w:tr w14:paraId="34DDD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14:paraId="757EAE65">
            <w:pPr>
              <w:spacing w:line="40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44</w:t>
            </w:r>
          </w:p>
        </w:tc>
        <w:tc>
          <w:tcPr>
            <w:tcW w:w="854" w:type="dxa"/>
            <w:vMerge w:val="continue"/>
            <w:tcBorders>
              <w:tl2br w:val="nil"/>
              <w:tr2bl w:val="nil"/>
            </w:tcBorders>
            <w:vAlign w:val="center"/>
          </w:tcPr>
          <w:p w14:paraId="25F6F9DB">
            <w:pPr>
              <w:jc w:val="center"/>
              <w:rPr>
                <w:rFonts w:hint="eastAsia" w:ascii="宋体" w:hAnsi="宋体" w:eastAsia="宋体" w:cs="宋体"/>
                <w:color w:val="000000" w:themeColor="text1"/>
                <w:sz w:val="18"/>
                <w:szCs w:val="18"/>
                <w14:textFill>
                  <w14:solidFill>
                    <w14:schemeClr w14:val="tx1"/>
                  </w14:solidFill>
                </w14:textFill>
              </w:rPr>
            </w:pPr>
          </w:p>
        </w:tc>
        <w:tc>
          <w:tcPr>
            <w:tcW w:w="986" w:type="dxa"/>
            <w:tcBorders>
              <w:tl2br w:val="nil"/>
              <w:tr2bl w:val="nil"/>
            </w:tcBorders>
            <w:vAlign w:val="center"/>
          </w:tcPr>
          <w:p w14:paraId="5FBF85E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蜗牛</w:t>
            </w:r>
          </w:p>
        </w:tc>
        <w:tc>
          <w:tcPr>
            <w:tcW w:w="1916" w:type="dxa"/>
            <w:tcBorders>
              <w:tl2br w:val="nil"/>
              <w:tr2bl w:val="nil"/>
            </w:tcBorders>
            <w:vAlign w:val="center"/>
          </w:tcPr>
          <w:p w14:paraId="45CD0AD7">
            <w:pPr>
              <w:keepNext w:val="0"/>
              <w:keepLines w:val="0"/>
              <w:widowControl/>
              <w:suppressLineNumbers w:val="0"/>
              <w:jc w:val="center"/>
              <w:textAlignment w:val="center"/>
              <w:rPr>
                <w:rFonts w:hint="eastAsia" w:ascii="Times New Roman" w:hAnsi="Times New Roman" w:eastAsia="宋体" w:cs="Times New Roman"/>
                <w:i/>
                <w:iCs/>
                <w:color w:val="000000" w:themeColor="text1"/>
                <w:kern w:val="0"/>
                <w:sz w:val="18"/>
                <w:szCs w:val="18"/>
                <w:lang w:val="en-US" w:eastAsia="zh-CN" w:bidi="ar"/>
                <w14:textFill>
                  <w14:solidFill>
                    <w14:schemeClr w14:val="tx1"/>
                  </w14:solidFill>
                </w14:textFill>
              </w:rPr>
            </w:pPr>
            <w:r>
              <w:rPr>
                <w:rFonts w:hint="default" w:ascii="Times New Roman" w:hAnsi="Times New Roman" w:eastAsia="宋体" w:cs="Times New Roman"/>
                <w:i/>
                <w:iCs/>
                <w:color w:val="000000" w:themeColor="text1"/>
                <w:kern w:val="0"/>
                <w:sz w:val="18"/>
                <w:szCs w:val="18"/>
                <w:u w:val="none"/>
                <w:lang w:val="en-US" w:eastAsia="zh-CN" w:bidi="ar"/>
                <w14:textFill>
                  <w14:solidFill>
                    <w14:schemeClr w14:val="tx1"/>
                  </w14:solidFill>
                </w14:textFill>
              </w:rPr>
              <w:t>Gastropoda</w:t>
            </w:r>
          </w:p>
        </w:tc>
        <w:tc>
          <w:tcPr>
            <w:tcW w:w="3177" w:type="dxa"/>
            <w:tcBorders>
              <w:tl2br w:val="nil"/>
              <w:tr2bl w:val="nil"/>
            </w:tcBorders>
            <w:vAlign w:val="center"/>
          </w:tcPr>
          <w:p w14:paraId="1058AC8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分解者</w:t>
            </w:r>
          </w:p>
        </w:tc>
        <w:tc>
          <w:tcPr>
            <w:tcW w:w="1635" w:type="dxa"/>
            <w:tcBorders>
              <w:tl2br w:val="nil"/>
              <w:tr2bl w:val="nil"/>
            </w:tcBorders>
            <w:vAlign w:val="center"/>
          </w:tcPr>
          <w:p w14:paraId="7B8D818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潮湿环境、有钙质来源</w:t>
            </w:r>
          </w:p>
        </w:tc>
      </w:tr>
    </w:tbl>
    <w:p w14:paraId="345A9E77">
      <w:pPr>
        <w:numPr>
          <w:ilvl w:val="0"/>
          <w:numId w:val="0"/>
        </w:numPr>
        <w:tabs>
          <w:tab w:val="left" w:pos="0"/>
        </w:tabs>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227A72CC">
      <w:pPr>
        <w:pStyle w:val="4"/>
        <w:bidi w:val="0"/>
        <w:jc w:val="center"/>
        <w:rPr>
          <w:rFonts w:hint="eastAsia" w:ascii="Times New Roman" w:hAnsi="Times New Roman" w:cs="Times New Roman"/>
          <w:color w:val="000000" w:themeColor="text1"/>
          <w:lang w:val="en-US" w:eastAsia="zh-CN"/>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F44865D">
      <w:pPr>
        <w:pStyle w:val="4"/>
        <w:bidi w:val="0"/>
        <w:jc w:val="center"/>
        <w:rPr>
          <w:rFonts w:hint="eastAsia" w:ascii="Times New Roman" w:hAnsi="Times New Roman" w:cs="Times New Roman"/>
          <w:color w:val="000000" w:themeColor="text1"/>
          <w:lang w:val="en-US" w:eastAsia="zh-CN"/>
          <w14:textFill>
            <w14:solidFill>
              <w14:schemeClr w14:val="tx1"/>
            </w14:solidFill>
          </w14:textFill>
        </w:rPr>
      </w:pPr>
      <w:bookmarkStart w:id="103" w:name="_Toc4933"/>
      <w:r>
        <w:rPr>
          <w:rFonts w:hint="eastAsia" w:ascii="Times New Roman" w:hAnsi="Times New Roman" w:cs="Times New Roman"/>
          <w:color w:val="000000" w:themeColor="text1"/>
          <w:lang w:val="en-US" w:eastAsia="zh-CN"/>
          <w14:textFill>
            <w14:solidFill>
              <w14:schemeClr w14:val="tx1"/>
            </w14:solidFill>
          </w14:textFill>
        </w:rPr>
        <w:t>本标准用词说明</w:t>
      </w:r>
      <w:bookmarkEnd w:id="100"/>
      <w:bookmarkEnd w:id="101"/>
      <w:bookmarkEnd w:id="103"/>
    </w:p>
    <w:p w14:paraId="2450384C">
      <w:pPr>
        <w:rPr>
          <w:rFonts w:hint="eastAsia" w:ascii="Times New Roman" w:hAnsi="Times New Roman" w:cs="Times New Roman"/>
          <w:color w:val="000000" w:themeColor="text1"/>
          <w:lang w:val="en-US" w:eastAsia="zh-CN"/>
          <w14:textFill>
            <w14:solidFill>
              <w14:schemeClr w14:val="tx1"/>
            </w14:solidFill>
          </w14:textFill>
        </w:rPr>
      </w:pPr>
    </w:p>
    <w:p w14:paraId="5EDC266C">
      <w:pPr>
        <w:numPr>
          <w:ilvl w:val="0"/>
          <w:numId w:val="39"/>
        </w:numPr>
        <w:tabs>
          <w:tab w:val="left" w:pos="0"/>
          <w:tab w:val="clear" w:pos="420"/>
        </w:tabs>
        <w:spacing w:line="360" w:lineRule="auto"/>
        <w:ind w:left="5" w:leftChars="0" w:firstLine="415"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为了便于在执行本</w:t>
      </w:r>
      <w:r>
        <w:rPr>
          <w:rFonts w:hint="eastAsia" w:ascii="Times New Roman" w:hAnsi="Times New Roman" w:cs="Times New Roman"/>
          <w:color w:val="000000" w:themeColor="text1"/>
          <w:lang w:val="en-US" w:eastAsia="zh-CN"/>
          <w14:textFill>
            <w14:solidFill>
              <w14:schemeClr w14:val="tx1"/>
            </w14:solidFill>
          </w14:textFill>
        </w:rPr>
        <w:t>标准</w:t>
      </w:r>
      <w:r>
        <w:rPr>
          <w:rFonts w:hint="default" w:ascii="Times New Roman" w:hAnsi="Times New Roman" w:cs="Times New Roman"/>
          <w:color w:val="000000" w:themeColor="text1"/>
          <w:lang w:val="en-US" w:eastAsia="zh-CN"/>
          <w14:textFill>
            <w14:solidFill>
              <w14:schemeClr w14:val="tx1"/>
            </w14:solidFill>
          </w14:textFill>
        </w:rPr>
        <w:t>条文时区别对待，对要求严格程度不同的用词说明如下</w:t>
      </w:r>
      <w:r>
        <w:rPr>
          <w:rFonts w:hint="eastAsia" w:ascii="Times New Roman" w:hAnsi="Times New Roman" w:cs="Times New Roman"/>
          <w:color w:val="000000" w:themeColor="text1"/>
          <w:lang w:val="en-US" w:eastAsia="zh-CN"/>
          <w14:textFill>
            <w14:solidFill>
              <w14:schemeClr w14:val="tx1"/>
            </w14:solidFill>
          </w14:textFill>
        </w:rPr>
        <w:t>：</w:t>
      </w:r>
    </w:p>
    <w:p w14:paraId="32F3CA7A">
      <w:pPr>
        <w:spacing w:line="360" w:lineRule="auto"/>
        <w:ind w:firstLine="843" w:firstLineChars="40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表示很严格，非这样做不可的</w:t>
      </w:r>
      <w:r>
        <w:rPr>
          <w:rFonts w:hint="eastAsia" w:ascii="Times New Roman" w:hAnsi="Times New Roman" w:cs="Times New Roman"/>
          <w:color w:val="000000" w:themeColor="text1"/>
          <w:lang w:val="en-US" w:eastAsia="zh-CN"/>
          <w14:textFill>
            <w14:solidFill>
              <w14:schemeClr w14:val="tx1"/>
            </w14:solidFill>
          </w14:textFill>
        </w:rPr>
        <w:t>：</w:t>
      </w:r>
    </w:p>
    <w:p w14:paraId="700C2D31">
      <w:pPr>
        <w:spacing w:line="360" w:lineRule="auto"/>
        <w:ind w:left="0" w:leftChars="0" w:firstLine="1159" w:firstLineChars="552"/>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正面词采用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必须</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反面词采用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严禁</w:t>
      </w:r>
      <w:r>
        <w:rPr>
          <w:rFonts w:hint="eastAsia" w:ascii="Times New Roman" w:hAnsi="Times New Roman" w:cs="Times New Roman"/>
          <w:color w:val="000000" w:themeColor="text1"/>
          <w:lang w:val="en-US" w:eastAsia="zh-CN"/>
          <w14:textFill>
            <w14:solidFill>
              <w14:schemeClr w14:val="tx1"/>
            </w14:solidFill>
          </w14:textFill>
        </w:rPr>
        <w:t>”；</w:t>
      </w:r>
    </w:p>
    <w:p w14:paraId="1BE8487C">
      <w:pPr>
        <w:spacing w:line="360" w:lineRule="auto"/>
        <w:ind w:firstLine="843" w:firstLineChars="40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表示严格，在正常情况下均应这样做的</w:t>
      </w:r>
      <w:r>
        <w:rPr>
          <w:rFonts w:hint="eastAsia" w:ascii="Times New Roman" w:hAnsi="Times New Roman" w:cs="Times New Roman"/>
          <w:color w:val="000000" w:themeColor="text1"/>
          <w:lang w:val="en-US" w:eastAsia="zh-CN"/>
          <w14:textFill>
            <w14:solidFill>
              <w14:schemeClr w14:val="tx1"/>
            </w14:solidFill>
          </w14:textFill>
        </w:rPr>
        <w:t>：</w:t>
      </w:r>
    </w:p>
    <w:p w14:paraId="218E07F6">
      <w:pPr>
        <w:spacing w:line="360" w:lineRule="auto"/>
        <w:ind w:left="0" w:leftChars="0" w:firstLine="1159" w:firstLineChars="552"/>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正面词采用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应</w:t>
      </w:r>
      <w:r>
        <w:rPr>
          <w:rFonts w:hint="eastAsia" w:ascii="Times New Roman" w:hAnsi="Times New Roman" w:cs="Times New Roman"/>
          <w:color w:val="000000" w:themeColor="text1"/>
          <w:lang w:val="en-US" w:eastAsia="zh-CN"/>
          <w14:textFill>
            <w14:solidFill>
              <w14:schemeClr w14:val="tx1"/>
            </w14:solidFill>
          </w14:textFill>
        </w:rPr>
        <w:t>”；反面</w:t>
      </w:r>
      <w:r>
        <w:rPr>
          <w:rFonts w:hint="default" w:ascii="Times New Roman" w:hAnsi="Times New Roman" w:cs="Times New Roman"/>
          <w:color w:val="000000" w:themeColor="text1"/>
          <w:lang w:val="en-US" w:eastAsia="zh-CN"/>
          <w14:textFill>
            <w14:solidFill>
              <w14:schemeClr w14:val="tx1"/>
            </w14:solidFill>
          </w14:textFill>
        </w:rPr>
        <w:t>词采用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不应</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或</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不得</w:t>
      </w:r>
      <w:r>
        <w:rPr>
          <w:rFonts w:hint="eastAsia" w:ascii="Times New Roman" w:hAnsi="Times New Roman" w:cs="Times New Roman"/>
          <w:color w:val="000000" w:themeColor="text1"/>
          <w:lang w:val="en-US" w:eastAsia="zh-CN"/>
          <w14:textFill>
            <w14:solidFill>
              <w14:schemeClr w14:val="tx1"/>
            </w14:solidFill>
          </w14:textFill>
        </w:rPr>
        <w:t>”；</w:t>
      </w:r>
    </w:p>
    <w:p w14:paraId="36D65BB6">
      <w:pPr>
        <w:spacing w:line="360" w:lineRule="auto"/>
        <w:ind w:firstLine="843" w:firstLineChars="40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表示允许稍有选择，在条件许可时首先这样做的</w:t>
      </w:r>
      <w:r>
        <w:rPr>
          <w:rFonts w:hint="eastAsia" w:ascii="Times New Roman" w:hAnsi="Times New Roman" w:cs="Times New Roman"/>
          <w:color w:val="000000" w:themeColor="text1"/>
          <w:lang w:val="en-US" w:eastAsia="zh-CN"/>
          <w14:textFill>
            <w14:solidFill>
              <w14:schemeClr w14:val="tx1"/>
            </w14:solidFill>
          </w14:textFill>
        </w:rPr>
        <w:t>：</w:t>
      </w:r>
    </w:p>
    <w:p w14:paraId="717D227E">
      <w:pPr>
        <w:spacing w:line="360" w:lineRule="auto"/>
        <w:ind w:left="0" w:leftChars="0" w:firstLine="1159" w:firstLineChars="552"/>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正面词采用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宜</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反面词采用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不宜</w:t>
      </w:r>
      <w:r>
        <w:rPr>
          <w:rFonts w:hint="eastAsia" w:ascii="Times New Roman" w:hAnsi="Times New Roman" w:cs="Times New Roman"/>
          <w:color w:val="000000" w:themeColor="text1"/>
          <w:lang w:val="en-US" w:eastAsia="zh-CN"/>
          <w14:textFill>
            <w14:solidFill>
              <w14:schemeClr w14:val="tx1"/>
            </w14:solidFill>
          </w14:textFill>
        </w:rPr>
        <w:t>”；</w:t>
      </w:r>
    </w:p>
    <w:p w14:paraId="324FC22F">
      <w:pPr>
        <w:spacing w:line="360" w:lineRule="auto"/>
        <w:ind w:firstLine="843" w:firstLineChars="4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eastAsia"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表示有选择，在一定条件下可以这样做的，采用</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可”。</w:t>
      </w:r>
    </w:p>
    <w:p w14:paraId="1F0B6672">
      <w:pPr>
        <w:numPr>
          <w:ilvl w:val="0"/>
          <w:numId w:val="39"/>
        </w:numPr>
        <w:tabs>
          <w:tab w:val="left" w:pos="0"/>
          <w:tab w:val="clear" w:pos="420"/>
        </w:tabs>
        <w:spacing w:line="360" w:lineRule="auto"/>
        <w:ind w:left="5" w:leftChars="0" w:firstLine="415"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条文中指明应按其他有关标准、规范执行的写法为</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2"/>
          <w:sz w:val="21"/>
          <w:szCs w:val="24"/>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应符合</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的规定</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或</w:t>
      </w:r>
      <w:r>
        <w:rPr>
          <w:rFonts w:hint="eastAsia" w:ascii="Times New Roman" w:hAnsi="Times New Roman" w:eastAsia="楷体" w:cs="Times New Roman"/>
          <w:color w:val="000000" w:themeColor="text1"/>
          <w:kern w:val="0"/>
          <w:sz w:val="21"/>
          <w:szCs w:val="20"/>
          <w:highlight w:val="none"/>
          <w:lang w:val="en-US" w:eastAsia="zh-CN" w:bidi="ar-SA"/>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应按</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执行</w:t>
      </w:r>
      <w:r>
        <w:rPr>
          <w:rFonts w:hint="eastAsia" w:ascii="Times New Roman" w:hAnsi="Times New Roman" w:cs="Times New Roman"/>
          <w:color w:val="000000" w:themeColor="text1"/>
          <w:lang w:val="en-US" w:eastAsia="zh-CN"/>
          <w14:textFill>
            <w14:solidFill>
              <w14:schemeClr w14:val="tx1"/>
            </w14:solidFill>
          </w14:textFill>
        </w:rPr>
        <w:t>”。</w:t>
      </w:r>
    </w:p>
    <w:p w14:paraId="49BCAF10">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br w:type="page"/>
      </w:r>
    </w:p>
    <w:p w14:paraId="439DF5C1">
      <w:pPr>
        <w:pStyle w:val="4"/>
        <w:bidi w:val="0"/>
        <w:jc w:val="center"/>
        <w:rPr>
          <w:rFonts w:hint="eastAsia" w:ascii="Times New Roman" w:hAnsi="Times New Roman" w:cs="Times New Roman"/>
          <w:color w:val="000000" w:themeColor="text1"/>
          <w:lang w:val="en-US" w:eastAsia="zh-CN"/>
          <w14:textFill>
            <w14:solidFill>
              <w14:schemeClr w14:val="tx1"/>
            </w14:solidFill>
          </w14:textFill>
        </w:rPr>
      </w:pPr>
      <w:bookmarkStart w:id="104" w:name="_Toc10922"/>
      <w:bookmarkStart w:id="105" w:name="_Toc7526"/>
      <w:bookmarkStart w:id="106" w:name="_Toc7004"/>
      <w:r>
        <w:rPr>
          <w:rFonts w:hint="eastAsia" w:ascii="Times New Roman" w:hAnsi="Times New Roman" w:cs="Times New Roman"/>
          <w:color w:val="000000" w:themeColor="text1"/>
          <w:lang w:val="en-US" w:eastAsia="zh-CN"/>
          <w14:textFill>
            <w14:solidFill>
              <w14:schemeClr w14:val="tx1"/>
            </w14:solidFill>
          </w14:textFill>
        </w:rPr>
        <w:t>引用标准名录</w:t>
      </w:r>
      <w:bookmarkEnd w:id="104"/>
      <w:bookmarkEnd w:id="105"/>
      <w:bookmarkEnd w:id="106"/>
    </w:p>
    <w:p w14:paraId="406AF68C">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《生态公益林建设技术规程》GB/T 18337.3-2001</w:t>
      </w:r>
    </w:p>
    <w:p w14:paraId="653E9B9B">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城市绿地设计规范（2016修订版）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GB50420-2007</w:t>
      </w:r>
    </w:p>
    <w:p w14:paraId="4562B8E4">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《森林经营技术规程》GB/T 26424-2010</w:t>
      </w:r>
    </w:p>
    <w:p w14:paraId="0570C57B">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《林木种质资源保存原则与方法》GB/T 29373-2012</w:t>
      </w:r>
    </w:p>
    <w:p w14:paraId="606726FC">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陆生野生动物及其栖息地调查技术规程 第1部分:导则</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GB/T 37364.1-2019</w:t>
      </w:r>
    </w:p>
    <w:p w14:paraId="2887D1E0">
      <w:pPr>
        <w:numPr>
          <w:ilvl w:val="0"/>
          <w:numId w:val="40"/>
        </w:numPr>
        <w:tabs>
          <w:tab w:val="left" w:pos="0"/>
          <w:tab w:val="clear" w:pos="420"/>
        </w:tabs>
        <w:spacing w:line="360" w:lineRule="auto"/>
        <w:ind w:left="5" w:leftChars="0" w:firstLine="41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城市绿地规划标准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GB/T 51346-2019</w:t>
      </w:r>
    </w:p>
    <w:p w14:paraId="7A1CE628">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矿山生态修复技术规范</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GB/T 38360-2019</w:t>
      </w:r>
    </w:p>
    <w:p w14:paraId="5ADE396D">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《造林技术规程》GB/T 15776-2023</w:t>
      </w:r>
    </w:p>
    <w:p w14:paraId="4A67F121">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《退化林修复技术规程》GB/T 44351-2024</w:t>
      </w:r>
    </w:p>
    <w:p w14:paraId="2AD869F2">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《陆生野生动物廊道设计要求 GB/T 43646-2024》</w:t>
      </w:r>
    </w:p>
    <w:p w14:paraId="456CC582">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《生物多样性评估标准》T/CGDF 00002-2020</w:t>
      </w:r>
    </w:p>
    <w:p w14:paraId="27602B61">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《生物多样性规划标准》T/CGDF 00029-2022</w:t>
      </w:r>
    </w:p>
    <w:p w14:paraId="30E33ED9">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城市生物多样性调查技术导则</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T/CHSLA 10012-2024</w:t>
      </w:r>
    </w:p>
    <w:p w14:paraId="78BDB9A8">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《生物多样性友好城市建设导则》T/ZAEPI 040-2025</w:t>
      </w:r>
    </w:p>
    <w:p w14:paraId="7CC4D066">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《风景园林基本术语标准》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sz w:val="21"/>
          <w:szCs w:val="21"/>
          <w:lang w:val="en-US" w:eastAsia="zh-CN"/>
          <w14:textFill>
            <w14:solidFill>
              <w14:schemeClr w14:val="tx1"/>
            </w14:solidFill>
          </w14:textFill>
        </w:rPr>
        <w:instrText xml:space="preserve"> HYPERLINK "https://www.so.com/link?m=zBKIJ5s4GohnsekFCD0S6+ZlyjW97mKB9NDEG19SlaUCKNu9FMcrnuUDBgrqMQtOk0Wlzt0ZZEdZ4ZdK9M3upR+hGhpffTWH5pZNg1zQ7RnR+y2MAEcMk9pf7U0DTSXE4cSxbJMLkzVDD+lKC" \t "https://www.so.com/_blank" </w:instrTex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CJJ∕T 91-2017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fldChar w:fldCharType="end"/>
      </w:r>
    </w:p>
    <w:p w14:paraId="073B4E95">
      <w:pPr>
        <w:numPr>
          <w:ilvl w:val="0"/>
          <w:numId w:val="40"/>
        </w:numPr>
        <w:tabs>
          <w:tab w:val="left" w:pos="0"/>
          <w:tab w:val="clear" w:pos="420"/>
        </w:tabs>
        <w:spacing w:line="360" w:lineRule="auto"/>
        <w:ind w:left="5" w:leftChars="0" w:firstLine="41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城市绿地分类标准</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CJJ/T85-2017</w:t>
      </w:r>
    </w:p>
    <w:p w14:paraId="0DC78000">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《生物多样性观测技术导则 陆生维管植物》HJ 710.1-2014</w:t>
      </w:r>
    </w:p>
    <w:p w14:paraId="544D5974">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《生物多样性观测技术导则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两栖动物</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》HJ 710.6-2014</w:t>
      </w:r>
    </w:p>
    <w:p w14:paraId="71C1D009">
      <w:pPr>
        <w:numPr>
          <w:ilvl w:val="0"/>
          <w:numId w:val="40"/>
        </w:numPr>
        <w:tabs>
          <w:tab w:val="left" w:pos="0"/>
          <w:tab w:val="clear" w:pos="420"/>
        </w:tabs>
        <w:spacing w:line="360" w:lineRule="auto"/>
        <w:ind w:left="5" w:leftChars="0" w:firstLine="41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《环境影响评价技术导则 生态影响》HJ 19-2022</w:t>
      </w:r>
    </w:p>
    <w:p w14:paraId="10E6056F">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《自然保护区建设项目生物多样性影响评价技术规范》LY/T 2242-2014</w:t>
      </w:r>
    </w:p>
    <w:p w14:paraId="2456CE2E">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干旱干热河谷区退化林地土壤修复技术规程</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LY/T 3180-2020</w:t>
      </w:r>
    </w:p>
    <w:p w14:paraId="273D6634">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《草原生态修复技术规程》LY/T 3323-2022</w:t>
      </w:r>
    </w:p>
    <w:p w14:paraId="3A6C41B8">
      <w:pPr>
        <w:numPr>
          <w:ilvl w:val="0"/>
          <w:numId w:val="40"/>
        </w:numPr>
        <w:tabs>
          <w:tab w:val="left" w:pos="0"/>
          <w:tab w:val="clear" w:pos="420"/>
        </w:tabs>
        <w:spacing w:line="360" w:lineRule="auto"/>
        <w:ind w:left="5" w:leftChars="0" w:firstLine="41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《川中丘陵区柏木林森林抚育技术规程》DB51/T 1807-2014</w:t>
      </w:r>
    </w:p>
    <w:p w14:paraId="472DFF8C">
      <w:pPr>
        <w:numPr>
          <w:ilvl w:val="0"/>
          <w:numId w:val="40"/>
        </w:numPr>
        <w:tabs>
          <w:tab w:val="left" w:pos="0"/>
          <w:tab w:val="clear" w:pos="420"/>
        </w:tabs>
        <w:spacing w:line="360" w:lineRule="auto"/>
        <w:ind w:left="5" w:leftChars="0" w:firstLine="41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《低山丘陵区柏木低效人工林近自然经营技术规程》DB51/T 2402-2017</w:t>
      </w:r>
    </w:p>
    <w:p w14:paraId="6250E70B">
      <w:pPr>
        <w:numPr>
          <w:ilvl w:val="0"/>
          <w:numId w:val="40"/>
        </w:numPr>
        <w:tabs>
          <w:tab w:val="left" w:pos="0"/>
          <w:tab w:val="clear" w:pos="420"/>
        </w:tabs>
        <w:spacing w:line="360" w:lineRule="auto"/>
        <w:ind w:left="5" w:leftChars="0" w:firstLine="41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《城市绿地鸟类栖息地营造及恢复技术规范》DB11/T 1513-2018</w:t>
      </w:r>
    </w:p>
    <w:p w14:paraId="7A299045">
      <w:pPr>
        <w:numPr>
          <w:ilvl w:val="0"/>
          <w:numId w:val="40"/>
        </w:numPr>
        <w:tabs>
          <w:tab w:val="left" w:pos="0"/>
          <w:tab w:val="clear" w:pos="420"/>
        </w:tabs>
        <w:spacing w:line="360" w:lineRule="auto"/>
        <w:ind w:left="5" w:leftChars="0" w:firstLine="41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自然教育基地建设</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DB51_T 2739-2020</w:t>
      </w:r>
    </w:p>
    <w:p w14:paraId="41B2909F">
      <w:pPr>
        <w:numPr>
          <w:ilvl w:val="0"/>
          <w:numId w:val="40"/>
        </w:numPr>
        <w:tabs>
          <w:tab w:val="left" w:pos="0"/>
          <w:tab w:val="clear" w:pos="420"/>
        </w:tabs>
        <w:spacing w:line="360" w:lineRule="auto"/>
        <w:ind w:left="5" w:leftChars="0" w:firstLine="415" w:firstLineChars="0"/>
        <w:rPr>
          <w:rFonts w:hint="default"/>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大鲵野外栖息地修复技术规范</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DB 43/T 2999—2024</w:t>
      </w:r>
    </w:p>
    <w:p w14:paraId="6BCD0803">
      <w:pPr>
        <w:numPr>
          <w:ilvl w:val="0"/>
          <w:numId w:val="0"/>
        </w:numPr>
        <w:tabs>
          <w:tab w:val="left" w:pos="0"/>
        </w:tabs>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imesNewRomanPS-Bold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C72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FCE3E">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FFCE3E">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B6C1B"/>
    <w:multiLevelType w:val="singleLevel"/>
    <w:tmpl w:val="854B6C1B"/>
    <w:lvl w:ilvl="0" w:tentative="0">
      <w:start w:val="1"/>
      <w:numFmt w:val="decimal"/>
      <w:suff w:val="space"/>
      <w:lvlText w:val="4.1.%1"/>
      <w:lvlJc w:val="left"/>
      <w:pPr>
        <w:tabs>
          <w:tab w:val="left" w:pos="397"/>
        </w:tabs>
        <w:ind w:left="454" w:leftChars="0" w:hanging="454" w:firstLineChars="0"/>
      </w:pPr>
      <w:rPr>
        <w:rFonts w:hint="default" w:eastAsia="Times New Roman"/>
        <w:b/>
        <w:sz w:val="21"/>
      </w:rPr>
    </w:lvl>
  </w:abstractNum>
  <w:abstractNum w:abstractNumId="1">
    <w:nsid w:val="867048FD"/>
    <w:multiLevelType w:val="multilevel"/>
    <w:tmpl w:val="867048FD"/>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tabs>
          <w:tab w:val="left" w:pos="0"/>
        </w:tabs>
        <w:ind w:left="0" w:leftChars="0" w:firstLine="0" w:firstLineChars="0"/>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D082DBF"/>
    <w:multiLevelType w:val="singleLevel"/>
    <w:tmpl w:val="8D082DBF"/>
    <w:lvl w:ilvl="0" w:tentative="0">
      <w:start w:val="1"/>
      <w:numFmt w:val="decimal"/>
      <w:suff w:val="space"/>
      <w:lvlText w:val="5.4.%1"/>
      <w:lvlJc w:val="left"/>
      <w:pPr>
        <w:tabs>
          <w:tab w:val="left" w:pos="0"/>
        </w:tabs>
        <w:ind w:left="425" w:leftChars="0" w:hanging="425" w:firstLineChars="0"/>
      </w:pPr>
      <w:rPr>
        <w:rFonts w:hint="default" w:eastAsia="Times New Roman"/>
        <w:b/>
        <w:sz w:val="21"/>
      </w:rPr>
    </w:lvl>
  </w:abstractNum>
  <w:abstractNum w:abstractNumId="3">
    <w:nsid w:val="9433C4D1"/>
    <w:multiLevelType w:val="singleLevel"/>
    <w:tmpl w:val="9433C4D1"/>
    <w:lvl w:ilvl="0" w:tentative="0">
      <w:start w:val="1"/>
      <w:numFmt w:val="decimal"/>
      <w:suff w:val="space"/>
      <w:lvlText w:val="%1"/>
      <w:lvlJc w:val="left"/>
      <w:pPr>
        <w:tabs>
          <w:tab w:val="left" w:pos="420"/>
        </w:tabs>
        <w:ind w:left="0" w:firstLine="397"/>
      </w:pPr>
      <w:rPr>
        <w:rFonts w:hint="default"/>
        <w:b/>
        <w:color w:val="000000" w:themeColor="text1"/>
        <w:sz w:val="21"/>
        <w14:textFill>
          <w14:solidFill>
            <w14:schemeClr w14:val="tx1"/>
          </w14:solidFill>
        </w14:textFill>
      </w:rPr>
    </w:lvl>
  </w:abstractNum>
  <w:abstractNum w:abstractNumId="4">
    <w:nsid w:val="9C333991"/>
    <w:multiLevelType w:val="singleLevel"/>
    <w:tmpl w:val="9C333991"/>
    <w:lvl w:ilvl="0" w:tentative="0">
      <w:start w:val="1"/>
      <w:numFmt w:val="decimal"/>
      <w:suff w:val="space"/>
      <w:lvlText w:val="5.5.%1"/>
      <w:lvlJc w:val="left"/>
      <w:pPr>
        <w:tabs>
          <w:tab w:val="left" w:pos="0"/>
        </w:tabs>
        <w:ind w:left="425" w:leftChars="0" w:hanging="425" w:firstLineChars="0"/>
      </w:pPr>
      <w:rPr>
        <w:rFonts w:hint="default" w:eastAsia="Times New Roman"/>
        <w:b/>
        <w:sz w:val="21"/>
      </w:rPr>
    </w:lvl>
  </w:abstractNum>
  <w:abstractNum w:abstractNumId="5">
    <w:nsid w:val="9D9116D9"/>
    <w:multiLevelType w:val="singleLevel"/>
    <w:tmpl w:val="9D9116D9"/>
    <w:lvl w:ilvl="0" w:tentative="0">
      <w:start w:val="1"/>
      <w:numFmt w:val="decimal"/>
      <w:suff w:val="space"/>
      <w:lvlText w:val="%1"/>
      <w:lvlJc w:val="left"/>
      <w:pPr>
        <w:tabs>
          <w:tab w:val="left" w:pos="420"/>
        </w:tabs>
        <w:ind w:left="0" w:firstLine="397"/>
      </w:pPr>
      <w:rPr>
        <w:rFonts w:hint="default"/>
        <w:b/>
        <w:color w:val="auto"/>
        <w:sz w:val="21"/>
      </w:rPr>
    </w:lvl>
  </w:abstractNum>
  <w:abstractNum w:abstractNumId="6">
    <w:nsid w:val="A04C7E66"/>
    <w:multiLevelType w:val="singleLevel"/>
    <w:tmpl w:val="A04C7E66"/>
    <w:lvl w:ilvl="0" w:tentative="0">
      <w:start w:val="1"/>
      <w:numFmt w:val="decimal"/>
      <w:suff w:val="space"/>
      <w:lvlText w:val="7.2.%1"/>
      <w:lvlJc w:val="left"/>
      <w:pPr>
        <w:tabs>
          <w:tab w:val="left" w:pos="420"/>
        </w:tabs>
        <w:ind w:left="0" w:firstLine="397"/>
      </w:pPr>
      <w:rPr>
        <w:rFonts w:hint="default" w:eastAsia="Times New Roman"/>
        <w:b/>
        <w:sz w:val="21"/>
      </w:rPr>
    </w:lvl>
  </w:abstractNum>
  <w:abstractNum w:abstractNumId="7">
    <w:nsid w:val="AF17C2D6"/>
    <w:multiLevelType w:val="singleLevel"/>
    <w:tmpl w:val="AF17C2D6"/>
    <w:lvl w:ilvl="0" w:tentative="0">
      <w:start w:val="1"/>
      <w:numFmt w:val="decimal"/>
      <w:suff w:val="space"/>
      <w:lvlText w:val="2.0.%1"/>
      <w:lvlJc w:val="left"/>
      <w:pPr>
        <w:tabs>
          <w:tab w:val="left" w:pos="0"/>
        </w:tabs>
        <w:ind w:left="0" w:firstLine="0"/>
      </w:pPr>
      <w:rPr>
        <w:rFonts w:hint="default" w:ascii="Times New Roman" w:hAnsi="Times New Roman" w:cs="Times New Roman"/>
        <w:b/>
      </w:rPr>
    </w:lvl>
  </w:abstractNum>
  <w:abstractNum w:abstractNumId="8">
    <w:nsid w:val="C0A3CA1C"/>
    <w:multiLevelType w:val="singleLevel"/>
    <w:tmpl w:val="C0A3CA1C"/>
    <w:lvl w:ilvl="0" w:tentative="0">
      <w:start w:val="1"/>
      <w:numFmt w:val="decimal"/>
      <w:suff w:val="space"/>
      <w:lvlText w:val="%1"/>
      <w:lvlJc w:val="left"/>
      <w:pPr>
        <w:tabs>
          <w:tab w:val="left" w:pos="420"/>
        </w:tabs>
        <w:ind w:left="425" w:leftChars="0" w:hanging="425" w:firstLineChars="0"/>
      </w:pPr>
      <w:rPr>
        <w:rFonts w:hint="default" w:eastAsia="Times New Roman"/>
        <w:b/>
        <w:sz w:val="21"/>
      </w:rPr>
    </w:lvl>
  </w:abstractNum>
  <w:abstractNum w:abstractNumId="9">
    <w:nsid w:val="C0CFCEF7"/>
    <w:multiLevelType w:val="singleLevel"/>
    <w:tmpl w:val="C0CFCEF7"/>
    <w:lvl w:ilvl="0" w:tentative="0">
      <w:start w:val="1"/>
      <w:numFmt w:val="decimal"/>
      <w:suff w:val="space"/>
      <w:lvlText w:val="%1"/>
      <w:lvlJc w:val="left"/>
      <w:pPr>
        <w:tabs>
          <w:tab w:val="left" w:pos="420"/>
        </w:tabs>
        <w:ind w:left="0" w:firstLine="397"/>
      </w:pPr>
      <w:rPr>
        <w:rFonts w:hint="default"/>
        <w:b/>
        <w:color w:val="auto"/>
        <w:sz w:val="21"/>
      </w:rPr>
    </w:lvl>
  </w:abstractNum>
  <w:abstractNum w:abstractNumId="10">
    <w:nsid w:val="C2D4C0B3"/>
    <w:multiLevelType w:val="singleLevel"/>
    <w:tmpl w:val="C2D4C0B3"/>
    <w:lvl w:ilvl="0" w:tentative="0">
      <w:start w:val="1"/>
      <w:numFmt w:val="decimal"/>
      <w:suff w:val="space"/>
      <w:lvlText w:val="4.3.%1"/>
      <w:lvlJc w:val="left"/>
      <w:pPr>
        <w:tabs>
          <w:tab w:val="left" w:pos="0"/>
        </w:tabs>
        <w:ind w:left="425" w:leftChars="0" w:hanging="425" w:firstLineChars="0"/>
      </w:pPr>
      <w:rPr>
        <w:rFonts w:hint="default" w:eastAsia="Times New Roman"/>
        <w:b/>
        <w:sz w:val="21"/>
      </w:rPr>
    </w:lvl>
  </w:abstractNum>
  <w:abstractNum w:abstractNumId="11">
    <w:nsid w:val="CACD3F0C"/>
    <w:multiLevelType w:val="singleLevel"/>
    <w:tmpl w:val="CACD3F0C"/>
    <w:lvl w:ilvl="0" w:tentative="0">
      <w:start w:val="1"/>
      <w:numFmt w:val="decimal"/>
      <w:suff w:val="space"/>
      <w:lvlText w:val="%1"/>
      <w:lvlJc w:val="left"/>
      <w:pPr>
        <w:tabs>
          <w:tab w:val="left" w:pos="420"/>
        </w:tabs>
        <w:ind w:left="0" w:firstLine="397"/>
      </w:pPr>
      <w:rPr>
        <w:rFonts w:hint="default"/>
        <w:b/>
        <w:color w:val="auto"/>
        <w:sz w:val="21"/>
      </w:rPr>
    </w:lvl>
  </w:abstractNum>
  <w:abstractNum w:abstractNumId="12">
    <w:nsid w:val="CB75F42D"/>
    <w:multiLevelType w:val="multilevel"/>
    <w:tmpl w:val="CB75F42D"/>
    <w:lvl w:ilvl="0" w:tentative="0">
      <w:start w:val="3"/>
      <w:numFmt w:val="decimal"/>
      <w:lvlText w:val="%1.2"/>
      <w:lvlJc w:val="left"/>
      <w:pPr>
        <w:ind w:left="425" w:hanging="425"/>
      </w:pPr>
      <w:rPr>
        <w:rFonts w:hint="default"/>
      </w:rPr>
    </w:lvl>
    <w:lvl w:ilvl="1" w:tentative="0">
      <w:start w:val="2"/>
      <w:numFmt w:val="decimal"/>
      <w:lvlText w:val="%1.%2."/>
      <w:lvlJc w:val="left"/>
      <w:pPr>
        <w:tabs>
          <w:tab w:val="left" w:pos="420"/>
        </w:tabs>
        <w:ind w:left="567" w:hanging="567"/>
      </w:pPr>
      <w:rPr>
        <w:rFonts w:hint="default"/>
      </w:rPr>
    </w:lvl>
    <w:lvl w:ilvl="2" w:tentative="0">
      <w:start w:val="1"/>
      <w:numFmt w:val="decimal"/>
      <w:suff w:val="space"/>
      <w:lvlText w:val="%1.%2.%3"/>
      <w:lvlJc w:val="left"/>
      <w:pPr>
        <w:tabs>
          <w:tab w:val="left" w:pos="0"/>
        </w:tabs>
        <w:ind w:left="0" w:leftChars="0" w:firstLine="0" w:firstLineChars="0"/>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D5338E86"/>
    <w:multiLevelType w:val="singleLevel"/>
    <w:tmpl w:val="D5338E86"/>
    <w:lvl w:ilvl="0" w:tentative="0">
      <w:start w:val="1"/>
      <w:numFmt w:val="decimal"/>
      <w:suff w:val="space"/>
      <w:lvlText w:val="5.4.%1"/>
      <w:lvlJc w:val="left"/>
      <w:pPr>
        <w:tabs>
          <w:tab w:val="left" w:pos="0"/>
        </w:tabs>
        <w:ind w:left="425" w:leftChars="0" w:hanging="425" w:firstLineChars="0"/>
      </w:pPr>
      <w:rPr>
        <w:rFonts w:hint="default" w:eastAsia="Times New Roman"/>
        <w:b/>
        <w:sz w:val="21"/>
      </w:rPr>
    </w:lvl>
  </w:abstractNum>
  <w:abstractNum w:abstractNumId="14">
    <w:nsid w:val="D9E965F6"/>
    <w:multiLevelType w:val="singleLevel"/>
    <w:tmpl w:val="D9E965F6"/>
    <w:lvl w:ilvl="0" w:tentative="0">
      <w:start w:val="1"/>
      <w:numFmt w:val="decimal"/>
      <w:suff w:val="space"/>
      <w:lvlText w:val="%1)"/>
      <w:lvlJc w:val="left"/>
    </w:lvl>
  </w:abstractNum>
  <w:abstractNum w:abstractNumId="15">
    <w:nsid w:val="DBC3B40D"/>
    <w:multiLevelType w:val="singleLevel"/>
    <w:tmpl w:val="DBC3B40D"/>
    <w:lvl w:ilvl="0" w:tentative="0">
      <w:start w:val="1"/>
      <w:numFmt w:val="decimal"/>
      <w:suff w:val="space"/>
      <w:lvlText w:val="%1"/>
      <w:lvlJc w:val="left"/>
      <w:pPr>
        <w:tabs>
          <w:tab w:val="left" w:pos="420"/>
        </w:tabs>
        <w:ind w:left="0" w:firstLine="397"/>
      </w:pPr>
      <w:rPr>
        <w:rFonts w:hint="default"/>
        <w:b/>
        <w:color w:val="000000" w:themeColor="text1"/>
        <w:sz w:val="21"/>
        <w14:textFill>
          <w14:solidFill>
            <w14:schemeClr w14:val="tx1"/>
          </w14:solidFill>
        </w14:textFill>
      </w:rPr>
    </w:lvl>
  </w:abstractNum>
  <w:abstractNum w:abstractNumId="16">
    <w:nsid w:val="E2963215"/>
    <w:multiLevelType w:val="singleLevel"/>
    <w:tmpl w:val="E2963215"/>
    <w:lvl w:ilvl="0" w:tentative="0">
      <w:start w:val="1"/>
      <w:numFmt w:val="decimal"/>
      <w:suff w:val="space"/>
      <w:lvlText w:val="%1"/>
      <w:lvlJc w:val="left"/>
      <w:pPr>
        <w:tabs>
          <w:tab w:val="left" w:pos="420"/>
        </w:tabs>
        <w:ind w:left="425" w:leftChars="0" w:hanging="425" w:firstLineChars="0"/>
      </w:pPr>
      <w:rPr>
        <w:rFonts w:hint="default" w:eastAsia="Times New Roman"/>
        <w:b/>
        <w:sz w:val="21"/>
      </w:rPr>
    </w:lvl>
  </w:abstractNum>
  <w:abstractNum w:abstractNumId="17">
    <w:nsid w:val="E9838EB1"/>
    <w:multiLevelType w:val="multilevel"/>
    <w:tmpl w:val="E9838EB1"/>
    <w:lvl w:ilvl="0" w:tentative="0">
      <w:start w:val="6"/>
      <w:numFmt w:val="decimal"/>
      <w:suff w:val="space"/>
      <w:lvlText w:val="%1."/>
      <w:lvlJc w:val="left"/>
      <w:pPr>
        <w:tabs>
          <w:tab w:val="left" w:pos="0"/>
        </w:tabs>
        <w:ind w:left="0" w:leftChars="0" w:firstLine="0" w:firstLineChars="0"/>
      </w:pPr>
      <w:rPr>
        <w:rFonts w:hint="default" w:ascii="宋体" w:hAnsi="宋体" w:eastAsia="宋体" w:cs="宋体"/>
      </w:rPr>
    </w:lvl>
    <w:lvl w:ilvl="1" w:tentative="0">
      <w:start w:val="1"/>
      <w:numFmt w:val="decimal"/>
      <w:suff w:val="space"/>
      <w:lvlText w:val="%1.%2"/>
      <w:lvlJc w:val="left"/>
      <w:pPr>
        <w:tabs>
          <w:tab w:val="left" w:pos="0"/>
        </w:tabs>
        <w:ind w:left="567" w:hanging="567"/>
      </w:pPr>
      <w:rPr>
        <w:rFonts w:hint="default" w:ascii="宋体" w:hAnsi="宋体" w:eastAsia="宋体" w:cs="宋体"/>
      </w:rPr>
    </w:lvl>
    <w:lvl w:ilvl="2" w:tentative="0">
      <w:start w:val="1"/>
      <w:numFmt w:val="decimal"/>
      <w:suff w:val="space"/>
      <w:lvlText w:val="%1.%2.%3"/>
      <w:lvlJc w:val="left"/>
      <w:pPr>
        <w:tabs>
          <w:tab w:val="left" w:pos="0"/>
        </w:tabs>
        <w:ind w:left="0" w:leftChars="0" w:firstLine="0" w:firstLineChars="0"/>
      </w:pPr>
      <w:rPr>
        <w:rFonts w:hint="default" w:ascii="宋体" w:hAnsi="宋体" w:eastAsia="宋体" w:cs="宋体"/>
      </w:rPr>
    </w:lvl>
    <w:lvl w:ilvl="3" w:tentative="0">
      <w:start w:val="1"/>
      <w:numFmt w:val="decimal"/>
      <w:pStyle w:val="28"/>
      <w:suff w:val="space"/>
      <w:lvlText w:val="%4"/>
      <w:lvlJc w:val="left"/>
      <w:pPr>
        <w:tabs>
          <w:tab w:val="left" w:pos="0"/>
        </w:tabs>
        <w:ind w:left="0" w:leftChars="0" w:firstLine="567" w:firstLineChars="0"/>
      </w:pPr>
      <w:rPr>
        <w:rFonts w:hint="default" w:ascii="宋体" w:hAnsi="宋体" w:eastAsia="宋体" w:cs="宋体"/>
      </w:rPr>
    </w:lvl>
    <w:lvl w:ilvl="4" w:tentative="0">
      <w:start w:val="1"/>
      <w:numFmt w:val="decimal"/>
      <w:lvlRestart w:val="3"/>
      <w:pStyle w:val="30"/>
      <w:suff w:val="space"/>
      <w:lvlText w:val="表6.2.5-%5"/>
      <w:lvlJc w:val="left"/>
      <w:pPr>
        <w:tabs>
          <w:tab w:val="left" w:pos="0"/>
        </w:tabs>
        <w:ind w:left="991" w:hanging="991"/>
      </w:pPr>
      <w:rPr>
        <w:rFonts w:hint="default" w:ascii="Times New Roman" w:hAnsi="Times New Roman" w:eastAsia="宋体" w:cs="Times New Roman"/>
        <w:sz w:val="21"/>
        <w:szCs w:val="21"/>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EAB1B183"/>
    <w:multiLevelType w:val="singleLevel"/>
    <w:tmpl w:val="EAB1B183"/>
    <w:lvl w:ilvl="0" w:tentative="0">
      <w:start w:val="1"/>
      <w:numFmt w:val="decimal"/>
      <w:suff w:val="space"/>
      <w:lvlText w:val="%1"/>
      <w:lvlJc w:val="left"/>
      <w:pPr>
        <w:tabs>
          <w:tab w:val="left" w:pos="420"/>
        </w:tabs>
        <w:ind w:left="0" w:firstLine="397"/>
      </w:pPr>
      <w:rPr>
        <w:rFonts w:hint="default"/>
        <w:b/>
        <w:color w:val="000000" w:themeColor="text1"/>
        <w:sz w:val="21"/>
        <w14:textFill>
          <w14:solidFill>
            <w14:schemeClr w14:val="tx1"/>
          </w14:solidFill>
        </w14:textFill>
      </w:rPr>
    </w:lvl>
  </w:abstractNum>
  <w:abstractNum w:abstractNumId="19">
    <w:nsid w:val="F4584709"/>
    <w:multiLevelType w:val="multilevel"/>
    <w:tmpl w:val="F4584709"/>
    <w:lvl w:ilvl="0" w:tentative="0">
      <w:start w:val="1"/>
      <w:numFmt w:val="decimal"/>
      <w:suff w:val="space"/>
      <w:lvlText w:val="A.0.%1"/>
      <w:lvlJc w:val="left"/>
      <w:pPr>
        <w:tabs>
          <w:tab w:val="left" w:pos="0"/>
        </w:tabs>
        <w:ind w:left="454" w:leftChars="0" w:hanging="454" w:firstLineChars="0"/>
      </w:pPr>
      <w:rPr>
        <w:rFonts w:hint="default"/>
        <w:b/>
        <w:sz w:val="21"/>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0">
    <w:nsid w:val="F9664683"/>
    <w:multiLevelType w:val="singleLevel"/>
    <w:tmpl w:val="F9664683"/>
    <w:lvl w:ilvl="0" w:tentative="0">
      <w:start w:val="1"/>
      <w:numFmt w:val="decimal"/>
      <w:suff w:val="space"/>
      <w:lvlText w:val="5.2.%1"/>
      <w:lvlJc w:val="left"/>
      <w:pPr>
        <w:tabs>
          <w:tab w:val="left" w:pos="0"/>
        </w:tabs>
        <w:ind w:left="425" w:leftChars="0" w:hanging="425" w:firstLineChars="0"/>
      </w:pPr>
      <w:rPr>
        <w:rFonts w:hint="default" w:eastAsia="Times New Roman"/>
        <w:b/>
        <w:sz w:val="21"/>
      </w:rPr>
    </w:lvl>
  </w:abstractNum>
  <w:abstractNum w:abstractNumId="21">
    <w:nsid w:val="FF0A098E"/>
    <w:multiLevelType w:val="singleLevel"/>
    <w:tmpl w:val="FF0A098E"/>
    <w:lvl w:ilvl="0" w:tentative="0">
      <w:start w:val="1"/>
      <w:numFmt w:val="decimal"/>
      <w:suff w:val="space"/>
      <w:lvlText w:val="6.2.%1"/>
      <w:lvlJc w:val="left"/>
      <w:pPr>
        <w:tabs>
          <w:tab w:val="left" w:pos="0"/>
        </w:tabs>
        <w:ind w:left="0" w:firstLine="403"/>
      </w:pPr>
      <w:rPr>
        <w:rFonts w:hint="default" w:ascii="Times New Roman" w:hAnsi="Times New Roman" w:eastAsia="Times New Roman" w:cs="宋体"/>
        <w:b/>
        <w:sz w:val="21"/>
      </w:rPr>
    </w:lvl>
  </w:abstractNum>
  <w:abstractNum w:abstractNumId="22">
    <w:nsid w:val="05CBA79F"/>
    <w:multiLevelType w:val="multilevel"/>
    <w:tmpl w:val="05CBA79F"/>
    <w:lvl w:ilvl="0" w:tentative="0">
      <w:start w:val="3"/>
      <w:numFmt w:val="decimal"/>
      <w:lvlText w:val="%1."/>
      <w:lvlJc w:val="left"/>
      <w:pPr>
        <w:ind w:left="425" w:hanging="425"/>
      </w:pPr>
      <w:rPr>
        <w:rFonts w:hint="default"/>
      </w:rPr>
    </w:lvl>
    <w:lvl w:ilvl="1" w:tentative="0">
      <w:start w:val="3"/>
      <w:numFmt w:val="decimal"/>
      <w:lvlText w:val="%1.%2."/>
      <w:lvlJc w:val="left"/>
      <w:pPr>
        <w:tabs>
          <w:tab w:val="left" w:pos="420"/>
        </w:tabs>
        <w:ind w:left="567" w:hanging="567"/>
      </w:pPr>
      <w:rPr>
        <w:rFonts w:hint="default"/>
      </w:rPr>
    </w:lvl>
    <w:lvl w:ilvl="2" w:tentative="0">
      <w:start w:val="1"/>
      <w:numFmt w:val="decimal"/>
      <w:suff w:val="space"/>
      <w:lvlText w:val="%1.%2.%3"/>
      <w:lvlJc w:val="left"/>
      <w:pPr>
        <w:tabs>
          <w:tab w:val="left" w:pos="0"/>
        </w:tabs>
        <w:ind w:left="0" w:leftChars="0" w:firstLine="0" w:firstLineChars="0"/>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0A7EF290"/>
    <w:multiLevelType w:val="singleLevel"/>
    <w:tmpl w:val="0A7EF290"/>
    <w:lvl w:ilvl="0" w:tentative="0">
      <w:start w:val="1"/>
      <w:numFmt w:val="decimal"/>
      <w:suff w:val="space"/>
      <w:lvlText w:val="5.3.%1"/>
      <w:lvlJc w:val="left"/>
      <w:pPr>
        <w:tabs>
          <w:tab w:val="left" w:pos="0"/>
        </w:tabs>
        <w:ind w:left="425" w:leftChars="0" w:hanging="425" w:firstLineChars="0"/>
      </w:pPr>
      <w:rPr>
        <w:rFonts w:hint="default" w:eastAsia="Times New Roman"/>
        <w:b/>
        <w:sz w:val="21"/>
      </w:rPr>
    </w:lvl>
  </w:abstractNum>
  <w:abstractNum w:abstractNumId="24">
    <w:nsid w:val="0D3CEE97"/>
    <w:multiLevelType w:val="singleLevel"/>
    <w:tmpl w:val="0D3CEE97"/>
    <w:lvl w:ilvl="0" w:tentative="0">
      <w:start w:val="1"/>
      <w:numFmt w:val="decimal"/>
      <w:suff w:val="nothing"/>
      <w:lvlText w:val="6.1.%1"/>
      <w:lvlJc w:val="left"/>
      <w:pPr>
        <w:ind w:left="0" w:firstLine="403"/>
      </w:pPr>
      <w:rPr>
        <w:rFonts w:hint="default" w:ascii="Times New Roman" w:hAnsi="Times New Roman"/>
        <w:b/>
        <w:sz w:val="21"/>
      </w:rPr>
    </w:lvl>
  </w:abstractNum>
  <w:abstractNum w:abstractNumId="25">
    <w:nsid w:val="12879FD3"/>
    <w:multiLevelType w:val="singleLevel"/>
    <w:tmpl w:val="12879FD3"/>
    <w:lvl w:ilvl="0" w:tentative="0">
      <w:start w:val="1"/>
      <w:numFmt w:val="decimal"/>
      <w:suff w:val="space"/>
      <w:lvlText w:val="B.0.%1"/>
      <w:lvlJc w:val="left"/>
      <w:pPr>
        <w:tabs>
          <w:tab w:val="left" w:pos="0"/>
        </w:tabs>
        <w:ind w:left="454" w:leftChars="0" w:hanging="454" w:firstLineChars="0"/>
      </w:pPr>
      <w:rPr>
        <w:rFonts w:hint="default"/>
        <w:b/>
        <w:sz w:val="21"/>
      </w:rPr>
    </w:lvl>
  </w:abstractNum>
  <w:abstractNum w:abstractNumId="26">
    <w:nsid w:val="19991DB0"/>
    <w:multiLevelType w:val="singleLevel"/>
    <w:tmpl w:val="19991DB0"/>
    <w:lvl w:ilvl="0" w:tentative="0">
      <w:start w:val="1"/>
      <w:numFmt w:val="decimal"/>
      <w:suff w:val="space"/>
      <w:lvlText w:val="1.0.%1"/>
      <w:lvlJc w:val="left"/>
      <w:pPr>
        <w:tabs>
          <w:tab w:val="left" w:pos="420"/>
        </w:tabs>
        <w:ind w:left="0" w:leftChars="0" w:firstLine="0" w:firstLineChars="0"/>
      </w:pPr>
      <w:rPr>
        <w:rFonts w:hint="default" w:ascii="Times New Roman" w:hAnsi="Times New Roman"/>
        <w:b/>
        <w:sz w:val="21"/>
      </w:rPr>
    </w:lvl>
  </w:abstractNum>
  <w:abstractNum w:abstractNumId="27">
    <w:nsid w:val="1E3987D7"/>
    <w:multiLevelType w:val="singleLevel"/>
    <w:tmpl w:val="1E3987D7"/>
    <w:lvl w:ilvl="0" w:tentative="0">
      <w:start w:val="1"/>
      <w:numFmt w:val="decimal"/>
      <w:suff w:val="space"/>
      <w:lvlText w:val="%1"/>
      <w:lvlJc w:val="left"/>
      <w:pPr>
        <w:tabs>
          <w:tab w:val="left" w:pos="420"/>
        </w:tabs>
        <w:ind w:left="0" w:firstLine="397"/>
      </w:pPr>
      <w:rPr>
        <w:rFonts w:hint="default"/>
        <w:b/>
        <w:color w:val="auto"/>
        <w:sz w:val="21"/>
      </w:rPr>
    </w:lvl>
  </w:abstractNum>
  <w:abstractNum w:abstractNumId="28">
    <w:nsid w:val="2CA25656"/>
    <w:multiLevelType w:val="singleLevel"/>
    <w:tmpl w:val="2CA25656"/>
    <w:lvl w:ilvl="0" w:tentative="0">
      <w:start w:val="1"/>
      <w:numFmt w:val="decimal"/>
      <w:suff w:val="space"/>
      <w:lvlText w:val="%1"/>
      <w:lvlJc w:val="left"/>
      <w:pPr>
        <w:tabs>
          <w:tab w:val="left" w:pos="420"/>
        </w:tabs>
        <w:ind w:left="0" w:firstLine="397"/>
      </w:pPr>
      <w:rPr>
        <w:rFonts w:hint="default"/>
        <w:b/>
        <w:color w:val="000000" w:themeColor="text1"/>
        <w:sz w:val="21"/>
        <w14:textFill>
          <w14:solidFill>
            <w14:schemeClr w14:val="tx1"/>
          </w14:solidFill>
        </w14:textFill>
      </w:rPr>
    </w:lvl>
  </w:abstractNum>
  <w:abstractNum w:abstractNumId="29">
    <w:nsid w:val="35C18041"/>
    <w:multiLevelType w:val="singleLevel"/>
    <w:tmpl w:val="35C18041"/>
    <w:lvl w:ilvl="0" w:tentative="0">
      <w:start w:val="1"/>
      <w:numFmt w:val="decimal"/>
      <w:suff w:val="space"/>
      <w:lvlText w:val="4.2.%1"/>
      <w:lvlJc w:val="left"/>
      <w:pPr>
        <w:tabs>
          <w:tab w:val="left" w:pos="420"/>
        </w:tabs>
        <w:ind w:left="425" w:leftChars="0" w:hanging="425" w:firstLineChars="0"/>
      </w:pPr>
      <w:rPr>
        <w:rFonts w:hint="default" w:ascii="Times New Roman" w:hAnsi="Times New Roman" w:cs="Times New Roman"/>
        <w:b/>
        <w:sz w:val="21"/>
        <w:szCs w:val="21"/>
      </w:rPr>
    </w:lvl>
  </w:abstractNum>
  <w:abstractNum w:abstractNumId="30">
    <w:nsid w:val="395B37C5"/>
    <w:multiLevelType w:val="singleLevel"/>
    <w:tmpl w:val="395B37C5"/>
    <w:lvl w:ilvl="0" w:tentative="0">
      <w:start w:val="1"/>
      <w:numFmt w:val="decimal"/>
      <w:suff w:val="space"/>
      <w:lvlText w:val="%1)"/>
      <w:lvlJc w:val="left"/>
    </w:lvl>
  </w:abstractNum>
  <w:abstractNum w:abstractNumId="31">
    <w:nsid w:val="40F87373"/>
    <w:multiLevelType w:val="singleLevel"/>
    <w:tmpl w:val="40F87373"/>
    <w:lvl w:ilvl="0" w:tentative="0">
      <w:start w:val="1"/>
      <w:numFmt w:val="decimal"/>
      <w:suff w:val="space"/>
      <w:lvlText w:val="%1)"/>
      <w:lvlJc w:val="left"/>
    </w:lvl>
  </w:abstractNum>
  <w:abstractNum w:abstractNumId="32">
    <w:nsid w:val="442C8066"/>
    <w:multiLevelType w:val="singleLevel"/>
    <w:tmpl w:val="442C8066"/>
    <w:lvl w:ilvl="0" w:tentative="0">
      <w:start w:val="1"/>
      <w:numFmt w:val="decimal"/>
      <w:suff w:val="space"/>
      <w:lvlText w:val="%1)"/>
      <w:lvlJc w:val="left"/>
    </w:lvl>
  </w:abstractNum>
  <w:abstractNum w:abstractNumId="33">
    <w:nsid w:val="469629C8"/>
    <w:multiLevelType w:val="singleLevel"/>
    <w:tmpl w:val="469629C8"/>
    <w:lvl w:ilvl="0" w:tentative="0">
      <w:start w:val="1"/>
      <w:numFmt w:val="decimal"/>
      <w:suff w:val="space"/>
      <w:lvlText w:val="%1"/>
      <w:lvlJc w:val="left"/>
      <w:pPr>
        <w:tabs>
          <w:tab w:val="left" w:pos="420"/>
        </w:tabs>
        <w:ind w:left="0" w:firstLine="397"/>
      </w:pPr>
      <w:rPr>
        <w:rFonts w:hint="default"/>
        <w:b/>
        <w:color w:val="000000" w:themeColor="text1"/>
        <w:sz w:val="21"/>
        <w14:textFill>
          <w14:solidFill>
            <w14:schemeClr w14:val="tx1"/>
          </w14:solidFill>
        </w14:textFill>
      </w:rPr>
    </w:lvl>
  </w:abstractNum>
  <w:abstractNum w:abstractNumId="34">
    <w:nsid w:val="4AE21482"/>
    <w:multiLevelType w:val="singleLevel"/>
    <w:tmpl w:val="4AE21482"/>
    <w:lvl w:ilvl="0" w:tentative="0">
      <w:start w:val="1"/>
      <w:numFmt w:val="decimal"/>
      <w:suff w:val="space"/>
      <w:lvlText w:val="%1"/>
      <w:lvlJc w:val="left"/>
      <w:pPr>
        <w:tabs>
          <w:tab w:val="left" w:pos="420"/>
        </w:tabs>
        <w:ind w:left="0" w:firstLine="397"/>
      </w:pPr>
      <w:rPr>
        <w:rFonts w:hint="default"/>
        <w:b/>
        <w:sz w:val="21"/>
      </w:rPr>
    </w:lvl>
  </w:abstractNum>
  <w:abstractNum w:abstractNumId="35">
    <w:nsid w:val="69046644"/>
    <w:multiLevelType w:val="singleLevel"/>
    <w:tmpl w:val="69046644"/>
    <w:lvl w:ilvl="0" w:tentative="0">
      <w:start w:val="1"/>
      <w:numFmt w:val="decimal"/>
      <w:suff w:val="space"/>
      <w:lvlText w:val="%1)"/>
      <w:lvlJc w:val="left"/>
    </w:lvl>
  </w:abstractNum>
  <w:abstractNum w:abstractNumId="36">
    <w:nsid w:val="76AA6732"/>
    <w:multiLevelType w:val="singleLevel"/>
    <w:tmpl w:val="76AA6732"/>
    <w:lvl w:ilvl="0" w:tentative="0">
      <w:start w:val="1"/>
      <w:numFmt w:val="decimal"/>
      <w:suff w:val="space"/>
      <w:lvlText w:val="5.1.%1"/>
      <w:lvlJc w:val="left"/>
      <w:pPr>
        <w:tabs>
          <w:tab w:val="left" w:pos="0"/>
        </w:tabs>
        <w:ind w:left="425" w:leftChars="0" w:hanging="425" w:firstLineChars="0"/>
      </w:pPr>
      <w:rPr>
        <w:rFonts w:hint="default" w:eastAsia="Times New Roman"/>
        <w:b/>
        <w:sz w:val="21"/>
      </w:rPr>
    </w:lvl>
  </w:abstractNum>
  <w:abstractNum w:abstractNumId="37">
    <w:nsid w:val="792D1B6E"/>
    <w:multiLevelType w:val="multilevel"/>
    <w:tmpl w:val="792D1B6E"/>
    <w:lvl w:ilvl="0" w:tentative="0">
      <w:start w:val="6"/>
      <w:numFmt w:val="decimal"/>
      <w:suff w:val="space"/>
      <w:lvlText w:val="%1."/>
      <w:lvlJc w:val="left"/>
      <w:pPr>
        <w:tabs>
          <w:tab w:val="left" w:pos="0"/>
        </w:tabs>
        <w:ind w:left="0" w:leftChars="0" w:firstLine="0" w:firstLineChars="0"/>
      </w:pPr>
      <w:rPr>
        <w:rFonts w:hint="default" w:ascii="宋体" w:hAnsi="宋体" w:eastAsia="宋体" w:cs="宋体"/>
      </w:rPr>
    </w:lvl>
    <w:lvl w:ilvl="1" w:tentative="0">
      <w:start w:val="1"/>
      <w:numFmt w:val="decimal"/>
      <w:suff w:val="space"/>
      <w:lvlText w:val="%1.%2"/>
      <w:lvlJc w:val="left"/>
      <w:pPr>
        <w:tabs>
          <w:tab w:val="left" w:pos="0"/>
        </w:tabs>
        <w:ind w:left="567" w:hanging="567"/>
      </w:pPr>
      <w:rPr>
        <w:rFonts w:hint="default" w:ascii="宋体" w:hAnsi="宋体" w:eastAsia="宋体" w:cs="宋体"/>
      </w:rPr>
    </w:lvl>
    <w:lvl w:ilvl="2" w:tentative="0">
      <w:start w:val="1"/>
      <w:numFmt w:val="decimal"/>
      <w:suff w:val="space"/>
      <w:lvlText w:val="%1.%2.%3"/>
      <w:lvlJc w:val="left"/>
      <w:pPr>
        <w:tabs>
          <w:tab w:val="left" w:pos="0"/>
        </w:tabs>
        <w:ind w:left="0" w:leftChars="0" w:firstLine="0" w:firstLineChars="0"/>
      </w:pPr>
      <w:rPr>
        <w:rFonts w:hint="default" w:ascii="宋体" w:hAnsi="宋体" w:eastAsia="宋体" w:cs="宋体"/>
      </w:rPr>
    </w:lvl>
    <w:lvl w:ilvl="3" w:tentative="0">
      <w:start w:val="1"/>
      <w:numFmt w:val="decimal"/>
      <w:pStyle w:val="29"/>
      <w:suff w:val="space"/>
      <w:lvlText w:val="%4"/>
      <w:lvlJc w:val="left"/>
      <w:pPr>
        <w:tabs>
          <w:tab w:val="left" w:pos="0"/>
        </w:tabs>
        <w:ind w:left="0" w:leftChars="0" w:firstLine="567" w:firstLineChars="0"/>
      </w:pPr>
      <w:rPr>
        <w:rFonts w:hint="default" w:ascii="Times New Roman" w:hAnsi="Times New Roman" w:eastAsia="宋体" w:cs="Times New Roman"/>
        <w:sz w:val="21"/>
        <w:szCs w:val="21"/>
      </w:rPr>
    </w:lvl>
    <w:lvl w:ilvl="4" w:tentative="0">
      <w:start w:val="1"/>
      <w:numFmt w:val="decimal"/>
      <w:lvlRestart w:val="3"/>
      <w:suff w:val="space"/>
      <w:lvlText w:val="表%1.%2.%3-%5"/>
      <w:lvlJc w:val="left"/>
      <w:pPr>
        <w:tabs>
          <w:tab w:val="left" w:pos="420"/>
        </w:tabs>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8">
    <w:nsid w:val="7CE825B2"/>
    <w:multiLevelType w:val="singleLevel"/>
    <w:tmpl w:val="7CE825B2"/>
    <w:lvl w:ilvl="0" w:tentative="0">
      <w:start w:val="1"/>
      <w:numFmt w:val="decimal"/>
      <w:suff w:val="space"/>
      <w:lvlText w:val="%1"/>
      <w:lvlJc w:val="left"/>
      <w:pPr>
        <w:tabs>
          <w:tab w:val="left" w:pos="420"/>
        </w:tabs>
        <w:ind w:left="0" w:firstLine="397"/>
      </w:pPr>
      <w:rPr>
        <w:rFonts w:hint="default"/>
        <w:b/>
        <w:color w:val="000000" w:themeColor="text1"/>
        <w:sz w:val="21"/>
        <w14:textFill>
          <w14:solidFill>
            <w14:schemeClr w14:val="tx1"/>
          </w14:solidFill>
        </w14:textFill>
      </w:rPr>
    </w:lvl>
  </w:abstractNum>
  <w:abstractNum w:abstractNumId="39">
    <w:nsid w:val="7D15F422"/>
    <w:multiLevelType w:val="singleLevel"/>
    <w:tmpl w:val="7D15F422"/>
    <w:lvl w:ilvl="0" w:tentative="0">
      <w:start w:val="1"/>
      <w:numFmt w:val="decimal"/>
      <w:suff w:val="space"/>
      <w:lvlText w:val="7.1.%1"/>
      <w:lvlJc w:val="left"/>
      <w:pPr>
        <w:tabs>
          <w:tab w:val="left" w:pos="420"/>
        </w:tabs>
        <w:ind w:left="0" w:firstLine="397"/>
      </w:pPr>
      <w:rPr>
        <w:rFonts w:hint="default" w:eastAsia="Times New Roman"/>
        <w:b/>
        <w:sz w:val="21"/>
      </w:rPr>
    </w:lvl>
  </w:abstractNum>
  <w:num w:numId="1">
    <w:abstractNumId w:val="17"/>
  </w:num>
  <w:num w:numId="2">
    <w:abstractNumId w:val="37"/>
  </w:num>
  <w:num w:numId="3">
    <w:abstractNumId w:val="26"/>
  </w:num>
  <w:num w:numId="4">
    <w:abstractNumId w:val="34"/>
  </w:num>
  <w:num w:numId="5">
    <w:abstractNumId w:val="7"/>
  </w:num>
  <w:num w:numId="6">
    <w:abstractNumId w:val="1"/>
  </w:num>
  <w:num w:numId="7">
    <w:abstractNumId w:val="12"/>
  </w:num>
  <w:num w:numId="8">
    <w:abstractNumId w:val="15"/>
  </w:num>
  <w:num w:numId="9">
    <w:abstractNumId w:val="31"/>
  </w:num>
  <w:num w:numId="10">
    <w:abstractNumId w:val="30"/>
  </w:num>
  <w:num w:numId="11">
    <w:abstractNumId w:val="3"/>
  </w:num>
  <w:num w:numId="12">
    <w:abstractNumId w:val="14"/>
  </w:num>
  <w:num w:numId="13">
    <w:abstractNumId w:val="32"/>
  </w:num>
  <w:num w:numId="14">
    <w:abstractNumId w:val="35"/>
  </w:num>
  <w:num w:numId="15">
    <w:abstractNumId w:val="22"/>
  </w:num>
  <w:num w:numId="16">
    <w:abstractNumId w:val="0"/>
  </w:num>
  <w:num w:numId="17">
    <w:abstractNumId w:val="29"/>
  </w:num>
  <w:num w:numId="18">
    <w:abstractNumId w:val="10"/>
  </w:num>
  <w:num w:numId="19">
    <w:abstractNumId w:val="11"/>
  </w:num>
  <w:num w:numId="20">
    <w:abstractNumId w:val="36"/>
  </w:num>
  <w:num w:numId="21">
    <w:abstractNumId w:val="27"/>
  </w:num>
  <w:num w:numId="22">
    <w:abstractNumId w:val="20"/>
  </w:num>
  <w:num w:numId="23">
    <w:abstractNumId w:val="9"/>
  </w:num>
  <w:num w:numId="24">
    <w:abstractNumId w:val="5"/>
  </w:num>
  <w:num w:numId="25">
    <w:abstractNumId w:val="23"/>
  </w:num>
  <w:num w:numId="26">
    <w:abstractNumId w:val="13"/>
  </w:num>
  <w:num w:numId="27">
    <w:abstractNumId w:val="2"/>
  </w:num>
  <w:num w:numId="28">
    <w:abstractNumId w:val="4"/>
  </w:num>
  <w:num w:numId="29">
    <w:abstractNumId w:val="24"/>
  </w:num>
  <w:num w:numId="30">
    <w:abstractNumId w:val="21"/>
  </w:num>
  <w:num w:numId="31">
    <w:abstractNumId w:val="39"/>
  </w:num>
  <w:num w:numId="32">
    <w:abstractNumId w:val="18"/>
  </w:num>
  <w:num w:numId="33">
    <w:abstractNumId w:val="28"/>
  </w:num>
  <w:num w:numId="34">
    <w:abstractNumId w:val="6"/>
  </w:num>
  <w:num w:numId="35">
    <w:abstractNumId w:val="38"/>
  </w:num>
  <w:num w:numId="36">
    <w:abstractNumId w:val="33"/>
  </w:num>
  <w:num w:numId="37">
    <w:abstractNumId w:val="19"/>
  </w:num>
  <w:num w:numId="38">
    <w:abstractNumId w:val="25"/>
  </w:num>
  <w:num w:numId="39">
    <w:abstractNumId w:val="1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5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4a359780-5baa-4cc6-8203-2bfaa97d7377"/>
  </w:docVars>
  <w:rsids>
    <w:rsidRoot w:val="0ED147E6"/>
    <w:rsid w:val="00013654"/>
    <w:rsid w:val="00155351"/>
    <w:rsid w:val="001669D4"/>
    <w:rsid w:val="001E21B6"/>
    <w:rsid w:val="0022181C"/>
    <w:rsid w:val="003F23CE"/>
    <w:rsid w:val="004E43BF"/>
    <w:rsid w:val="005319D6"/>
    <w:rsid w:val="005539A0"/>
    <w:rsid w:val="005D4603"/>
    <w:rsid w:val="005D7AF4"/>
    <w:rsid w:val="006A1069"/>
    <w:rsid w:val="006B3CF9"/>
    <w:rsid w:val="006D0CE9"/>
    <w:rsid w:val="006E51C3"/>
    <w:rsid w:val="006F1C92"/>
    <w:rsid w:val="0075194C"/>
    <w:rsid w:val="00755DF0"/>
    <w:rsid w:val="00775D22"/>
    <w:rsid w:val="0078768E"/>
    <w:rsid w:val="007C0F2D"/>
    <w:rsid w:val="007F6C6F"/>
    <w:rsid w:val="00822C9B"/>
    <w:rsid w:val="008B5614"/>
    <w:rsid w:val="00953D9C"/>
    <w:rsid w:val="00964E3D"/>
    <w:rsid w:val="0097392B"/>
    <w:rsid w:val="009A7605"/>
    <w:rsid w:val="009B7088"/>
    <w:rsid w:val="009D0EDD"/>
    <w:rsid w:val="00A364B9"/>
    <w:rsid w:val="00A641FB"/>
    <w:rsid w:val="00B06E28"/>
    <w:rsid w:val="00B92451"/>
    <w:rsid w:val="00C12DE3"/>
    <w:rsid w:val="00C31933"/>
    <w:rsid w:val="00C6664C"/>
    <w:rsid w:val="00C758AC"/>
    <w:rsid w:val="00CB3C62"/>
    <w:rsid w:val="00CF2894"/>
    <w:rsid w:val="00D44B92"/>
    <w:rsid w:val="00DF14BB"/>
    <w:rsid w:val="00F76805"/>
    <w:rsid w:val="010A29DC"/>
    <w:rsid w:val="012670EA"/>
    <w:rsid w:val="01284C10"/>
    <w:rsid w:val="01295F0F"/>
    <w:rsid w:val="01390BCC"/>
    <w:rsid w:val="014337F8"/>
    <w:rsid w:val="01443A28"/>
    <w:rsid w:val="014718EF"/>
    <w:rsid w:val="0147778C"/>
    <w:rsid w:val="015233E3"/>
    <w:rsid w:val="016025FC"/>
    <w:rsid w:val="016043F1"/>
    <w:rsid w:val="016E359E"/>
    <w:rsid w:val="017B5688"/>
    <w:rsid w:val="017E0CD4"/>
    <w:rsid w:val="01804A4C"/>
    <w:rsid w:val="01830099"/>
    <w:rsid w:val="018362EB"/>
    <w:rsid w:val="018502B5"/>
    <w:rsid w:val="018D0412"/>
    <w:rsid w:val="018E0C05"/>
    <w:rsid w:val="0199212C"/>
    <w:rsid w:val="01A00C4B"/>
    <w:rsid w:val="01A06E9D"/>
    <w:rsid w:val="01AB4CC3"/>
    <w:rsid w:val="01AD71CF"/>
    <w:rsid w:val="01AF70E0"/>
    <w:rsid w:val="01C20BC1"/>
    <w:rsid w:val="01C25065"/>
    <w:rsid w:val="01C81F50"/>
    <w:rsid w:val="01CA216C"/>
    <w:rsid w:val="01D152A8"/>
    <w:rsid w:val="01D259D9"/>
    <w:rsid w:val="01D46B46"/>
    <w:rsid w:val="01D9415D"/>
    <w:rsid w:val="01DB7ED5"/>
    <w:rsid w:val="01E90844"/>
    <w:rsid w:val="01EF572E"/>
    <w:rsid w:val="01F3521E"/>
    <w:rsid w:val="01F36FCC"/>
    <w:rsid w:val="01F62F61"/>
    <w:rsid w:val="01F833B5"/>
    <w:rsid w:val="01F86CD9"/>
    <w:rsid w:val="01FB0577"/>
    <w:rsid w:val="020B4CCA"/>
    <w:rsid w:val="020C394D"/>
    <w:rsid w:val="022E4A71"/>
    <w:rsid w:val="02303DFF"/>
    <w:rsid w:val="0239428E"/>
    <w:rsid w:val="023A109F"/>
    <w:rsid w:val="023B0973"/>
    <w:rsid w:val="023C63A0"/>
    <w:rsid w:val="023D293E"/>
    <w:rsid w:val="024B505A"/>
    <w:rsid w:val="026659F0"/>
    <w:rsid w:val="02696DA3"/>
    <w:rsid w:val="0270686F"/>
    <w:rsid w:val="027345B1"/>
    <w:rsid w:val="027520D7"/>
    <w:rsid w:val="027658DD"/>
    <w:rsid w:val="02784256"/>
    <w:rsid w:val="02811C50"/>
    <w:rsid w:val="028440C8"/>
    <w:rsid w:val="028A0CCA"/>
    <w:rsid w:val="028D6E3D"/>
    <w:rsid w:val="02900890"/>
    <w:rsid w:val="02906EBF"/>
    <w:rsid w:val="02A17274"/>
    <w:rsid w:val="02A42D89"/>
    <w:rsid w:val="02AD1871"/>
    <w:rsid w:val="02AD361F"/>
    <w:rsid w:val="02B2302B"/>
    <w:rsid w:val="02B32C00"/>
    <w:rsid w:val="02BA3FE2"/>
    <w:rsid w:val="02BF3353"/>
    <w:rsid w:val="02C40969"/>
    <w:rsid w:val="02C92423"/>
    <w:rsid w:val="02D0730E"/>
    <w:rsid w:val="02D3157B"/>
    <w:rsid w:val="02E62FD5"/>
    <w:rsid w:val="02F15031"/>
    <w:rsid w:val="030342BE"/>
    <w:rsid w:val="030D6D64"/>
    <w:rsid w:val="03127926"/>
    <w:rsid w:val="03133278"/>
    <w:rsid w:val="03157FFB"/>
    <w:rsid w:val="03237D85"/>
    <w:rsid w:val="03253AFD"/>
    <w:rsid w:val="033879A6"/>
    <w:rsid w:val="03511AD9"/>
    <w:rsid w:val="03565E78"/>
    <w:rsid w:val="035A307B"/>
    <w:rsid w:val="0370464D"/>
    <w:rsid w:val="03771E7F"/>
    <w:rsid w:val="03773C2D"/>
    <w:rsid w:val="037A7B3D"/>
    <w:rsid w:val="037E320E"/>
    <w:rsid w:val="0385459C"/>
    <w:rsid w:val="038D51FF"/>
    <w:rsid w:val="03920A67"/>
    <w:rsid w:val="039B5B6E"/>
    <w:rsid w:val="039B791C"/>
    <w:rsid w:val="039D18E6"/>
    <w:rsid w:val="03B409DD"/>
    <w:rsid w:val="03C54999"/>
    <w:rsid w:val="03C86237"/>
    <w:rsid w:val="03CF75C5"/>
    <w:rsid w:val="03DF1EFE"/>
    <w:rsid w:val="03DF2754"/>
    <w:rsid w:val="03E06CA3"/>
    <w:rsid w:val="03E2554B"/>
    <w:rsid w:val="03EA66E6"/>
    <w:rsid w:val="03F139E0"/>
    <w:rsid w:val="03F40841"/>
    <w:rsid w:val="03F51722"/>
    <w:rsid w:val="03FD05D6"/>
    <w:rsid w:val="04043713"/>
    <w:rsid w:val="0409660A"/>
    <w:rsid w:val="0410030A"/>
    <w:rsid w:val="041301DB"/>
    <w:rsid w:val="04180F6C"/>
    <w:rsid w:val="041871BE"/>
    <w:rsid w:val="041941E3"/>
    <w:rsid w:val="041D47D5"/>
    <w:rsid w:val="042A6B7A"/>
    <w:rsid w:val="042F62B6"/>
    <w:rsid w:val="04461F7D"/>
    <w:rsid w:val="0449381C"/>
    <w:rsid w:val="044C0C16"/>
    <w:rsid w:val="04553F6E"/>
    <w:rsid w:val="04706FFA"/>
    <w:rsid w:val="047D5273"/>
    <w:rsid w:val="04806B11"/>
    <w:rsid w:val="04826D2E"/>
    <w:rsid w:val="04862D7A"/>
    <w:rsid w:val="04893C18"/>
    <w:rsid w:val="048B55B8"/>
    <w:rsid w:val="04912710"/>
    <w:rsid w:val="049C7A2E"/>
    <w:rsid w:val="04A722F0"/>
    <w:rsid w:val="04AC58BB"/>
    <w:rsid w:val="04B74C29"/>
    <w:rsid w:val="04C3537C"/>
    <w:rsid w:val="04C64E6C"/>
    <w:rsid w:val="04C9670A"/>
    <w:rsid w:val="04CC3695"/>
    <w:rsid w:val="04D035F5"/>
    <w:rsid w:val="04D33F6A"/>
    <w:rsid w:val="04D37861"/>
    <w:rsid w:val="04D56D57"/>
    <w:rsid w:val="04D74983"/>
    <w:rsid w:val="04DE21B6"/>
    <w:rsid w:val="04E13A54"/>
    <w:rsid w:val="04E62E18"/>
    <w:rsid w:val="04F419D9"/>
    <w:rsid w:val="04FE4606"/>
    <w:rsid w:val="04FE63B4"/>
    <w:rsid w:val="05031C1C"/>
    <w:rsid w:val="050B0AD1"/>
    <w:rsid w:val="050E3065"/>
    <w:rsid w:val="05151950"/>
    <w:rsid w:val="05177D7E"/>
    <w:rsid w:val="05241B93"/>
    <w:rsid w:val="053108D8"/>
    <w:rsid w:val="05361FE8"/>
    <w:rsid w:val="053E4A03"/>
    <w:rsid w:val="05432019"/>
    <w:rsid w:val="05454470"/>
    <w:rsid w:val="05465FAD"/>
    <w:rsid w:val="05497C83"/>
    <w:rsid w:val="054F4E62"/>
    <w:rsid w:val="055406CA"/>
    <w:rsid w:val="055A55B4"/>
    <w:rsid w:val="05674A63"/>
    <w:rsid w:val="05716FDE"/>
    <w:rsid w:val="057311F3"/>
    <w:rsid w:val="057C20BE"/>
    <w:rsid w:val="058F331B"/>
    <w:rsid w:val="059B24B4"/>
    <w:rsid w:val="059C5BCD"/>
    <w:rsid w:val="059D3E1F"/>
    <w:rsid w:val="05A30A30"/>
    <w:rsid w:val="05B41169"/>
    <w:rsid w:val="05B4670B"/>
    <w:rsid w:val="05C05BA0"/>
    <w:rsid w:val="05CC0189"/>
    <w:rsid w:val="05D05327"/>
    <w:rsid w:val="05D622C8"/>
    <w:rsid w:val="05ED01D7"/>
    <w:rsid w:val="05ED2A28"/>
    <w:rsid w:val="05FC3F93"/>
    <w:rsid w:val="06007F0A"/>
    <w:rsid w:val="060914B4"/>
    <w:rsid w:val="06245BC1"/>
    <w:rsid w:val="062F6A41"/>
    <w:rsid w:val="0633208D"/>
    <w:rsid w:val="063F4ED6"/>
    <w:rsid w:val="06450013"/>
    <w:rsid w:val="064A5629"/>
    <w:rsid w:val="064A7E01"/>
    <w:rsid w:val="064B7DBB"/>
    <w:rsid w:val="064C0673"/>
    <w:rsid w:val="064C314F"/>
    <w:rsid w:val="064D59E4"/>
    <w:rsid w:val="06500E91"/>
    <w:rsid w:val="06621CB5"/>
    <w:rsid w:val="066623C4"/>
    <w:rsid w:val="06691F53"/>
    <w:rsid w:val="066A7A79"/>
    <w:rsid w:val="066C37F1"/>
    <w:rsid w:val="066E700C"/>
    <w:rsid w:val="06757A82"/>
    <w:rsid w:val="067F3525"/>
    <w:rsid w:val="0687687D"/>
    <w:rsid w:val="06915006"/>
    <w:rsid w:val="06930D7E"/>
    <w:rsid w:val="06992C3D"/>
    <w:rsid w:val="069B7D40"/>
    <w:rsid w:val="06A42F8B"/>
    <w:rsid w:val="06AA444A"/>
    <w:rsid w:val="06B34F7C"/>
    <w:rsid w:val="06B73F36"/>
    <w:rsid w:val="06B75171"/>
    <w:rsid w:val="06C013A0"/>
    <w:rsid w:val="06C453DB"/>
    <w:rsid w:val="06C9771F"/>
    <w:rsid w:val="06D33870"/>
    <w:rsid w:val="06D373CC"/>
    <w:rsid w:val="06D7510F"/>
    <w:rsid w:val="06D8125D"/>
    <w:rsid w:val="06DA075B"/>
    <w:rsid w:val="06E15F8D"/>
    <w:rsid w:val="06E30EFB"/>
    <w:rsid w:val="06E6018A"/>
    <w:rsid w:val="071A291B"/>
    <w:rsid w:val="07225089"/>
    <w:rsid w:val="07271BBA"/>
    <w:rsid w:val="072919FB"/>
    <w:rsid w:val="072D11D3"/>
    <w:rsid w:val="073A744C"/>
    <w:rsid w:val="07416A2C"/>
    <w:rsid w:val="074A5031"/>
    <w:rsid w:val="074F1206"/>
    <w:rsid w:val="07520C39"/>
    <w:rsid w:val="075229E7"/>
    <w:rsid w:val="075C1AB8"/>
    <w:rsid w:val="07603356"/>
    <w:rsid w:val="07634BF4"/>
    <w:rsid w:val="07647A9B"/>
    <w:rsid w:val="076F1F45"/>
    <w:rsid w:val="077475FF"/>
    <w:rsid w:val="07854B6B"/>
    <w:rsid w:val="078801B7"/>
    <w:rsid w:val="078B28B8"/>
    <w:rsid w:val="078D7EC3"/>
    <w:rsid w:val="07922158"/>
    <w:rsid w:val="0792741E"/>
    <w:rsid w:val="079D3D79"/>
    <w:rsid w:val="07A5520D"/>
    <w:rsid w:val="07A6293B"/>
    <w:rsid w:val="07A75D93"/>
    <w:rsid w:val="07A86AAB"/>
    <w:rsid w:val="07B23486"/>
    <w:rsid w:val="07B45E7A"/>
    <w:rsid w:val="07B851BB"/>
    <w:rsid w:val="07BC4604"/>
    <w:rsid w:val="07BC60B3"/>
    <w:rsid w:val="07C03C11"/>
    <w:rsid w:val="07C80EFB"/>
    <w:rsid w:val="07CA1574"/>
    <w:rsid w:val="07DA10E5"/>
    <w:rsid w:val="07DD2EA3"/>
    <w:rsid w:val="07DE4395"/>
    <w:rsid w:val="07E35D35"/>
    <w:rsid w:val="07E5375C"/>
    <w:rsid w:val="07E5385B"/>
    <w:rsid w:val="07E55609"/>
    <w:rsid w:val="07E6312F"/>
    <w:rsid w:val="07E86EA8"/>
    <w:rsid w:val="07F25A76"/>
    <w:rsid w:val="07F43A9E"/>
    <w:rsid w:val="07F55C61"/>
    <w:rsid w:val="07F615C4"/>
    <w:rsid w:val="07F910B5"/>
    <w:rsid w:val="07F95559"/>
    <w:rsid w:val="07FC0BA5"/>
    <w:rsid w:val="080041F1"/>
    <w:rsid w:val="08144B81"/>
    <w:rsid w:val="08161C67"/>
    <w:rsid w:val="081E0B1B"/>
    <w:rsid w:val="08202AE5"/>
    <w:rsid w:val="08234384"/>
    <w:rsid w:val="08326375"/>
    <w:rsid w:val="083420ED"/>
    <w:rsid w:val="083E11BD"/>
    <w:rsid w:val="083F44CE"/>
    <w:rsid w:val="084033B6"/>
    <w:rsid w:val="084E7652"/>
    <w:rsid w:val="085034CC"/>
    <w:rsid w:val="085946F7"/>
    <w:rsid w:val="085D7896"/>
    <w:rsid w:val="085F360E"/>
    <w:rsid w:val="08602EE2"/>
    <w:rsid w:val="08632C67"/>
    <w:rsid w:val="086C7AD9"/>
    <w:rsid w:val="087370B9"/>
    <w:rsid w:val="08744BDF"/>
    <w:rsid w:val="08752E31"/>
    <w:rsid w:val="08915791"/>
    <w:rsid w:val="08B1373D"/>
    <w:rsid w:val="08C23B9D"/>
    <w:rsid w:val="08C401C2"/>
    <w:rsid w:val="08CA6B81"/>
    <w:rsid w:val="08D40D03"/>
    <w:rsid w:val="08D43AEC"/>
    <w:rsid w:val="08DF02AB"/>
    <w:rsid w:val="08E6350A"/>
    <w:rsid w:val="08E73603"/>
    <w:rsid w:val="08E753B1"/>
    <w:rsid w:val="08EA4D72"/>
    <w:rsid w:val="08EB6C4F"/>
    <w:rsid w:val="08F16230"/>
    <w:rsid w:val="08F24482"/>
    <w:rsid w:val="08FE0D7F"/>
    <w:rsid w:val="090441B5"/>
    <w:rsid w:val="090C4E18"/>
    <w:rsid w:val="090D306A"/>
    <w:rsid w:val="090E0B90"/>
    <w:rsid w:val="091C1203"/>
    <w:rsid w:val="09273748"/>
    <w:rsid w:val="092D54BA"/>
    <w:rsid w:val="093079A7"/>
    <w:rsid w:val="093305F6"/>
    <w:rsid w:val="093920B1"/>
    <w:rsid w:val="093C56FD"/>
    <w:rsid w:val="093D1475"/>
    <w:rsid w:val="09442803"/>
    <w:rsid w:val="094445B2"/>
    <w:rsid w:val="094B6927"/>
    <w:rsid w:val="09510A7C"/>
    <w:rsid w:val="09541343"/>
    <w:rsid w:val="0959188D"/>
    <w:rsid w:val="095C7B4D"/>
    <w:rsid w:val="095E38C5"/>
    <w:rsid w:val="09684744"/>
    <w:rsid w:val="09741BF2"/>
    <w:rsid w:val="097A7DF3"/>
    <w:rsid w:val="097E66A0"/>
    <w:rsid w:val="097F3FAA"/>
    <w:rsid w:val="098175B4"/>
    <w:rsid w:val="098470A4"/>
    <w:rsid w:val="09880942"/>
    <w:rsid w:val="099217C1"/>
    <w:rsid w:val="0993272B"/>
    <w:rsid w:val="09962BD6"/>
    <w:rsid w:val="099F222A"/>
    <w:rsid w:val="09A84B40"/>
    <w:rsid w:val="09AB63DF"/>
    <w:rsid w:val="09B71227"/>
    <w:rsid w:val="09B75FE1"/>
    <w:rsid w:val="09BE25B6"/>
    <w:rsid w:val="09C676BC"/>
    <w:rsid w:val="09D74664"/>
    <w:rsid w:val="09E55D95"/>
    <w:rsid w:val="09F04D02"/>
    <w:rsid w:val="0A055D80"/>
    <w:rsid w:val="0A0D52EB"/>
    <w:rsid w:val="0A1701FC"/>
    <w:rsid w:val="0A1F3D64"/>
    <w:rsid w:val="0A2E16CC"/>
    <w:rsid w:val="0A2E2341"/>
    <w:rsid w:val="0A42121A"/>
    <w:rsid w:val="0A426D43"/>
    <w:rsid w:val="0A455749"/>
    <w:rsid w:val="0A48669A"/>
    <w:rsid w:val="0A4B3EC4"/>
    <w:rsid w:val="0A5627EE"/>
    <w:rsid w:val="0A5A45AA"/>
    <w:rsid w:val="0A5C592B"/>
    <w:rsid w:val="0A5D1DCF"/>
    <w:rsid w:val="0A5E78F5"/>
    <w:rsid w:val="0A656ED5"/>
    <w:rsid w:val="0A682522"/>
    <w:rsid w:val="0A784EBD"/>
    <w:rsid w:val="0A7A36E0"/>
    <w:rsid w:val="0A7D7D7B"/>
    <w:rsid w:val="0A805ABD"/>
    <w:rsid w:val="0A8348A4"/>
    <w:rsid w:val="0A880399"/>
    <w:rsid w:val="0A886720"/>
    <w:rsid w:val="0A9357F1"/>
    <w:rsid w:val="0A943317"/>
    <w:rsid w:val="0A960E3D"/>
    <w:rsid w:val="0A9B4AAE"/>
    <w:rsid w:val="0A9B6453"/>
    <w:rsid w:val="0AA07F0D"/>
    <w:rsid w:val="0AAC35D4"/>
    <w:rsid w:val="0AAE43D8"/>
    <w:rsid w:val="0AB67731"/>
    <w:rsid w:val="0AC43BFC"/>
    <w:rsid w:val="0ACE4A7B"/>
    <w:rsid w:val="0AD12D78"/>
    <w:rsid w:val="0AD84D58"/>
    <w:rsid w:val="0AE222D4"/>
    <w:rsid w:val="0AE918B4"/>
    <w:rsid w:val="0AEC34FC"/>
    <w:rsid w:val="0AEC68B1"/>
    <w:rsid w:val="0AF82F6D"/>
    <w:rsid w:val="0B064214"/>
    <w:rsid w:val="0B185CF6"/>
    <w:rsid w:val="0B1A381C"/>
    <w:rsid w:val="0B1C57E6"/>
    <w:rsid w:val="0B1E6123"/>
    <w:rsid w:val="0B1F7084"/>
    <w:rsid w:val="0B297F03"/>
    <w:rsid w:val="0B2B5A29"/>
    <w:rsid w:val="0B380146"/>
    <w:rsid w:val="0B424B21"/>
    <w:rsid w:val="0B497F1C"/>
    <w:rsid w:val="0B720949"/>
    <w:rsid w:val="0B786794"/>
    <w:rsid w:val="0B921C08"/>
    <w:rsid w:val="0B927856"/>
    <w:rsid w:val="0B9335CE"/>
    <w:rsid w:val="0B951907"/>
    <w:rsid w:val="0BAC32BC"/>
    <w:rsid w:val="0BB73761"/>
    <w:rsid w:val="0BBF43C3"/>
    <w:rsid w:val="0BC638DE"/>
    <w:rsid w:val="0BCA3494"/>
    <w:rsid w:val="0BCD419B"/>
    <w:rsid w:val="0BD0037E"/>
    <w:rsid w:val="0BDD4820"/>
    <w:rsid w:val="0BDE0CED"/>
    <w:rsid w:val="0BEA7692"/>
    <w:rsid w:val="0BEC2641"/>
    <w:rsid w:val="0BED7182"/>
    <w:rsid w:val="0BF73661"/>
    <w:rsid w:val="0C001F69"/>
    <w:rsid w:val="0C004FC6"/>
    <w:rsid w:val="0C0D0ED1"/>
    <w:rsid w:val="0C0D512F"/>
    <w:rsid w:val="0C122745"/>
    <w:rsid w:val="0C122B99"/>
    <w:rsid w:val="0C1D1D2F"/>
    <w:rsid w:val="0C201306"/>
    <w:rsid w:val="0C3A66AE"/>
    <w:rsid w:val="0C4072B2"/>
    <w:rsid w:val="0C4274CE"/>
    <w:rsid w:val="0C48260B"/>
    <w:rsid w:val="0C49740D"/>
    <w:rsid w:val="0C4D2117"/>
    <w:rsid w:val="0C550884"/>
    <w:rsid w:val="0C580AA0"/>
    <w:rsid w:val="0C607954"/>
    <w:rsid w:val="0C6531BD"/>
    <w:rsid w:val="0C6C62F9"/>
    <w:rsid w:val="0C7451AE"/>
    <w:rsid w:val="0C7927C4"/>
    <w:rsid w:val="0C7D0506"/>
    <w:rsid w:val="0C836095"/>
    <w:rsid w:val="0C8527EA"/>
    <w:rsid w:val="0C8A73B0"/>
    <w:rsid w:val="0C8E44C1"/>
    <w:rsid w:val="0C906346"/>
    <w:rsid w:val="0C915D60"/>
    <w:rsid w:val="0C945850"/>
    <w:rsid w:val="0C9B6BDE"/>
    <w:rsid w:val="0C9E18F3"/>
    <w:rsid w:val="0CA57A5D"/>
    <w:rsid w:val="0CA75583"/>
    <w:rsid w:val="0CAD6B3C"/>
    <w:rsid w:val="0CBA266F"/>
    <w:rsid w:val="0CBD1EA3"/>
    <w:rsid w:val="0CEB6A2C"/>
    <w:rsid w:val="0CF0068D"/>
    <w:rsid w:val="0CF5527F"/>
    <w:rsid w:val="0CFD1647"/>
    <w:rsid w:val="0D006A41"/>
    <w:rsid w:val="0D0C6C6B"/>
    <w:rsid w:val="0D1E160E"/>
    <w:rsid w:val="0D29243C"/>
    <w:rsid w:val="0D3861DB"/>
    <w:rsid w:val="0D3B2409"/>
    <w:rsid w:val="0D3B62AE"/>
    <w:rsid w:val="0D441024"/>
    <w:rsid w:val="0D466B4A"/>
    <w:rsid w:val="0D471FD0"/>
    <w:rsid w:val="0D49488C"/>
    <w:rsid w:val="0D531267"/>
    <w:rsid w:val="0D576FA9"/>
    <w:rsid w:val="0D5C636E"/>
    <w:rsid w:val="0D5D20E6"/>
    <w:rsid w:val="0D5F5025"/>
    <w:rsid w:val="0D600EFE"/>
    <w:rsid w:val="0D611BD6"/>
    <w:rsid w:val="0D6C2450"/>
    <w:rsid w:val="0D6E42F3"/>
    <w:rsid w:val="0D744899"/>
    <w:rsid w:val="0D755681"/>
    <w:rsid w:val="0D79298A"/>
    <w:rsid w:val="0D7C2B0E"/>
    <w:rsid w:val="0D8F4068"/>
    <w:rsid w:val="0D98311E"/>
    <w:rsid w:val="0D9D0734"/>
    <w:rsid w:val="0D9F6275"/>
    <w:rsid w:val="0DA11FD2"/>
    <w:rsid w:val="0DA25D4B"/>
    <w:rsid w:val="0DA4187D"/>
    <w:rsid w:val="0DA73361"/>
    <w:rsid w:val="0DAA05AF"/>
    <w:rsid w:val="0DAE2941"/>
    <w:rsid w:val="0DB05757"/>
    <w:rsid w:val="0DC40C23"/>
    <w:rsid w:val="0DC7755F"/>
    <w:rsid w:val="0DC9777B"/>
    <w:rsid w:val="0DCB34F3"/>
    <w:rsid w:val="0DCD726B"/>
    <w:rsid w:val="0DD000B1"/>
    <w:rsid w:val="0DDB1D4B"/>
    <w:rsid w:val="0DDE3227"/>
    <w:rsid w:val="0DEE45AB"/>
    <w:rsid w:val="0DF2282E"/>
    <w:rsid w:val="0E004EF6"/>
    <w:rsid w:val="0E016F15"/>
    <w:rsid w:val="0E0F4A6A"/>
    <w:rsid w:val="0E214EC1"/>
    <w:rsid w:val="0E2350DD"/>
    <w:rsid w:val="0E2A646C"/>
    <w:rsid w:val="0E3B40DC"/>
    <w:rsid w:val="0E455054"/>
    <w:rsid w:val="0E4F40AD"/>
    <w:rsid w:val="0E511C4A"/>
    <w:rsid w:val="0E5C239D"/>
    <w:rsid w:val="0E603C3C"/>
    <w:rsid w:val="0E715E49"/>
    <w:rsid w:val="0E88103D"/>
    <w:rsid w:val="0E8A6F0A"/>
    <w:rsid w:val="0E8C469F"/>
    <w:rsid w:val="0E8F2773"/>
    <w:rsid w:val="0E8F4521"/>
    <w:rsid w:val="0E927B6D"/>
    <w:rsid w:val="0EA0228A"/>
    <w:rsid w:val="0EA7186A"/>
    <w:rsid w:val="0EAA135B"/>
    <w:rsid w:val="0EAA2B76"/>
    <w:rsid w:val="0EAE0E4B"/>
    <w:rsid w:val="0EBD0DEB"/>
    <w:rsid w:val="0EC341CA"/>
    <w:rsid w:val="0EC56195"/>
    <w:rsid w:val="0EC61545"/>
    <w:rsid w:val="0ECE62E7"/>
    <w:rsid w:val="0ED147E6"/>
    <w:rsid w:val="0ED168E7"/>
    <w:rsid w:val="0EE7610B"/>
    <w:rsid w:val="0EEE7499"/>
    <w:rsid w:val="0EEF3211"/>
    <w:rsid w:val="0EF54ED7"/>
    <w:rsid w:val="0F0F7410"/>
    <w:rsid w:val="0F136F00"/>
    <w:rsid w:val="0F1467D4"/>
    <w:rsid w:val="0F242EBB"/>
    <w:rsid w:val="0F2E3D3A"/>
    <w:rsid w:val="0F317386"/>
    <w:rsid w:val="0F360E40"/>
    <w:rsid w:val="0F5337A0"/>
    <w:rsid w:val="0F60424B"/>
    <w:rsid w:val="0F64150A"/>
    <w:rsid w:val="0F7A6F7F"/>
    <w:rsid w:val="0F803E6A"/>
    <w:rsid w:val="0F895414"/>
    <w:rsid w:val="0F8C280E"/>
    <w:rsid w:val="0F917E25"/>
    <w:rsid w:val="0F996CF7"/>
    <w:rsid w:val="0F9D2F79"/>
    <w:rsid w:val="0FAC2EB1"/>
    <w:rsid w:val="0FB80A48"/>
    <w:rsid w:val="0FBD6E6C"/>
    <w:rsid w:val="0FC3072C"/>
    <w:rsid w:val="0FCF3B02"/>
    <w:rsid w:val="0FD146C5"/>
    <w:rsid w:val="0FD70B87"/>
    <w:rsid w:val="0FDA5C70"/>
    <w:rsid w:val="0FE32D76"/>
    <w:rsid w:val="0FE4264A"/>
    <w:rsid w:val="0FE84763"/>
    <w:rsid w:val="0FED7751"/>
    <w:rsid w:val="0FF02D9D"/>
    <w:rsid w:val="0FF11251"/>
    <w:rsid w:val="0FF20B75"/>
    <w:rsid w:val="0FF52AA9"/>
    <w:rsid w:val="0FF94348"/>
    <w:rsid w:val="0FFE370C"/>
    <w:rsid w:val="10036F74"/>
    <w:rsid w:val="10042D06"/>
    <w:rsid w:val="10044A9B"/>
    <w:rsid w:val="100920B1"/>
    <w:rsid w:val="10097E78"/>
    <w:rsid w:val="100D394F"/>
    <w:rsid w:val="100F5919"/>
    <w:rsid w:val="101271B8"/>
    <w:rsid w:val="101C0036"/>
    <w:rsid w:val="101E0DC6"/>
    <w:rsid w:val="10294501"/>
    <w:rsid w:val="103C493D"/>
    <w:rsid w:val="104135F9"/>
    <w:rsid w:val="104B091B"/>
    <w:rsid w:val="104C5B1C"/>
    <w:rsid w:val="104E6C89"/>
    <w:rsid w:val="105E064F"/>
    <w:rsid w:val="105F0026"/>
    <w:rsid w:val="106318D8"/>
    <w:rsid w:val="1066305F"/>
    <w:rsid w:val="10682751"/>
    <w:rsid w:val="1068327B"/>
    <w:rsid w:val="10852E05"/>
    <w:rsid w:val="1088173F"/>
    <w:rsid w:val="108856CC"/>
    <w:rsid w:val="108A4FA0"/>
    <w:rsid w:val="108D2CE2"/>
    <w:rsid w:val="10A2750D"/>
    <w:rsid w:val="10AD5132"/>
    <w:rsid w:val="10BC7123"/>
    <w:rsid w:val="10D3289C"/>
    <w:rsid w:val="10E32902"/>
    <w:rsid w:val="10E70644"/>
    <w:rsid w:val="10E76670"/>
    <w:rsid w:val="10EA1EE2"/>
    <w:rsid w:val="10EE01D6"/>
    <w:rsid w:val="10F15E25"/>
    <w:rsid w:val="10F44B0F"/>
    <w:rsid w:val="10FB150B"/>
    <w:rsid w:val="110A7E8F"/>
    <w:rsid w:val="11110FAE"/>
    <w:rsid w:val="111807FE"/>
    <w:rsid w:val="11191959"/>
    <w:rsid w:val="111927C8"/>
    <w:rsid w:val="111C6C50"/>
    <w:rsid w:val="11203B56"/>
    <w:rsid w:val="1134711F"/>
    <w:rsid w:val="11374139"/>
    <w:rsid w:val="113E5D8A"/>
    <w:rsid w:val="114210E9"/>
    <w:rsid w:val="114D49D7"/>
    <w:rsid w:val="1151506B"/>
    <w:rsid w:val="116E041E"/>
    <w:rsid w:val="116E0B31"/>
    <w:rsid w:val="11701967"/>
    <w:rsid w:val="11733C86"/>
    <w:rsid w:val="11845C9F"/>
    <w:rsid w:val="118C529E"/>
    <w:rsid w:val="1191235E"/>
    <w:rsid w:val="11914C23"/>
    <w:rsid w:val="11991213"/>
    <w:rsid w:val="11BF511D"/>
    <w:rsid w:val="11C269BB"/>
    <w:rsid w:val="11C444E1"/>
    <w:rsid w:val="11C61128"/>
    <w:rsid w:val="11CA5AE2"/>
    <w:rsid w:val="11D03E4F"/>
    <w:rsid w:val="11D557CE"/>
    <w:rsid w:val="11D70154"/>
    <w:rsid w:val="11DC5CCF"/>
    <w:rsid w:val="11DF756D"/>
    <w:rsid w:val="11E06E41"/>
    <w:rsid w:val="11E25451"/>
    <w:rsid w:val="11E701D0"/>
    <w:rsid w:val="120D783A"/>
    <w:rsid w:val="120E449A"/>
    <w:rsid w:val="12142E8C"/>
    <w:rsid w:val="12241424"/>
    <w:rsid w:val="122B7BDE"/>
    <w:rsid w:val="122D527E"/>
    <w:rsid w:val="12435D4E"/>
    <w:rsid w:val="124D39CA"/>
    <w:rsid w:val="125053DB"/>
    <w:rsid w:val="12541D09"/>
    <w:rsid w:val="125515DD"/>
    <w:rsid w:val="12582E7C"/>
    <w:rsid w:val="12605E9D"/>
    <w:rsid w:val="12635200"/>
    <w:rsid w:val="12687563"/>
    <w:rsid w:val="12843C71"/>
    <w:rsid w:val="12853A14"/>
    <w:rsid w:val="1289257C"/>
    <w:rsid w:val="128F2D41"/>
    <w:rsid w:val="129465AA"/>
    <w:rsid w:val="129B1D1F"/>
    <w:rsid w:val="12A3410E"/>
    <w:rsid w:val="12A83E03"/>
    <w:rsid w:val="12A85BB1"/>
    <w:rsid w:val="12AB38E7"/>
    <w:rsid w:val="12AD2408"/>
    <w:rsid w:val="12B4677B"/>
    <w:rsid w:val="12B91B6C"/>
    <w:rsid w:val="12C21479"/>
    <w:rsid w:val="12C624DB"/>
    <w:rsid w:val="12CB18A0"/>
    <w:rsid w:val="12D6271E"/>
    <w:rsid w:val="12DB640C"/>
    <w:rsid w:val="12E61EF8"/>
    <w:rsid w:val="12EB3CF0"/>
    <w:rsid w:val="12EB6EAE"/>
    <w:rsid w:val="12F376BD"/>
    <w:rsid w:val="12F47048"/>
    <w:rsid w:val="12F708E7"/>
    <w:rsid w:val="12F81BC5"/>
    <w:rsid w:val="130804C5"/>
    <w:rsid w:val="130E41A6"/>
    <w:rsid w:val="130F79DE"/>
    <w:rsid w:val="1312127D"/>
    <w:rsid w:val="132536A6"/>
    <w:rsid w:val="13313DF9"/>
    <w:rsid w:val="13367661"/>
    <w:rsid w:val="1338183C"/>
    <w:rsid w:val="13385187"/>
    <w:rsid w:val="13390C8A"/>
    <w:rsid w:val="1340228E"/>
    <w:rsid w:val="13426006"/>
    <w:rsid w:val="134F6C33"/>
    <w:rsid w:val="13596EAB"/>
    <w:rsid w:val="135B0E75"/>
    <w:rsid w:val="135B2C24"/>
    <w:rsid w:val="135E44C2"/>
    <w:rsid w:val="13651CF4"/>
    <w:rsid w:val="13677B2F"/>
    <w:rsid w:val="13743CE5"/>
    <w:rsid w:val="137F4B64"/>
    <w:rsid w:val="13871C6A"/>
    <w:rsid w:val="13936861"/>
    <w:rsid w:val="139D323C"/>
    <w:rsid w:val="13B50586"/>
    <w:rsid w:val="13B62550"/>
    <w:rsid w:val="13B860EB"/>
    <w:rsid w:val="13B87B58"/>
    <w:rsid w:val="13C0517C"/>
    <w:rsid w:val="13C20B5C"/>
    <w:rsid w:val="13C842FD"/>
    <w:rsid w:val="13D1738A"/>
    <w:rsid w:val="13E677A1"/>
    <w:rsid w:val="13EC1376"/>
    <w:rsid w:val="13FD1F2D"/>
    <w:rsid w:val="14117786"/>
    <w:rsid w:val="14125AB5"/>
    <w:rsid w:val="141334FE"/>
    <w:rsid w:val="141D25CF"/>
    <w:rsid w:val="141D612B"/>
    <w:rsid w:val="141F4F69"/>
    <w:rsid w:val="14290F74"/>
    <w:rsid w:val="142B105C"/>
    <w:rsid w:val="142F6B8D"/>
    <w:rsid w:val="14333BA0"/>
    <w:rsid w:val="143729CD"/>
    <w:rsid w:val="143C7B9B"/>
    <w:rsid w:val="14447684"/>
    <w:rsid w:val="14533527"/>
    <w:rsid w:val="14636234"/>
    <w:rsid w:val="14700951"/>
    <w:rsid w:val="14795A57"/>
    <w:rsid w:val="147E1869"/>
    <w:rsid w:val="149208C7"/>
    <w:rsid w:val="149A3C1F"/>
    <w:rsid w:val="14A44EB1"/>
    <w:rsid w:val="14A8633C"/>
    <w:rsid w:val="14A979BF"/>
    <w:rsid w:val="14AD3953"/>
    <w:rsid w:val="14BC3B96"/>
    <w:rsid w:val="14BE790E"/>
    <w:rsid w:val="14BE7B97"/>
    <w:rsid w:val="14C33176"/>
    <w:rsid w:val="14D964F6"/>
    <w:rsid w:val="14DC7CD5"/>
    <w:rsid w:val="14DE1D5E"/>
    <w:rsid w:val="14DF0FF7"/>
    <w:rsid w:val="14ED1FA1"/>
    <w:rsid w:val="14F670A8"/>
    <w:rsid w:val="150B5A9E"/>
    <w:rsid w:val="150F3CC6"/>
    <w:rsid w:val="15121A08"/>
    <w:rsid w:val="1517701E"/>
    <w:rsid w:val="151866D0"/>
    <w:rsid w:val="151B08BC"/>
    <w:rsid w:val="15227E9D"/>
    <w:rsid w:val="15233C15"/>
    <w:rsid w:val="15267261"/>
    <w:rsid w:val="152828EF"/>
    <w:rsid w:val="152C0D1B"/>
    <w:rsid w:val="152D239E"/>
    <w:rsid w:val="153656F6"/>
    <w:rsid w:val="1537321C"/>
    <w:rsid w:val="153E27FD"/>
    <w:rsid w:val="15436065"/>
    <w:rsid w:val="15437B63"/>
    <w:rsid w:val="155913E5"/>
    <w:rsid w:val="155B17C7"/>
    <w:rsid w:val="156E60BD"/>
    <w:rsid w:val="15715931"/>
    <w:rsid w:val="157D344D"/>
    <w:rsid w:val="15822B71"/>
    <w:rsid w:val="1585667E"/>
    <w:rsid w:val="15875F52"/>
    <w:rsid w:val="158A3C94"/>
    <w:rsid w:val="158C1DA8"/>
    <w:rsid w:val="158F2D6B"/>
    <w:rsid w:val="15910B7E"/>
    <w:rsid w:val="15A85EC8"/>
    <w:rsid w:val="15AA668C"/>
    <w:rsid w:val="15AF7257"/>
    <w:rsid w:val="15BD7BC5"/>
    <w:rsid w:val="15BE305A"/>
    <w:rsid w:val="15C0413F"/>
    <w:rsid w:val="15C05BFB"/>
    <w:rsid w:val="15C50828"/>
    <w:rsid w:val="15C727F2"/>
    <w:rsid w:val="15D8055B"/>
    <w:rsid w:val="15D91091"/>
    <w:rsid w:val="15DD0268"/>
    <w:rsid w:val="15ED7612"/>
    <w:rsid w:val="15EE3A8F"/>
    <w:rsid w:val="15F411EA"/>
    <w:rsid w:val="15F80BFE"/>
    <w:rsid w:val="15F86E50"/>
    <w:rsid w:val="160639B3"/>
    <w:rsid w:val="16183009"/>
    <w:rsid w:val="161C272A"/>
    <w:rsid w:val="163F3677"/>
    <w:rsid w:val="163F4A7E"/>
    <w:rsid w:val="164A7250"/>
    <w:rsid w:val="165C73DE"/>
    <w:rsid w:val="165F2A2B"/>
    <w:rsid w:val="166B13D0"/>
    <w:rsid w:val="16781061"/>
    <w:rsid w:val="16781D3E"/>
    <w:rsid w:val="167A5AB7"/>
    <w:rsid w:val="167C43C8"/>
    <w:rsid w:val="16846E3B"/>
    <w:rsid w:val="16893F4C"/>
    <w:rsid w:val="168B6A08"/>
    <w:rsid w:val="16976668"/>
    <w:rsid w:val="169A7F07"/>
    <w:rsid w:val="169E17A5"/>
    <w:rsid w:val="16A412D4"/>
    <w:rsid w:val="16A54830"/>
    <w:rsid w:val="16A91EF8"/>
    <w:rsid w:val="16B014D8"/>
    <w:rsid w:val="16B40549"/>
    <w:rsid w:val="16B40FC8"/>
    <w:rsid w:val="16BA2357"/>
    <w:rsid w:val="16BF34C9"/>
    <w:rsid w:val="16BF4524"/>
    <w:rsid w:val="16CB6312"/>
    <w:rsid w:val="16CD47C4"/>
    <w:rsid w:val="16D03928"/>
    <w:rsid w:val="16D57191"/>
    <w:rsid w:val="16D75C6D"/>
    <w:rsid w:val="16D8450A"/>
    <w:rsid w:val="16DE1BA1"/>
    <w:rsid w:val="16F92E7F"/>
    <w:rsid w:val="16FB6BF7"/>
    <w:rsid w:val="1711641B"/>
    <w:rsid w:val="17141B46"/>
    <w:rsid w:val="17190E2C"/>
    <w:rsid w:val="172B36D3"/>
    <w:rsid w:val="173E5CA5"/>
    <w:rsid w:val="173F2323"/>
    <w:rsid w:val="1740285C"/>
    <w:rsid w:val="17507255"/>
    <w:rsid w:val="1752433D"/>
    <w:rsid w:val="1764788D"/>
    <w:rsid w:val="17657430"/>
    <w:rsid w:val="176A1687"/>
    <w:rsid w:val="176D73C9"/>
    <w:rsid w:val="17773F3B"/>
    <w:rsid w:val="177A213A"/>
    <w:rsid w:val="17822E75"/>
    <w:rsid w:val="178A3129"/>
    <w:rsid w:val="17920BDE"/>
    <w:rsid w:val="1792118B"/>
    <w:rsid w:val="179B3F36"/>
    <w:rsid w:val="17A74689"/>
    <w:rsid w:val="17A8103F"/>
    <w:rsid w:val="17C214C3"/>
    <w:rsid w:val="17C3212F"/>
    <w:rsid w:val="17C5324B"/>
    <w:rsid w:val="17CC0594"/>
    <w:rsid w:val="17CC2342"/>
    <w:rsid w:val="17D00992"/>
    <w:rsid w:val="17D3547E"/>
    <w:rsid w:val="17D9469B"/>
    <w:rsid w:val="17DA4A5F"/>
    <w:rsid w:val="17DE3596"/>
    <w:rsid w:val="17E94D8E"/>
    <w:rsid w:val="17EF7DDE"/>
    <w:rsid w:val="17F26C05"/>
    <w:rsid w:val="18027B12"/>
    <w:rsid w:val="18071BD7"/>
    <w:rsid w:val="18082A24"/>
    <w:rsid w:val="181635BD"/>
    <w:rsid w:val="18194096"/>
    <w:rsid w:val="181949BB"/>
    <w:rsid w:val="182061EA"/>
    <w:rsid w:val="1824217E"/>
    <w:rsid w:val="1827001C"/>
    <w:rsid w:val="182B350C"/>
    <w:rsid w:val="18351C95"/>
    <w:rsid w:val="183C0529"/>
    <w:rsid w:val="183E7D66"/>
    <w:rsid w:val="184B67EC"/>
    <w:rsid w:val="184C6FDF"/>
    <w:rsid w:val="18502F73"/>
    <w:rsid w:val="18510A99"/>
    <w:rsid w:val="185C1918"/>
    <w:rsid w:val="18695DE3"/>
    <w:rsid w:val="187327BD"/>
    <w:rsid w:val="187D363C"/>
    <w:rsid w:val="1885179A"/>
    <w:rsid w:val="18925339"/>
    <w:rsid w:val="189C07CD"/>
    <w:rsid w:val="189D783A"/>
    <w:rsid w:val="18A254E0"/>
    <w:rsid w:val="18A321E9"/>
    <w:rsid w:val="18B049C3"/>
    <w:rsid w:val="18B118D1"/>
    <w:rsid w:val="18B3705E"/>
    <w:rsid w:val="18B51028"/>
    <w:rsid w:val="18BC5F12"/>
    <w:rsid w:val="18BE7B49"/>
    <w:rsid w:val="18D25736"/>
    <w:rsid w:val="18DA45EA"/>
    <w:rsid w:val="18DB2A7E"/>
    <w:rsid w:val="18DC01EA"/>
    <w:rsid w:val="18E5190D"/>
    <w:rsid w:val="18E67433"/>
    <w:rsid w:val="18EE407F"/>
    <w:rsid w:val="1901426D"/>
    <w:rsid w:val="19060AC3"/>
    <w:rsid w:val="191044A7"/>
    <w:rsid w:val="191B532F"/>
    <w:rsid w:val="19307342"/>
    <w:rsid w:val="19334D6C"/>
    <w:rsid w:val="19371A3D"/>
    <w:rsid w:val="1940014B"/>
    <w:rsid w:val="19493839"/>
    <w:rsid w:val="194A79C2"/>
    <w:rsid w:val="19524AC9"/>
    <w:rsid w:val="195425EF"/>
    <w:rsid w:val="1954439D"/>
    <w:rsid w:val="19600980"/>
    <w:rsid w:val="19601236"/>
    <w:rsid w:val="19622F5E"/>
    <w:rsid w:val="19626BA7"/>
    <w:rsid w:val="1964413C"/>
    <w:rsid w:val="19691B86"/>
    <w:rsid w:val="196D545F"/>
    <w:rsid w:val="19704F4F"/>
    <w:rsid w:val="197607B7"/>
    <w:rsid w:val="197930F7"/>
    <w:rsid w:val="198540F4"/>
    <w:rsid w:val="19882298"/>
    <w:rsid w:val="198A4263"/>
    <w:rsid w:val="198B19FF"/>
    <w:rsid w:val="198D16D6"/>
    <w:rsid w:val="198F1879"/>
    <w:rsid w:val="19920482"/>
    <w:rsid w:val="19A2611B"/>
    <w:rsid w:val="19A277FE"/>
    <w:rsid w:val="19AF29D5"/>
    <w:rsid w:val="19B412DF"/>
    <w:rsid w:val="19BE215E"/>
    <w:rsid w:val="19C75444"/>
    <w:rsid w:val="19C808E7"/>
    <w:rsid w:val="19D35C0A"/>
    <w:rsid w:val="19D43730"/>
    <w:rsid w:val="19D92807"/>
    <w:rsid w:val="19DA1AF8"/>
    <w:rsid w:val="19DB686C"/>
    <w:rsid w:val="19DE010A"/>
    <w:rsid w:val="19DF45AE"/>
    <w:rsid w:val="19E113B7"/>
    <w:rsid w:val="19E3767B"/>
    <w:rsid w:val="19E62D40"/>
    <w:rsid w:val="19F30050"/>
    <w:rsid w:val="19FD4A34"/>
    <w:rsid w:val="19FF776C"/>
    <w:rsid w:val="1A114D14"/>
    <w:rsid w:val="1A2024D1"/>
    <w:rsid w:val="1A271AB1"/>
    <w:rsid w:val="1A2C356C"/>
    <w:rsid w:val="1A2C70C8"/>
    <w:rsid w:val="1A443747"/>
    <w:rsid w:val="1A485D08"/>
    <w:rsid w:val="1A4D7546"/>
    <w:rsid w:val="1A652887"/>
    <w:rsid w:val="1A6C5716"/>
    <w:rsid w:val="1A76380C"/>
    <w:rsid w:val="1A7720C8"/>
    <w:rsid w:val="1A850CBF"/>
    <w:rsid w:val="1A8B2040"/>
    <w:rsid w:val="1A9A6727"/>
    <w:rsid w:val="1AAD6F54"/>
    <w:rsid w:val="1AB07CF9"/>
    <w:rsid w:val="1AB34560"/>
    <w:rsid w:val="1AB3678E"/>
    <w:rsid w:val="1AB64BE3"/>
    <w:rsid w:val="1AB84DFF"/>
    <w:rsid w:val="1ABC48F0"/>
    <w:rsid w:val="1ABF7F3C"/>
    <w:rsid w:val="1AC24D56"/>
    <w:rsid w:val="1AC36CAE"/>
    <w:rsid w:val="1AD31C39"/>
    <w:rsid w:val="1AD7659D"/>
    <w:rsid w:val="1AEE10E8"/>
    <w:rsid w:val="1AFD0A64"/>
    <w:rsid w:val="1AFD6647"/>
    <w:rsid w:val="1B063DBD"/>
    <w:rsid w:val="1B100797"/>
    <w:rsid w:val="1B1738D4"/>
    <w:rsid w:val="1B18764C"/>
    <w:rsid w:val="1B2C1BC5"/>
    <w:rsid w:val="1B2D759B"/>
    <w:rsid w:val="1B430B6D"/>
    <w:rsid w:val="1B462E07"/>
    <w:rsid w:val="1B487F31"/>
    <w:rsid w:val="1B4B23DF"/>
    <w:rsid w:val="1B4E2119"/>
    <w:rsid w:val="1B4E228A"/>
    <w:rsid w:val="1B636B19"/>
    <w:rsid w:val="1B6F1962"/>
    <w:rsid w:val="1B707488"/>
    <w:rsid w:val="1B721452"/>
    <w:rsid w:val="1B723200"/>
    <w:rsid w:val="1B7444D0"/>
    <w:rsid w:val="1B7930C6"/>
    <w:rsid w:val="1B7C5CBC"/>
    <w:rsid w:val="1B80591D"/>
    <w:rsid w:val="1B8847D2"/>
    <w:rsid w:val="1B8B6070"/>
    <w:rsid w:val="1B8F5EA0"/>
    <w:rsid w:val="1B903686"/>
    <w:rsid w:val="1B9273FE"/>
    <w:rsid w:val="1B9969DF"/>
    <w:rsid w:val="1B9E3FF5"/>
    <w:rsid w:val="1BA50EE0"/>
    <w:rsid w:val="1BA679A9"/>
    <w:rsid w:val="1BA85FAB"/>
    <w:rsid w:val="1BAC7324"/>
    <w:rsid w:val="1BBB4341"/>
    <w:rsid w:val="1BCD72FD"/>
    <w:rsid w:val="1BD51335"/>
    <w:rsid w:val="1BD9327F"/>
    <w:rsid w:val="1BE02758"/>
    <w:rsid w:val="1BFE66F0"/>
    <w:rsid w:val="1C0E117B"/>
    <w:rsid w:val="1C145920"/>
    <w:rsid w:val="1C1D13BE"/>
    <w:rsid w:val="1C25152E"/>
    <w:rsid w:val="1C334C07"/>
    <w:rsid w:val="1C3E3041"/>
    <w:rsid w:val="1C4138C9"/>
    <w:rsid w:val="1C424981"/>
    <w:rsid w:val="1C484E64"/>
    <w:rsid w:val="1C5B08F8"/>
    <w:rsid w:val="1C6C7C4F"/>
    <w:rsid w:val="1C6D1C1E"/>
    <w:rsid w:val="1C736765"/>
    <w:rsid w:val="1C752FA8"/>
    <w:rsid w:val="1C7603E0"/>
    <w:rsid w:val="1C7A05BE"/>
    <w:rsid w:val="1C7B7E93"/>
    <w:rsid w:val="1C7D42CA"/>
    <w:rsid w:val="1C827473"/>
    <w:rsid w:val="1C962F1E"/>
    <w:rsid w:val="1C9A1E1F"/>
    <w:rsid w:val="1CA50070"/>
    <w:rsid w:val="1CA51528"/>
    <w:rsid w:val="1CA54113"/>
    <w:rsid w:val="1CA83390"/>
    <w:rsid w:val="1CA94A00"/>
    <w:rsid w:val="1CB05D8E"/>
    <w:rsid w:val="1CB41A3B"/>
    <w:rsid w:val="1CB533A4"/>
    <w:rsid w:val="1CB6582C"/>
    <w:rsid w:val="1CBA09BB"/>
    <w:rsid w:val="1CBD26AA"/>
    <w:rsid w:val="1CC730D8"/>
    <w:rsid w:val="1CC92887"/>
    <w:rsid w:val="1CCC0028"/>
    <w:rsid w:val="1CCC0A77"/>
    <w:rsid w:val="1CD37CCF"/>
    <w:rsid w:val="1CE26164"/>
    <w:rsid w:val="1CE659B1"/>
    <w:rsid w:val="1CEF06E6"/>
    <w:rsid w:val="1CF739BD"/>
    <w:rsid w:val="1CF754A3"/>
    <w:rsid w:val="1D0C28B4"/>
    <w:rsid w:val="1D0C4ADF"/>
    <w:rsid w:val="1D0D6651"/>
    <w:rsid w:val="1D121D56"/>
    <w:rsid w:val="1D17405F"/>
    <w:rsid w:val="1D187DD7"/>
    <w:rsid w:val="1D190366"/>
    <w:rsid w:val="1D1C3424"/>
    <w:rsid w:val="1D1E3640"/>
    <w:rsid w:val="1D1F7390"/>
    <w:rsid w:val="1D2E6D07"/>
    <w:rsid w:val="1D383FD6"/>
    <w:rsid w:val="1D4604A0"/>
    <w:rsid w:val="1D5232E9"/>
    <w:rsid w:val="1D52586E"/>
    <w:rsid w:val="1D557934"/>
    <w:rsid w:val="1D6567C6"/>
    <w:rsid w:val="1D666D95"/>
    <w:rsid w:val="1D70551D"/>
    <w:rsid w:val="1D715C7C"/>
    <w:rsid w:val="1D725739"/>
    <w:rsid w:val="1D81772B"/>
    <w:rsid w:val="1D85546D"/>
    <w:rsid w:val="1D8A79AF"/>
    <w:rsid w:val="1D903E12"/>
    <w:rsid w:val="1D90796E"/>
    <w:rsid w:val="1D9616B7"/>
    <w:rsid w:val="1D976F4E"/>
    <w:rsid w:val="1D9E02DC"/>
    <w:rsid w:val="1DA022A7"/>
    <w:rsid w:val="1DB16262"/>
    <w:rsid w:val="1DB23D88"/>
    <w:rsid w:val="1DB418AE"/>
    <w:rsid w:val="1DB8267C"/>
    <w:rsid w:val="1DC0328F"/>
    <w:rsid w:val="1DC16376"/>
    <w:rsid w:val="1DC85359"/>
    <w:rsid w:val="1DDA6E3B"/>
    <w:rsid w:val="1DEF39C2"/>
    <w:rsid w:val="1DF0665E"/>
    <w:rsid w:val="1DFC3255"/>
    <w:rsid w:val="1E026ABD"/>
    <w:rsid w:val="1E0C3498"/>
    <w:rsid w:val="1E0F4D36"/>
    <w:rsid w:val="1E114F52"/>
    <w:rsid w:val="1E1B36DB"/>
    <w:rsid w:val="1E1C321D"/>
    <w:rsid w:val="1E1E4F79"/>
    <w:rsid w:val="1E234C86"/>
    <w:rsid w:val="1E285DF8"/>
    <w:rsid w:val="1E297809"/>
    <w:rsid w:val="1E3612D0"/>
    <w:rsid w:val="1E383D15"/>
    <w:rsid w:val="1E3A44F0"/>
    <w:rsid w:val="1E3E73CA"/>
    <w:rsid w:val="1E402569"/>
    <w:rsid w:val="1E4A5D6E"/>
    <w:rsid w:val="1E4F15D7"/>
    <w:rsid w:val="1E62130A"/>
    <w:rsid w:val="1E65704C"/>
    <w:rsid w:val="1E673D11"/>
    <w:rsid w:val="1E682698"/>
    <w:rsid w:val="1E6D7CAF"/>
    <w:rsid w:val="1E7D6144"/>
    <w:rsid w:val="1E845724"/>
    <w:rsid w:val="1E892D3B"/>
    <w:rsid w:val="1E8C282B"/>
    <w:rsid w:val="1E8F5E77"/>
    <w:rsid w:val="1E9516DF"/>
    <w:rsid w:val="1E982F7E"/>
    <w:rsid w:val="1E9E60BA"/>
    <w:rsid w:val="1EA00084"/>
    <w:rsid w:val="1EAC2BFE"/>
    <w:rsid w:val="1EB04E2F"/>
    <w:rsid w:val="1EB145E5"/>
    <w:rsid w:val="1EBB4EBE"/>
    <w:rsid w:val="1EBD4792"/>
    <w:rsid w:val="1EC91389"/>
    <w:rsid w:val="1ECC2C27"/>
    <w:rsid w:val="1ECD600D"/>
    <w:rsid w:val="1ED146E2"/>
    <w:rsid w:val="1ED32208"/>
    <w:rsid w:val="1EDF295B"/>
    <w:rsid w:val="1EE00481"/>
    <w:rsid w:val="1EE461C3"/>
    <w:rsid w:val="1EEF1B50"/>
    <w:rsid w:val="1EF67CA4"/>
    <w:rsid w:val="1EFD6F4F"/>
    <w:rsid w:val="1F02379E"/>
    <w:rsid w:val="1F066139"/>
    <w:rsid w:val="1F0E3240"/>
    <w:rsid w:val="1F122D30"/>
    <w:rsid w:val="1F126E35"/>
    <w:rsid w:val="1F1A1BE5"/>
    <w:rsid w:val="1F1C595D"/>
    <w:rsid w:val="1F1D050B"/>
    <w:rsid w:val="1F2B5BA0"/>
    <w:rsid w:val="1F3233D2"/>
    <w:rsid w:val="1F350658"/>
    <w:rsid w:val="1F3709E9"/>
    <w:rsid w:val="1F371F44"/>
    <w:rsid w:val="1F374545"/>
    <w:rsid w:val="1F38678A"/>
    <w:rsid w:val="1F443106"/>
    <w:rsid w:val="1F467D95"/>
    <w:rsid w:val="1F494278"/>
    <w:rsid w:val="1F4B7FF0"/>
    <w:rsid w:val="1F50506D"/>
    <w:rsid w:val="1F525822"/>
    <w:rsid w:val="1F5C3FAB"/>
    <w:rsid w:val="1F5F1CED"/>
    <w:rsid w:val="1F62028D"/>
    <w:rsid w:val="1F645556"/>
    <w:rsid w:val="1F651542"/>
    <w:rsid w:val="1F7C1719"/>
    <w:rsid w:val="1F7D1EE5"/>
    <w:rsid w:val="1F7E6617"/>
    <w:rsid w:val="1F8B272B"/>
    <w:rsid w:val="1F8C2708"/>
    <w:rsid w:val="1F9000F9"/>
    <w:rsid w:val="1F9A5B6C"/>
    <w:rsid w:val="1F9C4CF0"/>
    <w:rsid w:val="1FAD2A59"/>
    <w:rsid w:val="1FB13636"/>
    <w:rsid w:val="1FB931AC"/>
    <w:rsid w:val="1FC20049"/>
    <w:rsid w:val="1FC37B8B"/>
    <w:rsid w:val="1FD04999"/>
    <w:rsid w:val="1FD133DA"/>
    <w:rsid w:val="1FE43DE1"/>
    <w:rsid w:val="1FEB5DD4"/>
    <w:rsid w:val="1FED554B"/>
    <w:rsid w:val="1FED72F9"/>
    <w:rsid w:val="200372F7"/>
    <w:rsid w:val="200563F1"/>
    <w:rsid w:val="200B777F"/>
    <w:rsid w:val="20105ECA"/>
    <w:rsid w:val="201611E4"/>
    <w:rsid w:val="20176124"/>
    <w:rsid w:val="201C7BDE"/>
    <w:rsid w:val="2020322B"/>
    <w:rsid w:val="20250841"/>
    <w:rsid w:val="202C1374"/>
    <w:rsid w:val="203171E6"/>
    <w:rsid w:val="203C5B8B"/>
    <w:rsid w:val="204C6BDE"/>
    <w:rsid w:val="20531852"/>
    <w:rsid w:val="205B24B5"/>
    <w:rsid w:val="20601879"/>
    <w:rsid w:val="20621A95"/>
    <w:rsid w:val="20670E5A"/>
    <w:rsid w:val="20765541"/>
    <w:rsid w:val="20777D67"/>
    <w:rsid w:val="20857532"/>
    <w:rsid w:val="208C266E"/>
    <w:rsid w:val="208F6602"/>
    <w:rsid w:val="20914115"/>
    <w:rsid w:val="20943C19"/>
    <w:rsid w:val="20B00A53"/>
    <w:rsid w:val="20C452C0"/>
    <w:rsid w:val="20CC6F0F"/>
    <w:rsid w:val="20D02EA3"/>
    <w:rsid w:val="20D34741"/>
    <w:rsid w:val="20D504B9"/>
    <w:rsid w:val="20D82B78"/>
    <w:rsid w:val="20DC70AF"/>
    <w:rsid w:val="20DE6C42"/>
    <w:rsid w:val="20E406FC"/>
    <w:rsid w:val="20E56222"/>
    <w:rsid w:val="20E93F65"/>
    <w:rsid w:val="20EE157B"/>
    <w:rsid w:val="20EE50D7"/>
    <w:rsid w:val="20F52909"/>
    <w:rsid w:val="20FB5952"/>
    <w:rsid w:val="20FD356C"/>
    <w:rsid w:val="21004581"/>
    <w:rsid w:val="21025D6A"/>
    <w:rsid w:val="21026DD4"/>
    <w:rsid w:val="21052421"/>
    <w:rsid w:val="21072C86"/>
    <w:rsid w:val="210E7410"/>
    <w:rsid w:val="21156B08"/>
    <w:rsid w:val="21162880"/>
    <w:rsid w:val="21190608"/>
    <w:rsid w:val="21244F9D"/>
    <w:rsid w:val="21274A8D"/>
    <w:rsid w:val="21294361"/>
    <w:rsid w:val="212E3725"/>
    <w:rsid w:val="213827F6"/>
    <w:rsid w:val="21385966"/>
    <w:rsid w:val="21440924"/>
    <w:rsid w:val="214D0317"/>
    <w:rsid w:val="21555EEC"/>
    <w:rsid w:val="215D04AF"/>
    <w:rsid w:val="215D400B"/>
    <w:rsid w:val="216058A9"/>
    <w:rsid w:val="21676FD0"/>
    <w:rsid w:val="2168529F"/>
    <w:rsid w:val="216D06F2"/>
    <w:rsid w:val="217D2563"/>
    <w:rsid w:val="218926BE"/>
    <w:rsid w:val="21902632"/>
    <w:rsid w:val="219537A4"/>
    <w:rsid w:val="219A0DBB"/>
    <w:rsid w:val="21AD5289"/>
    <w:rsid w:val="21B264FD"/>
    <w:rsid w:val="21C24574"/>
    <w:rsid w:val="21CD5673"/>
    <w:rsid w:val="21D73DBD"/>
    <w:rsid w:val="21DD6EFA"/>
    <w:rsid w:val="21DF0EC4"/>
    <w:rsid w:val="21E12E8E"/>
    <w:rsid w:val="21EB7868"/>
    <w:rsid w:val="21F901D7"/>
    <w:rsid w:val="22047B51"/>
    <w:rsid w:val="220D7C54"/>
    <w:rsid w:val="220F79FB"/>
    <w:rsid w:val="2210107D"/>
    <w:rsid w:val="221548E5"/>
    <w:rsid w:val="221A1EFC"/>
    <w:rsid w:val="221E19EC"/>
    <w:rsid w:val="221F3E9D"/>
    <w:rsid w:val="2223045B"/>
    <w:rsid w:val="2230740D"/>
    <w:rsid w:val="223129D2"/>
    <w:rsid w:val="223905D4"/>
    <w:rsid w:val="22405E06"/>
    <w:rsid w:val="2245341D"/>
    <w:rsid w:val="22460344"/>
    <w:rsid w:val="22462CF1"/>
    <w:rsid w:val="22546AE1"/>
    <w:rsid w:val="225B679C"/>
    <w:rsid w:val="22600256"/>
    <w:rsid w:val="22603BF4"/>
    <w:rsid w:val="22627DAF"/>
    <w:rsid w:val="22673393"/>
    <w:rsid w:val="22675A7D"/>
    <w:rsid w:val="226A4C31"/>
    <w:rsid w:val="22717D6E"/>
    <w:rsid w:val="2274785E"/>
    <w:rsid w:val="227F2CA6"/>
    <w:rsid w:val="22804455"/>
    <w:rsid w:val="22821F7B"/>
    <w:rsid w:val="22857CBD"/>
    <w:rsid w:val="228A16F2"/>
    <w:rsid w:val="228B1DC1"/>
    <w:rsid w:val="22925F36"/>
    <w:rsid w:val="22995516"/>
    <w:rsid w:val="229970D3"/>
    <w:rsid w:val="22A939AB"/>
    <w:rsid w:val="22AA7723"/>
    <w:rsid w:val="22AB4F7D"/>
    <w:rsid w:val="22AC06A2"/>
    <w:rsid w:val="22B453D8"/>
    <w:rsid w:val="22B8599C"/>
    <w:rsid w:val="22BD28C6"/>
    <w:rsid w:val="22C205C9"/>
    <w:rsid w:val="22C21A57"/>
    <w:rsid w:val="22CE13BD"/>
    <w:rsid w:val="22D724A9"/>
    <w:rsid w:val="22D87DED"/>
    <w:rsid w:val="22D90455"/>
    <w:rsid w:val="22DF07C3"/>
    <w:rsid w:val="22E26EBD"/>
    <w:rsid w:val="22F56BF1"/>
    <w:rsid w:val="22F72A56"/>
    <w:rsid w:val="22F95FB5"/>
    <w:rsid w:val="22FF3E0F"/>
    <w:rsid w:val="23013DC0"/>
    <w:rsid w:val="23022896"/>
    <w:rsid w:val="23072480"/>
    <w:rsid w:val="230D1D32"/>
    <w:rsid w:val="23102B31"/>
    <w:rsid w:val="23151041"/>
    <w:rsid w:val="231B6E6A"/>
    <w:rsid w:val="23201794"/>
    <w:rsid w:val="232A1D65"/>
    <w:rsid w:val="232E3EB1"/>
    <w:rsid w:val="2331054B"/>
    <w:rsid w:val="2338088B"/>
    <w:rsid w:val="233C2E4C"/>
    <w:rsid w:val="233F60BE"/>
    <w:rsid w:val="23483A3F"/>
    <w:rsid w:val="23493AF3"/>
    <w:rsid w:val="234B50C5"/>
    <w:rsid w:val="234C07DB"/>
    <w:rsid w:val="235766EB"/>
    <w:rsid w:val="23590F0B"/>
    <w:rsid w:val="235C6C70"/>
    <w:rsid w:val="23682531"/>
    <w:rsid w:val="23724C32"/>
    <w:rsid w:val="23740025"/>
    <w:rsid w:val="238620D3"/>
    <w:rsid w:val="23884649"/>
    <w:rsid w:val="238E494F"/>
    <w:rsid w:val="23944D6C"/>
    <w:rsid w:val="23963804"/>
    <w:rsid w:val="23987869"/>
    <w:rsid w:val="239C0C8D"/>
    <w:rsid w:val="239C4D5A"/>
    <w:rsid w:val="23B6792D"/>
    <w:rsid w:val="23BA3996"/>
    <w:rsid w:val="23C4170A"/>
    <w:rsid w:val="23C80B51"/>
    <w:rsid w:val="23C93B55"/>
    <w:rsid w:val="23CD5478"/>
    <w:rsid w:val="23D20CE0"/>
    <w:rsid w:val="23E46C65"/>
    <w:rsid w:val="23E80503"/>
    <w:rsid w:val="23F22684"/>
    <w:rsid w:val="23F925C2"/>
    <w:rsid w:val="23FB69E6"/>
    <w:rsid w:val="23FC5D5D"/>
    <w:rsid w:val="23FF13A9"/>
    <w:rsid w:val="2406098A"/>
    <w:rsid w:val="24160086"/>
    <w:rsid w:val="24191F80"/>
    <w:rsid w:val="241A61E3"/>
    <w:rsid w:val="241C01AD"/>
    <w:rsid w:val="241E3F25"/>
    <w:rsid w:val="24253506"/>
    <w:rsid w:val="24255394"/>
    <w:rsid w:val="24305A06"/>
    <w:rsid w:val="243F394F"/>
    <w:rsid w:val="244F2331"/>
    <w:rsid w:val="2452597D"/>
    <w:rsid w:val="24532B5A"/>
    <w:rsid w:val="245931AF"/>
    <w:rsid w:val="245F1130"/>
    <w:rsid w:val="24661428"/>
    <w:rsid w:val="247104F9"/>
    <w:rsid w:val="248F6BD1"/>
    <w:rsid w:val="2492221D"/>
    <w:rsid w:val="249C4E4A"/>
    <w:rsid w:val="24B26DAF"/>
    <w:rsid w:val="24B30B11"/>
    <w:rsid w:val="24B46637"/>
    <w:rsid w:val="24C3784A"/>
    <w:rsid w:val="24CD5DC1"/>
    <w:rsid w:val="24D91964"/>
    <w:rsid w:val="24E862E1"/>
    <w:rsid w:val="24F77BF0"/>
    <w:rsid w:val="250A26FB"/>
    <w:rsid w:val="250C10D6"/>
    <w:rsid w:val="250D7AF6"/>
    <w:rsid w:val="25115838"/>
    <w:rsid w:val="25141B25"/>
    <w:rsid w:val="25145328"/>
    <w:rsid w:val="25180974"/>
    <w:rsid w:val="251A293E"/>
    <w:rsid w:val="25276704"/>
    <w:rsid w:val="252E63EA"/>
    <w:rsid w:val="253432D4"/>
    <w:rsid w:val="2540611D"/>
    <w:rsid w:val="25445C0D"/>
    <w:rsid w:val="25494FD2"/>
    <w:rsid w:val="25495CF0"/>
    <w:rsid w:val="254A4580"/>
    <w:rsid w:val="255B6AB3"/>
    <w:rsid w:val="255E7956"/>
    <w:rsid w:val="255F65A3"/>
    <w:rsid w:val="256455AD"/>
    <w:rsid w:val="256B13EC"/>
    <w:rsid w:val="256D30F4"/>
    <w:rsid w:val="256E7B04"/>
    <w:rsid w:val="25916979"/>
    <w:rsid w:val="25A641D2"/>
    <w:rsid w:val="25B368EF"/>
    <w:rsid w:val="25C26D3D"/>
    <w:rsid w:val="25C40AFC"/>
    <w:rsid w:val="25C428AA"/>
    <w:rsid w:val="25C74149"/>
    <w:rsid w:val="25D074A1"/>
    <w:rsid w:val="25D36F91"/>
    <w:rsid w:val="25DE6558"/>
    <w:rsid w:val="25E719CC"/>
    <w:rsid w:val="25E82A3D"/>
    <w:rsid w:val="25EA647D"/>
    <w:rsid w:val="25F0544D"/>
    <w:rsid w:val="25F109F9"/>
    <w:rsid w:val="25F25669"/>
    <w:rsid w:val="25F72C80"/>
    <w:rsid w:val="2603369C"/>
    <w:rsid w:val="26040EF9"/>
    <w:rsid w:val="260917F1"/>
    <w:rsid w:val="26123237"/>
    <w:rsid w:val="26123616"/>
    <w:rsid w:val="261C6242"/>
    <w:rsid w:val="26231A26"/>
    <w:rsid w:val="262D48F3"/>
    <w:rsid w:val="263E265D"/>
    <w:rsid w:val="263E4300"/>
    <w:rsid w:val="26413C74"/>
    <w:rsid w:val="264834DB"/>
    <w:rsid w:val="265579A6"/>
    <w:rsid w:val="26560466"/>
    <w:rsid w:val="265E4AAD"/>
    <w:rsid w:val="2664225A"/>
    <w:rsid w:val="26666F6E"/>
    <w:rsid w:val="26696CB7"/>
    <w:rsid w:val="266A414D"/>
    <w:rsid w:val="266B45B7"/>
    <w:rsid w:val="266D6A9E"/>
    <w:rsid w:val="26776210"/>
    <w:rsid w:val="26803F3E"/>
    <w:rsid w:val="268362C1"/>
    <w:rsid w:val="268C483A"/>
    <w:rsid w:val="268F4C66"/>
    <w:rsid w:val="269229A8"/>
    <w:rsid w:val="26964247"/>
    <w:rsid w:val="26976211"/>
    <w:rsid w:val="26993D37"/>
    <w:rsid w:val="269A1EA7"/>
    <w:rsid w:val="269E134D"/>
    <w:rsid w:val="26A0342B"/>
    <w:rsid w:val="26A13A3F"/>
    <w:rsid w:val="26A5448A"/>
    <w:rsid w:val="26A761E0"/>
    <w:rsid w:val="26AD1590"/>
    <w:rsid w:val="26AF70B6"/>
    <w:rsid w:val="26B172D2"/>
    <w:rsid w:val="26B21FAE"/>
    <w:rsid w:val="26C012C4"/>
    <w:rsid w:val="26C25E88"/>
    <w:rsid w:val="26D14FBA"/>
    <w:rsid w:val="26D22DA5"/>
    <w:rsid w:val="26D24169"/>
    <w:rsid w:val="26D66D39"/>
    <w:rsid w:val="26D93E57"/>
    <w:rsid w:val="26D96C5E"/>
    <w:rsid w:val="26DC3C24"/>
    <w:rsid w:val="26E256DE"/>
    <w:rsid w:val="26EC0370"/>
    <w:rsid w:val="26EC20B9"/>
    <w:rsid w:val="26F40F6D"/>
    <w:rsid w:val="26F606C4"/>
    <w:rsid w:val="270218DC"/>
    <w:rsid w:val="270311B0"/>
    <w:rsid w:val="27035654"/>
    <w:rsid w:val="27070CA1"/>
    <w:rsid w:val="27073B7F"/>
    <w:rsid w:val="270E195B"/>
    <w:rsid w:val="2722306E"/>
    <w:rsid w:val="272950BB"/>
    <w:rsid w:val="272D5FC2"/>
    <w:rsid w:val="272E0923"/>
    <w:rsid w:val="273012E9"/>
    <w:rsid w:val="27310B5A"/>
    <w:rsid w:val="2732184D"/>
    <w:rsid w:val="273532DE"/>
    <w:rsid w:val="27363334"/>
    <w:rsid w:val="273B6B9C"/>
    <w:rsid w:val="27400126"/>
    <w:rsid w:val="274313DE"/>
    <w:rsid w:val="27466F3A"/>
    <w:rsid w:val="274A5D75"/>
    <w:rsid w:val="274C2B57"/>
    <w:rsid w:val="276426D8"/>
    <w:rsid w:val="276A6636"/>
    <w:rsid w:val="276D3A16"/>
    <w:rsid w:val="276E0D20"/>
    <w:rsid w:val="27765309"/>
    <w:rsid w:val="277F0B43"/>
    <w:rsid w:val="278425AF"/>
    <w:rsid w:val="278B7B24"/>
    <w:rsid w:val="278E3170"/>
    <w:rsid w:val="27952750"/>
    <w:rsid w:val="279C5973"/>
    <w:rsid w:val="279F35CF"/>
    <w:rsid w:val="27A17EFA"/>
    <w:rsid w:val="27AB3D22"/>
    <w:rsid w:val="27B150B0"/>
    <w:rsid w:val="27B8643F"/>
    <w:rsid w:val="27B87FB4"/>
    <w:rsid w:val="27BA1B55"/>
    <w:rsid w:val="27CB43C4"/>
    <w:rsid w:val="27CE5C62"/>
    <w:rsid w:val="27D01156"/>
    <w:rsid w:val="27D03788"/>
    <w:rsid w:val="27EF025C"/>
    <w:rsid w:val="27F92BDD"/>
    <w:rsid w:val="27FA1D5A"/>
    <w:rsid w:val="27FD02F5"/>
    <w:rsid w:val="280363F1"/>
    <w:rsid w:val="28041684"/>
    <w:rsid w:val="280A4768"/>
    <w:rsid w:val="281A0EA7"/>
    <w:rsid w:val="281C69CE"/>
    <w:rsid w:val="281D62A2"/>
    <w:rsid w:val="282B4E63"/>
    <w:rsid w:val="282F4953"/>
    <w:rsid w:val="283A6E54"/>
    <w:rsid w:val="283E4B96"/>
    <w:rsid w:val="283F26BC"/>
    <w:rsid w:val="285048C9"/>
    <w:rsid w:val="285D1593"/>
    <w:rsid w:val="286225D5"/>
    <w:rsid w:val="28667C49"/>
    <w:rsid w:val="286914E7"/>
    <w:rsid w:val="287B7B98"/>
    <w:rsid w:val="2880357F"/>
    <w:rsid w:val="28852E12"/>
    <w:rsid w:val="28862099"/>
    <w:rsid w:val="28911ACC"/>
    <w:rsid w:val="289522DC"/>
    <w:rsid w:val="28953C4C"/>
    <w:rsid w:val="28971627"/>
    <w:rsid w:val="289C7B0E"/>
    <w:rsid w:val="28A10C81"/>
    <w:rsid w:val="28A4215C"/>
    <w:rsid w:val="28AA222B"/>
    <w:rsid w:val="28AC5FA3"/>
    <w:rsid w:val="28BD72A1"/>
    <w:rsid w:val="28C013B8"/>
    <w:rsid w:val="28C130D1"/>
    <w:rsid w:val="28D472A8"/>
    <w:rsid w:val="28DC615D"/>
    <w:rsid w:val="28DF17A9"/>
    <w:rsid w:val="28EA2628"/>
    <w:rsid w:val="28F96D0F"/>
    <w:rsid w:val="28FC235B"/>
    <w:rsid w:val="29086F52"/>
    <w:rsid w:val="290C6A42"/>
    <w:rsid w:val="290F208E"/>
    <w:rsid w:val="291C47AB"/>
    <w:rsid w:val="291D3074"/>
    <w:rsid w:val="291E1D36"/>
    <w:rsid w:val="29220014"/>
    <w:rsid w:val="2927387C"/>
    <w:rsid w:val="292D0766"/>
    <w:rsid w:val="29312005"/>
    <w:rsid w:val="293B7327"/>
    <w:rsid w:val="293D309F"/>
    <w:rsid w:val="294D58D8"/>
    <w:rsid w:val="294F4B81"/>
    <w:rsid w:val="295C2DFA"/>
    <w:rsid w:val="296262DA"/>
    <w:rsid w:val="296A5517"/>
    <w:rsid w:val="296D5007"/>
    <w:rsid w:val="2974537C"/>
    <w:rsid w:val="297840D8"/>
    <w:rsid w:val="2984482A"/>
    <w:rsid w:val="299753AF"/>
    <w:rsid w:val="299802D6"/>
    <w:rsid w:val="299A22A0"/>
    <w:rsid w:val="29A7621B"/>
    <w:rsid w:val="29AA0E37"/>
    <w:rsid w:val="29AD779D"/>
    <w:rsid w:val="29AE5D4B"/>
    <w:rsid w:val="29B42CF8"/>
    <w:rsid w:val="29B844D4"/>
    <w:rsid w:val="29BB5D72"/>
    <w:rsid w:val="29BD7D3C"/>
    <w:rsid w:val="29C63095"/>
    <w:rsid w:val="29CA2459"/>
    <w:rsid w:val="29CC61D1"/>
    <w:rsid w:val="29D84079"/>
    <w:rsid w:val="29F3375E"/>
    <w:rsid w:val="29FB2613"/>
    <w:rsid w:val="2A021BF3"/>
    <w:rsid w:val="2A0911D4"/>
    <w:rsid w:val="2A0B233C"/>
    <w:rsid w:val="2A0E0598"/>
    <w:rsid w:val="2A133E00"/>
    <w:rsid w:val="2A1738F0"/>
    <w:rsid w:val="2A1B05EA"/>
    <w:rsid w:val="2A1E359E"/>
    <w:rsid w:val="2A1F27A5"/>
    <w:rsid w:val="2A331DAD"/>
    <w:rsid w:val="2A336250"/>
    <w:rsid w:val="2A337FFE"/>
    <w:rsid w:val="2A3F0751"/>
    <w:rsid w:val="2A3F4BF5"/>
    <w:rsid w:val="2A4B17EC"/>
    <w:rsid w:val="2A4C4FA2"/>
    <w:rsid w:val="2A574EB4"/>
    <w:rsid w:val="2A59101F"/>
    <w:rsid w:val="2A6C34AF"/>
    <w:rsid w:val="2A7A6782"/>
    <w:rsid w:val="2A7E571E"/>
    <w:rsid w:val="2A8E3487"/>
    <w:rsid w:val="2A952A67"/>
    <w:rsid w:val="2A9678B8"/>
    <w:rsid w:val="2A9A007E"/>
    <w:rsid w:val="2A9C2CB3"/>
    <w:rsid w:val="2AA131BA"/>
    <w:rsid w:val="2AA36F32"/>
    <w:rsid w:val="2AAA4765"/>
    <w:rsid w:val="2AAC23B4"/>
    <w:rsid w:val="2AB73DCD"/>
    <w:rsid w:val="2AB8137F"/>
    <w:rsid w:val="2AC31382"/>
    <w:rsid w:val="2ACA2711"/>
    <w:rsid w:val="2AE65071"/>
    <w:rsid w:val="2AE8528D"/>
    <w:rsid w:val="2AEC6B2B"/>
    <w:rsid w:val="2AF26F65"/>
    <w:rsid w:val="2AF27A35"/>
    <w:rsid w:val="2AF50EB8"/>
    <w:rsid w:val="2AFE23BA"/>
    <w:rsid w:val="2B035C23"/>
    <w:rsid w:val="2B14220F"/>
    <w:rsid w:val="2B163BA8"/>
    <w:rsid w:val="2B172940"/>
    <w:rsid w:val="2B221954"/>
    <w:rsid w:val="2B237C88"/>
    <w:rsid w:val="2B25527B"/>
    <w:rsid w:val="2B275DB5"/>
    <w:rsid w:val="2B2F3CF7"/>
    <w:rsid w:val="2B366B93"/>
    <w:rsid w:val="2B393102"/>
    <w:rsid w:val="2B3B360F"/>
    <w:rsid w:val="2B3D7387"/>
    <w:rsid w:val="2B3D7A4A"/>
    <w:rsid w:val="2B4104F9"/>
    <w:rsid w:val="2B41673F"/>
    <w:rsid w:val="2B4E3E18"/>
    <w:rsid w:val="2B5621F6"/>
    <w:rsid w:val="2B5D5BAC"/>
    <w:rsid w:val="2B5F23D9"/>
    <w:rsid w:val="2B6457AC"/>
    <w:rsid w:val="2B65068C"/>
    <w:rsid w:val="2B675519"/>
    <w:rsid w:val="2B6C37C8"/>
    <w:rsid w:val="2B6E2239"/>
    <w:rsid w:val="2B703C9A"/>
    <w:rsid w:val="2B77682E"/>
    <w:rsid w:val="2B824D9A"/>
    <w:rsid w:val="2B870602"/>
    <w:rsid w:val="2B8C6F74"/>
    <w:rsid w:val="2B960845"/>
    <w:rsid w:val="2B9916E4"/>
    <w:rsid w:val="2BA94A1C"/>
    <w:rsid w:val="2BAA16F4"/>
    <w:rsid w:val="2BAA7930"/>
    <w:rsid w:val="2BB1567F"/>
    <w:rsid w:val="2BBA71F5"/>
    <w:rsid w:val="2BDA522C"/>
    <w:rsid w:val="2BE041B6"/>
    <w:rsid w:val="2BEC3CD6"/>
    <w:rsid w:val="2C005C05"/>
    <w:rsid w:val="2C0A4D8F"/>
    <w:rsid w:val="2C183446"/>
    <w:rsid w:val="2C22657D"/>
    <w:rsid w:val="2C2440A3"/>
    <w:rsid w:val="2C2B3683"/>
    <w:rsid w:val="2C2E3173"/>
    <w:rsid w:val="2C332538"/>
    <w:rsid w:val="2C3E3247"/>
    <w:rsid w:val="2C3F712F"/>
    <w:rsid w:val="2C4402A1"/>
    <w:rsid w:val="2C446A85"/>
    <w:rsid w:val="2C493B09"/>
    <w:rsid w:val="2C5129BE"/>
    <w:rsid w:val="2C6438F8"/>
    <w:rsid w:val="2C6B1CD2"/>
    <w:rsid w:val="2C6E17C2"/>
    <w:rsid w:val="2C7A3CC3"/>
    <w:rsid w:val="2C800C63"/>
    <w:rsid w:val="2C86346B"/>
    <w:rsid w:val="2C9034E6"/>
    <w:rsid w:val="2C9A4365"/>
    <w:rsid w:val="2CA46F92"/>
    <w:rsid w:val="2CA61CD1"/>
    <w:rsid w:val="2CAD5E46"/>
    <w:rsid w:val="2CB03B88"/>
    <w:rsid w:val="2CBC077F"/>
    <w:rsid w:val="2CC118F2"/>
    <w:rsid w:val="2CCB6C14"/>
    <w:rsid w:val="2CD535EF"/>
    <w:rsid w:val="2CD930DF"/>
    <w:rsid w:val="2CDC672B"/>
    <w:rsid w:val="2CE77573"/>
    <w:rsid w:val="2CEC37BF"/>
    <w:rsid w:val="2CFA4E04"/>
    <w:rsid w:val="2CFC5020"/>
    <w:rsid w:val="2D0167DD"/>
    <w:rsid w:val="2D093BBC"/>
    <w:rsid w:val="2D0F0ADF"/>
    <w:rsid w:val="2D1C4D7A"/>
    <w:rsid w:val="2D212835"/>
    <w:rsid w:val="2D263E4A"/>
    <w:rsid w:val="2D297497"/>
    <w:rsid w:val="2D2A393B"/>
    <w:rsid w:val="2D2F2CFF"/>
    <w:rsid w:val="2D300825"/>
    <w:rsid w:val="2D320A41"/>
    <w:rsid w:val="2D32459D"/>
    <w:rsid w:val="2D3710D0"/>
    <w:rsid w:val="2D4367AA"/>
    <w:rsid w:val="2D4F6EFD"/>
    <w:rsid w:val="2D54020F"/>
    <w:rsid w:val="2D6A3D37"/>
    <w:rsid w:val="2D6F75A0"/>
    <w:rsid w:val="2D7C7BDB"/>
    <w:rsid w:val="2D8D7A26"/>
    <w:rsid w:val="2D9E1C33"/>
    <w:rsid w:val="2DA710E7"/>
    <w:rsid w:val="2DA84860"/>
    <w:rsid w:val="2DBF3619"/>
    <w:rsid w:val="2DC0604D"/>
    <w:rsid w:val="2DC36224"/>
    <w:rsid w:val="2DCA2A28"/>
    <w:rsid w:val="2DCF4B89"/>
    <w:rsid w:val="2DEA609B"/>
    <w:rsid w:val="2DEC59F1"/>
    <w:rsid w:val="2E110657"/>
    <w:rsid w:val="2E141EF5"/>
    <w:rsid w:val="2E1D6FFC"/>
    <w:rsid w:val="2E2C5491"/>
    <w:rsid w:val="2E344345"/>
    <w:rsid w:val="2E494294"/>
    <w:rsid w:val="2E4F2F2D"/>
    <w:rsid w:val="2E617A07"/>
    <w:rsid w:val="2E6B77FD"/>
    <w:rsid w:val="2E76495E"/>
    <w:rsid w:val="2E7F1A64"/>
    <w:rsid w:val="2E7F7CB6"/>
    <w:rsid w:val="2E8D7BD6"/>
    <w:rsid w:val="2E8E35A8"/>
    <w:rsid w:val="2E903C71"/>
    <w:rsid w:val="2E9076F3"/>
    <w:rsid w:val="2E967AF4"/>
    <w:rsid w:val="2E9D638E"/>
    <w:rsid w:val="2EAB4607"/>
    <w:rsid w:val="2EB15996"/>
    <w:rsid w:val="2EB37960"/>
    <w:rsid w:val="2EB45BB2"/>
    <w:rsid w:val="2EB70763"/>
    <w:rsid w:val="2EB765AB"/>
    <w:rsid w:val="2EBE07DF"/>
    <w:rsid w:val="2EC04CF3"/>
    <w:rsid w:val="2EC26499"/>
    <w:rsid w:val="2EC67A06"/>
    <w:rsid w:val="2ECA3572"/>
    <w:rsid w:val="2ECC16D0"/>
    <w:rsid w:val="2ED33B5E"/>
    <w:rsid w:val="2ED40002"/>
    <w:rsid w:val="2ED87B7F"/>
    <w:rsid w:val="2ED9728F"/>
    <w:rsid w:val="2EDA4EED"/>
    <w:rsid w:val="2EDC0739"/>
    <w:rsid w:val="2EDC0C65"/>
    <w:rsid w:val="2EE8585B"/>
    <w:rsid w:val="2EEB0EA8"/>
    <w:rsid w:val="2EF064BE"/>
    <w:rsid w:val="2EF32D49"/>
    <w:rsid w:val="2EF5543D"/>
    <w:rsid w:val="2EF80920"/>
    <w:rsid w:val="2EFC1307"/>
    <w:rsid w:val="2F0D52C2"/>
    <w:rsid w:val="2F170DD1"/>
    <w:rsid w:val="2F195A15"/>
    <w:rsid w:val="2F212B1B"/>
    <w:rsid w:val="2F2443BA"/>
    <w:rsid w:val="2F364819"/>
    <w:rsid w:val="2F416D1A"/>
    <w:rsid w:val="2F444C18"/>
    <w:rsid w:val="2F587D94"/>
    <w:rsid w:val="2F590507"/>
    <w:rsid w:val="2F642A08"/>
    <w:rsid w:val="2F6F14D1"/>
    <w:rsid w:val="2F701E0E"/>
    <w:rsid w:val="2F745AFB"/>
    <w:rsid w:val="2F7931B7"/>
    <w:rsid w:val="2F7D6131"/>
    <w:rsid w:val="2F8209AE"/>
    <w:rsid w:val="2F990904"/>
    <w:rsid w:val="2F9E5F1A"/>
    <w:rsid w:val="2FB27C17"/>
    <w:rsid w:val="2FBA3998"/>
    <w:rsid w:val="2FCD67FF"/>
    <w:rsid w:val="2FD302BA"/>
    <w:rsid w:val="2FED0C50"/>
    <w:rsid w:val="2FF7387C"/>
    <w:rsid w:val="2FFE4C0B"/>
    <w:rsid w:val="2FFF10AF"/>
    <w:rsid w:val="300140D2"/>
    <w:rsid w:val="30041F7C"/>
    <w:rsid w:val="30064097"/>
    <w:rsid w:val="30092111"/>
    <w:rsid w:val="3014442E"/>
    <w:rsid w:val="30182170"/>
    <w:rsid w:val="30183F1E"/>
    <w:rsid w:val="301917A7"/>
    <w:rsid w:val="301D74C3"/>
    <w:rsid w:val="301E28D9"/>
    <w:rsid w:val="30214493"/>
    <w:rsid w:val="302503E9"/>
    <w:rsid w:val="3029612C"/>
    <w:rsid w:val="30301B6C"/>
    <w:rsid w:val="30330D58"/>
    <w:rsid w:val="30360848"/>
    <w:rsid w:val="30393E95"/>
    <w:rsid w:val="303F594F"/>
    <w:rsid w:val="30462FD1"/>
    <w:rsid w:val="304940D8"/>
    <w:rsid w:val="304E5B92"/>
    <w:rsid w:val="305D7B83"/>
    <w:rsid w:val="305F38FB"/>
    <w:rsid w:val="30656A38"/>
    <w:rsid w:val="30670A02"/>
    <w:rsid w:val="30692324"/>
    <w:rsid w:val="30703D5A"/>
    <w:rsid w:val="30717C09"/>
    <w:rsid w:val="30745626"/>
    <w:rsid w:val="308541FF"/>
    <w:rsid w:val="309335A5"/>
    <w:rsid w:val="30950FE5"/>
    <w:rsid w:val="309C68FD"/>
    <w:rsid w:val="30A1367E"/>
    <w:rsid w:val="30AA08EF"/>
    <w:rsid w:val="30C47C02"/>
    <w:rsid w:val="30C86D2F"/>
    <w:rsid w:val="30D1726F"/>
    <w:rsid w:val="30D77936"/>
    <w:rsid w:val="30DA7426"/>
    <w:rsid w:val="30E262DA"/>
    <w:rsid w:val="30E91417"/>
    <w:rsid w:val="30EC0F07"/>
    <w:rsid w:val="30FA1876"/>
    <w:rsid w:val="31030681"/>
    <w:rsid w:val="310B3A83"/>
    <w:rsid w:val="310D15A9"/>
    <w:rsid w:val="311E37B6"/>
    <w:rsid w:val="312132A7"/>
    <w:rsid w:val="31235140"/>
    <w:rsid w:val="31342FDA"/>
    <w:rsid w:val="313B4F83"/>
    <w:rsid w:val="31466AED"/>
    <w:rsid w:val="31572328"/>
    <w:rsid w:val="315C608D"/>
    <w:rsid w:val="315C7E3B"/>
    <w:rsid w:val="315F16D9"/>
    <w:rsid w:val="31615451"/>
    <w:rsid w:val="316867E0"/>
    <w:rsid w:val="316C5FB9"/>
    <w:rsid w:val="316E7B6E"/>
    <w:rsid w:val="317A4765"/>
    <w:rsid w:val="317F4321"/>
    <w:rsid w:val="31853836"/>
    <w:rsid w:val="318A2BFA"/>
    <w:rsid w:val="31A33A40"/>
    <w:rsid w:val="31B61C41"/>
    <w:rsid w:val="31BA1DDE"/>
    <w:rsid w:val="31BC5716"/>
    <w:rsid w:val="31C05F25"/>
    <w:rsid w:val="31C436D9"/>
    <w:rsid w:val="31D245A1"/>
    <w:rsid w:val="31D43E75"/>
    <w:rsid w:val="31DE2F46"/>
    <w:rsid w:val="31EB11BF"/>
    <w:rsid w:val="31F12C79"/>
    <w:rsid w:val="31F6203D"/>
    <w:rsid w:val="320A7897"/>
    <w:rsid w:val="320F30FF"/>
    <w:rsid w:val="32180206"/>
    <w:rsid w:val="321B1AA4"/>
    <w:rsid w:val="322075A3"/>
    <w:rsid w:val="32216284"/>
    <w:rsid w:val="32250B75"/>
    <w:rsid w:val="322F554F"/>
    <w:rsid w:val="32310E10"/>
    <w:rsid w:val="323112C7"/>
    <w:rsid w:val="323C2E8C"/>
    <w:rsid w:val="32544E27"/>
    <w:rsid w:val="325A6A70"/>
    <w:rsid w:val="32650F71"/>
    <w:rsid w:val="326571C3"/>
    <w:rsid w:val="3269486C"/>
    <w:rsid w:val="326C67A3"/>
    <w:rsid w:val="326D7CE5"/>
    <w:rsid w:val="327411B4"/>
    <w:rsid w:val="327C24E5"/>
    <w:rsid w:val="32847649"/>
    <w:rsid w:val="32851613"/>
    <w:rsid w:val="328535BD"/>
    <w:rsid w:val="328C116C"/>
    <w:rsid w:val="329367A1"/>
    <w:rsid w:val="329D070B"/>
    <w:rsid w:val="32A05A39"/>
    <w:rsid w:val="32A25D21"/>
    <w:rsid w:val="32A41A99"/>
    <w:rsid w:val="32B655B8"/>
    <w:rsid w:val="32BA7245"/>
    <w:rsid w:val="32CC50BD"/>
    <w:rsid w:val="32CE4B27"/>
    <w:rsid w:val="32D00AE0"/>
    <w:rsid w:val="32D0288E"/>
    <w:rsid w:val="32D16607"/>
    <w:rsid w:val="32DC7485"/>
    <w:rsid w:val="32F32A21"/>
    <w:rsid w:val="33072028"/>
    <w:rsid w:val="331309CD"/>
    <w:rsid w:val="331365F3"/>
    <w:rsid w:val="331A7FAD"/>
    <w:rsid w:val="331C5AD4"/>
    <w:rsid w:val="332350B4"/>
    <w:rsid w:val="33244988"/>
    <w:rsid w:val="33274478"/>
    <w:rsid w:val="332E5807"/>
    <w:rsid w:val="3333739F"/>
    <w:rsid w:val="33386686"/>
    <w:rsid w:val="333C6176"/>
    <w:rsid w:val="333E2D64"/>
    <w:rsid w:val="33437504"/>
    <w:rsid w:val="33466FF4"/>
    <w:rsid w:val="334868C9"/>
    <w:rsid w:val="334B460B"/>
    <w:rsid w:val="334D0383"/>
    <w:rsid w:val="336851BD"/>
    <w:rsid w:val="336E20A7"/>
    <w:rsid w:val="33707BCD"/>
    <w:rsid w:val="33716B55"/>
    <w:rsid w:val="337E053C"/>
    <w:rsid w:val="33811DDB"/>
    <w:rsid w:val="33833DA5"/>
    <w:rsid w:val="33857B1D"/>
    <w:rsid w:val="33863895"/>
    <w:rsid w:val="339213EF"/>
    <w:rsid w:val="339B2108"/>
    <w:rsid w:val="33BF0D95"/>
    <w:rsid w:val="33D04B10"/>
    <w:rsid w:val="33D12052"/>
    <w:rsid w:val="33D44EC6"/>
    <w:rsid w:val="33D62126"/>
    <w:rsid w:val="33DC34B5"/>
    <w:rsid w:val="33DC713B"/>
    <w:rsid w:val="33DF083E"/>
    <w:rsid w:val="33F94067"/>
    <w:rsid w:val="34014CC9"/>
    <w:rsid w:val="34030A42"/>
    <w:rsid w:val="340824FC"/>
    <w:rsid w:val="340D559B"/>
    <w:rsid w:val="3414664A"/>
    <w:rsid w:val="34175343"/>
    <w:rsid w:val="341C3E29"/>
    <w:rsid w:val="341C4F6C"/>
    <w:rsid w:val="34232E92"/>
    <w:rsid w:val="34242CB0"/>
    <w:rsid w:val="342805F1"/>
    <w:rsid w:val="342A3DB8"/>
    <w:rsid w:val="342F7A89"/>
    <w:rsid w:val="343313EF"/>
    <w:rsid w:val="34356927"/>
    <w:rsid w:val="34367069"/>
    <w:rsid w:val="34374063"/>
    <w:rsid w:val="344057F2"/>
    <w:rsid w:val="34442AE9"/>
    <w:rsid w:val="344A041F"/>
    <w:rsid w:val="344C23E9"/>
    <w:rsid w:val="344D6161"/>
    <w:rsid w:val="34524853"/>
    <w:rsid w:val="3459310A"/>
    <w:rsid w:val="34611DF3"/>
    <w:rsid w:val="34647166"/>
    <w:rsid w:val="34684D49"/>
    <w:rsid w:val="346A286F"/>
    <w:rsid w:val="346B54F2"/>
    <w:rsid w:val="349B511E"/>
    <w:rsid w:val="34A5249B"/>
    <w:rsid w:val="34A73AC3"/>
    <w:rsid w:val="34A915E9"/>
    <w:rsid w:val="34A9783B"/>
    <w:rsid w:val="34AB0D43"/>
    <w:rsid w:val="34AB66CA"/>
    <w:rsid w:val="34AE4E51"/>
    <w:rsid w:val="34B8182C"/>
    <w:rsid w:val="34C12DD7"/>
    <w:rsid w:val="34CC3529"/>
    <w:rsid w:val="34CF4501"/>
    <w:rsid w:val="34CF6B76"/>
    <w:rsid w:val="34D67F04"/>
    <w:rsid w:val="34D71FF4"/>
    <w:rsid w:val="34D81142"/>
    <w:rsid w:val="34DA79F4"/>
    <w:rsid w:val="34DB4661"/>
    <w:rsid w:val="34E432EA"/>
    <w:rsid w:val="34E70363"/>
    <w:rsid w:val="34E722E6"/>
    <w:rsid w:val="34F0546A"/>
    <w:rsid w:val="34F34F5A"/>
    <w:rsid w:val="34F62354"/>
    <w:rsid w:val="35075755"/>
    <w:rsid w:val="350D3465"/>
    <w:rsid w:val="351C25FA"/>
    <w:rsid w:val="351F18AB"/>
    <w:rsid w:val="352B0250"/>
    <w:rsid w:val="352B64A2"/>
    <w:rsid w:val="352C5D76"/>
    <w:rsid w:val="35305866"/>
    <w:rsid w:val="35380BBF"/>
    <w:rsid w:val="353C7734"/>
    <w:rsid w:val="35403AD5"/>
    <w:rsid w:val="35411821"/>
    <w:rsid w:val="354B26A0"/>
    <w:rsid w:val="355A0888"/>
    <w:rsid w:val="35613C72"/>
    <w:rsid w:val="3566572C"/>
    <w:rsid w:val="35676A73"/>
    <w:rsid w:val="35765D14"/>
    <w:rsid w:val="358375AB"/>
    <w:rsid w:val="358D7389"/>
    <w:rsid w:val="35950FC4"/>
    <w:rsid w:val="35971A38"/>
    <w:rsid w:val="359C4987"/>
    <w:rsid w:val="35A12FAA"/>
    <w:rsid w:val="35A437CF"/>
    <w:rsid w:val="35AD5109"/>
    <w:rsid w:val="35B20971"/>
    <w:rsid w:val="35C054BC"/>
    <w:rsid w:val="35C97A69"/>
    <w:rsid w:val="35CB558F"/>
    <w:rsid w:val="35CF32D1"/>
    <w:rsid w:val="35D02BA5"/>
    <w:rsid w:val="35D96D2C"/>
    <w:rsid w:val="35E548A3"/>
    <w:rsid w:val="35E706DF"/>
    <w:rsid w:val="35E958B7"/>
    <w:rsid w:val="35F16554"/>
    <w:rsid w:val="35F965A0"/>
    <w:rsid w:val="360A60B7"/>
    <w:rsid w:val="360C62D3"/>
    <w:rsid w:val="36105698"/>
    <w:rsid w:val="36107446"/>
    <w:rsid w:val="36140CE4"/>
    <w:rsid w:val="36236D5F"/>
    <w:rsid w:val="36251143"/>
    <w:rsid w:val="36315D3A"/>
    <w:rsid w:val="36343134"/>
    <w:rsid w:val="363B0967"/>
    <w:rsid w:val="36435665"/>
    <w:rsid w:val="364631FA"/>
    <w:rsid w:val="36513CE6"/>
    <w:rsid w:val="36587A23"/>
    <w:rsid w:val="36590DED"/>
    <w:rsid w:val="36633A19"/>
    <w:rsid w:val="36653C36"/>
    <w:rsid w:val="366711AF"/>
    <w:rsid w:val="366A124C"/>
    <w:rsid w:val="366F77C5"/>
    <w:rsid w:val="367B5207"/>
    <w:rsid w:val="3684230E"/>
    <w:rsid w:val="368F0CB2"/>
    <w:rsid w:val="369B1405"/>
    <w:rsid w:val="36A007CA"/>
    <w:rsid w:val="36B039E0"/>
    <w:rsid w:val="36BB532C"/>
    <w:rsid w:val="36D93CDC"/>
    <w:rsid w:val="36E42DAC"/>
    <w:rsid w:val="36ED163E"/>
    <w:rsid w:val="36EE7787"/>
    <w:rsid w:val="36F6663C"/>
    <w:rsid w:val="36FA25D0"/>
    <w:rsid w:val="36FC292C"/>
    <w:rsid w:val="37043DBB"/>
    <w:rsid w:val="37074CED"/>
    <w:rsid w:val="37092813"/>
    <w:rsid w:val="370E1BD7"/>
    <w:rsid w:val="37103BA1"/>
    <w:rsid w:val="371116C7"/>
    <w:rsid w:val="37144D14"/>
    <w:rsid w:val="37272C99"/>
    <w:rsid w:val="372C6501"/>
    <w:rsid w:val="37377380"/>
    <w:rsid w:val="37420558"/>
    <w:rsid w:val="37421881"/>
    <w:rsid w:val="37442E34"/>
    <w:rsid w:val="374D6389"/>
    <w:rsid w:val="37531CE0"/>
    <w:rsid w:val="375325B8"/>
    <w:rsid w:val="37533A8E"/>
    <w:rsid w:val="375A6BCB"/>
    <w:rsid w:val="37607F59"/>
    <w:rsid w:val="37643EED"/>
    <w:rsid w:val="3776777C"/>
    <w:rsid w:val="377759CE"/>
    <w:rsid w:val="377F2AD5"/>
    <w:rsid w:val="378A3331"/>
    <w:rsid w:val="378D51F2"/>
    <w:rsid w:val="378D6FA0"/>
    <w:rsid w:val="378D7675"/>
    <w:rsid w:val="378F53BC"/>
    <w:rsid w:val="37A10C9D"/>
    <w:rsid w:val="37A4078E"/>
    <w:rsid w:val="37A46B74"/>
    <w:rsid w:val="37B00EE0"/>
    <w:rsid w:val="37B3277F"/>
    <w:rsid w:val="37BE13C4"/>
    <w:rsid w:val="37C06287"/>
    <w:rsid w:val="37C4673A"/>
    <w:rsid w:val="37C512C3"/>
    <w:rsid w:val="37D1291E"/>
    <w:rsid w:val="37D22358"/>
    <w:rsid w:val="37D526F5"/>
    <w:rsid w:val="37DE15FE"/>
    <w:rsid w:val="37EF1A09"/>
    <w:rsid w:val="37F4701F"/>
    <w:rsid w:val="37FB6220"/>
    <w:rsid w:val="37FE0959"/>
    <w:rsid w:val="38066D52"/>
    <w:rsid w:val="380D6333"/>
    <w:rsid w:val="380F1E30"/>
    <w:rsid w:val="38233460"/>
    <w:rsid w:val="382B67B9"/>
    <w:rsid w:val="382D0783"/>
    <w:rsid w:val="38312021"/>
    <w:rsid w:val="38351EAB"/>
    <w:rsid w:val="383D6974"/>
    <w:rsid w:val="384635F3"/>
    <w:rsid w:val="38490382"/>
    <w:rsid w:val="3852626E"/>
    <w:rsid w:val="385828C1"/>
    <w:rsid w:val="385A3964"/>
    <w:rsid w:val="385D5BC8"/>
    <w:rsid w:val="38606463"/>
    <w:rsid w:val="3860755C"/>
    <w:rsid w:val="38653A79"/>
    <w:rsid w:val="386C12AB"/>
    <w:rsid w:val="386F3749"/>
    <w:rsid w:val="387463B2"/>
    <w:rsid w:val="38842D59"/>
    <w:rsid w:val="38A442FB"/>
    <w:rsid w:val="38A8605B"/>
    <w:rsid w:val="38AE3672"/>
    <w:rsid w:val="38B844F1"/>
    <w:rsid w:val="38C2711D"/>
    <w:rsid w:val="38CA4224"/>
    <w:rsid w:val="38CC7F9C"/>
    <w:rsid w:val="38D030A4"/>
    <w:rsid w:val="38D11947"/>
    <w:rsid w:val="38D4425E"/>
    <w:rsid w:val="38D94970"/>
    <w:rsid w:val="38DD7AB3"/>
    <w:rsid w:val="38E47094"/>
    <w:rsid w:val="38E64FFB"/>
    <w:rsid w:val="38E65663"/>
    <w:rsid w:val="38E6720F"/>
    <w:rsid w:val="38E928FC"/>
    <w:rsid w:val="38EA34DB"/>
    <w:rsid w:val="38EE1CC0"/>
    <w:rsid w:val="38F313AC"/>
    <w:rsid w:val="38F6728A"/>
    <w:rsid w:val="38F94373"/>
    <w:rsid w:val="38FA68B7"/>
    <w:rsid w:val="38FE47A2"/>
    <w:rsid w:val="390414E4"/>
    <w:rsid w:val="39070FD4"/>
    <w:rsid w:val="3909021A"/>
    <w:rsid w:val="39093BFD"/>
    <w:rsid w:val="391211B6"/>
    <w:rsid w:val="39162FC5"/>
    <w:rsid w:val="391B05DB"/>
    <w:rsid w:val="391D4354"/>
    <w:rsid w:val="3925145A"/>
    <w:rsid w:val="39297EB1"/>
    <w:rsid w:val="392B7C5A"/>
    <w:rsid w:val="39335925"/>
    <w:rsid w:val="39365415"/>
    <w:rsid w:val="393671C3"/>
    <w:rsid w:val="393977E0"/>
    <w:rsid w:val="393C288A"/>
    <w:rsid w:val="393D0552"/>
    <w:rsid w:val="393D2C48"/>
    <w:rsid w:val="394144E6"/>
    <w:rsid w:val="39534219"/>
    <w:rsid w:val="39535FC7"/>
    <w:rsid w:val="395A1104"/>
    <w:rsid w:val="395C1320"/>
    <w:rsid w:val="395F2BBE"/>
    <w:rsid w:val="396401D4"/>
    <w:rsid w:val="396E4BAF"/>
    <w:rsid w:val="39750469"/>
    <w:rsid w:val="39785A2E"/>
    <w:rsid w:val="397A17A6"/>
    <w:rsid w:val="39882115"/>
    <w:rsid w:val="398F0CA8"/>
    <w:rsid w:val="39A9486F"/>
    <w:rsid w:val="39AD2179"/>
    <w:rsid w:val="39BC2320"/>
    <w:rsid w:val="39DC5FBD"/>
    <w:rsid w:val="39DD7891"/>
    <w:rsid w:val="39DF3CFF"/>
    <w:rsid w:val="39E12DFF"/>
    <w:rsid w:val="39E82BB3"/>
    <w:rsid w:val="39ED1F78"/>
    <w:rsid w:val="39EF6D0F"/>
    <w:rsid w:val="39F904F1"/>
    <w:rsid w:val="39FF7EFD"/>
    <w:rsid w:val="3A00614F"/>
    <w:rsid w:val="3A092B2A"/>
    <w:rsid w:val="3A1068A0"/>
    <w:rsid w:val="3A1B1B86"/>
    <w:rsid w:val="3A1C15AE"/>
    <w:rsid w:val="3A266CCC"/>
    <w:rsid w:val="3A30455A"/>
    <w:rsid w:val="3A322081"/>
    <w:rsid w:val="3A465B2C"/>
    <w:rsid w:val="3A4A561C"/>
    <w:rsid w:val="3A4B4EF0"/>
    <w:rsid w:val="3A5109A3"/>
    <w:rsid w:val="3A5169AB"/>
    <w:rsid w:val="3A537871"/>
    <w:rsid w:val="3A635C33"/>
    <w:rsid w:val="3A647D60"/>
    <w:rsid w:val="3A6D57BE"/>
    <w:rsid w:val="3A7860AE"/>
    <w:rsid w:val="3A881CA1"/>
    <w:rsid w:val="3A8D5509"/>
    <w:rsid w:val="3A960861"/>
    <w:rsid w:val="3AA50AA5"/>
    <w:rsid w:val="3AAB1C5E"/>
    <w:rsid w:val="3AB46F3A"/>
    <w:rsid w:val="3AB64A60"/>
    <w:rsid w:val="3AB72586"/>
    <w:rsid w:val="3AB810FB"/>
    <w:rsid w:val="3ABF1230"/>
    <w:rsid w:val="3AD1189A"/>
    <w:rsid w:val="3AD273C0"/>
    <w:rsid w:val="3AD4466F"/>
    <w:rsid w:val="3AE07043"/>
    <w:rsid w:val="3AED5FA8"/>
    <w:rsid w:val="3AF95412"/>
    <w:rsid w:val="3AFF2471"/>
    <w:rsid w:val="3B055BD3"/>
    <w:rsid w:val="3B124EDF"/>
    <w:rsid w:val="3B135A0E"/>
    <w:rsid w:val="3B2220F5"/>
    <w:rsid w:val="3B2254B2"/>
    <w:rsid w:val="3B2D1219"/>
    <w:rsid w:val="3B351E28"/>
    <w:rsid w:val="3B381919"/>
    <w:rsid w:val="3B3A743F"/>
    <w:rsid w:val="3B3B6D13"/>
    <w:rsid w:val="3B3D2A8B"/>
    <w:rsid w:val="3B3D6F2F"/>
    <w:rsid w:val="3B51744D"/>
    <w:rsid w:val="3B53405D"/>
    <w:rsid w:val="3B5B5607"/>
    <w:rsid w:val="3B5D2AEF"/>
    <w:rsid w:val="3B8B0465"/>
    <w:rsid w:val="3B9A7EDD"/>
    <w:rsid w:val="3BAA3FB1"/>
    <w:rsid w:val="3BAF29E2"/>
    <w:rsid w:val="3BB80364"/>
    <w:rsid w:val="3BBF7944"/>
    <w:rsid w:val="3BC1546A"/>
    <w:rsid w:val="3BC60CD2"/>
    <w:rsid w:val="3BCD02B3"/>
    <w:rsid w:val="3BCE402B"/>
    <w:rsid w:val="3BCE7503"/>
    <w:rsid w:val="3BD056AD"/>
    <w:rsid w:val="3BE850ED"/>
    <w:rsid w:val="3BED78E2"/>
    <w:rsid w:val="3BF3064B"/>
    <w:rsid w:val="3BF35840"/>
    <w:rsid w:val="3BF375EE"/>
    <w:rsid w:val="3BFA7898"/>
    <w:rsid w:val="3C0161AE"/>
    <w:rsid w:val="3C047A4D"/>
    <w:rsid w:val="3C074E47"/>
    <w:rsid w:val="3C101D43"/>
    <w:rsid w:val="3C126322"/>
    <w:rsid w:val="3C167B3A"/>
    <w:rsid w:val="3C191E26"/>
    <w:rsid w:val="3C1A7270"/>
    <w:rsid w:val="3C1C0565"/>
    <w:rsid w:val="3C241E9D"/>
    <w:rsid w:val="3C277297"/>
    <w:rsid w:val="3C293AE0"/>
    <w:rsid w:val="3C2C3893"/>
    <w:rsid w:val="3C3976F6"/>
    <w:rsid w:val="3C3E4D0D"/>
    <w:rsid w:val="3C4936B2"/>
    <w:rsid w:val="3C5502A8"/>
    <w:rsid w:val="3C553845"/>
    <w:rsid w:val="3C591B47"/>
    <w:rsid w:val="3C5F1072"/>
    <w:rsid w:val="3C5F1DD5"/>
    <w:rsid w:val="3C5F2ED5"/>
    <w:rsid w:val="3C6B3628"/>
    <w:rsid w:val="3C6B7ACC"/>
    <w:rsid w:val="3C74781E"/>
    <w:rsid w:val="3C7843BE"/>
    <w:rsid w:val="3C796FE6"/>
    <w:rsid w:val="3C7F0E81"/>
    <w:rsid w:val="3C811679"/>
    <w:rsid w:val="3C836BC3"/>
    <w:rsid w:val="3C870F22"/>
    <w:rsid w:val="3C8A1D00"/>
    <w:rsid w:val="3C8D17F0"/>
    <w:rsid w:val="3C9963E7"/>
    <w:rsid w:val="3C9A1F83"/>
    <w:rsid w:val="3C9B215F"/>
    <w:rsid w:val="3C9B2308"/>
    <w:rsid w:val="3C9B3F0D"/>
    <w:rsid w:val="3C9E57AB"/>
    <w:rsid w:val="3CA1704A"/>
    <w:rsid w:val="3CAC611A"/>
    <w:rsid w:val="3CB7431F"/>
    <w:rsid w:val="3CBB60DB"/>
    <w:rsid w:val="3CC176EC"/>
    <w:rsid w:val="3CC35212"/>
    <w:rsid w:val="3CC571DC"/>
    <w:rsid w:val="3CD63197"/>
    <w:rsid w:val="3CDA54BD"/>
    <w:rsid w:val="3CDE4229"/>
    <w:rsid w:val="3CDE6477"/>
    <w:rsid w:val="3CDE7E6E"/>
    <w:rsid w:val="3CE04016"/>
    <w:rsid w:val="3CE358B4"/>
    <w:rsid w:val="3CE46B0D"/>
    <w:rsid w:val="3CE92998"/>
    <w:rsid w:val="3CEB3FEF"/>
    <w:rsid w:val="3D0D14F5"/>
    <w:rsid w:val="3D16341B"/>
    <w:rsid w:val="3D17730C"/>
    <w:rsid w:val="3D256A71"/>
    <w:rsid w:val="3D2F2120"/>
    <w:rsid w:val="3D2F6996"/>
    <w:rsid w:val="3D361E88"/>
    <w:rsid w:val="3D3D3216"/>
    <w:rsid w:val="3D3D4FC4"/>
    <w:rsid w:val="3D4225DB"/>
    <w:rsid w:val="3D4A5933"/>
    <w:rsid w:val="3D54230E"/>
    <w:rsid w:val="3D556267"/>
    <w:rsid w:val="3D5B7173"/>
    <w:rsid w:val="3D5F6A55"/>
    <w:rsid w:val="3D60541C"/>
    <w:rsid w:val="3D673DEF"/>
    <w:rsid w:val="3D687B67"/>
    <w:rsid w:val="3D6A38DF"/>
    <w:rsid w:val="3D6C58AA"/>
    <w:rsid w:val="3D74650C"/>
    <w:rsid w:val="3D791D75"/>
    <w:rsid w:val="3D8B5960"/>
    <w:rsid w:val="3D9077EA"/>
    <w:rsid w:val="3D927D71"/>
    <w:rsid w:val="3D931088"/>
    <w:rsid w:val="3D964C99"/>
    <w:rsid w:val="3DA2751D"/>
    <w:rsid w:val="3DA46DF1"/>
    <w:rsid w:val="3DA60DBB"/>
    <w:rsid w:val="3DA94408"/>
    <w:rsid w:val="3DAC723C"/>
    <w:rsid w:val="3DAE5EC2"/>
    <w:rsid w:val="3DB1150E"/>
    <w:rsid w:val="3DC354E0"/>
    <w:rsid w:val="3DCB0822"/>
    <w:rsid w:val="3DDC2A2F"/>
    <w:rsid w:val="3DDD2303"/>
    <w:rsid w:val="3DE20BA5"/>
    <w:rsid w:val="3DED69EA"/>
    <w:rsid w:val="3DEE3421"/>
    <w:rsid w:val="3DEE62BF"/>
    <w:rsid w:val="3DF7490E"/>
    <w:rsid w:val="3E0B50C2"/>
    <w:rsid w:val="3E1C3664"/>
    <w:rsid w:val="3E1E266B"/>
    <w:rsid w:val="3E1F291C"/>
    <w:rsid w:val="3E261EFC"/>
    <w:rsid w:val="3E29379B"/>
    <w:rsid w:val="3E2972F7"/>
    <w:rsid w:val="3E2E2B5F"/>
    <w:rsid w:val="3E315BEB"/>
    <w:rsid w:val="3E3A59A8"/>
    <w:rsid w:val="3E495BEB"/>
    <w:rsid w:val="3E4B647E"/>
    <w:rsid w:val="3E4D49D4"/>
    <w:rsid w:val="3E4E3201"/>
    <w:rsid w:val="3E5D51F2"/>
    <w:rsid w:val="3E75253C"/>
    <w:rsid w:val="3E7937F4"/>
    <w:rsid w:val="3E7C1B1C"/>
    <w:rsid w:val="3E7D1B12"/>
    <w:rsid w:val="3E8246A6"/>
    <w:rsid w:val="3E9450B8"/>
    <w:rsid w:val="3E9A1FA2"/>
    <w:rsid w:val="3E9C5F8A"/>
    <w:rsid w:val="3EA0072E"/>
    <w:rsid w:val="3EA0370B"/>
    <w:rsid w:val="3EA60D23"/>
    <w:rsid w:val="3EAE40E4"/>
    <w:rsid w:val="3EB7222D"/>
    <w:rsid w:val="3EB837DF"/>
    <w:rsid w:val="3EBD534C"/>
    <w:rsid w:val="3EC040FF"/>
    <w:rsid w:val="3EC3774B"/>
    <w:rsid w:val="3EC51715"/>
    <w:rsid w:val="3EC55F62"/>
    <w:rsid w:val="3EC62D97"/>
    <w:rsid w:val="3EDC6ACB"/>
    <w:rsid w:val="3EDE6333"/>
    <w:rsid w:val="3EDF2EB9"/>
    <w:rsid w:val="3EE648AA"/>
    <w:rsid w:val="3EE6709F"/>
    <w:rsid w:val="3EEC6CA2"/>
    <w:rsid w:val="3EEF0540"/>
    <w:rsid w:val="3EF21DDE"/>
    <w:rsid w:val="3EFB4FB1"/>
    <w:rsid w:val="3F03223E"/>
    <w:rsid w:val="3F051C53"/>
    <w:rsid w:val="3F0D1EF3"/>
    <w:rsid w:val="3F163B14"/>
    <w:rsid w:val="3F1F6A24"/>
    <w:rsid w:val="3F2226C4"/>
    <w:rsid w:val="3F3013EB"/>
    <w:rsid w:val="3F3C4972"/>
    <w:rsid w:val="3F3E6DD2"/>
    <w:rsid w:val="3F4305D7"/>
    <w:rsid w:val="3F456D52"/>
    <w:rsid w:val="3F4624AD"/>
    <w:rsid w:val="3F487C50"/>
    <w:rsid w:val="3F4940F4"/>
    <w:rsid w:val="3F4A5777"/>
    <w:rsid w:val="3F4B7F4E"/>
    <w:rsid w:val="3F536D21"/>
    <w:rsid w:val="3F542CCD"/>
    <w:rsid w:val="3F5B72A8"/>
    <w:rsid w:val="3F6A6789"/>
    <w:rsid w:val="3F6E143F"/>
    <w:rsid w:val="3F732EEF"/>
    <w:rsid w:val="3F77078F"/>
    <w:rsid w:val="3F786788"/>
    <w:rsid w:val="3F7D5B4C"/>
    <w:rsid w:val="3F892743"/>
    <w:rsid w:val="3F8D248C"/>
    <w:rsid w:val="3F95733A"/>
    <w:rsid w:val="3F9904AC"/>
    <w:rsid w:val="3FA02D7F"/>
    <w:rsid w:val="3FA14535"/>
    <w:rsid w:val="3FA94B93"/>
    <w:rsid w:val="3FAA4098"/>
    <w:rsid w:val="3FB11C9A"/>
    <w:rsid w:val="3FB3156E"/>
    <w:rsid w:val="3FB34C03"/>
    <w:rsid w:val="3FBB6674"/>
    <w:rsid w:val="3FC97621"/>
    <w:rsid w:val="3FD414E4"/>
    <w:rsid w:val="3FDE48CE"/>
    <w:rsid w:val="3FDE56EE"/>
    <w:rsid w:val="3FE536F1"/>
    <w:rsid w:val="3FE67B95"/>
    <w:rsid w:val="3FE8319B"/>
    <w:rsid w:val="3FF762AF"/>
    <w:rsid w:val="4000052B"/>
    <w:rsid w:val="401A339B"/>
    <w:rsid w:val="402A6DCD"/>
    <w:rsid w:val="402B55A8"/>
    <w:rsid w:val="402C1320"/>
    <w:rsid w:val="4037142D"/>
    <w:rsid w:val="403F5A89"/>
    <w:rsid w:val="40464A55"/>
    <w:rsid w:val="40616487"/>
    <w:rsid w:val="406432C1"/>
    <w:rsid w:val="40666734"/>
    <w:rsid w:val="4075077F"/>
    <w:rsid w:val="407D3300"/>
    <w:rsid w:val="408465EB"/>
    <w:rsid w:val="408D603A"/>
    <w:rsid w:val="4093314D"/>
    <w:rsid w:val="409475F1"/>
    <w:rsid w:val="409B1ECF"/>
    <w:rsid w:val="409E3FCC"/>
    <w:rsid w:val="409F2373"/>
    <w:rsid w:val="40A9471F"/>
    <w:rsid w:val="40AD06B3"/>
    <w:rsid w:val="40B4592A"/>
    <w:rsid w:val="40B559CB"/>
    <w:rsid w:val="40B57568"/>
    <w:rsid w:val="40B67886"/>
    <w:rsid w:val="40BC4452"/>
    <w:rsid w:val="40BE641C"/>
    <w:rsid w:val="40C369EF"/>
    <w:rsid w:val="40C81049"/>
    <w:rsid w:val="40C96B6F"/>
    <w:rsid w:val="40CB6D8B"/>
    <w:rsid w:val="40D519B8"/>
    <w:rsid w:val="40E1210B"/>
    <w:rsid w:val="40E83499"/>
    <w:rsid w:val="40FA5148"/>
    <w:rsid w:val="40FC6F44"/>
    <w:rsid w:val="41026F44"/>
    <w:rsid w:val="4105404B"/>
    <w:rsid w:val="410B53D9"/>
    <w:rsid w:val="41160006"/>
    <w:rsid w:val="411C75E7"/>
    <w:rsid w:val="41207BDE"/>
    <w:rsid w:val="41236528"/>
    <w:rsid w:val="412D35A2"/>
    <w:rsid w:val="41313092"/>
    <w:rsid w:val="41406E31"/>
    <w:rsid w:val="41415E2F"/>
    <w:rsid w:val="41436921"/>
    <w:rsid w:val="414803DC"/>
    <w:rsid w:val="41540B2E"/>
    <w:rsid w:val="41546D80"/>
    <w:rsid w:val="41586871"/>
    <w:rsid w:val="416219AA"/>
    <w:rsid w:val="41635215"/>
    <w:rsid w:val="4171348E"/>
    <w:rsid w:val="417B01C6"/>
    <w:rsid w:val="417C1E33"/>
    <w:rsid w:val="41872CB2"/>
    <w:rsid w:val="418C02C8"/>
    <w:rsid w:val="418F1B67"/>
    <w:rsid w:val="41923405"/>
    <w:rsid w:val="419B050B"/>
    <w:rsid w:val="41A55BC2"/>
    <w:rsid w:val="41B17D2F"/>
    <w:rsid w:val="41B353C1"/>
    <w:rsid w:val="41B415CD"/>
    <w:rsid w:val="41BC153C"/>
    <w:rsid w:val="41C932CA"/>
    <w:rsid w:val="41CA3008"/>
    <w:rsid w:val="41CD7BCF"/>
    <w:rsid w:val="41D91F84"/>
    <w:rsid w:val="41DA41DC"/>
    <w:rsid w:val="41EA1493"/>
    <w:rsid w:val="41EF2605"/>
    <w:rsid w:val="420C1409"/>
    <w:rsid w:val="420F2CA7"/>
    <w:rsid w:val="420F4A55"/>
    <w:rsid w:val="4214206C"/>
    <w:rsid w:val="42165DE4"/>
    <w:rsid w:val="422E137F"/>
    <w:rsid w:val="422E75D1"/>
    <w:rsid w:val="423616D4"/>
    <w:rsid w:val="423D2F3E"/>
    <w:rsid w:val="423F17DF"/>
    <w:rsid w:val="423F6228"/>
    <w:rsid w:val="42442951"/>
    <w:rsid w:val="424E37D0"/>
    <w:rsid w:val="4252760F"/>
    <w:rsid w:val="425414F0"/>
    <w:rsid w:val="4258464E"/>
    <w:rsid w:val="42611755"/>
    <w:rsid w:val="426254CD"/>
    <w:rsid w:val="4262727B"/>
    <w:rsid w:val="42707B0E"/>
    <w:rsid w:val="42707BEA"/>
    <w:rsid w:val="42817701"/>
    <w:rsid w:val="428D254A"/>
    <w:rsid w:val="42975177"/>
    <w:rsid w:val="429F1312"/>
    <w:rsid w:val="42A17571"/>
    <w:rsid w:val="42A539C9"/>
    <w:rsid w:val="42A87023"/>
    <w:rsid w:val="42AF3E49"/>
    <w:rsid w:val="42B42080"/>
    <w:rsid w:val="42B45D29"/>
    <w:rsid w:val="42DC527F"/>
    <w:rsid w:val="42E44134"/>
    <w:rsid w:val="42E64AEA"/>
    <w:rsid w:val="42E87780"/>
    <w:rsid w:val="42F645DF"/>
    <w:rsid w:val="42F74BA2"/>
    <w:rsid w:val="42FB3958"/>
    <w:rsid w:val="42FF2D1C"/>
    <w:rsid w:val="4300028E"/>
    <w:rsid w:val="43022B82"/>
    <w:rsid w:val="430729E3"/>
    <w:rsid w:val="43077056"/>
    <w:rsid w:val="430D368B"/>
    <w:rsid w:val="430F11B1"/>
    <w:rsid w:val="43146526"/>
    <w:rsid w:val="431762B8"/>
    <w:rsid w:val="431A1904"/>
    <w:rsid w:val="43210EE4"/>
    <w:rsid w:val="432343C7"/>
    <w:rsid w:val="43234C5C"/>
    <w:rsid w:val="43236A0A"/>
    <w:rsid w:val="432509D4"/>
    <w:rsid w:val="432804C5"/>
    <w:rsid w:val="432A5FEB"/>
    <w:rsid w:val="432B58BF"/>
    <w:rsid w:val="4346094B"/>
    <w:rsid w:val="43482915"/>
    <w:rsid w:val="435117C9"/>
    <w:rsid w:val="43686B13"/>
    <w:rsid w:val="436A288B"/>
    <w:rsid w:val="437159C8"/>
    <w:rsid w:val="43784377"/>
    <w:rsid w:val="438C15DE"/>
    <w:rsid w:val="43925580"/>
    <w:rsid w:val="439945B9"/>
    <w:rsid w:val="43AC4FBC"/>
    <w:rsid w:val="43AE6E4D"/>
    <w:rsid w:val="43B65AD0"/>
    <w:rsid w:val="43B8163E"/>
    <w:rsid w:val="43BC29BB"/>
    <w:rsid w:val="43BE4985"/>
    <w:rsid w:val="43BE6733"/>
    <w:rsid w:val="43BF2BD7"/>
    <w:rsid w:val="43C006FD"/>
    <w:rsid w:val="43D61694"/>
    <w:rsid w:val="43D877F5"/>
    <w:rsid w:val="43DD6EE0"/>
    <w:rsid w:val="43E20674"/>
    <w:rsid w:val="43E7196F"/>
    <w:rsid w:val="43E75C8A"/>
    <w:rsid w:val="43E77A38"/>
    <w:rsid w:val="43E837B0"/>
    <w:rsid w:val="43EE526A"/>
    <w:rsid w:val="43F118ED"/>
    <w:rsid w:val="43F37271"/>
    <w:rsid w:val="43F65ECD"/>
    <w:rsid w:val="43FC0CF3"/>
    <w:rsid w:val="44014BF8"/>
    <w:rsid w:val="44136A7F"/>
    <w:rsid w:val="44150A49"/>
    <w:rsid w:val="4416031D"/>
    <w:rsid w:val="441D5B50"/>
    <w:rsid w:val="44213356"/>
    <w:rsid w:val="44240C8C"/>
    <w:rsid w:val="44380293"/>
    <w:rsid w:val="443F5AC6"/>
    <w:rsid w:val="4440539A"/>
    <w:rsid w:val="44446C38"/>
    <w:rsid w:val="4447497A"/>
    <w:rsid w:val="444924A1"/>
    <w:rsid w:val="444C01E3"/>
    <w:rsid w:val="444E5D09"/>
    <w:rsid w:val="445E1CE2"/>
    <w:rsid w:val="44692B43"/>
    <w:rsid w:val="446B69CC"/>
    <w:rsid w:val="4472378B"/>
    <w:rsid w:val="447514E8"/>
    <w:rsid w:val="4475502E"/>
    <w:rsid w:val="44782D86"/>
    <w:rsid w:val="447A08AC"/>
    <w:rsid w:val="447F2366"/>
    <w:rsid w:val="447F5EC2"/>
    <w:rsid w:val="448035BD"/>
    <w:rsid w:val="4488746D"/>
    <w:rsid w:val="4489280C"/>
    <w:rsid w:val="448B2AB9"/>
    <w:rsid w:val="449000D0"/>
    <w:rsid w:val="4493196E"/>
    <w:rsid w:val="44957494"/>
    <w:rsid w:val="4497746C"/>
    <w:rsid w:val="449A0F4E"/>
    <w:rsid w:val="449F47B6"/>
    <w:rsid w:val="44A21BB1"/>
    <w:rsid w:val="44AC2A30"/>
    <w:rsid w:val="44AD0C2A"/>
    <w:rsid w:val="44AF21C8"/>
    <w:rsid w:val="44B518E4"/>
    <w:rsid w:val="44BF2763"/>
    <w:rsid w:val="44C1472D"/>
    <w:rsid w:val="44C71029"/>
    <w:rsid w:val="44D00A48"/>
    <w:rsid w:val="44D2693A"/>
    <w:rsid w:val="44E169C6"/>
    <w:rsid w:val="44E328F5"/>
    <w:rsid w:val="44E977E0"/>
    <w:rsid w:val="44EE129A"/>
    <w:rsid w:val="44F00B6E"/>
    <w:rsid w:val="44F30243"/>
    <w:rsid w:val="44F85158"/>
    <w:rsid w:val="450703F9"/>
    <w:rsid w:val="45104F1F"/>
    <w:rsid w:val="45126D36"/>
    <w:rsid w:val="45140D01"/>
    <w:rsid w:val="45154A79"/>
    <w:rsid w:val="45216F7A"/>
    <w:rsid w:val="45237196"/>
    <w:rsid w:val="452B429C"/>
    <w:rsid w:val="452D1DC2"/>
    <w:rsid w:val="45321187"/>
    <w:rsid w:val="45336CAD"/>
    <w:rsid w:val="45390CF8"/>
    <w:rsid w:val="45392515"/>
    <w:rsid w:val="45505A3D"/>
    <w:rsid w:val="45513D03"/>
    <w:rsid w:val="455252D4"/>
    <w:rsid w:val="45527B73"/>
    <w:rsid w:val="45537C28"/>
    <w:rsid w:val="45576E3F"/>
    <w:rsid w:val="45645E28"/>
    <w:rsid w:val="45652EF7"/>
    <w:rsid w:val="456B1A5D"/>
    <w:rsid w:val="457C60EA"/>
    <w:rsid w:val="45801494"/>
    <w:rsid w:val="45801D20"/>
    <w:rsid w:val="45815C6A"/>
    <w:rsid w:val="458D460F"/>
    <w:rsid w:val="458F482B"/>
    <w:rsid w:val="45967968"/>
    <w:rsid w:val="459C3175"/>
    <w:rsid w:val="45A62619"/>
    <w:rsid w:val="45A71B75"/>
    <w:rsid w:val="45AC0F39"/>
    <w:rsid w:val="45B611C6"/>
    <w:rsid w:val="45B918A8"/>
    <w:rsid w:val="45C920D3"/>
    <w:rsid w:val="45D15C7F"/>
    <w:rsid w:val="45D25933"/>
    <w:rsid w:val="45D642BB"/>
    <w:rsid w:val="45DB0A84"/>
    <w:rsid w:val="45DE130F"/>
    <w:rsid w:val="45FE72BB"/>
    <w:rsid w:val="460D73B3"/>
    <w:rsid w:val="461066C5"/>
    <w:rsid w:val="46130FB8"/>
    <w:rsid w:val="46132D66"/>
    <w:rsid w:val="461B60BF"/>
    <w:rsid w:val="461F4717"/>
    <w:rsid w:val="46236D21"/>
    <w:rsid w:val="462407A3"/>
    <w:rsid w:val="4633710E"/>
    <w:rsid w:val="463E3B5B"/>
    <w:rsid w:val="46470C62"/>
    <w:rsid w:val="464E52CF"/>
    <w:rsid w:val="465810C1"/>
    <w:rsid w:val="465A6BE7"/>
    <w:rsid w:val="46635A1D"/>
    <w:rsid w:val="466B0DF4"/>
    <w:rsid w:val="46712183"/>
    <w:rsid w:val="467B6B5D"/>
    <w:rsid w:val="467C3821"/>
    <w:rsid w:val="4681606A"/>
    <w:rsid w:val="46862B6D"/>
    <w:rsid w:val="468C42DA"/>
    <w:rsid w:val="4698326B"/>
    <w:rsid w:val="46A47E62"/>
    <w:rsid w:val="46A7123A"/>
    <w:rsid w:val="46B04A59"/>
    <w:rsid w:val="46B300A5"/>
    <w:rsid w:val="46B43DEC"/>
    <w:rsid w:val="46B75DE7"/>
    <w:rsid w:val="46BD0F24"/>
    <w:rsid w:val="46C027C2"/>
    <w:rsid w:val="46CE3131"/>
    <w:rsid w:val="46CF79B0"/>
    <w:rsid w:val="46D2432B"/>
    <w:rsid w:val="46DB4A26"/>
    <w:rsid w:val="46DE488F"/>
    <w:rsid w:val="46DF533E"/>
    <w:rsid w:val="46F23FFE"/>
    <w:rsid w:val="47074AA5"/>
    <w:rsid w:val="4720342C"/>
    <w:rsid w:val="472D60AA"/>
    <w:rsid w:val="47347438"/>
    <w:rsid w:val="47394A4E"/>
    <w:rsid w:val="473C5EFF"/>
    <w:rsid w:val="47434CC7"/>
    <w:rsid w:val="47460F19"/>
    <w:rsid w:val="47471CBC"/>
    <w:rsid w:val="474E6020"/>
    <w:rsid w:val="47520FED"/>
    <w:rsid w:val="475C698F"/>
    <w:rsid w:val="475F022D"/>
    <w:rsid w:val="47643BBC"/>
    <w:rsid w:val="47694C08"/>
    <w:rsid w:val="4769611A"/>
    <w:rsid w:val="477517FF"/>
    <w:rsid w:val="47932975"/>
    <w:rsid w:val="479C4924"/>
    <w:rsid w:val="47A125F4"/>
    <w:rsid w:val="47A3011A"/>
    <w:rsid w:val="47A3636C"/>
    <w:rsid w:val="47CB7671"/>
    <w:rsid w:val="47CF7161"/>
    <w:rsid w:val="47D276D2"/>
    <w:rsid w:val="47D66AEC"/>
    <w:rsid w:val="47DB31AF"/>
    <w:rsid w:val="47F00E85"/>
    <w:rsid w:val="47F44E19"/>
    <w:rsid w:val="4800556C"/>
    <w:rsid w:val="48061E24"/>
    <w:rsid w:val="48117B6C"/>
    <w:rsid w:val="481608EC"/>
    <w:rsid w:val="48164D90"/>
    <w:rsid w:val="481C05B4"/>
    <w:rsid w:val="481E518D"/>
    <w:rsid w:val="481E59F2"/>
    <w:rsid w:val="4828061F"/>
    <w:rsid w:val="482E032B"/>
    <w:rsid w:val="482F19AD"/>
    <w:rsid w:val="48335AC8"/>
    <w:rsid w:val="483C2B6B"/>
    <w:rsid w:val="48435F9F"/>
    <w:rsid w:val="485B27A2"/>
    <w:rsid w:val="486409BC"/>
    <w:rsid w:val="486D24D6"/>
    <w:rsid w:val="486F624E"/>
    <w:rsid w:val="48735895"/>
    <w:rsid w:val="48943F06"/>
    <w:rsid w:val="48A50654"/>
    <w:rsid w:val="48A67538"/>
    <w:rsid w:val="48A73C3A"/>
    <w:rsid w:val="48A94193"/>
    <w:rsid w:val="48B00D40"/>
    <w:rsid w:val="48B30830"/>
    <w:rsid w:val="48B52FCC"/>
    <w:rsid w:val="48B56357"/>
    <w:rsid w:val="48BB76E5"/>
    <w:rsid w:val="48C05193"/>
    <w:rsid w:val="48DD3AFF"/>
    <w:rsid w:val="48E56510"/>
    <w:rsid w:val="48E64762"/>
    <w:rsid w:val="48E85CCF"/>
    <w:rsid w:val="48FB5D34"/>
    <w:rsid w:val="490218EC"/>
    <w:rsid w:val="49060960"/>
    <w:rsid w:val="490B5F77"/>
    <w:rsid w:val="491017DF"/>
    <w:rsid w:val="491476AB"/>
    <w:rsid w:val="49184B37"/>
    <w:rsid w:val="492036DC"/>
    <w:rsid w:val="4924528A"/>
    <w:rsid w:val="49247038"/>
    <w:rsid w:val="49262DB0"/>
    <w:rsid w:val="49325BF9"/>
    <w:rsid w:val="49374FBE"/>
    <w:rsid w:val="493C0826"/>
    <w:rsid w:val="493F3E72"/>
    <w:rsid w:val="4941408E"/>
    <w:rsid w:val="494476DB"/>
    <w:rsid w:val="49494CF1"/>
    <w:rsid w:val="4950607F"/>
    <w:rsid w:val="495C67D2"/>
    <w:rsid w:val="495D254A"/>
    <w:rsid w:val="49647D7D"/>
    <w:rsid w:val="4968786D"/>
    <w:rsid w:val="49731B93"/>
    <w:rsid w:val="49762596"/>
    <w:rsid w:val="49793828"/>
    <w:rsid w:val="497A40B6"/>
    <w:rsid w:val="497B350C"/>
    <w:rsid w:val="49956188"/>
    <w:rsid w:val="499713DC"/>
    <w:rsid w:val="49A34401"/>
    <w:rsid w:val="49A35426"/>
    <w:rsid w:val="49AD702E"/>
    <w:rsid w:val="49AE0C40"/>
    <w:rsid w:val="49B91E77"/>
    <w:rsid w:val="49BC1967"/>
    <w:rsid w:val="49C11C8B"/>
    <w:rsid w:val="49C64593"/>
    <w:rsid w:val="49CA7BE0"/>
    <w:rsid w:val="49CE21F0"/>
    <w:rsid w:val="49D547D7"/>
    <w:rsid w:val="49D86182"/>
    <w:rsid w:val="49D97B26"/>
    <w:rsid w:val="49DC5B65"/>
    <w:rsid w:val="49DD1D7B"/>
    <w:rsid w:val="49E278CF"/>
    <w:rsid w:val="49E708F9"/>
    <w:rsid w:val="49EA64D4"/>
    <w:rsid w:val="49EF5898"/>
    <w:rsid w:val="4A0838D4"/>
    <w:rsid w:val="4A0963DA"/>
    <w:rsid w:val="4A13511B"/>
    <w:rsid w:val="4A161077"/>
    <w:rsid w:val="4A1C4BDE"/>
    <w:rsid w:val="4A1E7416"/>
    <w:rsid w:val="4A286FFC"/>
    <w:rsid w:val="4A2F038B"/>
    <w:rsid w:val="4A2F6E0C"/>
    <w:rsid w:val="4A3069B1"/>
    <w:rsid w:val="4A38723F"/>
    <w:rsid w:val="4A3C6604"/>
    <w:rsid w:val="4A600544"/>
    <w:rsid w:val="4A653DAC"/>
    <w:rsid w:val="4A6C6EE9"/>
    <w:rsid w:val="4A78588E"/>
    <w:rsid w:val="4A7D0844"/>
    <w:rsid w:val="4A87773F"/>
    <w:rsid w:val="4A8F4985"/>
    <w:rsid w:val="4A9E2E1A"/>
    <w:rsid w:val="4AA246B9"/>
    <w:rsid w:val="4AA91EEB"/>
    <w:rsid w:val="4ABF170F"/>
    <w:rsid w:val="4AC10C1B"/>
    <w:rsid w:val="4AC24D5B"/>
    <w:rsid w:val="4AC477B5"/>
    <w:rsid w:val="4AC705C3"/>
    <w:rsid w:val="4AD55B40"/>
    <w:rsid w:val="4AE271AB"/>
    <w:rsid w:val="4AE65BCD"/>
    <w:rsid w:val="4AEC1DD8"/>
    <w:rsid w:val="4AF13892"/>
    <w:rsid w:val="4B0435C5"/>
    <w:rsid w:val="4B061D40"/>
    <w:rsid w:val="4B0D1932"/>
    <w:rsid w:val="4B130FF3"/>
    <w:rsid w:val="4B1B26BD"/>
    <w:rsid w:val="4B1C090F"/>
    <w:rsid w:val="4B214E28"/>
    <w:rsid w:val="4B3A6FE7"/>
    <w:rsid w:val="4B412124"/>
    <w:rsid w:val="4B4439C2"/>
    <w:rsid w:val="4B505283"/>
    <w:rsid w:val="4B526C44"/>
    <w:rsid w:val="4B6B53F2"/>
    <w:rsid w:val="4B6D116B"/>
    <w:rsid w:val="4B6F4F5E"/>
    <w:rsid w:val="4B700C5B"/>
    <w:rsid w:val="4B797B0F"/>
    <w:rsid w:val="4B895879"/>
    <w:rsid w:val="4B920BD1"/>
    <w:rsid w:val="4B9D5C0C"/>
    <w:rsid w:val="4BA02C21"/>
    <w:rsid w:val="4BA17066"/>
    <w:rsid w:val="4BA426B2"/>
    <w:rsid w:val="4BA56B56"/>
    <w:rsid w:val="4BAB1C93"/>
    <w:rsid w:val="4BB1656A"/>
    <w:rsid w:val="4BB328F5"/>
    <w:rsid w:val="4BB5041C"/>
    <w:rsid w:val="4BB87F0C"/>
    <w:rsid w:val="4BC468B1"/>
    <w:rsid w:val="4BD54113"/>
    <w:rsid w:val="4BE02AF3"/>
    <w:rsid w:val="4BE3142D"/>
    <w:rsid w:val="4BE807F1"/>
    <w:rsid w:val="4BED22AB"/>
    <w:rsid w:val="4BF26D26"/>
    <w:rsid w:val="4BF47196"/>
    <w:rsid w:val="4BF54CBC"/>
    <w:rsid w:val="4C03387D"/>
    <w:rsid w:val="4C0B44E0"/>
    <w:rsid w:val="4C0D6B63"/>
    <w:rsid w:val="4C0F4D8B"/>
    <w:rsid w:val="4C1211E7"/>
    <w:rsid w:val="4C1B0BC7"/>
    <w:rsid w:val="4C201CDE"/>
    <w:rsid w:val="4C231829"/>
    <w:rsid w:val="4C2372B2"/>
    <w:rsid w:val="4C263128"/>
    <w:rsid w:val="4C2A705C"/>
    <w:rsid w:val="4C34368B"/>
    <w:rsid w:val="4C3752D5"/>
    <w:rsid w:val="4C3B7EA4"/>
    <w:rsid w:val="4C3D249B"/>
    <w:rsid w:val="4C46376A"/>
    <w:rsid w:val="4C4C5224"/>
    <w:rsid w:val="4C5D11DF"/>
    <w:rsid w:val="4C602A7D"/>
    <w:rsid w:val="4C63431C"/>
    <w:rsid w:val="4C650094"/>
    <w:rsid w:val="4C675BBA"/>
    <w:rsid w:val="4C6836E0"/>
    <w:rsid w:val="4C6F4A6E"/>
    <w:rsid w:val="4C7A5B4B"/>
    <w:rsid w:val="4C7C718B"/>
    <w:rsid w:val="4C7D6B0F"/>
    <w:rsid w:val="4C7F2EF0"/>
    <w:rsid w:val="4C8147A2"/>
    <w:rsid w:val="4C8D3147"/>
    <w:rsid w:val="4C8F6EBF"/>
    <w:rsid w:val="4C9269AF"/>
    <w:rsid w:val="4C96489C"/>
    <w:rsid w:val="4CA74208"/>
    <w:rsid w:val="4CB84667"/>
    <w:rsid w:val="4CB9218D"/>
    <w:rsid w:val="4CBD4622"/>
    <w:rsid w:val="4CC0351C"/>
    <w:rsid w:val="4CC50B32"/>
    <w:rsid w:val="4CC81420"/>
    <w:rsid w:val="4CCA439B"/>
    <w:rsid w:val="4CD20D18"/>
    <w:rsid w:val="4CD82614"/>
    <w:rsid w:val="4CD9638C"/>
    <w:rsid w:val="4CE30FB8"/>
    <w:rsid w:val="4CE47B0D"/>
    <w:rsid w:val="4CFB24FB"/>
    <w:rsid w:val="4CFB4554"/>
    <w:rsid w:val="4D007331"/>
    <w:rsid w:val="4D04165B"/>
    <w:rsid w:val="4D0C050F"/>
    <w:rsid w:val="4D0C49B3"/>
    <w:rsid w:val="4D173F17"/>
    <w:rsid w:val="4D1B2633"/>
    <w:rsid w:val="4D1B69A4"/>
    <w:rsid w:val="4D243AAB"/>
    <w:rsid w:val="4D2D76DE"/>
    <w:rsid w:val="4D302450"/>
    <w:rsid w:val="4D3A507C"/>
    <w:rsid w:val="4D3D0FD3"/>
    <w:rsid w:val="4D3E12ED"/>
    <w:rsid w:val="4D4221BB"/>
    <w:rsid w:val="4D4E01F5"/>
    <w:rsid w:val="4D520E95"/>
    <w:rsid w:val="4D677E3B"/>
    <w:rsid w:val="4D754306"/>
    <w:rsid w:val="4D761E2D"/>
    <w:rsid w:val="4D7C5695"/>
    <w:rsid w:val="4D7F5185"/>
    <w:rsid w:val="4D844794"/>
    <w:rsid w:val="4D950505"/>
    <w:rsid w:val="4D957A88"/>
    <w:rsid w:val="4D970721"/>
    <w:rsid w:val="4D9E1AAF"/>
    <w:rsid w:val="4DA3783D"/>
    <w:rsid w:val="4DA44BEC"/>
    <w:rsid w:val="4DB43081"/>
    <w:rsid w:val="4DB72B71"/>
    <w:rsid w:val="4DBC3CE3"/>
    <w:rsid w:val="4DBD7A5B"/>
    <w:rsid w:val="4DC135BA"/>
    <w:rsid w:val="4DC442C6"/>
    <w:rsid w:val="4DD5165A"/>
    <w:rsid w:val="4DD52FF7"/>
    <w:rsid w:val="4DDC25D7"/>
    <w:rsid w:val="4DDF349C"/>
    <w:rsid w:val="4DE47F0A"/>
    <w:rsid w:val="4DE66FB2"/>
    <w:rsid w:val="4E0472BD"/>
    <w:rsid w:val="4E061402"/>
    <w:rsid w:val="4E0B0145"/>
    <w:rsid w:val="4E127DA7"/>
    <w:rsid w:val="4E1458CD"/>
    <w:rsid w:val="4E1A4EAE"/>
    <w:rsid w:val="4E255D2C"/>
    <w:rsid w:val="4E2A330B"/>
    <w:rsid w:val="4E3441C2"/>
    <w:rsid w:val="4E3917D8"/>
    <w:rsid w:val="4E3D24C2"/>
    <w:rsid w:val="4E4769A2"/>
    <w:rsid w:val="4E487C6D"/>
    <w:rsid w:val="4E4A6CEE"/>
    <w:rsid w:val="4E4F2DA9"/>
    <w:rsid w:val="4E511B91"/>
    <w:rsid w:val="4E5E3C4F"/>
    <w:rsid w:val="4E65437B"/>
    <w:rsid w:val="4E6A373F"/>
    <w:rsid w:val="4E6A7BE3"/>
    <w:rsid w:val="4E79234E"/>
    <w:rsid w:val="4E7B76FB"/>
    <w:rsid w:val="4E7C1D95"/>
    <w:rsid w:val="4E7E71EB"/>
    <w:rsid w:val="4E816CDB"/>
    <w:rsid w:val="4E850579"/>
    <w:rsid w:val="4E895594"/>
    <w:rsid w:val="4E8D5680"/>
    <w:rsid w:val="4E9407BC"/>
    <w:rsid w:val="4E9B5FEF"/>
    <w:rsid w:val="4EA7534F"/>
    <w:rsid w:val="4EAC1FAA"/>
    <w:rsid w:val="4EAD187E"/>
    <w:rsid w:val="4EB1136E"/>
    <w:rsid w:val="4EBD41B7"/>
    <w:rsid w:val="4EC372F3"/>
    <w:rsid w:val="4EC75451"/>
    <w:rsid w:val="4EC90016"/>
    <w:rsid w:val="4ECD3CCE"/>
    <w:rsid w:val="4ED41501"/>
    <w:rsid w:val="4EEA2AD2"/>
    <w:rsid w:val="4EEE4370"/>
    <w:rsid w:val="4F031BFE"/>
    <w:rsid w:val="4F111E0D"/>
    <w:rsid w:val="4F146CA6"/>
    <w:rsid w:val="4F157929"/>
    <w:rsid w:val="4F1D4C56"/>
    <w:rsid w:val="4F2C30EB"/>
    <w:rsid w:val="4F2E0C11"/>
    <w:rsid w:val="4F323167"/>
    <w:rsid w:val="4F3A0EE3"/>
    <w:rsid w:val="4F3D14EA"/>
    <w:rsid w:val="4F473A81"/>
    <w:rsid w:val="4F4E3061"/>
    <w:rsid w:val="4F551308"/>
    <w:rsid w:val="4F59743D"/>
    <w:rsid w:val="4F6173D5"/>
    <w:rsid w:val="4F6E694F"/>
    <w:rsid w:val="4F6E725F"/>
    <w:rsid w:val="4F702FD7"/>
    <w:rsid w:val="4F744245"/>
    <w:rsid w:val="4F820F5D"/>
    <w:rsid w:val="4F83400D"/>
    <w:rsid w:val="4F8B4E8B"/>
    <w:rsid w:val="4F8E777F"/>
    <w:rsid w:val="4F920A2F"/>
    <w:rsid w:val="4F9547EC"/>
    <w:rsid w:val="4F986C56"/>
    <w:rsid w:val="4F9A1DAF"/>
    <w:rsid w:val="4FA30B36"/>
    <w:rsid w:val="4FA34ADA"/>
    <w:rsid w:val="4FAB24DF"/>
    <w:rsid w:val="4FB1539E"/>
    <w:rsid w:val="4FB70C06"/>
    <w:rsid w:val="4FCC21D8"/>
    <w:rsid w:val="4FE319FB"/>
    <w:rsid w:val="4FEE7D0C"/>
    <w:rsid w:val="4FF202B4"/>
    <w:rsid w:val="4FF21C3E"/>
    <w:rsid w:val="4FF52E64"/>
    <w:rsid w:val="50007ACD"/>
    <w:rsid w:val="5003209D"/>
    <w:rsid w:val="50102776"/>
    <w:rsid w:val="501E0BE1"/>
    <w:rsid w:val="50306C0B"/>
    <w:rsid w:val="503264DF"/>
    <w:rsid w:val="50395ABF"/>
    <w:rsid w:val="503E30D6"/>
    <w:rsid w:val="50447FC0"/>
    <w:rsid w:val="50482D28"/>
    <w:rsid w:val="504D156B"/>
    <w:rsid w:val="5052092F"/>
    <w:rsid w:val="50532810"/>
    <w:rsid w:val="50577CF3"/>
    <w:rsid w:val="506348EA"/>
    <w:rsid w:val="506A3ECB"/>
    <w:rsid w:val="506B379F"/>
    <w:rsid w:val="507300D1"/>
    <w:rsid w:val="507C3BFE"/>
    <w:rsid w:val="5086682B"/>
    <w:rsid w:val="50894690"/>
    <w:rsid w:val="50903205"/>
    <w:rsid w:val="509176A9"/>
    <w:rsid w:val="5095527B"/>
    <w:rsid w:val="50A13664"/>
    <w:rsid w:val="50A76ECD"/>
    <w:rsid w:val="50A8054F"/>
    <w:rsid w:val="50B96100"/>
    <w:rsid w:val="50C04607"/>
    <w:rsid w:val="50C64757"/>
    <w:rsid w:val="50C730CB"/>
    <w:rsid w:val="50D37CC2"/>
    <w:rsid w:val="50D801E1"/>
    <w:rsid w:val="50D82EBC"/>
    <w:rsid w:val="50DB6B76"/>
    <w:rsid w:val="50E0418D"/>
    <w:rsid w:val="50E66F25"/>
    <w:rsid w:val="50E7376D"/>
    <w:rsid w:val="50E772C9"/>
    <w:rsid w:val="50EB4BD8"/>
    <w:rsid w:val="50EC48E0"/>
    <w:rsid w:val="50ED1318"/>
    <w:rsid w:val="50EF2622"/>
    <w:rsid w:val="510E0CFA"/>
    <w:rsid w:val="51132AB4"/>
    <w:rsid w:val="5119769F"/>
    <w:rsid w:val="511E6A63"/>
    <w:rsid w:val="51273B6A"/>
    <w:rsid w:val="513149E8"/>
    <w:rsid w:val="513444D8"/>
    <w:rsid w:val="51426BF5"/>
    <w:rsid w:val="514A5AAA"/>
    <w:rsid w:val="514C537E"/>
    <w:rsid w:val="515E7BB9"/>
    <w:rsid w:val="51617B65"/>
    <w:rsid w:val="51653D6E"/>
    <w:rsid w:val="51654692"/>
    <w:rsid w:val="51665C0A"/>
    <w:rsid w:val="516A7EFA"/>
    <w:rsid w:val="516C3C72"/>
    <w:rsid w:val="516D0EDE"/>
    <w:rsid w:val="516F72BF"/>
    <w:rsid w:val="51764AF1"/>
    <w:rsid w:val="5176689F"/>
    <w:rsid w:val="51844B18"/>
    <w:rsid w:val="518731FF"/>
    <w:rsid w:val="51885C8D"/>
    <w:rsid w:val="51886DA0"/>
    <w:rsid w:val="518D195B"/>
    <w:rsid w:val="51937451"/>
    <w:rsid w:val="519D207E"/>
    <w:rsid w:val="51A70554"/>
    <w:rsid w:val="51AB7772"/>
    <w:rsid w:val="51AC310A"/>
    <w:rsid w:val="51B82AB4"/>
    <w:rsid w:val="51C94C21"/>
    <w:rsid w:val="51CA0754"/>
    <w:rsid w:val="51D32259"/>
    <w:rsid w:val="51E24880"/>
    <w:rsid w:val="51EE28D9"/>
    <w:rsid w:val="51F15F26"/>
    <w:rsid w:val="51FC5CC7"/>
    <w:rsid w:val="52045C59"/>
    <w:rsid w:val="5209326F"/>
    <w:rsid w:val="520B06A1"/>
    <w:rsid w:val="52140592"/>
    <w:rsid w:val="522F6471"/>
    <w:rsid w:val="52301522"/>
    <w:rsid w:val="523E73BD"/>
    <w:rsid w:val="52426781"/>
    <w:rsid w:val="5245699D"/>
    <w:rsid w:val="52546CFC"/>
    <w:rsid w:val="52614E59"/>
    <w:rsid w:val="52641E2E"/>
    <w:rsid w:val="52642B9B"/>
    <w:rsid w:val="52666914"/>
    <w:rsid w:val="52691F60"/>
    <w:rsid w:val="526B217C"/>
    <w:rsid w:val="526D7CA2"/>
    <w:rsid w:val="526F6906"/>
    <w:rsid w:val="52770B21"/>
    <w:rsid w:val="527C1C93"/>
    <w:rsid w:val="527C71FB"/>
    <w:rsid w:val="527E5A0B"/>
    <w:rsid w:val="52833022"/>
    <w:rsid w:val="5288688A"/>
    <w:rsid w:val="529945F3"/>
    <w:rsid w:val="52995311"/>
    <w:rsid w:val="52A116FA"/>
    <w:rsid w:val="52A64C5F"/>
    <w:rsid w:val="52AA4A52"/>
    <w:rsid w:val="52AA5CD1"/>
    <w:rsid w:val="52B21B59"/>
    <w:rsid w:val="52B551A5"/>
    <w:rsid w:val="52B92EE7"/>
    <w:rsid w:val="52BC6534"/>
    <w:rsid w:val="52D46A51"/>
    <w:rsid w:val="52E55A8A"/>
    <w:rsid w:val="52EA6F50"/>
    <w:rsid w:val="52F61A46"/>
    <w:rsid w:val="52F83507"/>
    <w:rsid w:val="52F83A10"/>
    <w:rsid w:val="52F932E4"/>
    <w:rsid w:val="52FB7709"/>
    <w:rsid w:val="53166804"/>
    <w:rsid w:val="532365B3"/>
    <w:rsid w:val="533E519B"/>
    <w:rsid w:val="533F163E"/>
    <w:rsid w:val="534926A9"/>
    <w:rsid w:val="53514ECE"/>
    <w:rsid w:val="535E75EB"/>
    <w:rsid w:val="53682217"/>
    <w:rsid w:val="53725D41"/>
    <w:rsid w:val="53764934"/>
    <w:rsid w:val="53782847"/>
    <w:rsid w:val="53784B50"/>
    <w:rsid w:val="537B62F8"/>
    <w:rsid w:val="538232D9"/>
    <w:rsid w:val="5382777D"/>
    <w:rsid w:val="538C5F06"/>
    <w:rsid w:val="53961E84"/>
    <w:rsid w:val="53964FD7"/>
    <w:rsid w:val="539A2B84"/>
    <w:rsid w:val="539D45B7"/>
    <w:rsid w:val="53A57DE8"/>
    <w:rsid w:val="53AF2565"/>
    <w:rsid w:val="53B35B89"/>
    <w:rsid w:val="53B36EAB"/>
    <w:rsid w:val="53D004E8"/>
    <w:rsid w:val="53D63625"/>
    <w:rsid w:val="53DC50DF"/>
    <w:rsid w:val="53DF697E"/>
    <w:rsid w:val="53E22C26"/>
    <w:rsid w:val="53F046E7"/>
    <w:rsid w:val="53F266B1"/>
    <w:rsid w:val="53F37618"/>
    <w:rsid w:val="53FD1E0E"/>
    <w:rsid w:val="54072813"/>
    <w:rsid w:val="54091EC4"/>
    <w:rsid w:val="540957A8"/>
    <w:rsid w:val="540E62AE"/>
    <w:rsid w:val="541859EC"/>
    <w:rsid w:val="541D74A6"/>
    <w:rsid w:val="542907F9"/>
    <w:rsid w:val="54352A41"/>
    <w:rsid w:val="543A0058"/>
    <w:rsid w:val="54416547"/>
    <w:rsid w:val="54436F0C"/>
    <w:rsid w:val="54563E63"/>
    <w:rsid w:val="5458228C"/>
    <w:rsid w:val="54596730"/>
    <w:rsid w:val="546649A9"/>
    <w:rsid w:val="547075D6"/>
    <w:rsid w:val="5472334E"/>
    <w:rsid w:val="54807AFA"/>
    <w:rsid w:val="54863837"/>
    <w:rsid w:val="548B2661"/>
    <w:rsid w:val="54AB5A3B"/>
    <w:rsid w:val="54AD1834"/>
    <w:rsid w:val="54B22CCC"/>
    <w:rsid w:val="54B37377"/>
    <w:rsid w:val="54B631A4"/>
    <w:rsid w:val="54B814E6"/>
    <w:rsid w:val="54B8170F"/>
    <w:rsid w:val="54BE0450"/>
    <w:rsid w:val="54C3589D"/>
    <w:rsid w:val="54C811C0"/>
    <w:rsid w:val="54CF254E"/>
    <w:rsid w:val="54D77E12"/>
    <w:rsid w:val="54DB4AA8"/>
    <w:rsid w:val="54DC4C6B"/>
    <w:rsid w:val="54DE09E3"/>
    <w:rsid w:val="54E104D3"/>
    <w:rsid w:val="54E11D87"/>
    <w:rsid w:val="54EA7388"/>
    <w:rsid w:val="54EB3100"/>
    <w:rsid w:val="54FB77E7"/>
    <w:rsid w:val="55094F55"/>
    <w:rsid w:val="550F105E"/>
    <w:rsid w:val="55142657"/>
    <w:rsid w:val="551663CF"/>
    <w:rsid w:val="551724FD"/>
    <w:rsid w:val="551A7DF4"/>
    <w:rsid w:val="55286102"/>
    <w:rsid w:val="55287EB0"/>
    <w:rsid w:val="55294680"/>
    <w:rsid w:val="5537270A"/>
    <w:rsid w:val="55437456"/>
    <w:rsid w:val="55441815"/>
    <w:rsid w:val="55450A62"/>
    <w:rsid w:val="55496D1A"/>
    <w:rsid w:val="554E3DBB"/>
    <w:rsid w:val="554E4DCA"/>
    <w:rsid w:val="554F368F"/>
    <w:rsid w:val="55515659"/>
    <w:rsid w:val="55564A1D"/>
    <w:rsid w:val="555E7D76"/>
    <w:rsid w:val="55654739"/>
    <w:rsid w:val="556C49B9"/>
    <w:rsid w:val="556C5FEF"/>
    <w:rsid w:val="556D17E3"/>
    <w:rsid w:val="556F788D"/>
    <w:rsid w:val="558A46C7"/>
    <w:rsid w:val="558B770A"/>
    <w:rsid w:val="558C043F"/>
    <w:rsid w:val="55913CA7"/>
    <w:rsid w:val="55A15BCF"/>
    <w:rsid w:val="55A62708"/>
    <w:rsid w:val="55AC1131"/>
    <w:rsid w:val="55AE21B4"/>
    <w:rsid w:val="55B02A26"/>
    <w:rsid w:val="55C220B3"/>
    <w:rsid w:val="55C61AE7"/>
    <w:rsid w:val="55CA0F67"/>
    <w:rsid w:val="55CA551F"/>
    <w:rsid w:val="55D21FF1"/>
    <w:rsid w:val="55D83684"/>
    <w:rsid w:val="55DA694B"/>
    <w:rsid w:val="55FA0C3A"/>
    <w:rsid w:val="55FD758F"/>
    <w:rsid w:val="56051FA0"/>
    <w:rsid w:val="560721BC"/>
    <w:rsid w:val="560A0C47"/>
    <w:rsid w:val="56150435"/>
    <w:rsid w:val="56186920"/>
    <w:rsid w:val="562468CA"/>
    <w:rsid w:val="5632548A"/>
    <w:rsid w:val="563A433F"/>
    <w:rsid w:val="563A7E9B"/>
    <w:rsid w:val="564231F4"/>
    <w:rsid w:val="56475D71"/>
    <w:rsid w:val="564B654C"/>
    <w:rsid w:val="56505911"/>
    <w:rsid w:val="56535401"/>
    <w:rsid w:val="56586573"/>
    <w:rsid w:val="565A053D"/>
    <w:rsid w:val="565C2ED8"/>
    <w:rsid w:val="565D2565"/>
    <w:rsid w:val="565F400E"/>
    <w:rsid w:val="5661367A"/>
    <w:rsid w:val="56820CA1"/>
    <w:rsid w:val="568B1FB7"/>
    <w:rsid w:val="568D26C1"/>
    <w:rsid w:val="568D58B1"/>
    <w:rsid w:val="569E0573"/>
    <w:rsid w:val="56A31EE4"/>
    <w:rsid w:val="56A417B8"/>
    <w:rsid w:val="56B23ED5"/>
    <w:rsid w:val="56B55774"/>
    <w:rsid w:val="56BA0FDC"/>
    <w:rsid w:val="56BE2754"/>
    <w:rsid w:val="56CF06E7"/>
    <w:rsid w:val="56D04F7D"/>
    <w:rsid w:val="56D24578"/>
    <w:rsid w:val="56D51E02"/>
    <w:rsid w:val="56D77DE0"/>
    <w:rsid w:val="56DC53F6"/>
    <w:rsid w:val="56DF6C95"/>
    <w:rsid w:val="56E878F7"/>
    <w:rsid w:val="56EB73E7"/>
    <w:rsid w:val="56EE0C86"/>
    <w:rsid w:val="56EE135F"/>
    <w:rsid w:val="56F9182F"/>
    <w:rsid w:val="56FD7708"/>
    <w:rsid w:val="56FE7046"/>
    <w:rsid w:val="57064221"/>
    <w:rsid w:val="571C1C97"/>
    <w:rsid w:val="571E156B"/>
    <w:rsid w:val="571F7091"/>
    <w:rsid w:val="57236B81"/>
    <w:rsid w:val="572D17AE"/>
    <w:rsid w:val="57401286"/>
    <w:rsid w:val="57407733"/>
    <w:rsid w:val="574A02E6"/>
    <w:rsid w:val="574A6804"/>
    <w:rsid w:val="57521214"/>
    <w:rsid w:val="575548AE"/>
    <w:rsid w:val="575B631B"/>
    <w:rsid w:val="5763708B"/>
    <w:rsid w:val="5765719A"/>
    <w:rsid w:val="576F0018"/>
    <w:rsid w:val="576F1DC6"/>
    <w:rsid w:val="577218B7"/>
    <w:rsid w:val="577250CC"/>
    <w:rsid w:val="577367A5"/>
    <w:rsid w:val="5778511F"/>
    <w:rsid w:val="57792C45"/>
    <w:rsid w:val="57817075"/>
    <w:rsid w:val="57914287"/>
    <w:rsid w:val="579161E1"/>
    <w:rsid w:val="579B3F05"/>
    <w:rsid w:val="57A44166"/>
    <w:rsid w:val="57AA1051"/>
    <w:rsid w:val="57AE18C4"/>
    <w:rsid w:val="57BB500C"/>
    <w:rsid w:val="57C2283E"/>
    <w:rsid w:val="57C30873"/>
    <w:rsid w:val="57C40364"/>
    <w:rsid w:val="57C77E54"/>
    <w:rsid w:val="57CA099D"/>
    <w:rsid w:val="57CC7219"/>
    <w:rsid w:val="57CF0AB7"/>
    <w:rsid w:val="57D367F9"/>
    <w:rsid w:val="57DA7E99"/>
    <w:rsid w:val="57E10A74"/>
    <w:rsid w:val="57E97DCB"/>
    <w:rsid w:val="57EC78BB"/>
    <w:rsid w:val="57FB7AFE"/>
    <w:rsid w:val="58070251"/>
    <w:rsid w:val="580A1AEF"/>
    <w:rsid w:val="580A7D41"/>
    <w:rsid w:val="581035A9"/>
    <w:rsid w:val="58112E7E"/>
    <w:rsid w:val="58164938"/>
    <w:rsid w:val="581A4428"/>
    <w:rsid w:val="581D3408"/>
    <w:rsid w:val="58214838"/>
    <w:rsid w:val="58242BB1"/>
    <w:rsid w:val="582A6589"/>
    <w:rsid w:val="582B2191"/>
    <w:rsid w:val="582C415B"/>
    <w:rsid w:val="582C7CB7"/>
    <w:rsid w:val="583A2B0B"/>
    <w:rsid w:val="583B7363"/>
    <w:rsid w:val="583F5C3D"/>
    <w:rsid w:val="58405511"/>
    <w:rsid w:val="58450D79"/>
    <w:rsid w:val="58492617"/>
    <w:rsid w:val="58550FBC"/>
    <w:rsid w:val="586A5CCC"/>
    <w:rsid w:val="586E6522"/>
    <w:rsid w:val="586F7A04"/>
    <w:rsid w:val="5870229A"/>
    <w:rsid w:val="5875165E"/>
    <w:rsid w:val="5875340D"/>
    <w:rsid w:val="58767185"/>
    <w:rsid w:val="58782EFD"/>
    <w:rsid w:val="587C0C3F"/>
    <w:rsid w:val="587F072F"/>
    <w:rsid w:val="58816255"/>
    <w:rsid w:val="58823D7B"/>
    <w:rsid w:val="58847AF3"/>
    <w:rsid w:val="588936EC"/>
    <w:rsid w:val="58927C67"/>
    <w:rsid w:val="5895585D"/>
    <w:rsid w:val="58974C11"/>
    <w:rsid w:val="5898534D"/>
    <w:rsid w:val="589A2E73"/>
    <w:rsid w:val="58B008E9"/>
    <w:rsid w:val="58B43DC2"/>
    <w:rsid w:val="58BC103B"/>
    <w:rsid w:val="58C3061C"/>
    <w:rsid w:val="58C34A20"/>
    <w:rsid w:val="58C93758"/>
    <w:rsid w:val="58CA7BFC"/>
    <w:rsid w:val="58D00F8B"/>
    <w:rsid w:val="58D5034F"/>
    <w:rsid w:val="58D83B51"/>
    <w:rsid w:val="58F46A27"/>
    <w:rsid w:val="58F91919"/>
    <w:rsid w:val="59080725"/>
    <w:rsid w:val="590824D3"/>
    <w:rsid w:val="590D5D3B"/>
    <w:rsid w:val="59142C25"/>
    <w:rsid w:val="591C41D0"/>
    <w:rsid w:val="59207460"/>
    <w:rsid w:val="59227859"/>
    <w:rsid w:val="592310BA"/>
    <w:rsid w:val="5923375C"/>
    <w:rsid w:val="592F5CB1"/>
    <w:rsid w:val="593257A1"/>
    <w:rsid w:val="59367040"/>
    <w:rsid w:val="59457283"/>
    <w:rsid w:val="594659E0"/>
    <w:rsid w:val="595219A0"/>
    <w:rsid w:val="59594ADC"/>
    <w:rsid w:val="59605E6B"/>
    <w:rsid w:val="596A0A97"/>
    <w:rsid w:val="596A6CE9"/>
    <w:rsid w:val="596C06B6"/>
    <w:rsid w:val="596D1518"/>
    <w:rsid w:val="596D6013"/>
    <w:rsid w:val="597C5CCB"/>
    <w:rsid w:val="598805C8"/>
    <w:rsid w:val="598F4C54"/>
    <w:rsid w:val="59941FB8"/>
    <w:rsid w:val="5996188C"/>
    <w:rsid w:val="599E7D74"/>
    <w:rsid w:val="59A85318"/>
    <w:rsid w:val="59B0070E"/>
    <w:rsid w:val="59B05D28"/>
    <w:rsid w:val="59B12B6A"/>
    <w:rsid w:val="59BC506B"/>
    <w:rsid w:val="59CD742D"/>
    <w:rsid w:val="59D4211F"/>
    <w:rsid w:val="59D728FA"/>
    <w:rsid w:val="59E02AA5"/>
    <w:rsid w:val="59E72FCB"/>
    <w:rsid w:val="59E7658C"/>
    <w:rsid w:val="59EF3692"/>
    <w:rsid w:val="59F44805"/>
    <w:rsid w:val="59F640F8"/>
    <w:rsid w:val="5A07278A"/>
    <w:rsid w:val="5A0F163F"/>
    <w:rsid w:val="5A113609"/>
    <w:rsid w:val="5A132EDD"/>
    <w:rsid w:val="5A1D5B0A"/>
    <w:rsid w:val="5A3E42C7"/>
    <w:rsid w:val="5A4412E8"/>
    <w:rsid w:val="5A455061"/>
    <w:rsid w:val="5A470DD9"/>
    <w:rsid w:val="5A492DA3"/>
    <w:rsid w:val="5A533C21"/>
    <w:rsid w:val="5A6C1C40"/>
    <w:rsid w:val="5A820063"/>
    <w:rsid w:val="5A9D30EE"/>
    <w:rsid w:val="5AA004E9"/>
    <w:rsid w:val="5AAC50E0"/>
    <w:rsid w:val="5AB402C4"/>
    <w:rsid w:val="5AB50438"/>
    <w:rsid w:val="5AB75F5E"/>
    <w:rsid w:val="5AC24903"/>
    <w:rsid w:val="5AC62645"/>
    <w:rsid w:val="5AC8016B"/>
    <w:rsid w:val="5ACB1A0A"/>
    <w:rsid w:val="5ACB37B8"/>
    <w:rsid w:val="5AD66971"/>
    <w:rsid w:val="5AD938A4"/>
    <w:rsid w:val="5ADC2F10"/>
    <w:rsid w:val="5ADD173D"/>
    <w:rsid w:val="5AEA7991"/>
    <w:rsid w:val="5AF30F60"/>
    <w:rsid w:val="5AF820D3"/>
    <w:rsid w:val="5AFF3461"/>
    <w:rsid w:val="5B0B2327"/>
    <w:rsid w:val="5B0B44FC"/>
    <w:rsid w:val="5B0D5B7E"/>
    <w:rsid w:val="5B101B12"/>
    <w:rsid w:val="5B110893"/>
    <w:rsid w:val="5B127639"/>
    <w:rsid w:val="5B255A9F"/>
    <w:rsid w:val="5B29607F"/>
    <w:rsid w:val="5B2E3D41"/>
    <w:rsid w:val="5B307359"/>
    <w:rsid w:val="5B307ABF"/>
    <w:rsid w:val="5B3550D5"/>
    <w:rsid w:val="5B3C46B5"/>
    <w:rsid w:val="5B4067AD"/>
    <w:rsid w:val="5B413A7A"/>
    <w:rsid w:val="5B484E08"/>
    <w:rsid w:val="5B4B2B4A"/>
    <w:rsid w:val="5B5639C9"/>
    <w:rsid w:val="5B5E15D6"/>
    <w:rsid w:val="5B687259"/>
    <w:rsid w:val="5B6A2FD1"/>
    <w:rsid w:val="5B765D02"/>
    <w:rsid w:val="5B7C2895"/>
    <w:rsid w:val="5B841D5C"/>
    <w:rsid w:val="5B8D53FB"/>
    <w:rsid w:val="5B9462A0"/>
    <w:rsid w:val="5B955B74"/>
    <w:rsid w:val="5BA30291"/>
    <w:rsid w:val="5BA67D81"/>
    <w:rsid w:val="5BAC183B"/>
    <w:rsid w:val="5BBC1352"/>
    <w:rsid w:val="5BBC62E8"/>
    <w:rsid w:val="5BC649F5"/>
    <w:rsid w:val="5BC87CF7"/>
    <w:rsid w:val="5BCB77E7"/>
    <w:rsid w:val="5BCC3C8B"/>
    <w:rsid w:val="5BCE3FBD"/>
    <w:rsid w:val="5BD42B40"/>
    <w:rsid w:val="5BDE7951"/>
    <w:rsid w:val="5BE44A5E"/>
    <w:rsid w:val="5BE72873"/>
    <w:rsid w:val="5BE74621"/>
    <w:rsid w:val="5BEC3BE1"/>
    <w:rsid w:val="5BED170C"/>
    <w:rsid w:val="5BED775E"/>
    <w:rsid w:val="5BF14F23"/>
    <w:rsid w:val="5BFB6B71"/>
    <w:rsid w:val="5C002CB9"/>
    <w:rsid w:val="5C207B33"/>
    <w:rsid w:val="5C24780B"/>
    <w:rsid w:val="5C3830CF"/>
    <w:rsid w:val="5C3D2493"/>
    <w:rsid w:val="5C3E620B"/>
    <w:rsid w:val="5C3F2150"/>
    <w:rsid w:val="5C4001D5"/>
    <w:rsid w:val="5C473312"/>
    <w:rsid w:val="5C484871"/>
    <w:rsid w:val="5C4E644E"/>
    <w:rsid w:val="5C5034AA"/>
    <w:rsid w:val="5C5617A7"/>
    <w:rsid w:val="5C601D98"/>
    <w:rsid w:val="5C690FF1"/>
    <w:rsid w:val="5C6914DA"/>
    <w:rsid w:val="5C693288"/>
    <w:rsid w:val="5C82647A"/>
    <w:rsid w:val="5C8911E0"/>
    <w:rsid w:val="5C891B7C"/>
    <w:rsid w:val="5C901543"/>
    <w:rsid w:val="5C91458D"/>
    <w:rsid w:val="5C98591B"/>
    <w:rsid w:val="5C9B221D"/>
    <w:rsid w:val="5CA97B29"/>
    <w:rsid w:val="5CAE3391"/>
    <w:rsid w:val="5CB62246"/>
    <w:rsid w:val="5CB660AB"/>
    <w:rsid w:val="5CB74E54"/>
    <w:rsid w:val="5CB85FBE"/>
    <w:rsid w:val="5CC1745B"/>
    <w:rsid w:val="5CC826A5"/>
    <w:rsid w:val="5CC901CB"/>
    <w:rsid w:val="5CCB5CF1"/>
    <w:rsid w:val="5CD8040E"/>
    <w:rsid w:val="5CD821BC"/>
    <w:rsid w:val="5CE2128D"/>
    <w:rsid w:val="5CF53766"/>
    <w:rsid w:val="5CFA65D6"/>
    <w:rsid w:val="5D071BAE"/>
    <w:rsid w:val="5D137698"/>
    <w:rsid w:val="5D204EEF"/>
    <w:rsid w:val="5D235B2D"/>
    <w:rsid w:val="5D2378DB"/>
    <w:rsid w:val="5D283143"/>
    <w:rsid w:val="5D290C69"/>
    <w:rsid w:val="5D486FBE"/>
    <w:rsid w:val="5D4D2BAA"/>
    <w:rsid w:val="5D4D6706"/>
    <w:rsid w:val="5D526412"/>
    <w:rsid w:val="5D5B5FBD"/>
    <w:rsid w:val="5D6D0B56"/>
    <w:rsid w:val="5D6D7279"/>
    <w:rsid w:val="5D755C5D"/>
    <w:rsid w:val="5D7A7717"/>
    <w:rsid w:val="5D856E37"/>
    <w:rsid w:val="5D863672"/>
    <w:rsid w:val="5D973E25"/>
    <w:rsid w:val="5D9B3820"/>
    <w:rsid w:val="5DA7510E"/>
    <w:rsid w:val="5DB524FD"/>
    <w:rsid w:val="5DC50992"/>
    <w:rsid w:val="5DCE5BB7"/>
    <w:rsid w:val="5DCF5051"/>
    <w:rsid w:val="5DD15589"/>
    <w:rsid w:val="5DD92690"/>
    <w:rsid w:val="5DE227D8"/>
    <w:rsid w:val="5DEB5F1F"/>
    <w:rsid w:val="5DFE20F6"/>
    <w:rsid w:val="5E082F75"/>
    <w:rsid w:val="5E1831B8"/>
    <w:rsid w:val="5E23390B"/>
    <w:rsid w:val="5E244560"/>
    <w:rsid w:val="5E2558D5"/>
    <w:rsid w:val="5E2C7EBD"/>
    <w:rsid w:val="5E3049A3"/>
    <w:rsid w:val="5E325F41"/>
    <w:rsid w:val="5E3E0745"/>
    <w:rsid w:val="5E40270F"/>
    <w:rsid w:val="5E40626B"/>
    <w:rsid w:val="5E434D2B"/>
    <w:rsid w:val="5E463385"/>
    <w:rsid w:val="5E495699"/>
    <w:rsid w:val="5E4C4C10"/>
    <w:rsid w:val="5E532442"/>
    <w:rsid w:val="5E556D8C"/>
    <w:rsid w:val="5E5F41C9"/>
    <w:rsid w:val="5E6A153A"/>
    <w:rsid w:val="5E6D2A41"/>
    <w:rsid w:val="5E744166"/>
    <w:rsid w:val="5E84084D"/>
    <w:rsid w:val="5E973EF7"/>
    <w:rsid w:val="5E9A6159"/>
    <w:rsid w:val="5EAB5E7A"/>
    <w:rsid w:val="5EB92998"/>
    <w:rsid w:val="5EBE02DB"/>
    <w:rsid w:val="5EC24EA2"/>
    <w:rsid w:val="5ECF75EF"/>
    <w:rsid w:val="5EE237C6"/>
    <w:rsid w:val="5EE353BB"/>
    <w:rsid w:val="5EE50BC0"/>
    <w:rsid w:val="5EED7BC4"/>
    <w:rsid w:val="5EFA6258"/>
    <w:rsid w:val="5EFF7ED4"/>
    <w:rsid w:val="5F0279C4"/>
    <w:rsid w:val="5F074FDA"/>
    <w:rsid w:val="5F1576F7"/>
    <w:rsid w:val="5F16521D"/>
    <w:rsid w:val="5F1D65AC"/>
    <w:rsid w:val="5F221E14"/>
    <w:rsid w:val="5F282095"/>
    <w:rsid w:val="5F306C9E"/>
    <w:rsid w:val="5F3538F6"/>
    <w:rsid w:val="5F4973A1"/>
    <w:rsid w:val="5F5226F9"/>
    <w:rsid w:val="5F5244A8"/>
    <w:rsid w:val="5F561F30"/>
    <w:rsid w:val="5F5C0449"/>
    <w:rsid w:val="5F5F6BC4"/>
    <w:rsid w:val="5F7C7776"/>
    <w:rsid w:val="5F7E34EF"/>
    <w:rsid w:val="5F8623A3"/>
    <w:rsid w:val="5F877CC0"/>
    <w:rsid w:val="5F887EC9"/>
    <w:rsid w:val="5F93061C"/>
    <w:rsid w:val="5F98552A"/>
    <w:rsid w:val="5FAF18FA"/>
    <w:rsid w:val="5FAF36A8"/>
    <w:rsid w:val="5FB07420"/>
    <w:rsid w:val="5FC058B5"/>
    <w:rsid w:val="5FCA6734"/>
    <w:rsid w:val="5FD21144"/>
    <w:rsid w:val="5FD255E8"/>
    <w:rsid w:val="5FD50C35"/>
    <w:rsid w:val="5FD56E87"/>
    <w:rsid w:val="5FD70E51"/>
    <w:rsid w:val="5FD7193E"/>
    <w:rsid w:val="5FDA35BE"/>
    <w:rsid w:val="5FDA6CA3"/>
    <w:rsid w:val="5FDC0215"/>
    <w:rsid w:val="5FE307D3"/>
    <w:rsid w:val="5FE570CA"/>
    <w:rsid w:val="5FEA46E0"/>
    <w:rsid w:val="5FF678B6"/>
    <w:rsid w:val="60011A2A"/>
    <w:rsid w:val="6005776C"/>
    <w:rsid w:val="600734E4"/>
    <w:rsid w:val="600F05EB"/>
    <w:rsid w:val="601A0A51"/>
    <w:rsid w:val="60200102"/>
    <w:rsid w:val="60224E95"/>
    <w:rsid w:val="60340051"/>
    <w:rsid w:val="60367925"/>
    <w:rsid w:val="60442EB5"/>
    <w:rsid w:val="60485D7E"/>
    <w:rsid w:val="6051159A"/>
    <w:rsid w:val="607012B0"/>
    <w:rsid w:val="60754A42"/>
    <w:rsid w:val="607553C0"/>
    <w:rsid w:val="60791F08"/>
    <w:rsid w:val="607B17DC"/>
    <w:rsid w:val="607D5554"/>
    <w:rsid w:val="608210E3"/>
    <w:rsid w:val="60870181"/>
    <w:rsid w:val="608C5797"/>
    <w:rsid w:val="60944356"/>
    <w:rsid w:val="609456E9"/>
    <w:rsid w:val="60A24FBB"/>
    <w:rsid w:val="60A317BF"/>
    <w:rsid w:val="60A9489A"/>
    <w:rsid w:val="60A96349"/>
    <w:rsid w:val="60B11BF2"/>
    <w:rsid w:val="60BA77D6"/>
    <w:rsid w:val="60BE791B"/>
    <w:rsid w:val="60C2740B"/>
    <w:rsid w:val="60C677C2"/>
    <w:rsid w:val="60CF14B0"/>
    <w:rsid w:val="60D97502"/>
    <w:rsid w:val="60E2185B"/>
    <w:rsid w:val="60EA0710"/>
    <w:rsid w:val="60EC4488"/>
    <w:rsid w:val="60FC612D"/>
    <w:rsid w:val="61077514"/>
    <w:rsid w:val="611044C3"/>
    <w:rsid w:val="61112140"/>
    <w:rsid w:val="611A2DA3"/>
    <w:rsid w:val="612A570B"/>
    <w:rsid w:val="612B3202"/>
    <w:rsid w:val="613C232B"/>
    <w:rsid w:val="614A3BE6"/>
    <w:rsid w:val="61504A17"/>
    <w:rsid w:val="615838CB"/>
    <w:rsid w:val="615A32B2"/>
    <w:rsid w:val="615E3D95"/>
    <w:rsid w:val="6166248C"/>
    <w:rsid w:val="61803A80"/>
    <w:rsid w:val="619E1C26"/>
    <w:rsid w:val="61A20314"/>
    <w:rsid w:val="61A86601"/>
    <w:rsid w:val="61AE798F"/>
    <w:rsid w:val="61B75763"/>
    <w:rsid w:val="61C736EB"/>
    <w:rsid w:val="61CE1DDF"/>
    <w:rsid w:val="61D3318F"/>
    <w:rsid w:val="61D75138"/>
    <w:rsid w:val="61D76EE6"/>
    <w:rsid w:val="61D80564"/>
    <w:rsid w:val="61D90AAC"/>
    <w:rsid w:val="61DE2B55"/>
    <w:rsid w:val="61DF5D9B"/>
    <w:rsid w:val="61E433B1"/>
    <w:rsid w:val="61F25ACE"/>
    <w:rsid w:val="61F335F4"/>
    <w:rsid w:val="61FA2BD4"/>
    <w:rsid w:val="61FC694D"/>
    <w:rsid w:val="61FE0917"/>
    <w:rsid w:val="62015D11"/>
    <w:rsid w:val="62035F2D"/>
    <w:rsid w:val="62053A53"/>
    <w:rsid w:val="62061EB4"/>
    <w:rsid w:val="62161F1A"/>
    <w:rsid w:val="62195750"/>
    <w:rsid w:val="62255EA3"/>
    <w:rsid w:val="62327C68"/>
    <w:rsid w:val="623460E6"/>
    <w:rsid w:val="62377985"/>
    <w:rsid w:val="624502F4"/>
    <w:rsid w:val="625620E7"/>
    <w:rsid w:val="625B7B17"/>
    <w:rsid w:val="626C5880"/>
    <w:rsid w:val="627209BD"/>
    <w:rsid w:val="6276651B"/>
    <w:rsid w:val="62775FD3"/>
    <w:rsid w:val="627B116C"/>
    <w:rsid w:val="62856942"/>
    <w:rsid w:val="62864468"/>
    <w:rsid w:val="628726BA"/>
    <w:rsid w:val="628A3F58"/>
    <w:rsid w:val="62917095"/>
    <w:rsid w:val="62943029"/>
    <w:rsid w:val="629C4DF2"/>
    <w:rsid w:val="629E6F56"/>
    <w:rsid w:val="62A019CE"/>
    <w:rsid w:val="62B31701"/>
    <w:rsid w:val="62B66AFB"/>
    <w:rsid w:val="62C54F90"/>
    <w:rsid w:val="62D376AD"/>
    <w:rsid w:val="62D92376"/>
    <w:rsid w:val="62E25FCE"/>
    <w:rsid w:val="62F73BC3"/>
    <w:rsid w:val="62FA7330"/>
    <w:rsid w:val="62FD472A"/>
    <w:rsid w:val="630C7063"/>
    <w:rsid w:val="63161C90"/>
    <w:rsid w:val="631E3289"/>
    <w:rsid w:val="63260125"/>
    <w:rsid w:val="63275833"/>
    <w:rsid w:val="63350368"/>
    <w:rsid w:val="63411747"/>
    <w:rsid w:val="634265E1"/>
    <w:rsid w:val="634C56B2"/>
    <w:rsid w:val="63513976"/>
    <w:rsid w:val="63576530"/>
    <w:rsid w:val="635A392B"/>
    <w:rsid w:val="6365408B"/>
    <w:rsid w:val="63666773"/>
    <w:rsid w:val="636B1FDC"/>
    <w:rsid w:val="636B52CA"/>
    <w:rsid w:val="63733D63"/>
    <w:rsid w:val="637C7D45"/>
    <w:rsid w:val="63834150"/>
    <w:rsid w:val="638E3088"/>
    <w:rsid w:val="639037F0"/>
    <w:rsid w:val="639808F7"/>
    <w:rsid w:val="639D5F0D"/>
    <w:rsid w:val="63A177AC"/>
    <w:rsid w:val="63A70B3A"/>
    <w:rsid w:val="63AB2BB6"/>
    <w:rsid w:val="63B01898"/>
    <w:rsid w:val="63B03E93"/>
    <w:rsid w:val="63B514A9"/>
    <w:rsid w:val="63BE65AF"/>
    <w:rsid w:val="63C0059F"/>
    <w:rsid w:val="63CD67F3"/>
    <w:rsid w:val="63CF3EF5"/>
    <w:rsid w:val="63D23E09"/>
    <w:rsid w:val="63D74F7B"/>
    <w:rsid w:val="63D80CF3"/>
    <w:rsid w:val="63D95197"/>
    <w:rsid w:val="63DE27AE"/>
    <w:rsid w:val="63E15DFA"/>
    <w:rsid w:val="63E37DC4"/>
    <w:rsid w:val="63E636A7"/>
    <w:rsid w:val="63E87188"/>
    <w:rsid w:val="63F26259"/>
    <w:rsid w:val="63F53EB7"/>
    <w:rsid w:val="63FF7F95"/>
    <w:rsid w:val="640104C5"/>
    <w:rsid w:val="640A350B"/>
    <w:rsid w:val="640D3093"/>
    <w:rsid w:val="64112FF4"/>
    <w:rsid w:val="641A01F0"/>
    <w:rsid w:val="64202DC6"/>
    <w:rsid w:val="64283A29"/>
    <w:rsid w:val="642D7291"/>
    <w:rsid w:val="642E1181"/>
    <w:rsid w:val="642F125B"/>
    <w:rsid w:val="64306D81"/>
    <w:rsid w:val="643423CE"/>
    <w:rsid w:val="64346872"/>
    <w:rsid w:val="643C74D4"/>
    <w:rsid w:val="64472AC9"/>
    <w:rsid w:val="644C3BBB"/>
    <w:rsid w:val="645111D2"/>
    <w:rsid w:val="645962D8"/>
    <w:rsid w:val="64634A61"/>
    <w:rsid w:val="646B7484"/>
    <w:rsid w:val="646F3406"/>
    <w:rsid w:val="64760588"/>
    <w:rsid w:val="64794284"/>
    <w:rsid w:val="647C1FC7"/>
    <w:rsid w:val="64803865"/>
    <w:rsid w:val="64843009"/>
    <w:rsid w:val="648B3FB8"/>
    <w:rsid w:val="64986E00"/>
    <w:rsid w:val="64A86918"/>
    <w:rsid w:val="64B33C3A"/>
    <w:rsid w:val="64C002CD"/>
    <w:rsid w:val="64C71494"/>
    <w:rsid w:val="64C71673"/>
    <w:rsid w:val="64CA1EE8"/>
    <w:rsid w:val="64CA2D32"/>
    <w:rsid w:val="64CD637E"/>
    <w:rsid w:val="64CE2822"/>
    <w:rsid w:val="64D8544F"/>
    <w:rsid w:val="64DD4813"/>
    <w:rsid w:val="64DD79D3"/>
    <w:rsid w:val="64E8140A"/>
    <w:rsid w:val="64EC2CA8"/>
    <w:rsid w:val="64EC4A56"/>
    <w:rsid w:val="64EE6A20"/>
    <w:rsid w:val="64F17B35"/>
    <w:rsid w:val="64FA719E"/>
    <w:rsid w:val="65075D34"/>
    <w:rsid w:val="651638D5"/>
    <w:rsid w:val="65180BC9"/>
    <w:rsid w:val="65273CE0"/>
    <w:rsid w:val="652F248F"/>
    <w:rsid w:val="653434CD"/>
    <w:rsid w:val="65393A14"/>
    <w:rsid w:val="653E102A"/>
    <w:rsid w:val="65431146"/>
    <w:rsid w:val="65436640"/>
    <w:rsid w:val="655D3BA6"/>
    <w:rsid w:val="65652A5B"/>
    <w:rsid w:val="656C5B97"/>
    <w:rsid w:val="657B402C"/>
    <w:rsid w:val="658A2326"/>
    <w:rsid w:val="658A426F"/>
    <w:rsid w:val="658B443E"/>
    <w:rsid w:val="6593581A"/>
    <w:rsid w:val="659832B3"/>
    <w:rsid w:val="659A32BD"/>
    <w:rsid w:val="659B647C"/>
    <w:rsid w:val="65AC02DD"/>
    <w:rsid w:val="65CB2D34"/>
    <w:rsid w:val="65EC0A86"/>
    <w:rsid w:val="65F53DDF"/>
    <w:rsid w:val="65FF4BB3"/>
    <w:rsid w:val="66012783"/>
    <w:rsid w:val="660202AA"/>
    <w:rsid w:val="6609788A"/>
    <w:rsid w:val="660D737A"/>
    <w:rsid w:val="66124991"/>
    <w:rsid w:val="661F0E5C"/>
    <w:rsid w:val="662B1179"/>
    <w:rsid w:val="662D5327"/>
    <w:rsid w:val="663B13AC"/>
    <w:rsid w:val="663D12E2"/>
    <w:rsid w:val="66430FEE"/>
    <w:rsid w:val="664F1741"/>
    <w:rsid w:val="664F7993"/>
    <w:rsid w:val="665054B9"/>
    <w:rsid w:val="6663423B"/>
    <w:rsid w:val="66677D5C"/>
    <w:rsid w:val="66721ADB"/>
    <w:rsid w:val="667320B9"/>
    <w:rsid w:val="66732A47"/>
    <w:rsid w:val="66770C98"/>
    <w:rsid w:val="66827441"/>
    <w:rsid w:val="66886A01"/>
    <w:rsid w:val="668A09CB"/>
    <w:rsid w:val="668B6498"/>
    <w:rsid w:val="668D2269"/>
    <w:rsid w:val="668F5FE1"/>
    <w:rsid w:val="66993C0F"/>
    <w:rsid w:val="669F17D2"/>
    <w:rsid w:val="66A17AC3"/>
    <w:rsid w:val="66A650D9"/>
    <w:rsid w:val="66AB43DF"/>
    <w:rsid w:val="66AC0939"/>
    <w:rsid w:val="66B141AA"/>
    <w:rsid w:val="66B773F9"/>
    <w:rsid w:val="66C04F3F"/>
    <w:rsid w:val="66C7475C"/>
    <w:rsid w:val="66CA434F"/>
    <w:rsid w:val="66CC0FE3"/>
    <w:rsid w:val="66D064BE"/>
    <w:rsid w:val="66D439F4"/>
    <w:rsid w:val="66DB2FD4"/>
    <w:rsid w:val="66DD79B9"/>
    <w:rsid w:val="66E77C5A"/>
    <w:rsid w:val="66E86B42"/>
    <w:rsid w:val="66F40D3F"/>
    <w:rsid w:val="66F66060"/>
    <w:rsid w:val="66F70DFE"/>
    <w:rsid w:val="670B4D18"/>
    <w:rsid w:val="67112F0D"/>
    <w:rsid w:val="6712451C"/>
    <w:rsid w:val="6740465D"/>
    <w:rsid w:val="6740552D"/>
    <w:rsid w:val="674C3ED2"/>
    <w:rsid w:val="674D77BA"/>
    <w:rsid w:val="674F5770"/>
    <w:rsid w:val="675039C2"/>
    <w:rsid w:val="67554F98"/>
    <w:rsid w:val="67571878"/>
    <w:rsid w:val="67582877"/>
    <w:rsid w:val="6765133B"/>
    <w:rsid w:val="67654F94"/>
    <w:rsid w:val="67686C9C"/>
    <w:rsid w:val="676A4DC8"/>
    <w:rsid w:val="67760F4F"/>
    <w:rsid w:val="67784CC7"/>
    <w:rsid w:val="678E44EB"/>
    <w:rsid w:val="679E3E90"/>
    <w:rsid w:val="679F04A6"/>
    <w:rsid w:val="67A36D59"/>
    <w:rsid w:val="67A41DAD"/>
    <w:rsid w:val="67A91325"/>
    <w:rsid w:val="67AE2497"/>
    <w:rsid w:val="67CE0D8B"/>
    <w:rsid w:val="67D0065F"/>
    <w:rsid w:val="67D30150"/>
    <w:rsid w:val="67D35A63"/>
    <w:rsid w:val="67D47668"/>
    <w:rsid w:val="67DF4006"/>
    <w:rsid w:val="67DF6AF4"/>
    <w:rsid w:val="67E16AD1"/>
    <w:rsid w:val="67E759A9"/>
    <w:rsid w:val="67EA0E7C"/>
    <w:rsid w:val="67ED7463"/>
    <w:rsid w:val="67EE0AE5"/>
    <w:rsid w:val="67F87BB6"/>
    <w:rsid w:val="67FC76A6"/>
    <w:rsid w:val="67FD6F7B"/>
    <w:rsid w:val="68010AE0"/>
    <w:rsid w:val="680D3662"/>
    <w:rsid w:val="6817003C"/>
    <w:rsid w:val="68174D80"/>
    <w:rsid w:val="68246BFD"/>
    <w:rsid w:val="6825436E"/>
    <w:rsid w:val="682639C2"/>
    <w:rsid w:val="683055A2"/>
    <w:rsid w:val="6832131A"/>
    <w:rsid w:val="6832366E"/>
    <w:rsid w:val="683430E3"/>
    <w:rsid w:val="68376930"/>
    <w:rsid w:val="683B73BA"/>
    <w:rsid w:val="68476448"/>
    <w:rsid w:val="684B25C6"/>
    <w:rsid w:val="684B6396"/>
    <w:rsid w:val="68570D81"/>
    <w:rsid w:val="68596C6B"/>
    <w:rsid w:val="685E210F"/>
    <w:rsid w:val="68703C8F"/>
    <w:rsid w:val="688558EE"/>
    <w:rsid w:val="688B4586"/>
    <w:rsid w:val="688D2C8C"/>
    <w:rsid w:val="688D47A2"/>
    <w:rsid w:val="689618A9"/>
    <w:rsid w:val="68A65864"/>
    <w:rsid w:val="68A67612"/>
    <w:rsid w:val="68AD274F"/>
    <w:rsid w:val="68B57855"/>
    <w:rsid w:val="68B63CF9"/>
    <w:rsid w:val="68B7537B"/>
    <w:rsid w:val="68BA0FB7"/>
    <w:rsid w:val="68D20407"/>
    <w:rsid w:val="68F7460A"/>
    <w:rsid w:val="68FB5BB0"/>
    <w:rsid w:val="69025709"/>
    <w:rsid w:val="690E2B8E"/>
    <w:rsid w:val="6915444D"/>
    <w:rsid w:val="692A3D9F"/>
    <w:rsid w:val="692C7B17"/>
    <w:rsid w:val="69320EA6"/>
    <w:rsid w:val="69387195"/>
    <w:rsid w:val="693B41FE"/>
    <w:rsid w:val="69412772"/>
    <w:rsid w:val="69437F8B"/>
    <w:rsid w:val="694C7725"/>
    <w:rsid w:val="69531548"/>
    <w:rsid w:val="69540E1C"/>
    <w:rsid w:val="695951BA"/>
    <w:rsid w:val="69763488"/>
    <w:rsid w:val="697D0373"/>
    <w:rsid w:val="69823BDB"/>
    <w:rsid w:val="69847953"/>
    <w:rsid w:val="69A753F0"/>
    <w:rsid w:val="69A97868"/>
    <w:rsid w:val="69AE335C"/>
    <w:rsid w:val="69B144C0"/>
    <w:rsid w:val="69B31FE7"/>
    <w:rsid w:val="69BB533F"/>
    <w:rsid w:val="69BD4C13"/>
    <w:rsid w:val="69C77840"/>
    <w:rsid w:val="69DA5D76"/>
    <w:rsid w:val="69EA352F"/>
    <w:rsid w:val="69EC374B"/>
    <w:rsid w:val="69FB22B3"/>
    <w:rsid w:val="69FC398E"/>
    <w:rsid w:val="69FD3262"/>
    <w:rsid w:val="69FF347E"/>
    <w:rsid w:val="6A042E4E"/>
    <w:rsid w:val="6A044840"/>
    <w:rsid w:val="6A154A4F"/>
    <w:rsid w:val="6A174595"/>
    <w:rsid w:val="6A182BB4"/>
    <w:rsid w:val="6A186EB1"/>
    <w:rsid w:val="6A1D56B2"/>
    <w:rsid w:val="6A205C1E"/>
    <w:rsid w:val="6A2B43FD"/>
    <w:rsid w:val="6A2C5DC6"/>
    <w:rsid w:val="6A2F784C"/>
    <w:rsid w:val="6A325601"/>
    <w:rsid w:val="6A356EA0"/>
    <w:rsid w:val="6A4D41E9"/>
    <w:rsid w:val="6A4E1D0F"/>
    <w:rsid w:val="6A4E7F61"/>
    <w:rsid w:val="6A5160E5"/>
    <w:rsid w:val="6A5A6906"/>
    <w:rsid w:val="6A602620"/>
    <w:rsid w:val="6A607681"/>
    <w:rsid w:val="6A607B56"/>
    <w:rsid w:val="6A6257BB"/>
    <w:rsid w:val="6A647785"/>
    <w:rsid w:val="6A6E23B2"/>
    <w:rsid w:val="6A745C1A"/>
    <w:rsid w:val="6A786D8C"/>
    <w:rsid w:val="6A7D07B7"/>
    <w:rsid w:val="6A843983"/>
    <w:rsid w:val="6A962AC7"/>
    <w:rsid w:val="6A975464"/>
    <w:rsid w:val="6A984CCC"/>
    <w:rsid w:val="6AA06A0F"/>
    <w:rsid w:val="6AA12950"/>
    <w:rsid w:val="6AA33E09"/>
    <w:rsid w:val="6AA420C1"/>
    <w:rsid w:val="6AA70E28"/>
    <w:rsid w:val="6AAA163C"/>
    <w:rsid w:val="6AAA31A8"/>
    <w:rsid w:val="6AB06526"/>
    <w:rsid w:val="6AB26742"/>
    <w:rsid w:val="6AC00E5F"/>
    <w:rsid w:val="6AC124E1"/>
    <w:rsid w:val="6AC63F9C"/>
    <w:rsid w:val="6AE10DD5"/>
    <w:rsid w:val="6AEC1C54"/>
    <w:rsid w:val="6AF1033A"/>
    <w:rsid w:val="6AFE1987"/>
    <w:rsid w:val="6B045D0A"/>
    <w:rsid w:val="6B076BA0"/>
    <w:rsid w:val="6B0845B4"/>
    <w:rsid w:val="6B2334C7"/>
    <w:rsid w:val="6B3B562C"/>
    <w:rsid w:val="6B3D425E"/>
    <w:rsid w:val="6B4123DD"/>
    <w:rsid w:val="6B4A74E9"/>
    <w:rsid w:val="6B513865"/>
    <w:rsid w:val="6B5415A7"/>
    <w:rsid w:val="6B5C220A"/>
    <w:rsid w:val="6B62363A"/>
    <w:rsid w:val="6B657311"/>
    <w:rsid w:val="6B660BDF"/>
    <w:rsid w:val="6B680BAF"/>
    <w:rsid w:val="6B843A4E"/>
    <w:rsid w:val="6B883AAC"/>
    <w:rsid w:val="6B8B761C"/>
    <w:rsid w:val="6BA50055"/>
    <w:rsid w:val="6BAE00DF"/>
    <w:rsid w:val="6BAE2264"/>
    <w:rsid w:val="6BBA3B00"/>
    <w:rsid w:val="6BBB6967"/>
    <w:rsid w:val="6BBE51DA"/>
    <w:rsid w:val="6BC06C3D"/>
    <w:rsid w:val="6BC3086A"/>
    <w:rsid w:val="6BC54253"/>
    <w:rsid w:val="6BC73B27"/>
    <w:rsid w:val="6BC92B9F"/>
    <w:rsid w:val="6BD10E4A"/>
    <w:rsid w:val="6BD34BC2"/>
    <w:rsid w:val="6BD66460"/>
    <w:rsid w:val="6BE74996"/>
    <w:rsid w:val="6BEA0A76"/>
    <w:rsid w:val="6C00528B"/>
    <w:rsid w:val="6C0C1E82"/>
    <w:rsid w:val="6C112375"/>
    <w:rsid w:val="6C116C1B"/>
    <w:rsid w:val="6C1A00FB"/>
    <w:rsid w:val="6C1D5E3D"/>
    <w:rsid w:val="6C20148A"/>
    <w:rsid w:val="6C2B67AC"/>
    <w:rsid w:val="6C30791F"/>
    <w:rsid w:val="6C313697"/>
    <w:rsid w:val="6C382C77"/>
    <w:rsid w:val="6C3C4515"/>
    <w:rsid w:val="6C4D6722"/>
    <w:rsid w:val="6C5C0714"/>
    <w:rsid w:val="6C75307C"/>
    <w:rsid w:val="6C757A27"/>
    <w:rsid w:val="6C7C2B64"/>
    <w:rsid w:val="6C875A7A"/>
    <w:rsid w:val="6C90649D"/>
    <w:rsid w:val="6C975BF0"/>
    <w:rsid w:val="6C9F5A48"/>
    <w:rsid w:val="6CA6657C"/>
    <w:rsid w:val="6CAB51F7"/>
    <w:rsid w:val="6CAC686A"/>
    <w:rsid w:val="6CAE39EF"/>
    <w:rsid w:val="6CB70040"/>
    <w:rsid w:val="6CB7402D"/>
    <w:rsid w:val="6CB967C4"/>
    <w:rsid w:val="6CBA18DE"/>
    <w:rsid w:val="6CC83FFB"/>
    <w:rsid w:val="6CCD33BF"/>
    <w:rsid w:val="6CD429A0"/>
    <w:rsid w:val="6CDC2652"/>
    <w:rsid w:val="6CE1330F"/>
    <w:rsid w:val="6CE556DE"/>
    <w:rsid w:val="6CEB1A97"/>
    <w:rsid w:val="6CEF1588"/>
    <w:rsid w:val="6CF05A72"/>
    <w:rsid w:val="6CFE7A1D"/>
    <w:rsid w:val="6D0112BB"/>
    <w:rsid w:val="6D0D5EB2"/>
    <w:rsid w:val="6D140D7C"/>
    <w:rsid w:val="6D1B05CF"/>
    <w:rsid w:val="6D1F7993"/>
    <w:rsid w:val="6D231231"/>
    <w:rsid w:val="6D2356D5"/>
    <w:rsid w:val="6D274616"/>
    <w:rsid w:val="6D2E1D6E"/>
    <w:rsid w:val="6D370590"/>
    <w:rsid w:val="6D372F2F"/>
    <w:rsid w:val="6D3C0545"/>
    <w:rsid w:val="6D4713C4"/>
    <w:rsid w:val="6D5000B9"/>
    <w:rsid w:val="6D5262B6"/>
    <w:rsid w:val="6D54588F"/>
    <w:rsid w:val="6D621CE7"/>
    <w:rsid w:val="6D657A9C"/>
    <w:rsid w:val="6D661726"/>
    <w:rsid w:val="6D6F4477"/>
    <w:rsid w:val="6D7221B9"/>
    <w:rsid w:val="6D77332B"/>
    <w:rsid w:val="6D7B106D"/>
    <w:rsid w:val="6D7B2E1B"/>
    <w:rsid w:val="6D7B79BF"/>
    <w:rsid w:val="6D806684"/>
    <w:rsid w:val="6D837F22"/>
    <w:rsid w:val="6D855A8D"/>
    <w:rsid w:val="6D953B09"/>
    <w:rsid w:val="6D9B34BE"/>
    <w:rsid w:val="6D9D349C"/>
    <w:rsid w:val="6DA305C4"/>
    <w:rsid w:val="6DA700B4"/>
    <w:rsid w:val="6DA87988"/>
    <w:rsid w:val="6DA9261C"/>
    <w:rsid w:val="6DAA3701"/>
    <w:rsid w:val="6DAF0D17"/>
    <w:rsid w:val="6DAF6F69"/>
    <w:rsid w:val="6DB1683D"/>
    <w:rsid w:val="6DBB590E"/>
    <w:rsid w:val="6DBE53FE"/>
    <w:rsid w:val="6DCA781C"/>
    <w:rsid w:val="6DCF760B"/>
    <w:rsid w:val="6DF130DE"/>
    <w:rsid w:val="6DF332FA"/>
    <w:rsid w:val="6DF350A8"/>
    <w:rsid w:val="6DFA6436"/>
    <w:rsid w:val="6E001573"/>
    <w:rsid w:val="6E02353D"/>
    <w:rsid w:val="6E054DDB"/>
    <w:rsid w:val="6E0B0643"/>
    <w:rsid w:val="6E1B63AC"/>
    <w:rsid w:val="6E27182F"/>
    <w:rsid w:val="6E2E4332"/>
    <w:rsid w:val="6E3659C8"/>
    <w:rsid w:val="6E384375"/>
    <w:rsid w:val="6E396833"/>
    <w:rsid w:val="6E3B6A4F"/>
    <w:rsid w:val="6E407BC1"/>
    <w:rsid w:val="6E443B55"/>
    <w:rsid w:val="6E565636"/>
    <w:rsid w:val="6E5E13AC"/>
    <w:rsid w:val="6E6050CB"/>
    <w:rsid w:val="6E623FDB"/>
    <w:rsid w:val="6E66135D"/>
    <w:rsid w:val="6E6A1A07"/>
    <w:rsid w:val="6E6C6C08"/>
    <w:rsid w:val="6E7A7577"/>
    <w:rsid w:val="6E843F52"/>
    <w:rsid w:val="6E867CCA"/>
    <w:rsid w:val="6E8F184C"/>
    <w:rsid w:val="6E97346F"/>
    <w:rsid w:val="6E9F6FDD"/>
    <w:rsid w:val="6EA42846"/>
    <w:rsid w:val="6EA840E4"/>
    <w:rsid w:val="6EB37723"/>
    <w:rsid w:val="6EBD7174"/>
    <w:rsid w:val="6ECB392F"/>
    <w:rsid w:val="6ECB748D"/>
    <w:rsid w:val="6ED31611"/>
    <w:rsid w:val="6ED371DF"/>
    <w:rsid w:val="6ED44ED9"/>
    <w:rsid w:val="6ED722D3"/>
    <w:rsid w:val="6ED906F0"/>
    <w:rsid w:val="6EE77854"/>
    <w:rsid w:val="6EEF534E"/>
    <w:rsid w:val="6F046E40"/>
    <w:rsid w:val="6F047E69"/>
    <w:rsid w:val="6F060E0B"/>
    <w:rsid w:val="6F0B01CF"/>
    <w:rsid w:val="6F0D2199"/>
    <w:rsid w:val="6F0E7CBF"/>
    <w:rsid w:val="6F1F1ECC"/>
    <w:rsid w:val="6F2179F2"/>
    <w:rsid w:val="6F2319BD"/>
    <w:rsid w:val="6F280D81"/>
    <w:rsid w:val="6F2D45E9"/>
    <w:rsid w:val="6F2D502F"/>
    <w:rsid w:val="6F3516F0"/>
    <w:rsid w:val="6F397E15"/>
    <w:rsid w:val="6F3E05A4"/>
    <w:rsid w:val="6F422179"/>
    <w:rsid w:val="6F4436E1"/>
    <w:rsid w:val="6F4638FD"/>
    <w:rsid w:val="6F4D6A39"/>
    <w:rsid w:val="6F6A75EB"/>
    <w:rsid w:val="6F7915DC"/>
    <w:rsid w:val="6F7B5A99"/>
    <w:rsid w:val="6F7F1E39"/>
    <w:rsid w:val="6F8306AD"/>
    <w:rsid w:val="6F877C9E"/>
    <w:rsid w:val="6F8F0E00"/>
    <w:rsid w:val="6F944788"/>
    <w:rsid w:val="6F977CB5"/>
    <w:rsid w:val="6F993A2D"/>
    <w:rsid w:val="6F9D176F"/>
    <w:rsid w:val="6FA04DBB"/>
    <w:rsid w:val="6FAE28B9"/>
    <w:rsid w:val="6FC427B3"/>
    <w:rsid w:val="6FCA008A"/>
    <w:rsid w:val="6FD56D4F"/>
    <w:rsid w:val="6FD607DD"/>
    <w:rsid w:val="6FD809F9"/>
    <w:rsid w:val="6FE23626"/>
    <w:rsid w:val="6FE74798"/>
    <w:rsid w:val="70045BCC"/>
    <w:rsid w:val="70096E04"/>
    <w:rsid w:val="700A3B58"/>
    <w:rsid w:val="700C06A3"/>
    <w:rsid w:val="70115CB9"/>
    <w:rsid w:val="70207CAA"/>
    <w:rsid w:val="70230F6F"/>
    <w:rsid w:val="702A28D7"/>
    <w:rsid w:val="703025E3"/>
    <w:rsid w:val="70392154"/>
    <w:rsid w:val="703F2970"/>
    <w:rsid w:val="7040659E"/>
    <w:rsid w:val="704D6232"/>
    <w:rsid w:val="704E2A69"/>
    <w:rsid w:val="705A140E"/>
    <w:rsid w:val="70626515"/>
    <w:rsid w:val="70634B65"/>
    <w:rsid w:val="70761FC0"/>
    <w:rsid w:val="707A1AB0"/>
    <w:rsid w:val="70800254"/>
    <w:rsid w:val="708368B6"/>
    <w:rsid w:val="70840239"/>
    <w:rsid w:val="708446DD"/>
    <w:rsid w:val="70903082"/>
    <w:rsid w:val="70926DFA"/>
    <w:rsid w:val="709826C3"/>
    <w:rsid w:val="70A46B2D"/>
    <w:rsid w:val="70A72179"/>
    <w:rsid w:val="70AE175A"/>
    <w:rsid w:val="70B30B1E"/>
    <w:rsid w:val="70CC398E"/>
    <w:rsid w:val="70CE3BAA"/>
    <w:rsid w:val="70D04D21"/>
    <w:rsid w:val="70D171F6"/>
    <w:rsid w:val="70E231B1"/>
    <w:rsid w:val="70E44F52"/>
    <w:rsid w:val="70E46F2A"/>
    <w:rsid w:val="70E76A1A"/>
    <w:rsid w:val="70EC5DDE"/>
    <w:rsid w:val="70F058CE"/>
    <w:rsid w:val="70F3716D"/>
    <w:rsid w:val="70F80C27"/>
    <w:rsid w:val="70F96E79"/>
    <w:rsid w:val="70FA383E"/>
    <w:rsid w:val="70FA499F"/>
    <w:rsid w:val="70FE6B2C"/>
    <w:rsid w:val="71025602"/>
    <w:rsid w:val="71073C86"/>
    <w:rsid w:val="710A3C02"/>
    <w:rsid w:val="710D46D2"/>
    <w:rsid w:val="710E21F8"/>
    <w:rsid w:val="710F3112"/>
    <w:rsid w:val="71234DDC"/>
    <w:rsid w:val="712E54BC"/>
    <w:rsid w:val="71325EE7"/>
    <w:rsid w:val="71397275"/>
    <w:rsid w:val="713F23B2"/>
    <w:rsid w:val="71520337"/>
    <w:rsid w:val="715220E5"/>
    <w:rsid w:val="715950AA"/>
    <w:rsid w:val="715F2A54"/>
    <w:rsid w:val="716500E8"/>
    <w:rsid w:val="71673929"/>
    <w:rsid w:val="716D6F1F"/>
    <w:rsid w:val="718C1A9B"/>
    <w:rsid w:val="718D75C1"/>
    <w:rsid w:val="71900E5F"/>
    <w:rsid w:val="71973F9C"/>
    <w:rsid w:val="719E7794"/>
    <w:rsid w:val="71A36DE5"/>
    <w:rsid w:val="71AB2DBC"/>
    <w:rsid w:val="71AF7537"/>
    <w:rsid w:val="71B82D06"/>
    <w:rsid w:val="71BB2380"/>
    <w:rsid w:val="71CD5C10"/>
    <w:rsid w:val="71CF1988"/>
    <w:rsid w:val="71D056C5"/>
    <w:rsid w:val="71D13952"/>
    <w:rsid w:val="71DA0D25"/>
    <w:rsid w:val="71DF766A"/>
    <w:rsid w:val="71E03B95"/>
    <w:rsid w:val="71E33685"/>
    <w:rsid w:val="71EA0570"/>
    <w:rsid w:val="71F118FE"/>
    <w:rsid w:val="71F374A0"/>
    <w:rsid w:val="71FF1D0A"/>
    <w:rsid w:val="72020F64"/>
    <w:rsid w:val="72022639"/>
    <w:rsid w:val="72031631"/>
    <w:rsid w:val="720A6576"/>
    <w:rsid w:val="72161365"/>
    <w:rsid w:val="72250002"/>
    <w:rsid w:val="723D2D95"/>
    <w:rsid w:val="723E48DD"/>
    <w:rsid w:val="72416085"/>
    <w:rsid w:val="72457E9C"/>
    <w:rsid w:val="724E4FA2"/>
    <w:rsid w:val="72534367"/>
    <w:rsid w:val="7256750B"/>
    <w:rsid w:val="72574CD0"/>
    <w:rsid w:val="72587BCF"/>
    <w:rsid w:val="725E2D0C"/>
    <w:rsid w:val="72676064"/>
    <w:rsid w:val="726E11A1"/>
    <w:rsid w:val="726E2F4F"/>
    <w:rsid w:val="7270316B"/>
    <w:rsid w:val="727B566C"/>
    <w:rsid w:val="72914E8F"/>
    <w:rsid w:val="729606F7"/>
    <w:rsid w:val="729C3F60"/>
    <w:rsid w:val="72B1108D"/>
    <w:rsid w:val="72B15531"/>
    <w:rsid w:val="72CE1C3F"/>
    <w:rsid w:val="72D1172F"/>
    <w:rsid w:val="72D47697"/>
    <w:rsid w:val="72E063AE"/>
    <w:rsid w:val="72E36108"/>
    <w:rsid w:val="72E66F89"/>
    <w:rsid w:val="72F66351"/>
    <w:rsid w:val="7301796E"/>
    <w:rsid w:val="7306587D"/>
    <w:rsid w:val="730D6C0C"/>
    <w:rsid w:val="7329156C"/>
    <w:rsid w:val="732D2E0A"/>
    <w:rsid w:val="732F23C3"/>
    <w:rsid w:val="733777E5"/>
    <w:rsid w:val="733E5017"/>
    <w:rsid w:val="734168B5"/>
    <w:rsid w:val="7349576A"/>
    <w:rsid w:val="73497518"/>
    <w:rsid w:val="734E2D80"/>
    <w:rsid w:val="73504D4A"/>
    <w:rsid w:val="736473A9"/>
    <w:rsid w:val="7379604F"/>
    <w:rsid w:val="737B6186"/>
    <w:rsid w:val="7384668B"/>
    <w:rsid w:val="738D38A8"/>
    <w:rsid w:val="739707B7"/>
    <w:rsid w:val="739A5FC5"/>
    <w:rsid w:val="73AB1F81"/>
    <w:rsid w:val="73AF3118"/>
    <w:rsid w:val="73BA21C4"/>
    <w:rsid w:val="73BE3A62"/>
    <w:rsid w:val="73C117A4"/>
    <w:rsid w:val="73C80D84"/>
    <w:rsid w:val="73CB5927"/>
    <w:rsid w:val="73CD639B"/>
    <w:rsid w:val="73D2750D"/>
    <w:rsid w:val="73D911F2"/>
    <w:rsid w:val="73D9133C"/>
    <w:rsid w:val="73E86D31"/>
    <w:rsid w:val="73ED2599"/>
    <w:rsid w:val="73FE6554"/>
    <w:rsid w:val="74017DF2"/>
    <w:rsid w:val="74081181"/>
    <w:rsid w:val="740A5F00"/>
    <w:rsid w:val="740A6CA7"/>
    <w:rsid w:val="7416389E"/>
    <w:rsid w:val="741B2C62"/>
    <w:rsid w:val="741C263E"/>
    <w:rsid w:val="742664D1"/>
    <w:rsid w:val="74416C47"/>
    <w:rsid w:val="74450BAF"/>
    <w:rsid w:val="74485A21"/>
    <w:rsid w:val="74486D25"/>
    <w:rsid w:val="74546174"/>
    <w:rsid w:val="745D771F"/>
    <w:rsid w:val="746A0242"/>
    <w:rsid w:val="746B75C1"/>
    <w:rsid w:val="746D7236"/>
    <w:rsid w:val="74746816"/>
    <w:rsid w:val="748034DD"/>
    <w:rsid w:val="748B60AA"/>
    <w:rsid w:val="748C1DB2"/>
    <w:rsid w:val="74911176"/>
    <w:rsid w:val="749649DF"/>
    <w:rsid w:val="749F1AE5"/>
    <w:rsid w:val="74A013B9"/>
    <w:rsid w:val="74B24BB1"/>
    <w:rsid w:val="74B60BDD"/>
    <w:rsid w:val="74B80DF9"/>
    <w:rsid w:val="74C4154C"/>
    <w:rsid w:val="74C43A63"/>
    <w:rsid w:val="74C90910"/>
    <w:rsid w:val="74CE4179"/>
    <w:rsid w:val="74D86DA5"/>
    <w:rsid w:val="74E1190B"/>
    <w:rsid w:val="74E62003"/>
    <w:rsid w:val="74E62DA2"/>
    <w:rsid w:val="74E81ABC"/>
    <w:rsid w:val="74EE481B"/>
    <w:rsid w:val="74F25D20"/>
    <w:rsid w:val="74F82FA3"/>
    <w:rsid w:val="74FC0CE6"/>
    <w:rsid w:val="74FF6D12"/>
    <w:rsid w:val="75096F5F"/>
    <w:rsid w:val="750B356A"/>
    <w:rsid w:val="751B4EE4"/>
    <w:rsid w:val="751C3136"/>
    <w:rsid w:val="7521699E"/>
    <w:rsid w:val="75227685"/>
    <w:rsid w:val="75232716"/>
    <w:rsid w:val="752C594B"/>
    <w:rsid w:val="752E14F6"/>
    <w:rsid w:val="752E4C17"/>
    <w:rsid w:val="75327854"/>
    <w:rsid w:val="75357D54"/>
    <w:rsid w:val="7544443B"/>
    <w:rsid w:val="754B3A1B"/>
    <w:rsid w:val="754B57C9"/>
    <w:rsid w:val="754C6CA4"/>
    <w:rsid w:val="754D7793"/>
    <w:rsid w:val="754F687D"/>
    <w:rsid w:val="75504B8E"/>
    <w:rsid w:val="755328D0"/>
    <w:rsid w:val="75571F66"/>
    <w:rsid w:val="755D72AA"/>
    <w:rsid w:val="75610B49"/>
    <w:rsid w:val="75662603"/>
    <w:rsid w:val="75703482"/>
    <w:rsid w:val="75715AA2"/>
    <w:rsid w:val="757271FA"/>
    <w:rsid w:val="75734D20"/>
    <w:rsid w:val="75750A98"/>
    <w:rsid w:val="75907680"/>
    <w:rsid w:val="75947170"/>
    <w:rsid w:val="759C7DD3"/>
    <w:rsid w:val="759C7F87"/>
    <w:rsid w:val="759E4BD2"/>
    <w:rsid w:val="75AD0232"/>
    <w:rsid w:val="75AE3377"/>
    <w:rsid w:val="75B07D22"/>
    <w:rsid w:val="75B23A9A"/>
    <w:rsid w:val="75BA5E27"/>
    <w:rsid w:val="75C0481F"/>
    <w:rsid w:val="75C116C2"/>
    <w:rsid w:val="75C2587C"/>
    <w:rsid w:val="75C31803"/>
    <w:rsid w:val="75C80BC8"/>
    <w:rsid w:val="75CB690A"/>
    <w:rsid w:val="75D7682C"/>
    <w:rsid w:val="75E579CC"/>
    <w:rsid w:val="75FB71EF"/>
    <w:rsid w:val="760A307F"/>
    <w:rsid w:val="760C2E49"/>
    <w:rsid w:val="760D143E"/>
    <w:rsid w:val="760D2A7F"/>
    <w:rsid w:val="761262E7"/>
    <w:rsid w:val="76135C4B"/>
    <w:rsid w:val="76165DD7"/>
    <w:rsid w:val="76172C0B"/>
    <w:rsid w:val="76197675"/>
    <w:rsid w:val="76204A6C"/>
    <w:rsid w:val="762116DB"/>
    <w:rsid w:val="7625601A"/>
    <w:rsid w:val="76291CAB"/>
    <w:rsid w:val="762B1157"/>
    <w:rsid w:val="76386003"/>
    <w:rsid w:val="763D58B3"/>
    <w:rsid w:val="76407928"/>
    <w:rsid w:val="76452218"/>
    <w:rsid w:val="76463996"/>
    <w:rsid w:val="76472558"/>
    <w:rsid w:val="76515061"/>
    <w:rsid w:val="765B28CC"/>
    <w:rsid w:val="766052A4"/>
    <w:rsid w:val="76607052"/>
    <w:rsid w:val="76701629"/>
    <w:rsid w:val="767174B1"/>
    <w:rsid w:val="76801F72"/>
    <w:rsid w:val="768216BE"/>
    <w:rsid w:val="76930697"/>
    <w:rsid w:val="769928BD"/>
    <w:rsid w:val="769A73DE"/>
    <w:rsid w:val="769B62DC"/>
    <w:rsid w:val="76AB28F4"/>
    <w:rsid w:val="76AC673B"/>
    <w:rsid w:val="76AE6010"/>
    <w:rsid w:val="76B4754A"/>
    <w:rsid w:val="76B64EC4"/>
    <w:rsid w:val="76BA387B"/>
    <w:rsid w:val="76BD26F7"/>
    <w:rsid w:val="76D33CC8"/>
    <w:rsid w:val="76E61C4D"/>
    <w:rsid w:val="76EC6B38"/>
    <w:rsid w:val="76F123A0"/>
    <w:rsid w:val="76F65C09"/>
    <w:rsid w:val="76F77E72"/>
    <w:rsid w:val="76FA7194"/>
    <w:rsid w:val="77000835"/>
    <w:rsid w:val="770E401C"/>
    <w:rsid w:val="7715608F"/>
    <w:rsid w:val="772033F9"/>
    <w:rsid w:val="772B7660"/>
    <w:rsid w:val="77313E6E"/>
    <w:rsid w:val="773678B1"/>
    <w:rsid w:val="77423355"/>
    <w:rsid w:val="774C5829"/>
    <w:rsid w:val="774E685C"/>
    <w:rsid w:val="77585F7B"/>
    <w:rsid w:val="775F3697"/>
    <w:rsid w:val="77636978"/>
    <w:rsid w:val="77705C78"/>
    <w:rsid w:val="77752FD1"/>
    <w:rsid w:val="7776200D"/>
    <w:rsid w:val="77796881"/>
    <w:rsid w:val="7791601C"/>
    <w:rsid w:val="77A11D45"/>
    <w:rsid w:val="77B822CE"/>
    <w:rsid w:val="77C6382D"/>
    <w:rsid w:val="77C71351"/>
    <w:rsid w:val="77DF30DC"/>
    <w:rsid w:val="77F55EC0"/>
    <w:rsid w:val="77F57061"/>
    <w:rsid w:val="77FA5D85"/>
    <w:rsid w:val="77FF289B"/>
    <w:rsid w:val="780A196C"/>
    <w:rsid w:val="780E6723"/>
    <w:rsid w:val="78104E1D"/>
    <w:rsid w:val="781140FE"/>
    <w:rsid w:val="78162634"/>
    <w:rsid w:val="781C169F"/>
    <w:rsid w:val="781F4CEB"/>
    <w:rsid w:val="782347DB"/>
    <w:rsid w:val="782D7408"/>
    <w:rsid w:val="783469E8"/>
    <w:rsid w:val="78374F2B"/>
    <w:rsid w:val="7840713B"/>
    <w:rsid w:val="784D1858"/>
    <w:rsid w:val="78537204"/>
    <w:rsid w:val="785D6A0E"/>
    <w:rsid w:val="78654DF4"/>
    <w:rsid w:val="786F17CF"/>
    <w:rsid w:val="78715547"/>
    <w:rsid w:val="7875067F"/>
    <w:rsid w:val="78760F2E"/>
    <w:rsid w:val="787966D5"/>
    <w:rsid w:val="78801C2E"/>
    <w:rsid w:val="788469DE"/>
    <w:rsid w:val="78866B18"/>
    <w:rsid w:val="789312E5"/>
    <w:rsid w:val="78A0407E"/>
    <w:rsid w:val="78A27DF6"/>
    <w:rsid w:val="78A771BA"/>
    <w:rsid w:val="78A82F32"/>
    <w:rsid w:val="78AE679B"/>
    <w:rsid w:val="78B35B5F"/>
    <w:rsid w:val="78B43685"/>
    <w:rsid w:val="78B55BA1"/>
    <w:rsid w:val="78CA10FB"/>
    <w:rsid w:val="78D22C09"/>
    <w:rsid w:val="78D52DDA"/>
    <w:rsid w:val="78D635FC"/>
    <w:rsid w:val="78DB3308"/>
    <w:rsid w:val="78E10096"/>
    <w:rsid w:val="78EA6370"/>
    <w:rsid w:val="78EA70A7"/>
    <w:rsid w:val="78EA72DC"/>
    <w:rsid w:val="78EF0B61"/>
    <w:rsid w:val="78F148D9"/>
    <w:rsid w:val="78F341AE"/>
    <w:rsid w:val="78F47F26"/>
    <w:rsid w:val="78FB7506"/>
    <w:rsid w:val="78FC6E6D"/>
    <w:rsid w:val="79022643"/>
    <w:rsid w:val="790D503A"/>
    <w:rsid w:val="79116D2A"/>
    <w:rsid w:val="79123ACF"/>
    <w:rsid w:val="7914420C"/>
    <w:rsid w:val="792000AE"/>
    <w:rsid w:val="79232452"/>
    <w:rsid w:val="79241866"/>
    <w:rsid w:val="792641C2"/>
    <w:rsid w:val="79347185"/>
    <w:rsid w:val="793629F7"/>
    <w:rsid w:val="793D367B"/>
    <w:rsid w:val="79494720"/>
    <w:rsid w:val="794B223C"/>
    <w:rsid w:val="79515378"/>
    <w:rsid w:val="795A69A1"/>
    <w:rsid w:val="795F7A95"/>
    <w:rsid w:val="79685433"/>
    <w:rsid w:val="79825532"/>
    <w:rsid w:val="798B7BC9"/>
    <w:rsid w:val="798D4602"/>
    <w:rsid w:val="79992863"/>
    <w:rsid w:val="799B34CC"/>
    <w:rsid w:val="79A31E15"/>
    <w:rsid w:val="79A61220"/>
    <w:rsid w:val="79B0209F"/>
    <w:rsid w:val="79B37DE1"/>
    <w:rsid w:val="79B853F7"/>
    <w:rsid w:val="79CD2C51"/>
    <w:rsid w:val="79D416AC"/>
    <w:rsid w:val="79DF2984"/>
    <w:rsid w:val="79E92219"/>
    <w:rsid w:val="79F3642F"/>
    <w:rsid w:val="79FC1788"/>
    <w:rsid w:val="7A0917AF"/>
    <w:rsid w:val="7A124B07"/>
    <w:rsid w:val="7A140880"/>
    <w:rsid w:val="7A3507F6"/>
    <w:rsid w:val="7A351ED1"/>
    <w:rsid w:val="7A355322"/>
    <w:rsid w:val="7A37631C"/>
    <w:rsid w:val="7A3F3423"/>
    <w:rsid w:val="7A48677B"/>
    <w:rsid w:val="7A58627D"/>
    <w:rsid w:val="7A777060"/>
    <w:rsid w:val="7A7C6E97"/>
    <w:rsid w:val="7A812B29"/>
    <w:rsid w:val="7A88301C"/>
    <w:rsid w:val="7A907ACC"/>
    <w:rsid w:val="7A9B68AB"/>
    <w:rsid w:val="7A9C0875"/>
    <w:rsid w:val="7AA17C39"/>
    <w:rsid w:val="7AA27811"/>
    <w:rsid w:val="7AA37E55"/>
    <w:rsid w:val="7AA80FC8"/>
    <w:rsid w:val="7AAF05A8"/>
    <w:rsid w:val="7AB20098"/>
    <w:rsid w:val="7AB50580"/>
    <w:rsid w:val="7AB60418"/>
    <w:rsid w:val="7AB94F83"/>
    <w:rsid w:val="7AC202DC"/>
    <w:rsid w:val="7AC4309D"/>
    <w:rsid w:val="7AD40949"/>
    <w:rsid w:val="7AD85D51"/>
    <w:rsid w:val="7AE606AF"/>
    <w:rsid w:val="7AEB6F78"/>
    <w:rsid w:val="7AF1296F"/>
    <w:rsid w:val="7AF550FE"/>
    <w:rsid w:val="7AFA4B66"/>
    <w:rsid w:val="7B000E04"/>
    <w:rsid w:val="7B0C77A9"/>
    <w:rsid w:val="7B114DBF"/>
    <w:rsid w:val="7B191EC6"/>
    <w:rsid w:val="7B1E42CB"/>
    <w:rsid w:val="7B2014A6"/>
    <w:rsid w:val="7B220D7A"/>
    <w:rsid w:val="7B2B4EA3"/>
    <w:rsid w:val="7B2F105B"/>
    <w:rsid w:val="7B32020E"/>
    <w:rsid w:val="7B407452"/>
    <w:rsid w:val="7B476A33"/>
    <w:rsid w:val="7B4B2B46"/>
    <w:rsid w:val="7B5B76F6"/>
    <w:rsid w:val="7B5D6256"/>
    <w:rsid w:val="7B5E5187"/>
    <w:rsid w:val="7B6437C0"/>
    <w:rsid w:val="7B650392"/>
    <w:rsid w:val="7B78100F"/>
    <w:rsid w:val="7B792AD1"/>
    <w:rsid w:val="7B7C2A25"/>
    <w:rsid w:val="7B7E6D3A"/>
    <w:rsid w:val="7B7F3977"/>
    <w:rsid w:val="7B851309"/>
    <w:rsid w:val="7B8A0FB0"/>
    <w:rsid w:val="7B933738"/>
    <w:rsid w:val="7B98103C"/>
    <w:rsid w:val="7B9854E0"/>
    <w:rsid w:val="7B98728E"/>
    <w:rsid w:val="7BA75723"/>
    <w:rsid w:val="7BB06386"/>
    <w:rsid w:val="7BB75966"/>
    <w:rsid w:val="7BC106B2"/>
    <w:rsid w:val="7BC4550F"/>
    <w:rsid w:val="7BC57958"/>
    <w:rsid w:val="7BC57FE0"/>
    <w:rsid w:val="7BD61B65"/>
    <w:rsid w:val="7BD858DD"/>
    <w:rsid w:val="7BD865C1"/>
    <w:rsid w:val="7BEE0176"/>
    <w:rsid w:val="7BF2196F"/>
    <w:rsid w:val="7BF332D2"/>
    <w:rsid w:val="7BFD4563"/>
    <w:rsid w:val="7C02545D"/>
    <w:rsid w:val="7C030BAC"/>
    <w:rsid w:val="7C0B7A60"/>
    <w:rsid w:val="7C1C1C6D"/>
    <w:rsid w:val="7C1F175E"/>
    <w:rsid w:val="7C211032"/>
    <w:rsid w:val="7C26515D"/>
    <w:rsid w:val="7C2B3C5E"/>
    <w:rsid w:val="7C3A7485"/>
    <w:rsid w:val="7C3C40BE"/>
    <w:rsid w:val="7C3E1BE4"/>
    <w:rsid w:val="7C3F770A"/>
    <w:rsid w:val="7C492337"/>
    <w:rsid w:val="7C4D0079"/>
    <w:rsid w:val="7C4F2043"/>
    <w:rsid w:val="7C5238E1"/>
    <w:rsid w:val="7C52743D"/>
    <w:rsid w:val="7C570EF7"/>
    <w:rsid w:val="7C5807CC"/>
    <w:rsid w:val="7C66738C"/>
    <w:rsid w:val="7C6C2CF0"/>
    <w:rsid w:val="7C701FB9"/>
    <w:rsid w:val="7C745605"/>
    <w:rsid w:val="7C7A1D6F"/>
    <w:rsid w:val="7C8D4919"/>
    <w:rsid w:val="7C920181"/>
    <w:rsid w:val="7C9C4B5C"/>
    <w:rsid w:val="7CA3128D"/>
    <w:rsid w:val="7CA53A11"/>
    <w:rsid w:val="7CA73C2D"/>
    <w:rsid w:val="7CB400F8"/>
    <w:rsid w:val="7CB56910"/>
    <w:rsid w:val="7CC145C3"/>
    <w:rsid w:val="7CC6377D"/>
    <w:rsid w:val="7CC83BA3"/>
    <w:rsid w:val="7CCF6CE0"/>
    <w:rsid w:val="7CDD5D49"/>
    <w:rsid w:val="7CE3127D"/>
    <w:rsid w:val="7CF20C20"/>
    <w:rsid w:val="7CF76385"/>
    <w:rsid w:val="7CFB5D27"/>
    <w:rsid w:val="7D0C3A90"/>
    <w:rsid w:val="7D23702C"/>
    <w:rsid w:val="7D256900"/>
    <w:rsid w:val="7D3210D7"/>
    <w:rsid w:val="7D385A52"/>
    <w:rsid w:val="7D39684F"/>
    <w:rsid w:val="7D550CCD"/>
    <w:rsid w:val="7D581939"/>
    <w:rsid w:val="7D594108"/>
    <w:rsid w:val="7D5A0C9F"/>
    <w:rsid w:val="7D5B0573"/>
    <w:rsid w:val="7D690EE2"/>
    <w:rsid w:val="7D6C2781"/>
    <w:rsid w:val="7D6C6800"/>
    <w:rsid w:val="7D6F2271"/>
    <w:rsid w:val="7D712728"/>
    <w:rsid w:val="7D7F0706"/>
    <w:rsid w:val="7D80447E"/>
    <w:rsid w:val="7D985ACE"/>
    <w:rsid w:val="7D99109C"/>
    <w:rsid w:val="7DA97531"/>
    <w:rsid w:val="7DB52379"/>
    <w:rsid w:val="7DBC3708"/>
    <w:rsid w:val="7DC83348"/>
    <w:rsid w:val="7DCE6497"/>
    <w:rsid w:val="7DD9089F"/>
    <w:rsid w:val="7DDF73F6"/>
    <w:rsid w:val="7DE762AB"/>
    <w:rsid w:val="7DF06F0E"/>
    <w:rsid w:val="7DF2712A"/>
    <w:rsid w:val="7DF37D93"/>
    <w:rsid w:val="7DFC1D56"/>
    <w:rsid w:val="7E016BE7"/>
    <w:rsid w:val="7E01736D"/>
    <w:rsid w:val="7E0273D1"/>
    <w:rsid w:val="7E0E1A8A"/>
    <w:rsid w:val="7E105802"/>
    <w:rsid w:val="7E17093E"/>
    <w:rsid w:val="7E1A735B"/>
    <w:rsid w:val="7E256583"/>
    <w:rsid w:val="7E2D1F10"/>
    <w:rsid w:val="7E325778"/>
    <w:rsid w:val="7E3808B5"/>
    <w:rsid w:val="7E3C2153"/>
    <w:rsid w:val="7E462FD2"/>
    <w:rsid w:val="7E490D14"/>
    <w:rsid w:val="7E5D031B"/>
    <w:rsid w:val="7E5F4093"/>
    <w:rsid w:val="7E645EDB"/>
    <w:rsid w:val="7E663674"/>
    <w:rsid w:val="7E6659B2"/>
    <w:rsid w:val="7E6815D7"/>
    <w:rsid w:val="7E687749"/>
    <w:rsid w:val="7E6D0456"/>
    <w:rsid w:val="7E7D0557"/>
    <w:rsid w:val="7E8458A8"/>
    <w:rsid w:val="7E8858D3"/>
    <w:rsid w:val="7E8A1D6F"/>
    <w:rsid w:val="7E952391"/>
    <w:rsid w:val="7E9A50CB"/>
    <w:rsid w:val="7E9E696A"/>
    <w:rsid w:val="7EA53A8B"/>
    <w:rsid w:val="7EA877E8"/>
    <w:rsid w:val="7EA96E43"/>
    <w:rsid w:val="7EAA3560"/>
    <w:rsid w:val="7EAB552B"/>
    <w:rsid w:val="7EB02B41"/>
    <w:rsid w:val="7EB50157"/>
    <w:rsid w:val="7EB67A34"/>
    <w:rsid w:val="7EC02D84"/>
    <w:rsid w:val="7EC108AA"/>
    <w:rsid w:val="7EC32874"/>
    <w:rsid w:val="7ECC2D22"/>
    <w:rsid w:val="7ED14F91"/>
    <w:rsid w:val="7ED43FE5"/>
    <w:rsid w:val="7EDE76AE"/>
    <w:rsid w:val="7EF7251E"/>
    <w:rsid w:val="7F005876"/>
    <w:rsid w:val="7F0A3FFF"/>
    <w:rsid w:val="7F1430D0"/>
    <w:rsid w:val="7F1B0AA6"/>
    <w:rsid w:val="7F1D59A3"/>
    <w:rsid w:val="7F1E7AAB"/>
    <w:rsid w:val="7F203823"/>
    <w:rsid w:val="7F231565"/>
    <w:rsid w:val="7F250E39"/>
    <w:rsid w:val="7F2C21C7"/>
    <w:rsid w:val="7F3161E6"/>
    <w:rsid w:val="7F385010"/>
    <w:rsid w:val="7F3C6183"/>
    <w:rsid w:val="7F3F30B4"/>
    <w:rsid w:val="7F484B27"/>
    <w:rsid w:val="7F4C0D3F"/>
    <w:rsid w:val="7F547970"/>
    <w:rsid w:val="7F5D6825"/>
    <w:rsid w:val="7F5F2B2B"/>
    <w:rsid w:val="7F623D8C"/>
    <w:rsid w:val="7F7F2C3F"/>
    <w:rsid w:val="7F8065C4"/>
    <w:rsid w:val="7F833DB1"/>
    <w:rsid w:val="7F855D7C"/>
    <w:rsid w:val="7F875650"/>
    <w:rsid w:val="7F930498"/>
    <w:rsid w:val="7F9513F7"/>
    <w:rsid w:val="7F965912"/>
    <w:rsid w:val="7F983D01"/>
    <w:rsid w:val="7FA73F44"/>
    <w:rsid w:val="7FB36445"/>
    <w:rsid w:val="7FBA7B65"/>
    <w:rsid w:val="7FCC7507"/>
    <w:rsid w:val="7FD10FC1"/>
    <w:rsid w:val="7FDA7E75"/>
    <w:rsid w:val="7FDE4F57"/>
    <w:rsid w:val="7FEF7D2B"/>
    <w:rsid w:val="7FFD3B6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3"/>
    <w:next w:val="1"/>
    <w:autoRedefine/>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Times New Roman"/>
      <w:sz w:val="30"/>
    </w:rPr>
  </w:style>
  <w:style w:type="paragraph" w:styleId="5">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6">
    <w:name w:val="caption"/>
    <w:basedOn w:val="1"/>
    <w:next w:val="1"/>
    <w:autoRedefine/>
    <w:qFormat/>
    <w:uiPriority w:val="0"/>
    <w:pPr>
      <w:widowControl/>
      <w:spacing w:line="400" w:lineRule="exact"/>
      <w:ind w:firstLine="200" w:firstLineChars="200"/>
      <w:jc w:val="left"/>
    </w:pPr>
    <w:rPr>
      <w:rFonts w:ascii="Arial" w:hAnsi="Arial" w:eastAsia="黑体" w:cs="Arial"/>
      <w:kern w:val="0"/>
      <w:sz w:val="20"/>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rPr>
      <w:rFonts w:ascii="Times New Roman" w:hAnsi="Times New Roman"/>
      <w:b/>
      <w:bCs/>
      <w:sz w:val="18"/>
    </w:rPr>
  </w:style>
  <w:style w:type="paragraph" w:styleId="9">
    <w:name w:val="toc 5"/>
    <w:basedOn w:val="1"/>
    <w:next w:val="1"/>
    <w:autoRedefine/>
    <w:unhideWhenUsed/>
    <w:qFormat/>
    <w:uiPriority w:val="39"/>
    <w:pPr>
      <w:ind w:left="1680" w:leftChars="800"/>
    </w:pPr>
    <w:rPr>
      <w:rFonts w:ascii="等线" w:hAnsi="等线" w:eastAsia="等线" w:cs="Times New Roman"/>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Body Text 2"/>
    <w:basedOn w:val="1"/>
    <w:next w:val="1"/>
    <w:autoRedefine/>
    <w:qFormat/>
    <w:uiPriority w:val="99"/>
    <w:pPr>
      <w:widowControl/>
      <w:adjustRightInd w:val="0"/>
      <w:snapToGrid w:val="0"/>
      <w:jc w:val="left"/>
    </w:pPr>
    <w:rPr>
      <w:rFonts w:ascii="宋体" w:hAnsi="Tahoma" w:cs="Times New Roman"/>
      <w:kern w:val="0"/>
      <w:szCs w:val="20"/>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3">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4">
    <w:name w:val="公式"/>
    <w:basedOn w:val="1"/>
    <w:autoRedefine/>
    <w:qFormat/>
    <w:uiPriority w:val="0"/>
    <w:pPr>
      <w:ind w:firstLine="567"/>
      <w:jc w:val="center"/>
    </w:pPr>
    <w:rPr>
      <w:rFonts w:ascii="Times New Roman" w:hAnsi="Times New Roman" w:eastAsia="宋体"/>
      <w:bCs/>
      <w:kern w:val="44"/>
      <w:sz w:val="24"/>
      <w:szCs w:val="44"/>
    </w:rPr>
  </w:style>
  <w:style w:type="paragraph" w:styleId="25">
    <w:name w:val="List Paragraph"/>
    <w:basedOn w:val="1"/>
    <w:autoRedefine/>
    <w:qFormat/>
    <w:uiPriority w:val="34"/>
    <w:pPr>
      <w:ind w:firstLine="420" w:firstLineChars="200"/>
    </w:pPr>
  </w:style>
  <w:style w:type="paragraph" w:customStyle="1" w:styleId="2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
    <w:name w:val="fontstyle01"/>
    <w:basedOn w:val="18"/>
    <w:autoRedefine/>
    <w:qFormat/>
    <w:uiPriority w:val="0"/>
    <w:rPr>
      <w:rFonts w:hint="default" w:ascii="TimesNewRomanPS-BoldMT" w:hAnsi="TimesNewRomanPS-BoldMT"/>
      <w:b/>
      <w:bCs/>
      <w:color w:val="000000"/>
      <w:sz w:val="24"/>
      <w:szCs w:val="24"/>
    </w:rPr>
  </w:style>
  <w:style w:type="paragraph" w:customStyle="1" w:styleId="28">
    <w:name w:val="子样式"/>
    <w:basedOn w:val="1"/>
    <w:autoRedefine/>
    <w:qFormat/>
    <w:uiPriority w:val="0"/>
    <w:pPr>
      <w:numPr>
        <w:ilvl w:val="3"/>
        <w:numId w:val="1"/>
      </w:numPr>
      <w:tabs>
        <w:tab w:val="left" w:pos="567"/>
        <w:tab w:val="left" w:pos="680"/>
        <w:tab w:val="left" w:pos="850"/>
        <w:tab w:val="left" w:pos="1134"/>
      </w:tabs>
      <w:ind w:left="0" w:firstLine="567"/>
    </w:pPr>
    <w:rPr>
      <w:rFonts w:cs="仿宋" w:asciiTheme="minorAscii" w:hAnsiTheme="minorAscii" w:eastAsiaTheme="minorEastAsia"/>
      <w:spacing w:val="-1"/>
      <w:sz w:val="24"/>
      <w:lang w:val="en-US"/>
    </w:rPr>
  </w:style>
  <w:style w:type="paragraph" w:customStyle="1" w:styleId="29">
    <w:name w:val="样式1"/>
    <w:basedOn w:val="1"/>
    <w:autoRedefine/>
    <w:qFormat/>
    <w:uiPriority w:val="0"/>
    <w:pPr>
      <w:numPr>
        <w:ilvl w:val="3"/>
        <w:numId w:val="2"/>
      </w:numPr>
      <w:ind w:firstLine="567"/>
    </w:pPr>
  </w:style>
  <w:style w:type="paragraph" w:customStyle="1" w:styleId="30">
    <w:name w:val="表格标题"/>
    <w:basedOn w:val="1"/>
    <w:autoRedefine/>
    <w:qFormat/>
    <w:uiPriority w:val="0"/>
    <w:pPr>
      <w:numPr>
        <w:ilvl w:val="4"/>
        <w:numId w:val="1"/>
      </w:numPr>
      <w:tabs>
        <w:tab w:val="left" w:pos="420"/>
        <w:tab w:val="clear" w:pos="0"/>
      </w:tabs>
      <w:ind w:left="991" w:hanging="991"/>
      <w:jc w:val="center"/>
    </w:pPr>
    <w:rPr>
      <w:rFonts w:cs="Times New Roman" w:asciiTheme="minorAscii" w:hAnsiTheme="minorAscii" w:eastAsiaTheme="minorEastAsia"/>
      <w:bCs/>
    </w:rPr>
  </w:style>
  <w:style w:type="paragraph" w:customStyle="1" w:styleId="31">
    <w:name w:val="表格"/>
    <w:basedOn w:val="1"/>
    <w:autoRedefine/>
    <w:qFormat/>
    <w:uiPriority w:val="0"/>
    <w:pPr>
      <w:numPr>
        <w:ilvl w:val="0"/>
        <w:numId w:val="0"/>
      </w:numPr>
      <w:autoSpaceDE/>
      <w:autoSpaceDN/>
      <w:jc w:val="center"/>
    </w:pPr>
    <w:rPr>
      <w:rFonts w:ascii="Times New Roman" w:hAnsi="Times New Roman" w:eastAsiaTheme="minorEastAsia" w:cstheme="minorBidi"/>
      <w:kern w:val="2"/>
      <w:sz w:val="21"/>
      <w:lang w:val="en-US" w:bidi="ar-SA"/>
    </w:rPr>
  </w:style>
  <w:style w:type="paragraph" w:customStyle="1" w:styleId="32">
    <w:name w:val="条文说明"/>
    <w:basedOn w:val="1"/>
    <w:autoRedefine/>
    <w:qFormat/>
    <w:uiPriority w:val="0"/>
    <w:pPr>
      <w:numPr>
        <w:ilvl w:val="0"/>
        <w:numId w:val="0"/>
      </w:numPr>
      <w:jc w:val="both"/>
    </w:pPr>
    <w:rPr>
      <w:rFonts w:hint="default" w:cs="仿宋" w:asciiTheme="minorAscii" w:hAnsiTheme="minorAscii" w:eastAsiaTheme="minorEastAsia"/>
      <w:spacing w:val="-1"/>
      <w:lang w:val="en-US"/>
    </w:rPr>
  </w:style>
  <w:style w:type="paragraph" w:customStyle="1" w:styleId="33">
    <w:name w:val="MTDisplayEquation"/>
    <w:basedOn w:val="1"/>
    <w:next w:val="1"/>
    <w:autoRedefine/>
    <w:qFormat/>
    <w:uiPriority w:val="0"/>
    <w:pPr>
      <w:tabs>
        <w:tab w:val="center" w:pos="4160"/>
        <w:tab w:val="right" w:pos="8300"/>
      </w:tabs>
      <w:autoSpaceDE/>
      <w:autoSpaceDN/>
      <w:ind w:firstLine="480" w:firstLineChars="200"/>
      <w:jc w:val="both"/>
    </w:pPr>
    <w:rPr>
      <w:rFonts w:ascii="Times New Roman" w:hAnsi="Times New Roman" w:eastAsiaTheme="minorEastAsia" w:cstheme="minorBidi"/>
      <w:kern w:val="2"/>
      <w:sz w:val="24"/>
      <w:lang w:val="en-US" w:bidi="ar-SA"/>
    </w:rPr>
  </w:style>
  <w:style w:type="character" w:customStyle="1" w:styleId="34">
    <w:name w:val="font41"/>
    <w:basedOn w:val="18"/>
    <w:qFormat/>
    <w:uiPriority w:val="0"/>
    <w:rPr>
      <w:rFonts w:hint="default" w:ascii="Segoe UI" w:hAnsi="Segoe UI" w:eastAsia="Segoe UI" w:cs="Segoe UI"/>
      <w:color w:val="0F1115"/>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932</Words>
  <Characters>1744</Characters>
  <Lines>0</Lines>
  <Paragraphs>0</Paragraphs>
  <TotalTime>2</TotalTime>
  <ScaleCrop>false</ScaleCrop>
  <LinksUpToDate>false</LinksUpToDate>
  <CharactersWithSpaces>2173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2023-01-06T06:07:00Z</dcterms:created>
  <dc:creator>肖承波</dc:creator>
  <cp:lastModifiedBy>Star</cp:lastModifiedBy>
  <cp:lastPrinted>2025-10-16T08:55:00Z</cp:lastPrinted>
  <dcterms:modified xsi:type="dcterms:W3CDTF">2025-10-17T08:26:48Z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658EDE58B37942E0A9D574A9001BB9CA_13</vt:lpwstr>
  </property>
  <property fmtid="{D5CDD505-2E9C-101B-9397-08002B2CF9AE}" pid="4" name="KSOTemplateDocerSaveRecord">
    <vt:lpwstr>eyJoZGlkIjoiN2E2MjRiNGY4MGQyOGQwNGQ5NGQxOTE5OWQxODMxMDEiLCJ1c2VySWQiOiIzNTIwODYyMDUifQ==</vt:lpwstr>
  </property>
</Properties>
</file>