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662E7">
      <w:pPr>
        <w:spacing w:line="360" w:lineRule="auto"/>
        <w:jc w:val="left"/>
        <w:rPr>
          <w:rFonts w:hint="default" w:ascii="Times New Roman" w:hAnsi="Times New Roman" w:cs="Times New Roman"/>
          <w:color w:val="auto"/>
          <w:kern w:val="2"/>
          <w:sz w:val="36"/>
          <w:szCs w:val="22"/>
        </w:rPr>
      </w:pPr>
      <w:r>
        <w:rPr>
          <w:rFonts w:hint="default" w:ascii="Times New Roman" w:hAnsi="Times New Roman" w:cs="Times New Roman"/>
          <w:color w:val="auto"/>
          <w:kern w:val="2"/>
          <w:sz w:val="28"/>
        </w:rPr>
        <w:t>备案号:</w:t>
      </w:r>
      <w:r>
        <w:rPr>
          <w:rFonts w:hint="default" w:ascii="Times New Roman" w:hAnsi="Times New Roman" w:cs="Times New Roman"/>
          <w:color w:val="auto"/>
          <w:sz w:val="28"/>
        </w:rPr>
        <w:t>JXXXXX-XXXX</w:t>
      </w:r>
    </w:p>
    <w:p w14:paraId="169AC67B">
      <w:pPr>
        <w:spacing w:line="360" w:lineRule="auto"/>
        <w:ind w:firstLine="160"/>
        <w:jc w:val="right"/>
        <w:rPr>
          <w:rFonts w:hint="default" w:ascii="Times New Roman" w:hAnsi="Times New Roman" w:cs="Times New Roman"/>
          <w:color w:val="auto"/>
          <w:kern w:val="2"/>
          <w:sz w:val="36"/>
          <w:szCs w:val="22"/>
        </w:rPr>
      </w:pPr>
    </w:p>
    <w:p w14:paraId="507808B1">
      <w:pPr>
        <w:spacing w:line="360" w:lineRule="auto"/>
        <w:ind w:firstLine="160"/>
        <w:jc w:val="center"/>
        <w:rPr>
          <w:rFonts w:hint="default" w:ascii="Times New Roman" w:hAnsi="Times New Roman" w:cs="Times New Roman"/>
          <w:color w:val="auto"/>
          <w:sz w:val="36"/>
          <w:szCs w:val="22"/>
        </w:rPr>
      </w:pPr>
      <w:r>
        <w:rPr>
          <w:rFonts w:hint="default" w:ascii="Times New Roman" w:hAnsi="Times New Roman" w:cs="Times New Roman"/>
          <w:color w:val="auto"/>
          <w:kern w:val="2"/>
          <w:sz w:val="36"/>
          <w:szCs w:val="22"/>
        </w:rPr>
        <w:t>四川省工程建设地方标准</w:t>
      </w:r>
      <w:r>
        <w:rPr>
          <w:rFonts w:hint="default" w:ascii="Times New Roman" w:hAnsi="Times New Roman" w:cs="Times New Roman"/>
          <w:color w:val="auto"/>
          <w:kern w:val="2"/>
          <w:sz w:val="72"/>
          <w:szCs w:val="22"/>
        </w:rPr>
        <w:pict>
          <v:shape id="_x0000_i1025" o:spt="136" type="#_x0000_t136" style="height:15.6pt;width:45.5pt;" filled="t" stroked="f" coordsize="21600,21600">
            <v:path/>
            <v:fill type="gradient" on="t" color2="#AAAAAA" focussize="0f,0f"/>
            <v:stroke on="f"/>
            <v:imagedata o:title=""/>
            <o:lock v:ext="edit"/>
            <v:textpath on="t" fitshape="t" fitpath="t" trim="t" xscale="f" string="DB" style="font-family:宋体;font-size:36pt;v-text-align:center;v-text-spacing:78650f;"/>
            <v:shadow on="t" color="#4D4D4D" opacity="52429f" offset="2pt,3pt"/>
            <w10:wrap type="none"/>
            <w10:anchorlock/>
          </v:shape>
        </w:pict>
      </w:r>
      <w:bookmarkStart w:id="0" w:name="_Toc385024256"/>
    </w:p>
    <w:p w14:paraId="101F464A">
      <w:pPr>
        <w:spacing w:line="360" w:lineRule="auto"/>
        <w:ind w:firstLine="160"/>
        <w:jc w:val="right"/>
        <w:rPr>
          <w:rFonts w:hint="default" w:ascii="Times New Roman" w:hAnsi="Times New Roman" w:cs="Times New Roman"/>
          <w:color w:val="auto"/>
          <w:sz w:val="36"/>
          <w:szCs w:val="22"/>
        </w:rPr>
      </w:pPr>
    </w:p>
    <w:p w14:paraId="6017C79A">
      <w:pPr>
        <w:spacing w:line="360" w:lineRule="auto"/>
        <w:ind w:firstLine="160"/>
        <w:jc w:val="left"/>
        <w:rPr>
          <w:rFonts w:hint="default" w:ascii="Times New Roman" w:hAnsi="Times New Roman" w:cs="Times New Roman"/>
          <w:color w:val="auto"/>
          <w:kern w:val="2"/>
          <w:szCs w:val="22"/>
        </w:rPr>
      </w:pPr>
      <w:r>
        <w:rPr>
          <w:rFonts w:hint="default" w:ascii="Times New Roman" w:hAnsi="Times New Roman" w:cs="Times New Roman"/>
          <w:color w:val="auto"/>
          <w:sz w:val="36"/>
          <w:szCs w:val="22"/>
        </w:rPr>
        <w:t xml:space="preserve">P                             </w:t>
      </w:r>
      <w:r>
        <w:rPr>
          <w:rFonts w:hint="default" w:ascii="Times New Roman" w:hAnsi="Times New Roman" w:cs="Times New Roman"/>
          <w:color w:val="auto"/>
          <w:sz w:val="28"/>
          <w:szCs w:val="28"/>
        </w:rPr>
        <w:t>DBXXXX—XXXX</w:t>
      </w:r>
      <w:bookmarkEnd w:id="0"/>
    </w:p>
    <w:p w14:paraId="4BD6F947">
      <w:pPr>
        <w:spacing w:line="360" w:lineRule="auto"/>
        <w:ind w:firstLine="160"/>
        <w:jc w:val="left"/>
        <w:rPr>
          <w:rFonts w:hint="default" w:ascii="Times New Roman" w:hAnsi="Times New Roman" w:cs="Times New Roman"/>
          <w:color w:val="auto"/>
          <w:kern w:val="2"/>
          <w:szCs w:val="22"/>
        </w:rPr>
      </w:pPr>
    </w:p>
    <w:p w14:paraId="56369BF8">
      <w:pPr>
        <w:spacing w:line="360" w:lineRule="auto"/>
        <w:ind w:firstLine="160"/>
        <w:jc w:val="left"/>
        <w:rPr>
          <w:rFonts w:hint="default" w:ascii="Times New Roman" w:hAnsi="Times New Roman" w:cs="Times New Roman"/>
          <w:color w:val="auto"/>
          <w:kern w:val="2"/>
          <w:szCs w:val="22"/>
        </w:rPr>
      </w:pPr>
    </w:p>
    <w:p w14:paraId="56F37E4D">
      <w:pPr>
        <w:spacing w:line="360" w:lineRule="auto"/>
        <w:ind w:firstLine="160"/>
        <w:jc w:val="left"/>
        <w:rPr>
          <w:rFonts w:hint="default" w:ascii="Times New Roman" w:hAnsi="Times New Roman" w:cs="Times New Roman"/>
          <w:color w:val="auto"/>
          <w:kern w:val="2"/>
          <w:sz w:val="44"/>
          <w:szCs w:val="44"/>
        </w:rPr>
      </w:pPr>
    </w:p>
    <w:p w14:paraId="0DACB61F">
      <w:pPr>
        <w:spacing w:line="360" w:lineRule="auto"/>
        <w:jc w:val="center"/>
        <w:rPr>
          <w:rFonts w:hint="default" w:ascii="Times New Roman" w:hAnsi="Times New Roman" w:eastAsia="方正小标宋简体" w:cs="Times New Roman"/>
          <w:color w:val="auto"/>
          <w:kern w:val="2"/>
          <w:sz w:val="48"/>
          <w:szCs w:val="48"/>
        </w:rPr>
      </w:pPr>
      <w:r>
        <w:rPr>
          <w:rFonts w:hint="default" w:ascii="Times New Roman" w:hAnsi="Times New Roman" w:eastAsia="方正小标宋简体" w:cs="Times New Roman"/>
          <w:color w:val="auto"/>
          <w:kern w:val="2"/>
          <w:sz w:val="48"/>
          <w:szCs w:val="48"/>
        </w:rPr>
        <w:t>四川省排水管道非开挖修复技术规程</w:t>
      </w:r>
    </w:p>
    <w:p w14:paraId="6B90553B">
      <w:pPr>
        <w:spacing w:line="360" w:lineRule="auto"/>
        <w:jc w:val="center"/>
        <w:rPr>
          <w:rFonts w:hint="default" w:ascii="Times New Roman" w:hAnsi="Times New Roman" w:eastAsia="宋体" w:cs="Times New Roman"/>
          <w:color w:val="auto"/>
          <w:kern w:val="2"/>
          <w:sz w:val="36"/>
          <w:szCs w:val="36"/>
          <w:lang w:val="en-US" w:eastAsia="zh-CN"/>
        </w:rPr>
      </w:pPr>
      <w:r>
        <w:rPr>
          <w:rFonts w:hint="default" w:ascii="Times New Roman" w:hAnsi="Times New Roman" w:cs="Times New Roman"/>
          <w:color w:val="auto"/>
          <w:kern w:val="2"/>
          <w:sz w:val="36"/>
          <w:szCs w:val="36"/>
        </w:rPr>
        <w:t>Technical Specification for trenchless rehabilitation of  sewer pipeline</w:t>
      </w:r>
      <w:r>
        <w:rPr>
          <w:rFonts w:hint="default" w:ascii="Times New Roman" w:hAnsi="Times New Roman" w:cs="Times New Roman"/>
          <w:color w:val="auto"/>
          <w:kern w:val="2"/>
          <w:sz w:val="36"/>
          <w:szCs w:val="36"/>
          <w:lang w:val="en-US" w:eastAsia="zh-CN"/>
        </w:rPr>
        <w:t xml:space="preserve"> </w:t>
      </w:r>
      <w:r>
        <w:rPr>
          <w:rFonts w:hint="default" w:ascii="Times New Roman" w:hAnsi="Times New Roman" w:cs="Times New Roman"/>
          <w:color w:val="auto"/>
          <w:kern w:val="2"/>
          <w:sz w:val="36"/>
          <w:szCs w:val="36"/>
        </w:rPr>
        <w:t>in Sichuan Province</w:t>
      </w:r>
    </w:p>
    <w:p w14:paraId="6B082E6E">
      <w:pPr>
        <w:spacing w:line="360" w:lineRule="auto"/>
        <w:jc w:val="both"/>
        <w:rPr>
          <w:rFonts w:hint="default" w:ascii="Times New Roman" w:hAnsi="Times New Roman" w:cs="Times New Roman"/>
          <w:color w:val="auto"/>
          <w:kern w:val="2"/>
          <w:sz w:val="36"/>
          <w:szCs w:val="22"/>
          <w:u w:val="single"/>
        </w:rPr>
      </w:pPr>
    </w:p>
    <w:p w14:paraId="09CDA082">
      <w:pPr>
        <w:spacing w:line="360" w:lineRule="auto"/>
        <w:jc w:val="center"/>
        <w:rPr>
          <w:rFonts w:hint="default" w:ascii="Times New Roman" w:hAnsi="Times New Roman" w:cs="Times New Roman"/>
          <w:color w:val="auto"/>
          <w:kern w:val="2"/>
          <w:sz w:val="44"/>
          <w:szCs w:val="44"/>
        </w:rPr>
      </w:pPr>
    </w:p>
    <w:p w14:paraId="77BA79E7">
      <w:pPr>
        <w:spacing w:line="360" w:lineRule="auto"/>
        <w:jc w:val="center"/>
        <w:rPr>
          <w:rFonts w:hint="default" w:ascii="Times New Roman" w:hAnsi="Times New Roman" w:cs="Times New Roman"/>
          <w:color w:val="auto"/>
          <w:kern w:val="2"/>
          <w:sz w:val="36"/>
          <w:szCs w:val="44"/>
        </w:rPr>
      </w:pPr>
      <w:r>
        <w:rPr>
          <w:rFonts w:hint="default" w:ascii="Times New Roman" w:hAnsi="Times New Roman" w:cs="Times New Roman"/>
          <w:color w:val="auto"/>
          <w:kern w:val="2"/>
          <w:sz w:val="36"/>
          <w:szCs w:val="44"/>
        </w:rPr>
        <w:t xml:space="preserve"> </w:t>
      </w:r>
    </w:p>
    <w:p w14:paraId="5DC144D4">
      <w:pPr>
        <w:spacing w:line="360" w:lineRule="auto"/>
        <w:rPr>
          <w:rFonts w:hint="default" w:ascii="Times New Roman" w:hAnsi="Times New Roman" w:cs="Times New Roman"/>
          <w:color w:val="auto"/>
          <w:kern w:val="2"/>
          <w:sz w:val="36"/>
          <w:szCs w:val="22"/>
          <w:u w:val="single"/>
        </w:rPr>
      </w:pPr>
    </w:p>
    <w:p w14:paraId="55317A00">
      <w:pPr>
        <w:spacing w:line="360" w:lineRule="auto"/>
        <w:jc w:val="center"/>
        <w:rPr>
          <w:rFonts w:hint="default" w:ascii="Times New Roman" w:hAnsi="Times New Roman" w:cs="Times New Roman"/>
          <w:color w:val="auto"/>
          <w:kern w:val="2"/>
          <w:sz w:val="36"/>
          <w:szCs w:val="22"/>
          <w:u w:val="single"/>
        </w:rPr>
      </w:pPr>
    </w:p>
    <w:p w14:paraId="184778F8">
      <w:pPr>
        <w:spacing w:line="360" w:lineRule="auto"/>
        <w:jc w:val="center"/>
        <w:rPr>
          <w:rFonts w:hint="default" w:ascii="Times New Roman" w:hAnsi="Times New Roman" w:cs="Times New Roman"/>
          <w:color w:val="auto"/>
          <w:kern w:val="2"/>
          <w:sz w:val="36"/>
          <w:szCs w:val="22"/>
          <w:u w:val="single"/>
        </w:rPr>
      </w:pPr>
      <w:r>
        <w:rPr>
          <w:rFonts w:hint="default" w:ascii="Times New Roman" w:hAnsi="Times New Roman" w:cs="Times New Roman"/>
          <w:color w:val="auto"/>
          <w:kern w:val="2"/>
          <w:sz w:val="36"/>
          <w:szCs w:val="44"/>
        </w:rPr>
        <w:t>(</w:t>
      </w:r>
      <w:r>
        <w:rPr>
          <w:rFonts w:hint="default" w:ascii="Times New Roman" w:hAnsi="Times New Roman" w:cs="Times New Roman"/>
          <w:color w:val="auto"/>
          <w:kern w:val="2"/>
          <w:sz w:val="36"/>
          <w:szCs w:val="44"/>
          <w:lang w:val="en-US" w:eastAsia="zh-CN"/>
        </w:rPr>
        <w:t>征求意见</w:t>
      </w:r>
      <w:r>
        <w:rPr>
          <w:rFonts w:hint="default" w:ascii="Times New Roman" w:hAnsi="Times New Roman" w:cs="Times New Roman"/>
          <w:color w:val="auto"/>
          <w:kern w:val="2"/>
          <w:sz w:val="36"/>
          <w:szCs w:val="44"/>
        </w:rPr>
        <w:t>稿)</w:t>
      </w:r>
    </w:p>
    <w:p w14:paraId="1CD25229">
      <w:pPr>
        <w:spacing w:line="360" w:lineRule="auto"/>
        <w:jc w:val="center"/>
        <w:rPr>
          <w:rFonts w:hint="default" w:ascii="Times New Roman" w:hAnsi="Times New Roman" w:cs="Times New Roman"/>
          <w:color w:val="auto"/>
          <w:kern w:val="2"/>
          <w:sz w:val="36"/>
          <w:szCs w:val="22"/>
          <w:u w:val="single"/>
        </w:rPr>
      </w:pPr>
    </w:p>
    <w:p w14:paraId="7343FAEF">
      <w:pPr>
        <w:spacing w:line="360" w:lineRule="auto"/>
        <w:jc w:val="center"/>
        <w:rPr>
          <w:rFonts w:hint="default" w:ascii="Times New Roman" w:hAnsi="Times New Roman" w:cs="Times New Roman"/>
          <w:color w:val="auto"/>
          <w:kern w:val="2"/>
          <w:sz w:val="36"/>
          <w:szCs w:val="22"/>
          <w:u w:val="single"/>
        </w:rPr>
      </w:pPr>
    </w:p>
    <w:p w14:paraId="5C813174">
      <w:pPr>
        <w:spacing w:line="360" w:lineRule="auto"/>
        <w:jc w:val="center"/>
        <w:rPr>
          <w:rFonts w:hint="default" w:ascii="Times New Roman" w:hAnsi="Times New Roman" w:cs="Times New Roman"/>
          <w:color w:val="auto"/>
          <w:kern w:val="2"/>
          <w:sz w:val="36"/>
          <w:szCs w:val="22"/>
          <w:u w:val="single"/>
        </w:rPr>
      </w:pPr>
    </w:p>
    <w:p w14:paraId="5984CE7E">
      <w:pPr>
        <w:spacing w:line="360" w:lineRule="auto"/>
        <w:jc w:val="center"/>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u w:val="single"/>
        </w:rPr>
        <w:t>XXXX-XX-XX发布                     XXXX-XX-XX实施</w:t>
      </w:r>
    </w:p>
    <w:p w14:paraId="5E56ACFB">
      <w:pPr>
        <w:tabs>
          <w:tab w:val="left" w:pos="2235"/>
          <w:tab w:val="center" w:pos="4422"/>
        </w:tabs>
        <w:spacing w:line="360" w:lineRule="auto"/>
        <w:ind w:left="650" w:right="640" w:hanging="650" w:hangingChars="250"/>
        <w:jc w:val="center"/>
        <w:rPr>
          <w:rFonts w:hint="default" w:ascii="Times New Roman" w:hAnsi="Times New Roman" w:eastAsia="黑体" w:cs="Times New Roman"/>
          <w:color w:val="auto"/>
          <w:kern w:val="2"/>
          <w:sz w:val="28"/>
          <w:szCs w:val="28"/>
        </w:rPr>
      </w:pPr>
      <w:r>
        <w:rPr>
          <w:rFonts w:hint="default" w:ascii="Times New Roman" w:hAnsi="Times New Roman" w:eastAsia="黑体" w:cs="Times New Roman"/>
          <w:color w:val="auto"/>
          <w:spacing w:val="-10"/>
          <w:kern w:val="2"/>
          <w:sz w:val="28"/>
          <w:szCs w:val="28"/>
        </w:rPr>
        <w:t xml:space="preserve">四川省住房和城乡建设厅     </w:t>
      </w:r>
      <w:r>
        <w:rPr>
          <w:rFonts w:hint="default" w:ascii="Times New Roman" w:hAnsi="Times New Roman" w:eastAsia="黑体" w:cs="Times New Roman"/>
          <w:color w:val="auto"/>
          <w:kern w:val="2"/>
          <w:sz w:val="28"/>
          <w:szCs w:val="28"/>
        </w:rPr>
        <w:t>发布</w:t>
      </w:r>
    </w:p>
    <w:p w14:paraId="375B947B">
      <w:pPr>
        <w:widowControl/>
        <w:spacing w:line="360" w:lineRule="auto"/>
        <w:jc w:val="center"/>
        <w:rPr>
          <w:rFonts w:hint="default" w:ascii="Times New Roman" w:hAnsi="Times New Roman" w:eastAsia="仿宋" w:cs="Times New Roman"/>
          <w:b/>
          <w:color w:val="auto"/>
          <w:kern w:val="2"/>
          <w:sz w:val="36"/>
          <w:szCs w:val="36"/>
        </w:rPr>
        <w:sectPr>
          <w:footerReference r:id="rId5" w:type="default"/>
          <w:pgSz w:w="11906" w:h="16838"/>
          <w:pgMar w:top="1440" w:right="1800" w:bottom="1440" w:left="1800" w:header="851" w:footer="992" w:gutter="0"/>
          <w:cols w:space="425" w:num="1"/>
          <w:docGrid w:type="lines" w:linePitch="312" w:charSpace="0"/>
        </w:sectPr>
      </w:pPr>
    </w:p>
    <w:p w14:paraId="20BB560B">
      <w:pPr>
        <w:widowControl/>
        <w:spacing w:line="360" w:lineRule="auto"/>
        <w:jc w:val="center"/>
        <w:rPr>
          <w:rFonts w:hint="default" w:ascii="Times New Roman" w:hAnsi="Times New Roman" w:eastAsia="仿宋" w:cs="Times New Roman"/>
          <w:b/>
          <w:color w:val="auto"/>
          <w:kern w:val="2"/>
          <w:sz w:val="36"/>
          <w:szCs w:val="36"/>
        </w:rPr>
        <w:sectPr>
          <w:pgSz w:w="11906" w:h="16838"/>
          <w:pgMar w:top="1440" w:right="1800" w:bottom="1440" w:left="1800" w:header="851" w:footer="992" w:gutter="0"/>
          <w:cols w:space="425" w:num="1"/>
          <w:docGrid w:type="lines" w:linePitch="312" w:charSpace="0"/>
        </w:sectPr>
      </w:pPr>
    </w:p>
    <w:p w14:paraId="60BD87F0">
      <w:pPr>
        <w:widowControl/>
        <w:shd w:val="clear" w:color="FFFFFF" w:fill="FFFFFF"/>
        <w:tabs>
          <w:tab w:val="center" w:pos="4200"/>
          <w:tab w:val="right" w:pos="8400"/>
        </w:tabs>
        <w:spacing w:before="156" w:beforeLines="50" w:after="560" w:line="360" w:lineRule="auto"/>
        <w:ind w:right="-2"/>
        <w:jc w:val="center"/>
        <w:rPr>
          <w:rFonts w:hint="default" w:ascii="Times New Roman" w:hAnsi="Times New Roman" w:cs="Times New Roman"/>
          <w:color w:val="auto"/>
          <w:kern w:val="2"/>
          <w:sz w:val="30"/>
          <w:szCs w:val="30"/>
        </w:rPr>
      </w:pPr>
    </w:p>
    <w:p w14:paraId="3C312E01">
      <w:pPr>
        <w:widowControl/>
        <w:shd w:val="clear" w:color="FFFFFF" w:fill="FFFFFF"/>
        <w:tabs>
          <w:tab w:val="center" w:pos="4200"/>
          <w:tab w:val="right" w:pos="8400"/>
        </w:tabs>
        <w:spacing w:before="156" w:beforeLines="50" w:after="560" w:line="360" w:lineRule="auto"/>
        <w:ind w:right="-2"/>
        <w:jc w:val="center"/>
        <w:rPr>
          <w:rFonts w:hint="default" w:ascii="Times New Roman" w:hAnsi="Times New Roman" w:eastAsia="黑体" w:cs="Times New Roman"/>
          <w:color w:val="auto"/>
          <w:kern w:val="2"/>
          <w:sz w:val="30"/>
          <w:szCs w:val="30"/>
        </w:rPr>
      </w:pPr>
      <w:r>
        <w:rPr>
          <w:rFonts w:hint="default" w:ascii="Times New Roman" w:hAnsi="Times New Roman" w:eastAsia="黑体" w:cs="Times New Roman"/>
          <w:color w:val="auto"/>
          <w:kern w:val="2"/>
          <w:sz w:val="30"/>
          <w:szCs w:val="30"/>
        </w:rPr>
        <w:t>四川省工程建设地方标准</w:t>
      </w:r>
    </w:p>
    <w:p w14:paraId="2B05AE34">
      <w:pPr>
        <w:tabs>
          <w:tab w:val="center" w:pos="4200"/>
          <w:tab w:val="right" w:pos="8400"/>
        </w:tabs>
        <w:autoSpaceDE w:val="0"/>
        <w:autoSpaceDN w:val="0"/>
        <w:adjustRightInd w:val="0"/>
        <w:spacing w:after="312" w:afterLines="100" w:line="360" w:lineRule="auto"/>
        <w:jc w:val="center"/>
        <w:rPr>
          <w:rFonts w:hint="default" w:ascii="Times New Roman" w:hAnsi="Times New Roman" w:eastAsia="黑体" w:cs="Times New Roman"/>
          <w:color w:val="auto"/>
          <w:kern w:val="2"/>
          <w:sz w:val="44"/>
          <w:szCs w:val="44"/>
        </w:rPr>
      </w:pPr>
      <w:r>
        <w:rPr>
          <w:rFonts w:hint="default" w:ascii="Times New Roman" w:hAnsi="Times New Roman" w:eastAsia="黑体" w:cs="Times New Roman"/>
          <w:color w:val="auto"/>
          <w:kern w:val="2"/>
          <w:sz w:val="44"/>
          <w:szCs w:val="44"/>
        </w:rPr>
        <w:t>四川省排水管道非开挖修复技术规程</w:t>
      </w:r>
    </w:p>
    <w:p w14:paraId="4122F39C">
      <w:pPr>
        <w:tabs>
          <w:tab w:val="center" w:pos="4200"/>
          <w:tab w:val="right" w:pos="8400"/>
        </w:tabs>
        <w:autoSpaceDE w:val="0"/>
        <w:autoSpaceDN w:val="0"/>
        <w:adjustRightInd w:val="0"/>
        <w:snapToGrid w:val="0"/>
        <w:spacing w:line="360" w:lineRule="auto"/>
        <w:jc w:val="center"/>
        <w:rPr>
          <w:rFonts w:hint="default" w:ascii="Times New Roman" w:hAnsi="Times New Roman" w:cs="Times New Roman"/>
          <w:color w:val="auto"/>
          <w:kern w:val="2"/>
          <w:sz w:val="30"/>
          <w:szCs w:val="30"/>
        </w:rPr>
      </w:pPr>
      <w:r>
        <w:rPr>
          <w:rFonts w:hint="default" w:ascii="Times New Roman" w:hAnsi="Times New Roman" w:cs="Times New Roman"/>
          <w:color w:val="auto"/>
          <w:kern w:val="2"/>
          <w:sz w:val="30"/>
          <w:szCs w:val="30"/>
        </w:rPr>
        <w:t>Technical Specification for trenchless rehabilitation of  sewer pipeline</w:t>
      </w:r>
      <w:r>
        <w:rPr>
          <w:rFonts w:hint="default" w:ascii="Times New Roman" w:hAnsi="Times New Roman" w:cs="Times New Roman"/>
          <w:color w:val="auto"/>
          <w:kern w:val="2"/>
          <w:sz w:val="30"/>
          <w:szCs w:val="30"/>
          <w:lang w:val="en-US" w:eastAsia="zh-CN"/>
        </w:rPr>
        <w:t xml:space="preserve"> </w:t>
      </w:r>
      <w:r>
        <w:rPr>
          <w:rFonts w:hint="default" w:ascii="Times New Roman" w:hAnsi="Times New Roman" w:cs="Times New Roman"/>
          <w:color w:val="auto"/>
          <w:kern w:val="2"/>
          <w:sz w:val="30"/>
          <w:szCs w:val="30"/>
        </w:rPr>
        <w:t>in Sichuan Province</w:t>
      </w:r>
    </w:p>
    <w:p w14:paraId="5D98FB09">
      <w:pPr>
        <w:tabs>
          <w:tab w:val="center" w:pos="4200"/>
          <w:tab w:val="right" w:pos="8400"/>
        </w:tabs>
        <w:autoSpaceDE w:val="0"/>
        <w:autoSpaceDN w:val="0"/>
        <w:adjustRightInd w:val="0"/>
        <w:spacing w:line="360" w:lineRule="auto"/>
        <w:jc w:val="center"/>
        <w:rPr>
          <w:rFonts w:hint="default" w:ascii="Times New Roman" w:hAnsi="Times New Roman" w:eastAsia="宋体" w:cs="Times New Roman"/>
          <w:b/>
          <w:bCs/>
          <w:color w:val="auto"/>
          <w:spacing w:val="-4"/>
          <w:kern w:val="2"/>
          <w:sz w:val="28"/>
          <w:szCs w:val="28"/>
          <w:lang w:eastAsia="zh-CN"/>
        </w:rPr>
      </w:pPr>
      <w:r>
        <w:rPr>
          <w:rFonts w:hint="default" w:ascii="Times New Roman" w:hAnsi="Times New Roman" w:cs="Times New Roman"/>
          <w:b/>
          <w:bCs/>
          <w:color w:val="auto"/>
          <w:spacing w:val="-4"/>
          <w:kern w:val="2"/>
          <w:sz w:val="28"/>
          <w:szCs w:val="28"/>
        </w:rPr>
        <w:t>DB51/Txxx-202</w:t>
      </w:r>
      <w:r>
        <w:rPr>
          <w:rFonts w:hint="default" w:ascii="Times New Roman" w:hAnsi="Times New Roman" w:cs="Times New Roman"/>
          <w:b/>
          <w:bCs/>
          <w:color w:val="auto"/>
          <w:spacing w:val="-4"/>
          <w:kern w:val="2"/>
          <w:sz w:val="28"/>
          <w:szCs w:val="28"/>
          <w:lang w:val="en-US" w:eastAsia="zh-CN"/>
        </w:rPr>
        <w:t>6</w:t>
      </w:r>
    </w:p>
    <w:p w14:paraId="105933C3">
      <w:pPr>
        <w:tabs>
          <w:tab w:val="center" w:pos="4200"/>
          <w:tab w:val="right" w:pos="8400"/>
        </w:tabs>
        <w:autoSpaceDE w:val="0"/>
        <w:autoSpaceDN w:val="0"/>
        <w:adjustRightInd w:val="0"/>
        <w:spacing w:line="360" w:lineRule="auto"/>
        <w:jc w:val="center"/>
        <w:rPr>
          <w:rFonts w:hint="default" w:ascii="Times New Roman" w:hAnsi="Times New Roman" w:cs="Times New Roman"/>
          <w:color w:val="auto"/>
          <w:spacing w:val="-4"/>
          <w:kern w:val="2"/>
          <w:sz w:val="28"/>
          <w:szCs w:val="28"/>
        </w:rPr>
      </w:pPr>
    </w:p>
    <w:p w14:paraId="50BEF49A">
      <w:pPr>
        <w:tabs>
          <w:tab w:val="center" w:pos="4200"/>
          <w:tab w:val="right" w:pos="8400"/>
        </w:tabs>
        <w:spacing w:line="360" w:lineRule="auto"/>
        <w:ind w:firstLine="1400" w:firstLineChars="500"/>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主编单位：成都市市政工程设计研究院有限公司</w:t>
      </w:r>
    </w:p>
    <w:p w14:paraId="11B6275F">
      <w:pPr>
        <w:tabs>
          <w:tab w:val="center" w:pos="4200"/>
          <w:tab w:val="right" w:pos="8400"/>
        </w:tabs>
        <w:spacing w:line="360" w:lineRule="auto"/>
        <w:ind w:firstLine="1400" w:firstLineChars="500"/>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 xml:space="preserve">          中国市政工程西南设计研究总院有限公司</w:t>
      </w:r>
    </w:p>
    <w:p w14:paraId="43A7EBB4">
      <w:pPr>
        <w:tabs>
          <w:tab w:val="center" w:pos="4200"/>
          <w:tab w:val="right" w:pos="8400"/>
        </w:tabs>
        <w:spacing w:line="360" w:lineRule="auto"/>
        <w:ind w:firstLine="1400" w:firstLineChars="500"/>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 xml:space="preserve">          四川省城乡建设研究院</w:t>
      </w:r>
    </w:p>
    <w:p w14:paraId="0FE19BA2">
      <w:pPr>
        <w:tabs>
          <w:tab w:val="center" w:pos="4200"/>
          <w:tab w:val="right" w:pos="8400"/>
        </w:tabs>
        <w:spacing w:line="360" w:lineRule="auto"/>
        <w:ind w:firstLine="1400" w:firstLineChars="500"/>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批准部门：四川省住房和城乡建设厅</w:t>
      </w:r>
    </w:p>
    <w:p w14:paraId="5BCCE888">
      <w:pPr>
        <w:tabs>
          <w:tab w:val="center" w:pos="4200"/>
          <w:tab w:val="right" w:pos="8400"/>
        </w:tabs>
        <w:spacing w:line="360" w:lineRule="auto"/>
        <w:ind w:firstLine="1400" w:firstLineChars="500"/>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施行日期：XXXX年XX月XX日</w:t>
      </w:r>
    </w:p>
    <w:p w14:paraId="3049C4F0">
      <w:pPr>
        <w:tabs>
          <w:tab w:val="center" w:pos="4200"/>
          <w:tab w:val="right" w:pos="8400"/>
        </w:tabs>
        <w:spacing w:before="440" w:line="360" w:lineRule="auto"/>
        <w:ind w:right="-2" w:firstLine="560" w:firstLineChars="200"/>
        <w:rPr>
          <w:rFonts w:hint="default" w:ascii="Times New Roman" w:hAnsi="Times New Roman" w:cs="Times New Roman"/>
          <w:color w:val="auto"/>
          <w:kern w:val="2"/>
          <w:sz w:val="28"/>
          <w:szCs w:val="24"/>
        </w:rPr>
      </w:pPr>
    </w:p>
    <w:p w14:paraId="15A88B13">
      <w:pPr>
        <w:widowControl/>
        <w:shd w:val="clear" w:color="FFFFFF" w:fill="FFFFFF"/>
        <w:tabs>
          <w:tab w:val="center" w:pos="4200"/>
          <w:tab w:val="right" w:pos="8400"/>
        </w:tabs>
        <w:spacing w:before="156" w:beforeLines="50" w:after="560" w:line="360" w:lineRule="auto"/>
        <w:ind w:right="-2"/>
        <w:jc w:val="center"/>
        <w:rPr>
          <w:rFonts w:hint="default" w:ascii="Times New Roman" w:hAnsi="Times New Roman" w:cs="Times New Roman"/>
          <w:bCs/>
          <w:color w:val="auto"/>
          <w:kern w:val="2"/>
          <w:sz w:val="36"/>
          <w:szCs w:val="36"/>
        </w:rPr>
      </w:pPr>
      <w:bookmarkStart w:id="1" w:name="_Toc268531097"/>
      <w:r>
        <w:rPr>
          <w:rFonts w:hint="default" w:ascii="Times New Roman" w:hAnsi="Times New Roman" w:cs="Times New Roman"/>
          <w:bCs/>
          <w:color w:val="auto"/>
          <w:kern w:val="2"/>
          <w:sz w:val="36"/>
          <w:szCs w:val="36"/>
        </w:rPr>
        <w:t>（</w:t>
      </w:r>
      <w:r>
        <w:rPr>
          <w:rFonts w:hint="default" w:ascii="Times New Roman" w:hAnsi="Times New Roman" w:cs="Times New Roman"/>
          <w:bCs/>
          <w:color w:val="auto"/>
          <w:kern w:val="2"/>
          <w:sz w:val="36"/>
          <w:szCs w:val="36"/>
          <w:lang w:val="en-US" w:eastAsia="zh-CN"/>
        </w:rPr>
        <w:t>征求意见</w:t>
      </w:r>
      <w:r>
        <w:rPr>
          <w:rFonts w:hint="default" w:ascii="Times New Roman" w:hAnsi="Times New Roman" w:cs="Times New Roman"/>
          <w:bCs/>
          <w:color w:val="auto"/>
          <w:kern w:val="2"/>
          <w:sz w:val="36"/>
          <w:szCs w:val="36"/>
        </w:rPr>
        <w:t>稿）</w:t>
      </w:r>
      <w:bookmarkEnd w:id="1"/>
    </w:p>
    <w:p w14:paraId="53AC984F">
      <w:pPr>
        <w:widowControl/>
        <w:shd w:val="clear" w:color="FFFFFF" w:fill="FFFFFF"/>
        <w:tabs>
          <w:tab w:val="center" w:pos="4200"/>
          <w:tab w:val="right" w:pos="8400"/>
        </w:tabs>
        <w:spacing w:before="156" w:beforeLines="50" w:after="200" w:line="360" w:lineRule="auto"/>
        <w:jc w:val="center"/>
        <w:rPr>
          <w:rFonts w:hint="default" w:ascii="Times New Roman" w:hAnsi="Times New Roman" w:cs="Times New Roman"/>
          <w:color w:val="auto"/>
          <w:kern w:val="2"/>
          <w:sz w:val="30"/>
          <w:szCs w:val="30"/>
        </w:rPr>
      </w:pPr>
      <w:r>
        <w:rPr>
          <w:rFonts w:hint="default" w:ascii="Times New Roman" w:hAnsi="Times New Roman" w:cs="Times New Roman"/>
          <w:color w:val="auto"/>
          <w:kern w:val="2"/>
          <w:sz w:val="30"/>
          <w:szCs w:val="30"/>
        </w:rPr>
        <w:t>XXX出版社</w:t>
      </w:r>
    </w:p>
    <w:p w14:paraId="6E960A95">
      <w:pPr>
        <w:widowControl/>
        <w:numPr>
          <w:ilvl w:val="0"/>
          <w:numId w:val="0"/>
        </w:numPr>
        <w:spacing w:line="360" w:lineRule="auto"/>
        <w:jc w:val="center"/>
        <w:rPr>
          <w:rFonts w:hint="default" w:ascii="Times New Roman" w:hAnsi="Times New Roman" w:eastAsia="黑体" w:cs="Times New Roman"/>
          <w:color w:val="auto"/>
          <w:kern w:val="2"/>
          <w:sz w:val="30"/>
          <w:szCs w:val="30"/>
        </w:rPr>
      </w:pPr>
      <w:bookmarkStart w:id="2" w:name="_Toc261595538"/>
      <w:bookmarkStart w:id="3" w:name="_Toc258945390"/>
      <w:bookmarkStart w:id="4" w:name="_Toc262025715"/>
      <w:bookmarkStart w:id="5" w:name="_Toc261276416"/>
      <w:bookmarkStart w:id="6" w:name="_Toc262026332"/>
      <w:bookmarkStart w:id="7" w:name="_Toc268531098"/>
      <w:bookmarkStart w:id="8" w:name="_Toc262026161"/>
      <w:bookmarkStart w:id="9" w:name="_Toc261597618"/>
      <w:r>
        <w:rPr>
          <w:rFonts w:hint="default" w:ascii="Times New Roman" w:hAnsi="Times New Roman" w:eastAsia="黑体" w:cs="Times New Roman"/>
          <w:color w:val="auto"/>
          <w:kern w:val="2"/>
          <w:sz w:val="30"/>
          <w:szCs w:val="30"/>
          <w:lang w:val="en-US" w:eastAsia="zh-CN"/>
        </w:rPr>
        <w:t>2026-</w:t>
      </w:r>
      <w:r>
        <w:rPr>
          <w:rFonts w:hint="default" w:ascii="Times New Roman" w:hAnsi="Times New Roman" w:eastAsia="黑体" w:cs="Times New Roman"/>
          <w:color w:val="auto"/>
          <w:kern w:val="2"/>
          <w:sz w:val="30"/>
          <w:szCs w:val="30"/>
        </w:rPr>
        <w:t>XX-XX</w:t>
      </w:r>
      <w:r>
        <w:rPr>
          <w:rFonts w:hint="default" w:ascii="Times New Roman" w:hAnsi="Times New Roman" w:cs="Times New Roman"/>
          <w:color w:val="auto"/>
          <w:kern w:val="2"/>
          <w:sz w:val="30"/>
          <w:szCs w:val="30"/>
        </w:rPr>
        <w:t xml:space="preserve"> </w:t>
      </w:r>
      <w:bookmarkEnd w:id="2"/>
      <w:bookmarkEnd w:id="3"/>
      <w:bookmarkEnd w:id="4"/>
      <w:bookmarkEnd w:id="5"/>
      <w:bookmarkEnd w:id="6"/>
      <w:bookmarkEnd w:id="7"/>
      <w:bookmarkEnd w:id="8"/>
      <w:bookmarkEnd w:id="9"/>
      <w:r>
        <w:rPr>
          <w:rFonts w:hint="default" w:ascii="Times New Roman" w:hAnsi="Times New Roman" w:eastAsia="黑体" w:cs="Times New Roman"/>
          <w:color w:val="auto"/>
          <w:kern w:val="2"/>
          <w:sz w:val="30"/>
          <w:szCs w:val="30"/>
        </w:rPr>
        <w:t>成都</w:t>
      </w:r>
    </w:p>
    <w:p w14:paraId="583275D5">
      <w:pPr>
        <w:widowControl/>
        <w:numPr>
          <w:ilvl w:val="0"/>
          <w:numId w:val="0"/>
        </w:numPr>
        <w:spacing w:line="360" w:lineRule="auto"/>
        <w:jc w:val="center"/>
        <w:rPr>
          <w:rFonts w:hint="default" w:ascii="Times New Roman" w:hAnsi="Times New Roman" w:eastAsia="黑体" w:cs="Times New Roman"/>
          <w:color w:val="auto"/>
          <w:kern w:val="2"/>
          <w:sz w:val="30"/>
          <w:szCs w:val="30"/>
        </w:rPr>
        <w:sectPr>
          <w:pgSz w:w="11906" w:h="16838"/>
          <w:pgMar w:top="1440" w:right="1800" w:bottom="1440" w:left="1800" w:header="851" w:footer="992" w:gutter="0"/>
          <w:cols w:space="425" w:num="1"/>
          <w:docGrid w:type="lines" w:linePitch="312" w:charSpace="0"/>
        </w:sectPr>
      </w:pPr>
    </w:p>
    <w:p w14:paraId="78311F6A">
      <w:pPr>
        <w:rPr>
          <w:rFonts w:hint="default" w:ascii="Times New Roman" w:hAnsi="Times New Roman" w:eastAsia="仿宋" w:cs="Times New Roman"/>
          <w:b/>
          <w:color w:val="auto"/>
          <w:kern w:val="2"/>
          <w:sz w:val="28"/>
          <w:szCs w:val="28"/>
        </w:rPr>
      </w:pPr>
      <w:r>
        <w:rPr>
          <w:rFonts w:hint="default" w:ascii="Times New Roman" w:hAnsi="Times New Roman" w:eastAsia="仿宋" w:cs="Times New Roman"/>
          <w:b/>
          <w:color w:val="auto"/>
          <w:kern w:val="2"/>
          <w:sz w:val="28"/>
          <w:szCs w:val="28"/>
        </w:rPr>
        <w:br w:type="page"/>
      </w:r>
    </w:p>
    <w:p w14:paraId="1EA91501">
      <w:pPr>
        <w:spacing w:line="360" w:lineRule="auto"/>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前 言</w:t>
      </w:r>
    </w:p>
    <w:p w14:paraId="02C3C2FE">
      <w:pPr>
        <w:spacing w:line="360" w:lineRule="auto"/>
        <w:ind w:firstLine="480" w:firstLineChars="200"/>
        <w:rPr>
          <w:rFonts w:hint="default" w:ascii="Times New Roman" w:hAnsi="Times New Roman" w:cs="Times New Roman"/>
          <w:color w:val="auto"/>
          <w:kern w:val="2"/>
          <w:szCs w:val="22"/>
        </w:rPr>
      </w:pPr>
      <w:bookmarkStart w:id="10" w:name="_Hlk190961957"/>
      <w:r>
        <w:rPr>
          <w:rFonts w:hint="default" w:ascii="Times New Roman" w:hAnsi="Times New Roman" w:cs="Times New Roman"/>
          <w:color w:val="auto"/>
          <w:kern w:val="2"/>
          <w:szCs w:val="22"/>
        </w:rPr>
        <w:t>根据《四川省住房和城乡建设厅关于下达 202</w:t>
      </w:r>
      <w:r>
        <w:rPr>
          <w:rFonts w:hint="default" w:ascii="Times New Roman" w:hAnsi="Times New Roman" w:cs="Times New Roman"/>
          <w:color w:val="auto"/>
          <w:kern w:val="2"/>
          <w:szCs w:val="22"/>
          <w:lang w:val="en-US" w:eastAsia="zh-CN"/>
        </w:rPr>
        <w:t>4</w:t>
      </w:r>
      <w:r>
        <w:rPr>
          <w:rFonts w:hint="default" w:ascii="Times New Roman" w:hAnsi="Times New Roman" w:cs="Times New Roman"/>
          <w:color w:val="auto"/>
          <w:kern w:val="2"/>
          <w:szCs w:val="22"/>
        </w:rPr>
        <w:t xml:space="preserve"> 年四川省工程建设地方标准制订计划的通知》（川建标函〔202</w:t>
      </w:r>
      <w:r>
        <w:rPr>
          <w:rFonts w:hint="default" w:ascii="Times New Roman" w:hAnsi="Times New Roman" w:cs="Times New Roman"/>
          <w:color w:val="auto"/>
          <w:kern w:val="2"/>
          <w:szCs w:val="22"/>
          <w:lang w:val="en-US" w:eastAsia="zh-CN"/>
        </w:rPr>
        <w:t>4</w:t>
      </w:r>
      <w:r>
        <w:rPr>
          <w:rFonts w:hint="default" w:ascii="Times New Roman" w:hAnsi="Times New Roman" w:cs="Times New Roman"/>
          <w:color w:val="auto"/>
          <w:kern w:val="2"/>
          <w:szCs w:val="22"/>
        </w:rPr>
        <w:t>〕</w:t>
      </w:r>
      <w:r>
        <w:rPr>
          <w:rFonts w:hint="default" w:ascii="Times New Roman" w:hAnsi="Times New Roman" w:cs="Times New Roman"/>
          <w:color w:val="auto"/>
          <w:kern w:val="2"/>
          <w:szCs w:val="22"/>
          <w:lang w:val="en-US" w:eastAsia="zh-CN"/>
        </w:rPr>
        <w:t>3030</w:t>
      </w:r>
      <w:r>
        <w:rPr>
          <w:rFonts w:hint="default" w:ascii="Times New Roman" w:hAnsi="Times New Roman" w:cs="Times New Roman"/>
          <w:color w:val="auto"/>
          <w:kern w:val="2"/>
          <w:szCs w:val="22"/>
        </w:rPr>
        <w:t xml:space="preserve"> 号）的要求，标准编制组经过广泛的调查研究，</w:t>
      </w:r>
      <w:bookmarkEnd w:id="10"/>
      <w:r>
        <w:rPr>
          <w:rFonts w:hint="default" w:ascii="Times New Roman" w:hAnsi="Times New Roman" w:cs="Times New Roman"/>
          <w:color w:val="auto"/>
          <w:kern w:val="2"/>
          <w:szCs w:val="22"/>
        </w:rPr>
        <w:t>认真总结实践经验，参考有</w:t>
      </w:r>
      <w:r>
        <w:rPr>
          <w:rFonts w:hint="default" w:ascii="Times New Roman" w:hAnsi="Times New Roman" w:cs="Times New Roman"/>
          <w:color w:val="auto"/>
          <w:kern w:val="2"/>
          <w:szCs w:val="22"/>
          <w:highlight w:val="none"/>
        </w:rPr>
        <w:t>关国家标准、行业标准，并</w:t>
      </w:r>
      <w:r>
        <w:rPr>
          <w:rFonts w:hint="default" w:ascii="Times New Roman" w:hAnsi="Times New Roman" w:cs="Times New Roman"/>
          <w:color w:val="auto"/>
          <w:kern w:val="2"/>
          <w:szCs w:val="22"/>
        </w:rPr>
        <w:t>在广泛征求意见的基础上，</w:t>
      </w:r>
      <w:r>
        <w:rPr>
          <w:rFonts w:hint="default" w:ascii="Times New Roman" w:hAnsi="Times New Roman" w:cs="Times New Roman"/>
          <w:color w:val="auto"/>
          <w:kern w:val="2"/>
          <w:szCs w:val="22"/>
          <w:lang w:val="en-US" w:eastAsia="zh-CN"/>
        </w:rPr>
        <w:t>制定</w:t>
      </w:r>
      <w:r>
        <w:rPr>
          <w:rFonts w:hint="default" w:ascii="Times New Roman" w:hAnsi="Times New Roman" w:cs="Times New Roman"/>
          <w:color w:val="auto"/>
          <w:kern w:val="2"/>
          <w:szCs w:val="22"/>
        </w:rPr>
        <w:t>本</w:t>
      </w:r>
      <w:r>
        <w:rPr>
          <w:rFonts w:hint="default" w:ascii="Times New Roman" w:hAnsi="Times New Roman" w:cs="Times New Roman"/>
          <w:color w:val="auto"/>
          <w:kern w:val="2"/>
          <w:szCs w:val="22"/>
          <w:lang w:val="en-US" w:eastAsia="zh-CN"/>
        </w:rPr>
        <w:t>规程</w:t>
      </w:r>
      <w:r>
        <w:rPr>
          <w:rFonts w:hint="default" w:ascii="Times New Roman" w:hAnsi="Times New Roman" w:cs="Times New Roman"/>
          <w:color w:val="auto"/>
          <w:kern w:val="2"/>
          <w:szCs w:val="22"/>
        </w:rPr>
        <w:t>。</w:t>
      </w:r>
    </w:p>
    <w:p w14:paraId="519AE1E5">
      <w:pPr>
        <w:spacing w:line="360" w:lineRule="auto"/>
        <w:ind w:firstLine="480" w:firstLineChars="20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w:t>
      </w:r>
      <w:r>
        <w:rPr>
          <w:rFonts w:hint="default" w:ascii="Times New Roman" w:hAnsi="Times New Roman" w:cs="Times New Roman"/>
          <w:color w:val="auto"/>
          <w:kern w:val="2"/>
          <w:szCs w:val="22"/>
          <w:lang w:val="en-US" w:eastAsia="zh-CN"/>
        </w:rPr>
        <w:t>规程</w:t>
      </w:r>
      <w:r>
        <w:rPr>
          <w:rFonts w:hint="default" w:ascii="Times New Roman" w:hAnsi="Times New Roman" w:cs="Times New Roman"/>
          <w:color w:val="auto"/>
          <w:kern w:val="2"/>
          <w:szCs w:val="22"/>
        </w:rPr>
        <w:t>共分为</w:t>
      </w:r>
      <w:r>
        <w:rPr>
          <w:rFonts w:hint="default" w:ascii="Times New Roman" w:hAnsi="Times New Roman" w:cs="Times New Roman"/>
          <w:color w:val="auto"/>
          <w:kern w:val="2"/>
          <w:szCs w:val="22"/>
          <w:lang w:val="en-US" w:eastAsia="zh-CN"/>
        </w:rPr>
        <w:t>7</w:t>
      </w:r>
      <w:r>
        <w:rPr>
          <w:rFonts w:hint="default" w:ascii="Times New Roman" w:hAnsi="Times New Roman" w:cs="Times New Roman"/>
          <w:color w:val="auto"/>
          <w:kern w:val="2"/>
          <w:szCs w:val="22"/>
        </w:rPr>
        <w:t>章，主要技术内容包括：总则；术语</w:t>
      </w:r>
      <w:r>
        <w:rPr>
          <w:rFonts w:hint="default" w:ascii="Times New Roman" w:hAnsi="Times New Roman" w:cs="Times New Roman"/>
          <w:color w:val="auto"/>
          <w:kern w:val="2"/>
          <w:szCs w:val="22"/>
          <w:lang w:val="en-US" w:eastAsia="zh-CN"/>
        </w:rPr>
        <w:t>和符号</w:t>
      </w:r>
      <w:r>
        <w:rPr>
          <w:rFonts w:hint="default" w:ascii="Times New Roman" w:hAnsi="Times New Roman" w:cs="Times New Roman"/>
          <w:color w:val="auto"/>
          <w:kern w:val="2"/>
          <w:szCs w:val="22"/>
        </w:rPr>
        <w:t>；基本规定；</w:t>
      </w:r>
      <w:r>
        <w:rPr>
          <w:rFonts w:hint="default" w:ascii="Times New Roman" w:hAnsi="Times New Roman" w:cs="Times New Roman"/>
          <w:color w:val="auto"/>
          <w:kern w:val="2"/>
          <w:szCs w:val="22"/>
          <w:lang w:val="en-US" w:eastAsia="zh-CN"/>
        </w:rPr>
        <w:t>材料</w:t>
      </w:r>
      <w:r>
        <w:rPr>
          <w:rFonts w:hint="default" w:ascii="Times New Roman" w:hAnsi="Times New Roman" w:cs="Times New Roman"/>
          <w:color w:val="auto"/>
          <w:kern w:val="2"/>
          <w:szCs w:val="22"/>
        </w:rPr>
        <w:t>；</w:t>
      </w:r>
      <w:r>
        <w:rPr>
          <w:rFonts w:hint="default" w:ascii="Times New Roman" w:hAnsi="Times New Roman" w:cs="Times New Roman"/>
          <w:color w:val="auto"/>
          <w:kern w:val="2"/>
          <w:szCs w:val="22"/>
          <w:lang w:val="en-US" w:eastAsia="zh-CN"/>
        </w:rPr>
        <w:t>设计</w:t>
      </w:r>
      <w:r>
        <w:rPr>
          <w:rFonts w:hint="default" w:ascii="Times New Roman" w:hAnsi="Times New Roman" w:cs="Times New Roman"/>
          <w:color w:val="auto"/>
          <w:kern w:val="2"/>
          <w:szCs w:val="22"/>
        </w:rPr>
        <w:t>；</w:t>
      </w:r>
      <w:r>
        <w:rPr>
          <w:rFonts w:hint="default" w:ascii="Times New Roman" w:hAnsi="Times New Roman" w:cs="Times New Roman"/>
          <w:color w:val="auto"/>
          <w:kern w:val="2"/>
          <w:szCs w:val="22"/>
          <w:lang w:val="en-US" w:eastAsia="zh-CN"/>
        </w:rPr>
        <w:t>施工</w:t>
      </w:r>
      <w:r>
        <w:rPr>
          <w:rFonts w:hint="default" w:ascii="Times New Roman" w:hAnsi="Times New Roman" w:cs="Times New Roman"/>
          <w:color w:val="auto"/>
          <w:kern w:val="2"/>
          <w:szCs w:val="22"/>
        </w:rPr>
        <w:t>；</w:t>
      </w:r>
      <w:r>
        <w:rPr>
          <w:rFonts w:hint="default" w:ascii="Times New Roman" w:hAnsi="Times New Roman" w:cs="Times New Roman"/>
          <w:color w:val="auto"/>
          <w:kern w:val="2"/>
          <w:szCs w:val="22"/>
          <w:lang w:val="en-US" w:eastAsia="zh-CN"/>
        </w:rPr>
        <w:t>验收</w:t>
      </w:r>
      <w:r>
        <w:rPr>
          <w:rFonts w:hint="default" w:ascii="Times New Roman" w:hAnsi="Times New Roman" w:cs="Times New Roman"/>
          <w:color w:val="auto"/>
          <w:kern w:val="2"/>
          <w:szCs w:val="22"/>
        </w:rPr>
        <w:t>。</w:t>
      </w:r>
    </w:p>
    <w:p w14:paraId="2D5D3690">
      <w:pPr>
        <w:spacing w:line="360" w:lineRule="auto"/>
        <w:ind w:firstLine="480" w:firstLineChars="20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本标准由四川省住房和城乡建设厅负责管理，</w:t>
      </w:r>
      <w:r>
        <w:rPr>
          <w:rFonts w:hint="default" w:ascii="Times New Roman" w:hAnsi="Times New Roman" w:cs="Times New Roman"/>
          <w:color w:val="auto"/>
          <w:kern w:val="2"/>
          <w:szCs w:val="22"/>
          <w:lang w:val="en-US" w:eastAsia="zh-CN"/>
        </w:rPr>
        <w:t>由</w:t>
      </w:r>
      <w:r>
        <w:rPr>
          <w:rFonts w:hint="default" w:ascii="Times New Roman" w:hAnsi="Times New Roman" w:cs="Times New Roman"/>
          <w:color w:val="auto"/>
          <w:kern w:val="2"/>
          <w:szCs w:val="22"/>
        </w:rPr>
        <w:t>成都市市政工程设计研究院有限公司负责对具体技术内容进行解释。执行过程中如有意见或建议，请反馈至成都市市政工程设计研究院有限公司（地址：成都市</w:t>
      </w:r>
      <w:r>
        <w:rPr>
          <w:rFonts w:hint="default" w:ascii="Times New Roman" w:hAnsi="Times New Roman" w:cs="Times New Roman"/>
          <w:color w:val="auto"/>
          <w:kern w:val="2"/>
          <w:szCs w:val="22"/>
          <w:lang w:val="en-US" w:eastAsia="zh-CN"/>
        </w:rPr>
        <w:t>锦江区三色路269号</w:t>
      </w:r>
      <w:r>
        <w:rPr>
          <w:rFonts w:hint="default" w:ascii="Times New Roman" w:hAnsi="Times New Roman" w:cs="Times New Roman"/>
          <w:color w:val="auto"/>
          <w:kern w:val="2"/>
          <w:szCs w:val="22"/>
        </w:rPr>
        <w:t>，邮政编码：610</w:t>
      </w:r>
      <w:r>
        <w:rPr>
          <w:rFonts w:hint="default" w:ascii="Times New Roman" w:hAnsi="Times New Roman" w:cs="Times New Roman"/>
          <w:color w:val="auto"/>
          <w:kern w:val="2"/>
          <w:szCs w:val="22"/>
          <w:lang w:val="en-US" w:eastAsia="zh-CN"/>
        </w:rPr>
        <w:t>063</w:t>
      </w:r>
      <w:r>
        <w:rPr>
          <w:rFonts w:hint="default" w:ascii="Times New Roman" w:hAnsi="Times New Roman" w:cs="Times New Roman"/>
          <w:color w:val="auto"/>
          <w:kern w:val="2"/>
          <w:szCs w:val="22"/>
        </w:rPr>
        <w:t>，</w:t>
      </w:r>
      <w:r>
        <w:rPr>
          <w:rFonts w:hint="default" w:ascii="Times New Roman" w:hAnsi="Times New Roman" w:cs="Times New Roman"/>
          <w:color w:val="auto"/>
          <w:kern w:val="2"/>
          <w:szCs w:val="22"/>
          <w:highlight w:val="none"/>
        </w:rPr>
        <w:t>E-mail：</w:t>
      </w:r>
      <w:r>
        <w:rPr>
          <w:rFonts w:hint="default" w:ascii="Times New Roman" w:hAnsi="Times New Roman" w:cs="Times New Roman"/>
          <w:color w:val="auto"/>
          <w:kern w:val="2"/>
          <w:szCs w:val="22"/>
          <w:highlight w:val="none"/>
          <w:lang w:val="en-US" w:eastAsia="zh-CN"/>
        </w:rPr>
        <w:t>XXXX</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kern w:val="2"/>
          <w:szCs w:val="22"/>
        </w:rPr>
        <w:t>电话</w:t>
      </w:r>
      <w:r>
        <w:rPr>
          <w:rFonts w:hint="default" w:ascii="Times New Roman" w:hAnsi="Times New Roman" w:cs="Times New Roman"/>
          <w:color w:val="auto"/>
          <w:kern w:val="2"/>
          <w:szCs w:val="22"/>
          <w:highlight w:val="none"/>
          <w:lang w:eastAsia="zh-CN"/>
        </w:rPr>
        <w:t>0</w:t>
      </w:r>
      <w:r>
        <w:rPr>
          <w:rFonts w:hint="default" w:ascii="Times New Roman" w:hAnsi="Times New Roman" w:cs="Times New Roman"/>
          <w:color w:val="auto"/>
          <w:kern w:val="2"/>
          <w:szCs w:val="22"/>
          <w:highlight w:val="none"/>
          <w:lang w:val="en-US" w:eastAsia="zh-CN"/>
        </w:rPr>
        <w:t>28-86922801</w:t>
      </w:r>
      <w:r>
        <w:rPr>
          <w:rFonts w:hint="default" w:ascii="Times New Roman" w:hAnsi="Times New Roman" w:cs="Times New Roman"/>
          <w:color w:val="auto"/>
          <w:kern w:val="2"/>
          <w:szCs w:val="22"/>
          <w:highlight w:val="none"/>
        </w:rPr>
        <w:t>）</w:t>
      </w:r>
      <w:r>
        <w:rPr>
          <w:rFonts w:hint="default" w:ascii="Times New Roman" w:hAnsi="Times New Roman" w:cs="Times New Roman"/>
          <w:color w:val="auto"/>
          <w:kern w:val="2"/>
          <w:szCs w:val="22"/>
        </w:rPr>
        <w:t>。</w:t>
      </w:r>
    </w:p>
    <w:p w14:paraId="58E4D2C5">
      <w:pPr>
        <w:spacing w:line="360" w:lineRule="auto"/>
        <w:rPr>
          <w:rFonts w:hint="default" w:ascii="Times New Roman" w:hAnsi="Times New Roman" w:cs="Times New Roman"/>
          <w:b/>
          <w:bCs/>
          <w:color w:val="auto"/>
          <w:spacing w:val="17"/>
          <w:kern w:val="2"/>
          <w:szCs w:val="22"/>
        </w:rPr>
      </w:pPr>
      <w:r>
        <w:rPr>
          <w:rFonts w:hint="default" w:ascii="Times New Roman" w:hAnsi="Times New Roman" w:cs="Times New Roman"/>
          <w:b/>
          <w:bCs/>
          <w:color w:val="auto"/>
          <w:spacing w:val="17"/>
          <w:kern w:val="2"/>
          <w:szCs w:val="22"/>
        </w:rPr>
        <w:t>主编单位：</w:t>
      </w:r>
      <w:r>
        <w:rPr>
          <w:rFonts w:hint="default" w:ascii="Times New Roman" w:hAnsi="Times New Roman" w:cs="Times New Roman"/>
          <w:color w:val="auto"/>
          <w:kern w:val="2"/>
          <w:szCs w:val="22"/>
        </w:rPr>
        <w:t>成都市市政工程设计研究院有限公司</w:t>
      </w:r>
    </w:p>
    <w:p w14:paraId="0DA4D95B">
      <w:pPr>
        <w:spacing w:line="360" w:lineRule="auto"/>
        <w:ind w:firstLine="360" w:firstLineChars="15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 xml:space="preserve">         中国市政工程西南设计研究总院有限公司</w:t>
      </w:r>
    </w:p>
    <w:p w14:paraId="013C1F32">
      <w:pPr>
        <w:spacing w:line="360" w:lineRule="auto"/>
        <w:ind w:firstLine="360" w:firstLineChars="15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 xml:space="preserve">         四川省城乡建设研究院</w:t>
      </w:r>
    </w:p>
    <w:p w14:paraId="3AC399BC">
      <w:pPr>
        <w:spacing w:line="360" w:lineRule="auto"/>
        <w:rPr>
          <w:rFonts w:hint="default" w:ascii="Times New Roman" w:hAnsi="Times New Roman" w:eastAsia="宋体" w:cs="Times New Roman"/>
          <w:color w:val="auto"/>
          <w:kern w:val="2"/>
          <w:szCs w:val="22"/>
          <w:lang w:val="en-US" w:eastAsia="zh-CN"/>
        </w:rPr>
      </w:pPr>
      <w:r>
        <w:rPr>
          <w:rFonts w:hint="default" w:ascii="Times New Roman" w:hAnsi="Times New Roman" w:cs="Times New Roman"/>
          <w:b/>
          <w:bCs/>
          <w:color w:val="auto"/>
          <w:spacing w:val="17"/>
          <w:kern w:val="2"/>
          <w:szCs w:val="22"/>
        </w:rPr>
        <w:t>参编单位：</w:t>
      </w:r>
      <w:r>
        <w:rPr>
          <w:rFonts w:hint="default" w:ascii="Times New Roman" w:hAnsi="Times New Roman" w:cs="Times New Roman"/>
          <w:color w:val="auto"/>
          <w:kern w:val="2"/>
          <w:szCs w:val="22"/>
          <w:lang w:val="en-US" w:eastAsia="zh-CN"/>
        </w:rPr>
        <w:t>XXXX</w:t>
      </w:r>
    </w:p>
    <w:p w14:paraId="6E64868B">
      <w:pPr>
        <w:spacing w:line="360" w:lineRule="auto"/>
        <w:ind w:firstLine="1440" w:firstLineChars="60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 xml:space="preserve">         </w:t>
      </w:r>
    </w:p>
    <w:p w14:paraId="10ACCD3A">
      <w:pPr>
        <w:spacing w:line="360" w:lineRule="auto"/>
        <w:ind w:left="1265" w:hanging="1446" w:hangingChars="600"/>
        <w:rPr>
          <w:rFonts w:hint="default" w:ascii="Times New Roman" w:hAnsi="Times New Roman" w:cs="Times New Roman"/>
          <w:b/>
          <w:bCs/>
          <w:color w:val="auto"/>
          <w:kern w:val="2"/>
          <w:szCs w:val="22"/>
        </w:rPr>
      </w:pPr>
      <w:r>
        <w:rPr>
          <w:rFonts w:hint="default" w:ascii="Times New Roman" w:hAnsi="Times New Roman" w:cs="Times New Roman"/>
          <w:b/>
          <w:bCs/>
          <w:color w:val="auto"/>
          <w:kern w:val="2"/>
          <w:szCs w:val="22"/>
        </w:rPr>
        <w:t>主要起草人：</w:t>
      </w:r>
    </w:p>
    <w:p w14:paraId="5581AF9B">
      <w:pPr>
        <w:spacing w:line="360" w:lineRule="auto"/>
        <w:ind w:left="1265" w:hanging="1440" w:hangingChars="60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 xml:space="preserve"> </w:t>
      </w:r>
    </w:p>
    <w:p w14:paraId="6E31AC0A">
      <w:pPr>
        <w:widowControl/>
        <w:snapToGrid w:val="0"/>
        <w:spacing w:line="360" w:lineRule="auto"/>
        <w:rPr>
          <w:rFonts w:hint="default" w:ascii="Times New Roman" w:hAnsi="Times New Roman" w:cs="Times New Roman"/>
          <w:b/>
          <w:bCs/>
          <w:color w:val="auto"/>
          <w:kern w:val="2"/>
          <w:szCs w:val="22"/>
        </w:rPr>
      </w:pPr>
      <w:r>
        <w:rPr>
          <w:rFonts w:hint="default" w:ascii="Times New Roman" w:hAnsi="Times New Roman" w:cs="Times New Roman"/>
          <w:b/>
          <w:bCs/>
          <w:color w:val="auto"/>
          <w:kern w:val="2"/>
          <w:szCs w:val="22"/>
        </w:rPr>
        <w:t>主要审查人：</w:t>
      </w:r>
    </w:p>
    <w:p w14:paraId="18602664">
      <w:pPr>
        <w:widowControl/>
        <w:spacing w:line="360" w:lineRule="auto"/>
        <w:rPr>
          <w:rFonts w:hint="default" w:ascii="Times New Roman" w:hAnsi="Times New Roman" w:eastAsia="仿宋" w:cs="Times New Roman"/>
          <w:b/>
          <w:color w:val="auto"/>
          <w:kern w:val="2"/>
          <w:sz w:val="36"/>
          <w:szCs w:val="36"/>
        </w:rPr>
        <w:sectPr>
          <w:pgSz w:w="11906" w:h="16838"/>
          <w:pgMar w:top="1440" w:right="1800" w:bottom="1440" w:left="1800" w:header="851" w:footer="992" w:gutter="0"/>
          <w:cols w:space="425" w:num="1"/>
          <w:docGrid w:type="lines" w:linePitch="312" w:charSpace="0"/>
        </w:sectPr>
      </w:pPr>
    </w:p>
    <w:p w14:paraId="1ECA93A9">
      <w:pPr>
        <w:rPr>
          <w:rFonts w:hint="default" w:ascii="Times New Roman" w:hAnsi="Times New Roman" w:eastAsia="仿宋" w:cs="Times New Roman"/>
          <w:b/>
          <w:color w:val="auto"/>
          <w:kern w:val="2"/>
          <w:sz w:val="28"/>
          <w:szCs w:val="28"/>
        </w:rPr>
      </w:pPr>
      <w:r>
        <w:rPr>
          <w:rFonts w:hint="default" w:ascii="Times New Roman" w:hAnsi="Times New Roman" w:eastAsia="仿宋" w:cs="Times New Roman"/>
          <w:b/>
          <w:color w:val="auto"/>
          <w:kern w:val="2"/>
          <w:sz w:val="28"/>
          <w:szCs w:val="28"/>
        </w:rPr>
        <w:br w:type="page"/>
      </w:r>
    </w:p>
    <w:sdt>
      <w:sdtPr>
        <w:rPr>
          <w:rFonts w:hint="default" w:ascii="Times New Roman" w:hAnsi="Times New Roman" w:eastAsia="宋体" w:cs="Times New Roman"/>
          <w:b w:val="0"/>
          <w:bCs w:val="0"/>
          <w:color w:val="0000FF"/>
          <w:sz w:val="21"/>
          <w:szCs w:val="21"/>
          <w:lang w:val="zh-CN"/>
        </w:rPr>
        <w:id w:val="-1709094815"/>
        <w:docPartObj>
          <w:docPartGallery w:val="Table of Contents"/>
          <w:docPartUnique/>
        </w:docPartObj>
      </w:sdtPr>
      <w:sdtEndPr>
        <w:rPr>
          <w:rFonts w:hint="default" w:ascii="Times New Roman" w:hAnsi="Times New Roman" w:eastAsia="宋体" w:cs="Times New Roman"/>
          <w:b w:val="0"/>
          <w:bCs w:val="0"/>
          <w:color w:val="auto"/>
          <w:sz w:val="24"/>
          <w:szCs w:val="24"/>
          <w:lang w:val="zh-CN"/>
        </w:rPr>
      </w:sdtEndPr>
      <w:sdtContent>
        <w:p w14:paraId="6873167B">
          <w:pPr>
            <w:pStyle w:val="27"/>
            <w:spacing w:before="0"/>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lang w:val="zh-CN"/>
            </w:rPr>
            <w:t>目次</w:t>
          </w:r>
        </w:p>
        <w:p w14:paraId="0DE6FF06">
          <w:pPr>
            <w:pStyle w:val="11"/>
            <w:tabs>
              <w:tab w:val="right" w:leader="dot" w:pos="8306"/>
            </w:tabs>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TOC \o "1-3" \h \z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szCs w:val="24"/>
            </w:rPr>
            <w:instrText xml:space="preserve"> HYPERLINK \l _Toc12409 </w:instrText>
          </w:r>
          <w:r>
            <w:rPr>
              <w:rFonts w:hint="default" w:ascii="Times New Roman" w:hAnsi="Times New Roman" w:cs="Times New Roman"/>
              <w:szCs w:val="24"/>
            </w:rPr>
            <w:fldChar w:fldCharType="separate"/>
          </w:r>
          <w:r>
            <w:rPr>
              <w:rFonts w:hint="default" w:ascii="Times New Roman" w:hAnsi="Times New Roman" w:cs="Times New Roman"/>
              <w:bCs/>
              <w:kern w:val="2"/>
              <w:szCs w:val="32"/>
              <w:highlight w:val="none"/>
            </w:rPr>
            <w:t>1 总  则</w:t>
          </w:r>
          <w:r>
            <w:tab/>
          </w:r>
          <w:r>
            <w:fldChar w:fldCharType="begin"/>
          </w:r>
          <w:r>
            <w:instrText xml:space="preserve"> PAGEREF _Toc12409 \h </w:instrText>
          </w:r>
          <w:r>
            <w:fldChar w:fldCharType="separate"/>
          </w:r>
          <w:r>
            <w:t>1</w:t>
          </w:r>
          <w:r>
            <w:fldChar w:fldCharType="end"/>
          </w:r>
          <w:r>
            <w:rPr>
              <w:rFonts w:hint="default" w:ascii="Times New Roman" w:hAnsi="Times New Roman" w:cs="Times New Roman"/>
              <w:color w:val="auto"/>
              <w:szCs w:val="24"/>
            </w:rPr>
            <w:fldChar w:fldCharType="end"/>
          </w:r>
        </w:p>
        <w:p w14:paraId="633DABD1">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_Toc10748 </w:instrText>
          </w:r>
          <w:r>
            <w:rPr>
              <w:rFonts w:hint="default" w:ascii="Times New Roman" w:hAnsi="Times New Roman" w:cs="Times New Roman"/>
              <w:bCs/>
              <w:szCs w:val="24"/>
              <w:lang w:val="zh-CN"/>
            </w:rPr>
            <w:fldChar w:fldCharType="separate"/>
          </w:r>
          <w:r>
            <w:rPr>
              <w:rFonts w:hint="eastAsia" w:cs="Times New Roman"/>
              <w:bCs/>
              <w:kern w:val="2"/>
              <w:szCs w:val="32"/>
              <w:lang w:val="en-US" w:eastAsia="zh-CN"/>
            </w:rPr>
            <w:t>2</w:t>
          </w:r>
          <w:r>
            <w:rPr>
              <w:rFonts w:hint="default" w:ascii="Times New Roman" w:hAnsi="Times New Roman" w:cs="Times New Roman"/>
              <w:bCs/>
              <w:kern w:val="2"/>
              <w:szCs w:val="32"/>
            </w:rPr>
            <w:t xml:space="preserve"> </w:t>
          </w:r>
          <w:r>
            <w:rPr>
              <w:rFonts w:hint="eastAsia" w:cs="Times New Roman"/>
              <w:bCs/>
              <w:kern w:val="2"/>
              <w:szCs w:val="32"/>
              <w:lang w:val="en-US" w:eastAsia="zh-CN"/>
            </w:rPr>
            <w:t>术语和符号</w:t>
          </w:r>
          <w:r>
            <w:tab/>
          </w:r>
          <w:r>
            <w:fldChar w:fldCharType="begin"/>
          </w:r>
          <w:r>
            <w:instrText xml:space="preserve"> PAGEREF _Toc10748 \h </w:instrText>
          </w:r>
          <w:r>
            <w:fldChar w:fldCharType="separate"/>
          </w:r>
          <w:r>
            <w:t>2</w:t>
          </w:r>
          <w:r>
            <w:fldChar w:fldCharType="end"/>
          </w:r>
          <w:r>
            <w:rPr>
              <w:rFonts w:hint="default" w:ascii="Times New Roman" w:hAnsi="Times New Roman" w:cs="Times New Roman"/>
              <w:bCs/>
              <w:color w:val="auto"/>
              <w:szCs w:val="24"/>
              <w:lang w:val="zh-CN"/>
            </w:rPr>
            <w:fldChar w:fldCharType="end"/>
          </w:r>
        </w:p>
        <w:p w14:paraId="159D602D">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_Toc5694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2.</w:t>
          </w:r>
          <w:r>
            <w:rPr>
              <w:rFonts w:hint="eastAsia" w:cs="Times New Roman"/>
              <w:lang w:val="en-US" w:eastAsia="zh-CN"/>
            </w:rPr>
            <w:t>1术语</w:t>
          </w:r>
          <w:r>
            <w:tab/>
          </w:r>
          <w:r>
            <w:fldChar w:fldCharType="begin"/>
          </w:r>
          <w:r>
            <w:instrText xml:space="preserve"> PAGEREF _Toc5694 \h </w:instrText>
          </w:r>
          <w:r>
            <w:fldChar w:fldCharType="separate"/>
          </w:r>
          <w:r>
            <w:t>2</w:t>
          </w:r>
          <w:r>
            <w:fldChar w:fldCharType="end"/>
          </w:r>
          <w:r>
            <w:rPr>
              <w:rFonts w:hint="default" w:ascii="Times New Roman" w:hAnsi="Times New Roman" w:cs="Times New Roman"/>
              <w:bCs/>
              <w:color w:val="auto"/>
              <w:szCs w:val="24"/>
              <w:lang w:val="zh-CN"/>
            </w:rPr>
            <w:fldChar w:fldCharType="end"/>
          </w:r>
        </w:p>
        <w:p w14:paraId="314C5F11">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_Toc5061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2.2符号</w:t>
          </w:r>
          <w:r>
            <w:tab/>
          </w:r>
          <w:r>
            <w:fldChar w:fldCharType="begin"/>
          </w:r>
          <w:r>
            <w:instrText xml:space="preserve"> PAGEREF _Toc5061 \h </w:instrText>
          </w:r>
          <w:r>
            <w:fldChar w:fldCharType="separate"/>
          </w:r>
          <w:r>
            <w:t>7</w:t>
          </w:r>
          <w:r>
            <w:fldChar w:fldCharType="end"/>
          </w:r>
          <w:r>
            <w:rPr>
              <w:rFonts w:hint="default" w:ascii="Times New Roman" w:hAnsi="Times New Roman" w:cs="Times New Roman"/>
              <w:bCs/>
              <w:color w:val="auto"/>
              <w:szCs w:val="24"/>
              <w:lang w:val="zh-CN"/>
            </w:rPr>
            <w:fldChar w:fldCharType="end"/>
          </w:r>
        </w:p>
        <w:p w14:paraId="0A0B803F">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_Toc11832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highlight w:val="none"/>
            </w:rPr>
            <w:t>3 基本规定</w:t>
          </w:r>
          <w:r>
            <w:tab/>
          </w:r>
          <w:r>
            <w:fldChar w:fldCharType="begin"/>
          </w:r>
          <w:r>
            <w:instrText xml:space="preserve"> PAGEREF _Toc11832 \h </w:instrText>
          </w:r>
          <w:r>
            <w:fldChar w:fldCharType="separate"/>
          </w:r>
          <w:r>
            <w:t>10</w:t>
          </w:r>
          <w:r>
            <w:fldChar w:fldCharType="end"/>
          </w:r>
          <w:r>
            <w:rPr>
              <w:rFonts w:hint="default" w:ascii="Times New Roman" w:hAnsi="Times New Roman" w:cs="Times New Roman"/>
              <w:bCs/>
              <w:color w:val="auto"/>
              <w:szCs w:val="24"/>
              <w:lang w:val="zh-CN"/>
            </w:rPr>
            <w:fldChar w:fldCharType="end"/>
          </w:r>
        </w:p>
        <w:p w14:paraId="77E603C2">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_Toc22523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4 材料选择</w:t>
          </w:r>
          <w:r>
            <w:tab/>
          </w:r>
          <w:r>
            <w:fldChar w:fldCharType="begin"/>
          </w:r>
          <w:r>
            <w:instrText xml:space="preserve"> PAGEREF _Toc22523 \h </w:instrText>
          </w:r>
          <w:r>
            <w:fldChar w:fldCharType="separate"/>
          </w:r>
          <w:r>
            <w:t>12</w:t>
          </w:r>
          <w:r>
            <w:fldChar w:fldCharType="end"/>
          </w:r>
          <w:r>
            <w:rPr>
              <w:rFonts w:hint="default" w:ascii="Times New Roman" w:hAnsi="Times New Roman" w:cs="Times New Roman"/>
              <w:bCs/>
              <w:color w:val="auto"/>
              <w:szCs w:val="24"/>
              <w:lang w:val="zh-CN"/>
            </w:rPr>
            <w:fldChar w:fldCharType="end"/>
          </w:r>
        </w:p>
        <w:p w14:paraId="44A8E263">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_Toc6352 </w:instrText>
          </w:r>
          <w:r>
            <w:rPr>
              <w:rFonts w:hint="default" w:ascii="Times New Roman" w:hAnsi="Times New Roman" w:cs="Times New Roman"/>
              <w:bCs/>
              <w:szCs w:val="24"/>
              <w:lang w:val="zh-CN"/>
            </w:rPr>
            <w:fldChar w:fldCharType="separate"/>
          </w:r>
          <w:r>
            <w:rPr>
              <w:rFonts w:hint="default" w:ascii="Times New Roman" w:hAnsi="Times New Roman" w:cs="Times New Roman"/>
            </w:rPr>
            <w:t>4.1一般规定</w:t>
          </w:r>
          <w:r>
            <w:tab/>
          </w:r>
          <w:r>
            <w:fldChar w:fldCharType="begin"/>
          </w:r>
          <w:r>
            <w:instrText xml:space="preserve"> PAGEREF _Toc6352 \h </w:instrText>
          </w:r>
          <w:r>
            <w:fldChar w:fldCharType="separate"/>
          </w:r>
          <w:r>
            <w:t>12</w:t>
          </w:r>
          <w:r>
            <w:fldChar w:fldCharType="end"/>
          </w:r>
          <w:r>
            <w:rPr>
              <w:rFonts w:hint="default" w:ascii="Times New Roman" w:hAnsi="Times New Roman" w:cs="Times New Roman"/>
              <w:bCs/>
              <w:color w:val="auto"/>
              <w:szCs w:val="24"/>
              <w:lang w:val="zh-CN"/>
            </w:rPr>
            <w:fldChar w:fldCharType="end"/>
          </w:r>
        </w:p>
        <w:p w14:paraId="7BD2EF78">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_Toc24489 </w:instrText>
          </w:r>
          <w:r>
            <w:rPr>
              <w:rFonts w:hint="default" w:ascii="Times New Roman" w:hAnsi="Times New Roman" w:cs="Times New Roman"/>
              <w:bCs/>
              <w:szCs w:val="24"/>
              <w:lang w:val="zh-CN"/>
            </w:rPr>
            <w:fldChar w:fldCharType="separate"/>
          </w:r>
          <w:r>
            <w:rPr>
              <w:rFonts w:hint="default" w:ascii="Times New Roman" w:hAnsi="Times New Roman" w:cs="Times New Roman"/>
            </w:rPr>
            <w:t>4.2原位固化法</w:t>
          </w:r>
          <w:r>
            <w:tab/>
          </w:r>
          <w:r>
            <w:fldChar w:fldCharType="begin"/>
          </w:r>
          <w:r>
            <w:instrText xml:space="preserve"> PAGEREF _Toc24489 \h </w:instrText>
          </w:r>
          <w:r>
            <w:fldChar w:fldCharType="separate"/>
          </w:r>
          <w:r>
            <w:t>12</w:t>
          </w:r>
          <w:r>
            <w:fldChar w:fldCharType="end"/>
          </w:r>
          <w:r>
            <w:rPr>
              <w:rFonts w:hint="default" w:ascii="Times New Roman" w:hAnsi="Times New Roman" w:cs="Times New Roman"/>
              <w:bCs/>
              <w:color w:val="auto"/>
              <w:szCs w:val="24"/>
              <w:lang w:val="zh-CN"/>
            </w:rPr>
            <w:fldChar w:fldCharType="end"/>
          </w:r>
        </w:p>
        <w:p w14:paraId="165EAFF4">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_Toc25604 </w:instrText>
          </w:r>
          <w:r>
            <w:rPr>
              <w:rFonts w:hint="default" w:ascii="Times New Roman" w:hAnsi="Times New Roman" w:cs="Times New Roman"/>
              <w:bCs/>
              <w:szCs w:val="24"/>
              <w:lang w:val="zh-CN"/>
            </w:rPr>
            <w:fldChar w:fldCharType="separate"/>
          </w:r>
          <w:r>
            <w:rPr>
              <w:rFonts w:hint="default" w:ascii="Times New Roman" w:hAnsi="Times New Roman" w:cs="Times New Roman"/>
            </w:rPr>
            <w:t>4.3管片内衬法</w:t>
          </w:r>
          <w:r>
            <w:tab/>
          </w:r>
          <w:r>
            <w:fldChar w:fldCharType="begin"/>
          </w:r>
          <w:r>
            <w:instrText xml:space="preserve"> PAGEREF _Toc25604 \h </w:instrText>
          </w:r>
          <w:r>
            <w:fldChar w:fldCharType="separate"/>
          </w:r>
          <w:r>
            <w:t>16</w:t>
          </w:r>
          <w:r>
            <w:fldChar w:fldCharType="end"/>
          </w:r>
          <w:r>
            <w:rPr>
              <w:rFonts w:hint="default" w:ascii="Times New Roman" w:hAnsi="Times New Roman" w:cs="Times New Roman"/>
              <w:bCs/>
              <w:color w:val="auto"/>
              <w:szCs w:val="24"/>
              <w:lang w:val="zh-CN"/>
            </w:rPr>
            <w:fldChar w:fldCharType="end"/>
          </w:r>
        </w:p>
        <w:p w14:paraId="2A39C745">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_Toc11630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4.4短管内衬法</w:t>
          </w:r>
          <w:r>
            <w:tab/>
          </w:r>
          <w:r>
            <w:fldChar w:fldCharType="begin"/>
          </w:r>
          <w:r>
            <w:instrText xml:space="preserve"> PAGEREF _Toc11630 \h </w:instrText>
          </w:r>
          <w:r>
            <w:fldChar w:fldCharType="separate"/>
          </w:r>
          <w:r>
            <w:t>17</w:t>
          </w:r>
          <w:r>
            <w:fldChar w:fldCharType="end"/>
          </w:r>
          <w:r>
            <w:rPr>
              <w:rFonts w:hint="default" w:ascii="Times New Roman" w:hAnsi="Times New Roman" w:cs="Times New Roman"/>
              <w:bCs/>
              <w:color w:val="auto"/>
              <w:szCs w:val="24"/>
              <w:lang w:val="zh-CN"/>
            </w:rPr>
            <w:fldChar w:fldCharType="end"/>
          </w:r>
        </w:p>
        <w:p w14:paraId="0A3B8C7E">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_Toc27179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4.5机械制螺旋缠绕法</w:t>
          </w:r>
          <w:r>
            <w:tab/>
          </w:r>
          <w:r>
            <w:fldChar w:fldCharType="begin"/>
          </w:r>
          <w:r>
            <w:instrText xml:space="preserve"> PAGEREF _Toc27179 \h </w:instrText>
          </w:r>
          <w:r>
            <w:fldChar w:fldCharType="separate"/>
          </w:r>
          <w:r>
            <w:t>18</w:t>
          </w:r>
          <w:r>
            <w:fldChar w:fldCharType="end"/>
          </w:r>
          <w:r>
            <w:rPr>
              <w:rFonts w:hint="default" w:ascii="Times New Roman" w:hAnsi="Times New Roman" w:cs="Times New Roman"/>
              <w:bCs/>
              <w:color w:val="auto"/>
              <w:szCs w:val="24"/>
              <w:lang w:val="zh-CN"/>
            </w:rPr>
            <w:fldChar w:fldCharType="end"/>
          </w:r>
        </w:p>
        <w:p w14:paraId="5946C48F">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_Toc21430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4.6水泥基材料喷筑法</w:t>
          </w:r>
          <w:r>
            <w:tab/>
          </w:r>
          <w:r>
            <w:fldChar w:fldCharType="begin"/>
          </w:r>
          <w:r>
            <w:instrText xml:space="preserve"> PAGEREF _Toc21430 \h </w:instrText>
          </w:r>
          <w:r>
            <w:fldChar w:fldCharType="separate"/>
          </w:r>
          <w:r>
            <w:t>20</w:t>
          </w:r>
          <w:r>
            <w:fldChar w:fldCharType="end"/>
          </w:r>
          <w:r>
            <w:rPr>
              <w:rFonts w:hint="default" w:ascii="Times New Roman" w:hAnsi="Times New Roman" w:cs="Times New Roman"/>
              <w:bCs/>
              <w:color w:val="auto"/>
              <w:szCs w:val="24"/>
              <w:lang w:val="zh-CN"/>
            </w:rPr>
            <w:fldChar w:fldCharType="end"/>
          </w:r>
        </w:p>
        <w:p w14:paraId="2D7146A6">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_Toc14279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4.7垫衬法</w:t>
          </w:r>
          <w:r>
            <w:tab/>
          </w:r>
          <w:r>
            <w:fldChar w:fldCharType="begin"/>
          </w:r>
          <w:r>
            <w:instrText xml:space="preserve"> PAGEREF _Toc14279 \h </w:instrText>
          </w:r>
          <w:r>
            <w:fldChar w:fldCharType="separate"/>
          </w:r>
          <w:r>
            <w:t>22</w:t>
          </w:r>
          <w:r>
            <w:fldChar w:fldCharType="end"/>
          </w:r>
          <w:r>
            <w:rPr>
              <w:rFonts w:hint="default" w:ascii="Times New Roman" w:hAnsi="Times New Roman" w:cs="Times New Roman"/>
              <w:bCs/>
              <w:color w:val="auto"/>
              <w:szCs w:val="24"/>
              <w:lang w:val="zh-CN"/>
            </w:rPr>
            <w:fldChar w:fldCharType="end"/>
          </w:r>
        </w:p>
        <w:p w14:paraId="3F511ECD">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_Toc27053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4.8点状原位固化法</w:t>
          </w:r>
          <w:r>
            <w:tab/>
          </w:r>
          <w:r>
            <w:fldChar w:fldCharType="begin"/>
          </w:r>
          <w:r>
            <w:instrText xml:space="preserve"> PAGEREF _Toc27053 \h </w:instrText>
          </w:r>
          <w:r>
            <w:fldChar w:fldCharType="separate"/>
          </w:r>
          <w:r>
            <w:t>24</w:t>
          </w:r>
          <w:r>
            <w:fldChar w:fldCharType="end"/>
          </w:r>
          <w:r>
            <w:rPr>
              <w:rFonts w:hint="default" w:ascii="Times New Roman" w:hAnsi="Times New Roman" w:cs="Times New Roman"/>
              <w:bCs/>
              <w:color w:val="auto"/>
              <w:szCs w:val="24"/>
              <w:lang w:val="zh-CN"/>
            </w:rPr>
            <w:fldChar w:fldCharType="end"/>
          </w:r>
        </w:p>
        <w:p w14:paraId="06E5B634">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_Toc14624 </w:instrText>
          </w:r>
          <w:r>
            <w:rPr>
              <w:rFonts w:hint="default" w:ascii="Times New Roman" w:hAnsi="Times New Roman" w:cs="Times New Roman"/>
              <w:bCs/>
              <w:szCs w:val="24"/>
              <w:lang w:val="zh-CN"/>
            </w:rPr>
            <w:fldChar w:fldCharType="separate"/>
          </w:r>
          <w:r>
            <w:rPr>
              <w:rFonts w:hint="default" w:ascii="Times New Roman" w:hAnsi="Times New Roman" w:cs="Times New Roman"/>
            </w:rPr>
            <w:t>4.9不锈钢双胀环法</w:t>
          </w:r>
          <w:r>
            <w:tab/>
          </w:r>
          <w:r>
            <w:fldChar w:fldCharType="begin"/>
          </w:r>
          <w:r>
            <w:instrText xml:space="preserve"> PAGEREF _Toc14624 \h </w:instrText>
          </w:r>
          <w:r>
            <w:fldChar w:fldCharType="separate"/>
          </w:r>
          <w:r>
            <w:t>25</w:t>
          </w:r>
          <w:r>
            <w:fldChar w:fldCharType="end"/>
          </w:r>
          <w:r>
            <w:rPr>
              <w:rFonts w:hint="default" w:ascii="Times New Roman" w:hAnsi="Times New Roman" w:cs="Times New Roman"/>
              <w:bCs/>
              <w:color w:val="auto"/>
              <w:szCs w:val="24"/>
              <w:lang w:val="zh-CN"/>
            </w:rPr>
            <w:fldChar w:fldCharType="end"/>
          </w:r>
        </w:p>
        <w:p w14:paraId="53A0CFAC">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_Toc23816 </w:instrText>
          </w:r>
          <w:r>
            <w:rPr>
              <w:rFonts w:hint="default" w:ascii="Times New Roman" w:hAnsi="Times New Roman" w:cs="Times New Roman"/>
              <w:bCs/>
              <w:szCs w:val="24"/>
              <w:lang w:val="zh-CN"/>
            </w:rPr>
            <w:fldChar w:fldCharType="separate"/>
          </w:r>
          <w:r>
            <w:rPr>
              <w:rFonts w:hint="default" w:ascii="Times New Roman" w:hAnsi="Times New Roman" w:cs="Times New Roman"/>
            </w:rPr>
            <w:t>4.10不锈钢快速锁法</w:t>
          </w:r>
          <w:r>
            <w:tab/>
          </w:r>
          <w:r>
            <w:fldChar w:fldCharType="begin"/>
          </w:r>
          <w:r>
            <w:instrText xml:space="preserve"> PAGEREF _Toc23816 \h </w:instrText>
          </w:r>
          <w:r>
            <w:fldChar w:fldCharType="separate"/>
          </w:r>
          <w:r>
            <w:t>25</w:t>
          </w:r>
          <w:r>
            <w:fldChar w:fldCharType="end"/>
          </w:r>
          <w:r>
            <w:rPr>
              <w:rFonts w:hint="default" w:ascii="Times New Roman" w:hAnsi="Times New Roman" w:cs="Times New Roman"/>
              <w:bCs/>
              <w:color w:val="auto"/>
              <w:szCs w:val="24"/>
              <w:lang w:val="zh-CN"/>
            </w:rPr>
            <w:fldChar w:fldCharType="end"/>
          </w:r>
        </w:p>
        <w:p w14:paraId="4A0E0F7A">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_Toc13690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lang w:val="en-US" w:eastAsia="zh-CN"/>
            </w:rPr>
            <w:t>5</w:t>
          </w:r>
          <w:r>
            <w:rPr>
              <w:rFonts w:hint="default" w:ascii="Times New Roman" w:hAnsi="Times New Roman" w:cs="Times New Roman"/>
              <w:bCs/>
              <w:kern w:val="2"/>
              <w:szCs w:val="32"/>
            </w:rPr>
            <w:t xml:space="preserve"> </w:t>
          </w:r>
          <w:r>
            <w:rPr>
              <w:rFonts w:hint="default" w:ascii="Times New Roman" w:hAnsi="Times New Roman" w:cs="Times New Roman"/>
              <w:bCs/>
              <w:kern w:val="2"/>
              <w:szCs w:val="32"/>
              <w:lang w:val="en-US" w:eastAsia="zh-CN"/>
            </w:rPr>
            <w:t>设计</w:t>
          </w:r>
          <w:r>
            <w:tab/>
          </w:r>
          <w:r>
            <w:fldChar w:fldCharType="begin"/>
          </w:r>
          <w:r>
            <w:instrText xml:space="preserve"> PAGEREF _Toc13690 \h </w:instrText>
          </w:r>
          <w:r>
            <w:fldChar w:fldCharType="separate"/>
          </w:r>
          <w:r>
            <w:t>26</w:t>
          </w:r>
          <w:r>
            <w:fldChar w:fldCharType="end"/>
          </w:r>
          <w:r>
            <w:rPr>
              <w:rFonts w:hint="default" w:ascii="Times New Roman" w:hAnsi="Times New Roman" w:cs="Times New Roman"/>
              <w:bCs/>
              <w:color w:val="auto"/>
              <w:szCs w:val="24"/>
              <w:lang w:val="zh-CN"/>
            </w:rPr>
            <w:fldChar w:fldCharType="end"/>
          </w:r>
        </w:p>
        <w:p w14:paraId="7F6DEC5C">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_Toc11990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w:t>
          </w:r>
          <w:r>
            <w:rPr>
              <w:rFonts w:hint="default" w:ascii="Times New Roman" w:hAnsi="Times New Roman" w:eastAsia="宋体" w:cs="Times New Roman"/>
            </w:rPr>
            <w:t>.1一般规定</w:t>
          </w:r>
          <w:r>
            <w:tab/>
          </w:r>
          <w:r>
            <w:fldChar w:fldCharType="begin"/>
          </w:r>
          <w:r>
            <w:instrText xml:space="preserve"> PAGEREF _Toc11990 \h </w:instrText>
          </w:r>
          <w:r>
            <w:fldChar w:fldCharType="separate"/>
          </w:r>
          <w:r>
            <w:t>26</w:t>
          </w:r>
          <w:r>
            <w:fldChar w:fldCharType="end"/>
          </w:r>
          <w:r>
            <w:rPr>
              <w:rFonts w:hint="default" w:ascii="Times New Roman" w:hAnsi="Times New Roman" w:cs="Times New Roman"/>
              <w:bCs/>
              <w:color w:val="auto"/>
              <w:szCs w:val="24"/>
              <w:lang w:val="zh-CN"/>
            </w:rPr>
            <w:fldChar w:fldCharType="end"/>
          </w:r>
        </w:p>
        <w:p w14:paraId="1618556F">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_Toc3356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w:t>
          </w:r>
          <w:r>
            <w:rPr>
              <w:rFonts w:hint="default" w:ascii="Times New Roman" w:hAnsi="Times New Roman" w:eastAsia="宋体" w:cs="Times New Roman"/>
            </w:rPr>
            <w:t>.</w:t>
          </w:r>
          <w:r>
            <w:rPr>
              <w:rFonts w:hint="default" w:ascii="Times New Roman" w:hAnsi="Times New Roman" w:eastAsia="宋体" w:cs="Times New Roman"/>
              <w:lang w:val="en-US" w:eastAsia="zh-CN"/>
            </w:rPr>
            <w:t>2内衬管设计</w:t>
          </w:r>
          <w:r>
            <w:tab/>
          </w:r>
          <w:r>
            <w:fldChar w:fldCharType="begin"/>
          </w:r>
          <w:r>
            <w:instrText xml:space="preserve"> PAGEREF _Toc3356 \h </w:instrText>
          </w:r>
          <w:r>
            <w:fldChar w:fldCharType="separate"/>
          </w:r>
          <w:r>
            <w:t>26</w:t>
          </w:r>
          <w:r>
            <w:fldChar w:fldCharType="end"/>
          </w:r>
          <w:r>
            <w:rPr>
              <w:rFonts w:hint="default" w:ascii="Times New Roman" w:hAnsi="Times New Roman" w:cs="Times New Roman"/>
              <w:bCs/>
              <w:color w:val="auto"/>
              <w:szCs w:val="24"/>
              <w:lang w:val="zh-CN"/>
            </w:rPr>
            <w:fldChar w:fldCharType="end"/>
          </w:r>
        </w:p>
        <w:p w14:paraId="0A631DCD">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_Toc23530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5.3水力计算</w:t>
          </w:r>
          <w:r>
            <w:tab/>
          </w:r>
          <w:r>
            <w:fldChar w:fldCharType="begin"/>
          </w:r>
          <w:r>
            <w:instrText xml:space="preserve"> PAGEREF _Toc23530 \h </w:instrText>
          </w:r>
          <w:r>
            <w:fldChar w:fldCharType="separate"/>
          </w:r>
          <w:r>
            <w:t>31</w:t>
          </w:r>
          <w:r>
            <w:fldChar w:fldCharType="end"/>
          </w:r>
          <w:r>
            <w:rPr>
              <w:rFonts w:hint="default" w:ascii="Times New Roman" w:hAnsi="Times New Roman" w:cs="Times New Roman"/>
              <w:bCs/>
              <w:color w:val="auto"/>
              <w:szCs w:val="24"/>
              <w:lang w:val="zh-CN"/>
            </w:rPr>
            <w:fldChar w:fldCharType="end"/>
          </w:r>
        </w:p>
        <w:p w14:paraId="6C7D1671">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_Toc6285 </w:instrText>
          </w:r>
          <w:r>
            <w:rPr>
              <w:rFonts w:hint="default" w:ascii="Times New Roman" w:hAnsi="Times New Roman" w:cs="Times New Roman"/>
              <w:bCs/>
              <w:szCs w:val="24"/>
              <w:lang w:val="zh-CN"/>
            </w:rPr>
            <w:fldChar w:fldCharType="separate"/>
          </w:r>
          <w:r>
            <w:rPr>
              <w:rFonts w:hint="default" w:ascii="Times New Roman" w:hAnsi="Times New Roman" w:cs="Times New Roman"/>
            </w:rPr>
            <w:t>5.4工作坑设计</w:t>
          </w:r>
          <w:r>
            <w:tab/>
          </w:r>
          <w:r>
            <w:fldChar w:fldCharType="begin"/>
          </w:r>
          <w:r>
            <w:instrText xml:space="preserve"> PAGEREF _Toc6285 \h </w:instrText>
          </w:r>
          <w:r>
            <w:fldChar w:fldCharType="separate"/>
          </w:r>
          <w:r>
            <w:t>32</w:t>
          </w:r>
          <w:r>
            <w:fldChar w:fldCharType="end"/>
          </w:r>
          <w:r>
            <w:rPr>
              <w:rFonts w:hint="default" w:ascii="Times New Roman" w:hAnsi="Times New Roman" w:cs="Times New Roman"/>
              <w:bCs/>
              <w:color w:val="auto"/>
              <w:szCs w:val="24"/>
              <w:lang w:val="zh-CN"/>
            </w:rPr>
            <w:fldChar w:fldCharType="end"/>
          </w:r>
        </w:p>
        <w:p w14:paraId="22D80844">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_Toc30124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5.5检查井</w:t>
          </w:r>
          <w:r>
            <w:tab/>
          </w:r>
          <w:r>
            <w:fldChar w:fldCharType="begin"/>
          </w:r>
          <w:r>
            <w:instrText xml:space="preserve"> PAGEREF _Toc30124 \h </w:instrText>
          </w:r>
          <w:r>
            <w:fldChar w:fldCharType="separate"/>
          </w:r>
          <w:r>
            <w:t>33</w:t>
          </w:r>
          <w:r>
            <w:fldChar w:fldCharType="end"/>
          </w:r>
          <w:r>
            <w:rPr>
              <w:rFonts w:hint="default" w:ascii="Times New Roman" w:hAnsi="Times New Roman" w:cs="Times New Roman"/>
              <w:bCs/>
              <w:color w:val="auto"/>
              <w:szCs w:val="24"/>
              <w:lang w:val="zh-CN"/>
            </w:rPr>
            <w:fldChar w:fldCharType="end"/>
          </w:r>
        </w:p>
        <w:p w14:paraId="6484E609">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_Toc15019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 施工</w:t>
          </w:r>
          <w:r>
            <w:tab/>
          </w:r>
          <w:r>
            <w:fldChar w:fldCharType="begin"/>
          </w:r>
          <w:r>
            <w:instrText xml:space="preserve"> PAGEREF _Toc15019 \h </w:instrText>
          </w:r>
          <w:r>
            <w:fldChar w:fldCharType="separate"/>
          </w:r>
          <w:r>
            <w:t>34</w:t>
          </w:r>
          <w:r>
            <w:fldChar w:fldCharType="end"/>
          </w:r>
          <w:r>
            <w:rPr>
              <w:rFonts w:hint="default" w:ascii="Times New Roman" w:hAnsi="Times New Roman" w:cs="Times New Roman"/>
              <w:bCs/>
              <w:color w:val="auto"/>
              <w:szCs w:val="24"/>
              <w:lang w:val="zh-CN"/>
            </w:rPr>
            <w:fldChar w:fldCharType="end"/>
          </w:r>
        </w:p>
        <w:p w14:paraId="1DAD9530">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_Toc22090 </w:instrText>
          </w:r>
          <w:r>
            <w:rPr>
              <w:rFonts w:hint="default" w:ascii="Times New Roman" w:hAnsi="Times New Roman" w:cs="Times New Roman"/>
              <w:bCs/>
              <w:szCs w:val="24"/>
              <w:lang w:val="zh-CN"/>
            </w:rPr>
            <w:fldChar w:fldCharType="separate"/>
          </w:r>
          <w:r>
            <w:rPr>
              <w:rFonts w:hint="default" w:ascii="Times New Roman" w:hAnsi="Times New Roman" w:cs="Times New Roman"/>
            </w:rPr>
            <w:t>6.1一般规定</w:t>
          </w:r>
          <w:r>
            <w:tab/>
          </w:r>
          <w:r>
            <w:fldChar w:fldCharType="begin"/>
          </w:r>
          <w:r>
            <w:instrText xml:space="preserve"> PAGEREF _Toc22090 \h </w:instrText>
          </w:r>
          <w:r>
            <w:fldChar w:fldCharType="separate"/>
          </w:r>
          <w:r>
            <w:t>34</w:t>
          </w:r>
          <w:r>
            <w:fldChar w:fldCharType="end"/>
          </w:r>
          <w:r>
            <w:rPr>
              <w:rFonts w:hint="default" w:ascii="Times New Roman" w:hAnsi="Times New Roman" w:cs="Times New Roman"/>
              <w:bCs/>
              <w:color w:val="auto"/>
              <w:szCs w:val="24"/>
              <w:lang w:val="zh-CN"/>
            </w:rPr>
            <w:fldChar w:fldCharType="end"/>
          </w:r>
        </w:p>
        <w:p w14:paraId="3CF4B701">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_Toc1161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6.2管道预处理</w:t>
          </w:r>
          <w:r>
            <w:tab/>
          </w:r>
          <w:r>
            <w:fldChar w:fldCharType="begin"/>
          </w:r>
          <w:r>
            <w:instrText xml:space="preserve"> PAGEREF _Toc1161 \h </w:instrText>
          </w:r>
          <w:r>
            <w:fldChar w:fldCharType="separate"/>
          </w:r>
          <w:r>
            <w:t>35</w:t>
          </w:r>
          <w:r>
            <w:fldChar w:fldCharType="end"/>
          </w:r>
          <w:r>
            <w:rPr>
              <w:rFonts w:hint="default" w:ascii="Times New Roman" w:hAnsi="Times New Roman" w:cs="Times New Roman"/>
              <w:bCs/>
              <w:color w:val="auto"/>
              <w:szCs w:val="24"/>
              <w:lang w:val="zh-CN"/>
            </w:rPr>
            <w:fldChar w:fldCharType="end"/>
          </w:r>
        </w:p>
        <w:p w14:paraId="3DB418E0">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_Toc29605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6.3翻转式原位固化法</w:t>
          </w:r>
          <w:r>
            <w:tab/>
          </w:r>
          <w:r>
            <w:fldChar w:fldCharType="begin"/>
          </w:r>
          <w:r>
            <w:instrText xml:space="preserve"> PAGEREF _Toc29605 \h </w:instrText>
          </w:r>
          <w:r>
            <w:fldChar w:fldCharType="separate"/>
          </w:r>
          <w:r>
            <w:t>38</w:t>
          </w:r>
          <w:r>
            <w:fldChar w:fldCharType="end"/>
          </w:r>
          <w:r>
            <w:rPr>
              <w:rFonts w:hint="default" w:ascii="Times New Roman" w:hAnsi="Times New Roman" w:cs="Times New Roman"/>
              <w:bCs/>
              <w:color w:val="auto"/>
              <w:szCs w:val="24"/>
              <w:lang w:val="zh-CN"/>
            </w:rPr>
            <w:fldChar w:fldCharType="end"/>
          </w:r>
        </w:p>
        <w:p w14:paraId="7843D42A">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_Toc315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6.4紫外光原位固化法</w:t>
          </w:r>
          <w:r>
            <w:tab/>
          </w:r>
          <w:r>
            <w:fldChar w:fldCharType="begin"/>
          </w:r>
          <w:r>
            <w:instrText xml:space="preserve"> PAGEREF _Toc315 \h </w:instrText>
          </w:r>
          <w:r>
            <w:fldChar w:fldCharType="separate"/>
          </w:r>
          <w:r>
            <w:t>40</w:t>
          </w:r>
          <w:r>
            <w:fldChar w:fldCharType="end"/>
          </w:r>
          <w:r>
            <w:rPr>
              <w:rFonts w:hint="default" w:ascii="Times New Roman" w:hAnsi="Times New Roman" w:cs="Times New Roman"/>
              <w:bCs/>
              <w:color w:val="auto"/>
              <w:szCs w:val="24"/>
              <w:lang w:val="zh-CN"/>
            </w:rPr>
            <w:fldChar w:fldCharType="end"/>
          </w:r>
        </w:p>
        <w:p w14:paraId="6ED85E0C">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_Toc11883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6.5管片内衬法</w:t>
          </w:r>
          <w:r>
            <w:tab/>
          </w:r>
          <w:r>
            <w:fldChar w:fldCharType="begin"/>
          </w:r>
          <w:r>
            <w:instrText xml:space="preserve"> PAGEREF _Toc11883 \h </w:instrText>
          </w:r>
          <w:r>
            <w:fldChar w:fldCharType="separate"/>
          </w:r>
          <w:r>
            <w:t>42</w:t>
          </w:r>
          <w:r>
            <w:fldChar w:fldCharType="end"/>
          </w:r>
          <w:r>
            <w:rPr>
              <w:rFonts w:hint="default" w:ascii="Times New Roman" w:hAnsi="Times New Roman" w:cs="Times New Roman"/>
              <w:bCs/>
              <w:color w:val="auto"/>
              <w:szCs w:val="24"/>
              <w:lang w:val="zh-CN"/>
            </w:rPr>
            <w:fldChar w:fldCharType="end"/>
          </w:r>
        </w:p>
        <w:p w14:paraId="268BEE0C">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_Toc12532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6.6短管内衬法</w:t>
          </w:r>
          <w:r>
            <w:tab/>
          </w:r>
          <w:r>
            <w:fldChar w:fldCharType="begin"/>
          </w:r>
          <w:r>
            <w:instrText xml:space="preserve"> PAGEREF _Toc12532 \h </w:instrText>
          </w:r>
          <w:r>
            <w:fldChar w:fldCharType="separate"/>
          </w:r>
          <w:r>
            <w:t>43</w:t>
          </w:r>
          <w:r>
            <w:fldChar w:fldCharType="end"/>
          </w:r>
          <w:r>
            <w:rPr>
              <w:rFonts w:hint="default" w:ascii="Times New Roman" w:hAnsi="Times New Roman" w:cs="Times New Roman"/>
              <w:bCs/>
              <w:color w:val="auto"/>
              <w:szCs w:val="24"/>
              <w:lang w:val="zh-CN"/>
            </w:rPr>
            <w:fldChar w:fldCharType="end"/>
          </w:r>
        </w:p>
        <w:p w14:paraId="767C7869">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_Toc10046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6.7机械</w:t>
          </w:r>
          <w:r>
            <w:rPr>
              <w:rFonts w:hint="default" w:ascii="Times New Roman" w:hAnsi="Times New Roman" w:cs="Times New Roman"/>
              <w:bCs/>
              <w:kern w:val="2"/>
              <w:szCs w:val="28"/>
              <w:lang w:val="en-US" w:eastAsia="zh-CN"/>
            </w:rPr>
            <w:t>制</w:t>
          </w:r>
          <w:r>
            <w:rPr>
              <w:rFonts w:hint="default" w:ascii="Times New Roman" w:hAnsi="Times New Roman" w:cs="Times New Roman"/>
              <w:bCs/>
              <w:kern w:val="2"/>
              <w:szCs w:val="28"/>
            </w:rPr>
            <w:t>螺旋缠绕法</w:t>
          </w:r>
          <w:r>
            <w:tab/>
          </w:r>
          <w:r>
            <w:fldChar w:fldCharType="begin"/>
          </w:r>
          <w:r>
            <w:instrText xml:space="preserve"> PAGEREF _Toc10046 \h </w:instrText>
          </w:r>
          <w:r>
            <w:fldChar w:fldCharType="separate"/>
          </w:r>
          <w:r>
            <w:t>45</w:t>
          </w:r>
          <w:r>
            <w:fldChar w:fldCharType="end"/>
          </w:r>
          <w:r>
            <w:rPr>
              <w:rFonts w:hint="default" w:ascii="Times New Roman" w:hAnsi="Times New Roman" w:cs="Times New Roman"/>
              <w:bCs/>
              <w:color w:val="auto"/>
              <w:szCs w:val="24"/>
              <w:lang w:val="zh-CN"/>
            </w:rPr>
            <w:fldChar w:fldCharType="end"/>
          </w:r>
        </w:p>
        <w:p w14:paraId="11408130">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_Toc13859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6.8水泥基材料</w:t>
          </w:r>
          <w:r>
            <w:rPr>
              <w:rFonts w:hint="default" w:ascii="Times New Roman" w:hAnsi="Times New Roman" w:cs="Times New Roman"/>
              <w:bCs/>
              <w:kern w:val="2"/>
              <w:szCs w:val="28"/>
              <w:lang w:val="en-US" w:eastAsia="zh-CN"/>
            </w:rPr>
            <w:t>喷筑</w:t>
          </w:r>
          <w:r>
            <w:rPr>
              <w:rFonts w:hint="default" w:ascii="Times New Roman" w:hAnsi="Times New Roman" w:cs="Times New Roman"/>
              <w:bCs/>
              <w:kern w:val="2"/>
              <w:szCs w:val="28"/>
            </w:rPr>
            <w:t>法</w:t>
          </w:r>
          <w:r>
            <w:tab/>
          </w:r>
          <w:r>
            <w:fldChar w:fldCharType="begin"/>
          </w:r>
          <w:r>
            <w:instrText xml:space="preserve"> PAGEREF _Toc13859 \h </w:instrText>
          </w:r>
          <w:r>
            <w:fldChar w:fldCharType="separate"/>
          </w:r>
          <w:r>
            <w:t>47</w:t>
          </w:r>
          <w:r>
            <w:fldChar w:fldCharType="end"/>
          </w:r>
          <w:r>
            <w:rPr>
              <w:rFonts w:hint="default" w:ascii="Times New Roman" w:hAnsi="Times New Roman" w:cs="Times New Roman"/>
              <w:bCs/>
              <w:color w:val="auto"/>
              <w:szCs w:val="24"/>
              <w:lang w:val="zh-CN"/>
            </w:rPr>
            <w:fldChar w:fldCharType="end"/>
          </w:r>
        </w:p>
        <w:p w14:paraId="54B0E834">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_Toc12762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6.9垫衬法</w:t>
          </w:r>
          <w:r>
            <w:tab/>
          </w:r>
          <w:r>
            <w:fldChar w:fldCharType="begin"/>
          </w:r>
          <w:r>
            <w:instrText xml:space="preserve"> PAGEREF _Toc12762 \h </w:instrText>
          </w:r>
          <w:r>
            <w:fldChar w:fldCharType="separate"/>
          </w:r>
          <w:r>
            <w:t>48</w:t>
          </w:r>
          <w:r>
            <w:fldChar w:fldCharType="end"/>
          </w:r>
          <w:r>
            <w:rPr>
              <w:rFonts w:hint="default" w:ascii="Times New Roman" w:hAnsi="Times New Roman" w:cs="Times New Roman"/>
              <w:bCs/>
              <w:color w:val="auto"/>
              <w:szCs w:val="24"/>
              <w:lang w:val="zh-CN"/>
            </w:rPr>
            <w:fldChar w:fldCharType="end"/>
          </w:r>
        </w:p>
        <w:p w14:paraId="12DF07E6">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_Toc3189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6.10点状原位固化法</w:t>
          </w:r>
          <w:r>
            <w:tab/>
          </w:r>
          <w:r>
            <w:fldChar w:fldCharType="begin"/>
          </w:r>
          <w:r>
            <w:instrText xml:space="preserve"> PAGEREF _Toc3189 \h </w:instrText>
          </w:r>
          <w:r>
            <w:fldChar w:fldCharType="separate"/>
          </w:r>
          <w:r>
            <w:t>50</w:t>
          </w:r>
          <w:r>
            <w:fldChar w:fldCharType="end"/>
          </w:r>
          <w:r>
            <w:rPr>
              <w:rFonts w:hint="default" w:ascii="Times New Roman" w:hAnsi="Times New Roman" w:cs="Times New Roman"/>
              <w:bCs/>
              <w:color w:val="auto"/>
              <w:szCs w:val="24"/>
              <w:lang w:val="zh-CN"/>
            </w:rPr>
            <w:fldChar w:fldCharType="end"/>
          </w:r>
        </w:p>
        <w:p w14:paraId="1268AB18">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_Toc32402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6.11不锈钢双胀环法</w:t>
          </w:r>
          <w:r>
            <w:tab/>
          </w:r>
          <w:r>
            <w:fldChar w:fldCharType="begin"/>
          </w:r>
          <w:r>
            <w:instrText xml:space="preserve"> PAGEREF _Toc32402 \h </w:instrText>
          </w:r>
          <w:r>
            <w:fldChar w:fldCharType="separate"/>
          </w:r>
          <w:r>
            <w:t>51</w:t>
          </w:r>
          <w:r>
            <w:fldChar w:fldCharType="end"/>
          </w:r>
          <w:r>
            <w:rPr>
              <w:rFonts w:hint="default" w:ascii="Times New Roman" w:hAnsi="Times New Roman" w:cs="Times New Roman"/>
              <w:bCs/>
              <w:color w:val="auto"/>
              <w:szCs w:val="24"/>
              <w:lang w:val="zh-CN"/>
            </w:rPr>
            <w:fldChar w:fldCharType="end"/>
          </w:r>
        </w:p>
        <w:p w14:paraId="0C2AAD10">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_Toc8419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6.12不锈钢快速锁法</w:t>
          </w:r>
          <w:r>
            <w:tab/>
          </w:r>
          <w:r>
            <w:fldChar w:fldCharType="begin"/>
          </w:r>
          <w:r>
            <w:instrText xml:space="preserve"> PAGEREF _Toc8419 \h </w:instrText>
          </w:r>
          <w:r>
            <w:fldChar w:fldCharType="separate"/>
          </w:r>
          <w:r>
            <w:t>52</w:t>
          </w:r>
          <w:r>
            <w:fldChar w:fldCharType="end"/>
          </w:r>
          <w:r>
            <w:rPr>
              <w:rFonts w:hint="default" w:ascii="Times New Roman" w:hAnsi="Times New Roman" w:cs="Times New Roman"/>
              <w:bCs/>
              <w:color w:val="auto"/>
              <w:szCs w:val="24"/>
              <w:lang w:val="zh-CN"/>
            </w:rPr>
            <w:fldChar w:fldCharType="end"/>
          </w:r>
        </w:p>
        <w:p w14:paraId="1CC3B977">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_Toc5283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6.13检查井修复</w:t>
          </w:r>
          <w:r>
            <w:tab/>
          </w:r>
          <w:r>
            <w:fldChar w:fldCharType="begin"/>
          </w:r>
          <w:r>
            <w:instrText xml:space="preserve"> PAGEREF _Toc5283 \h </w:instrText>
          </w:r>
          <w:r>
            <w:fldChar w:fldCharType="separate"/>
          </w:r>
          <w:r>
            <w:t>53</w:t>
          </w:r>
          <w:r>
            <w:fldChar w:fldCharType="end"/>
          </w:r>
          <w:r>
            <w:rPr>
              <w:rFonts w:hint="default" w:ascii="Times New Roman" w:hAnsi="Times New Roman" w:cs="Times New Roman"/>
              <w:bCs/>
              <w:color w:val="auto"/>
              <w:szCs w:val="24"/>
              <w:lang w:val="zh-CN"/>
            </w:rPr>
            <w:fldChar w:fldCharType="end"/>
          </w:r>
        </w:p>
        <w:p w14:paraId="1B0AE504">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_Toc6968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lang w:val="en-US" w:eastAsia="zh-CN"/>
            </w:rPr>
            <w:t>7</w:t>
          </w:r>
          <w:r>
            <w:rPr>
              <w:rFonts w:hint="default" w:ascii="Times New Roman" w:hAnsi="Times New Roman" w:cs="Times New Roman"/>
              <w:bCs/>
              <w:kern w:val="2"/>
              <w:szCs w:val="32"/>
            </w:rPr>
            <w:t xml:space="preserve"> </w:t>
          </w:r>
          <w:r>
            <w:rPr>
              <w:rFonts w:hint="default" w:ascii="Times New Roman" w:hAnsi="Times New Roman" w:cs="Times New Roman"/>
              <w:bCs/>
              <w:kern w:val="2"/>
              <w:szCs w:val="32"/>
              <w:lang w:val="en-US" w:eastAsia="zh-CN"/>
            </w:rPr>
            <w:t>验收</w:t>
          </w:r>
          <w:r>
            <w:tab/>
          </w:r>
          <w:r>
            <w:fldChar w:fldCharType="begin"/>
          </w:r>
          <w:r>
            <w:instrText xml:space="preserve"> PAGEREF _Toc6968 \h </w:instrText>
          </w:r>
          <w:r>
            <w:fldChar w:fldCharType="separate"/>
          </w:r>
          <w:r>
            <w:t>55</w:t>
          </w:r>
          <w:r>
            <w:fldChar w:fldCharType="end"/>
          </w:r>
          <w:r>
            <w:rPr>
              <w:rFonts w:hint="default" w:ascii="Times New Roman" w:hAnsi="Times New Roman" w:cs="Times New Roman"/>
              <w:bCs/>
              <w:color w:val="auto"/>
              <w:szCs w:val="24"/>
              <w:lang w:val="zh-CN"/>
            </w:rPr>
            <w:fldChar w:fldCharType="end"/>
          </w:r>
        </w:p>
        <w:p w14:paraId="35444D5F">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_Toc19499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.1一般规定</w:t>
          </w:r>
          <w:r>
            <w:tab/>
          </w:r>
          <w:r>
            <w:fldChar w:fldCharType="begin"/>
          </w:r>
          <w:r>
            <w:instrText xml:space="preserve"> PAGEREF _Toc19499 \h </w:instrText>
          </w:r>
          <w:r>
            <w:fldChar w:fldCharType="separate"/>
          </w:r>
          <w:r>
            <w:t>55</w:t>
          </w:r>
          <w:r>
            <w:fldChar w:fldCharType="end"/>
          </w:r>
          <w:r>
            <w:rPr>
              <w:rFonts w:hint="default" w:ascii="Times New Roman" w:hAnsi="Times New Roman" w:cs="Times New Roman"/>
              <w:bCs/>
              <w:color w:val="auto"/>
              <w:szCs w:val="24"/>
              <w:lang w:val="zh-CN"/>
            </w:rPr>
            <w:fldChar w:fldCharType="end"/>
          </w:r>
        </w:p>
        <w:p w14:paraId="5E81C386">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_Toc27821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.2</w:t>
          </w:r>
          <w:r>
            <w:rPr>
              <w:rFonts w:hint="default" w:ascii="Times New Roman" w:hAnsi="Times New Roman" w:eastAsia="宋体" w:cs="Times New Roman"/>
              <w:lang w:val="en-US" w:eastAsia="zh-CN"/>
            </w:rPr>
            <w:t>管道预处理</w:t>
          </w:r>
          <w:r>
            <w:tab/>
          </w:r>
          <w:r>
            <w:fldChar w:fldCharType="begin"/>
          </w:r>
          <w:r>
            <w:instrText xml:space="preserve"> PAGEREF _Toc27821 \h </w:instrText>
          </w:r>
          <w:r>
            <w:fldChar w:fldCharType="separate"/>
          </w:r>
          <w:r>
            <w:t>57</w:t>
          </w:r>
          <w:r>
            <w:fldChar w:fldCharType="end"/>
          </w:r>
          <w:r>
            <w:rPr>
              <w:rFonts w:hint="default" w:ascii="Times New Roman" w:hAnsi="Times New Roman" w:cs="Times New Roman"/>
              <w:bCs/>
              <w:color w:val="auto"/>
              <w:szCs w:val="24"/>
              <w:lang w:val="zh-CN"/>
            </w:rPr>
            <w:fldChar w:fldCharType="end"/>
          </w:r>
        </w:p>
        <w:p w14:paraId="6C2D246E">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_Toc11460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.3</w:t>
          </w:r>
          <w:r>
            <w:rPr>
              <w:rFonts w:hint="default" w:ascii="Times New Roman" w:hAnsi="Times New Roman" w:eastAsia="宋体" w:cs="Times New Roman"/>
              <w:lang w:val="en-US" w:eastAsia="zh-CN"/>
            </w:rPr>
            <w:t>原位固化法</w:t>
          </w:r>
          <w:r>
            <w:tab/>
          </w:r>
          <w:r>
            <w:fldChar w:fldCharType="begin"/>
          </w:r>
          <w:r>
            <w:instrText xml:space="preserve"> PAGEREF _Toc11460 \h </w:instrText>
          </w:r>
          <w:r>
            <w:fldChar w:fldCharType="separate"/>
          </w:r>
          <w:r>
            <w:t>58</w:t>
          </w:r>
          <w:r>
            <w:fldChar w:fldCharType="end"/>
          </w:r>
          <w:r>
            <w:rPr>
              <w:rFonts w:hint="default" w:ascii="Times New Roman" w:hAnsi="Times New Roman" w:cs="Times New Roman"/>
              <w:bCs/>
              <w:color w:val="auto"/>
              <w:szCs w:val="24"/>
              <w:lang w:val="zh-CN"/>
            </w:rPr>
            <w:fldChar w:fldCharType="end"/>
          </w:r>
        </w:p>
        <w:p w14:paraId="0BB4F391">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_Toc5268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4管片内衬法</w:t>
          </w:r>
          <w:r>
            <w:tab/>
          </w:r>
          <w:r>
            <w:fldChar w:fldCharType="begin"/>
          </w:r>
          <w:r>
            <w:instrText xml:space="preserve"> PAGEREF _Toc5268 \h </w:instrText>
          </w:r>
          <w:r>
            <w:fldChar w:fldCharType="separate"/>
          </w:r>
          <w:r>
            <w:t>60</w:t>
          </w:r>
          <w:r>
            <w:fldChar w:fldCharType="end"/>
          </w:r>
          <w:r>
            <w:rPr>
              <w:rFonts w:hint="default" w:ascii="Times New Roman" w:hAnsi="Times New Roman" w:cs="Times New Roman"/>
              <w:bCs/>
              <w:color w:val="auto"/>
              <w:szCs w:val="24"/>
              <w:lang w:val="zh-CN"/>
            </w:rPr>
            <w:fldChar w:fldCharType="end"/>
          </w:r>
        </w:p>
        <w:p w14:paraId="180C6222">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_Toc32280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7.5短管内衬法</w:t>
          </w:r>
          <w:r>
            <w:tab/>
          </w:r>
          <w:r>
            <w:fldChar w:fldCharType="begin"/>
          </w:r>
          <w:r>
            <w:instrText xml:space="preserve"> PAGEREF _Toc32280 \h </w:instrText>
          </w:r>
          <w:r>
            <w:fldChar w:fldCharType="separate"/>
          </w:r>
          <w:r>
            <w:t>61</w:t>
          </w:r>
          <w:r>
            <w:fldChar w:fldCharType="end"/>
          </w:r>
          <w:r>
            <w:rPr>
              <w:rFonts w:hint="default" w:ascii="Times New Roman" w:hAnsi="Times New Roman" w:cs="Times New Roman"/>
              <w:bCs/>
              <w:color w:val="auto"/>
              <w:szCs w:val="24"/>
              <w:lang w:val="zh-CN"/>
            </w:rPr>
            <w:fldChar w:fldCharType="end"/>
          </w:r>
        </w:p>
        <w:p w14:paraId="2CCD1B88">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_Toc21285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6机械制螺旋缠绕法</w:t>
          </w:r>
          <w:r>
            <w:tab/>
          </w:r>
          <w:r>
            <w:fldChar w:fldCharType="begin"/>
          </w:r>
          <w:r>
            <w:instrText xml:space="preserve"> PAGEREF _Toc21285 \h </w:instrText>
          </w:r>
          <w:r>
            <w:fldChar w:fldCharType="separate"/>
          </w:r>
          <w:r>
            <w:t>63</w:t>
          </w:r>
          <w:r>
            <w:fldChar w:fldCharType="end"/>
          </w:r>
          <w:r>
            <w:rPr>
              <w:rFonts w:hint="default" w:ascii="Times New Roman" w:hAnsi="Times New Roman" w:cs="Times New Roman"/>
              <w:bCs/>
              <w:color w:val="auto"/>
              <w:szCs w:val="24"/>
              <w:lang w:val="zh-CN"/>
            </w:rPr>
            <w:fldChar w:fldCharType="end"/>
          </w:r>
        </w:p>
        <w:p w14:paraId="4BAADA35">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_Toc482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7水泥基材料喷筑法</w:t>
          </w:r>
          <w:r>
            <w:tab/>
          </w:r>
          <w:r>
            <w:fldChar w:fldCharType="begin"/>
          </w:r>
          <w:r>
            <w:instrText xml:space="preserve"> PAGEREF _Toc482 \h </w:instrText>
          </w:r>
          <w:r>
            <w:fldChar w:fldCharType="separate"/>
          </w:r>
          <w:r>
            <w:t>64</w:t>
          </w:r>
          <w:r>
            <w:fldChar w:fldCharType="end"/>
          </w:r>
          <w:r>
            <w:rPr>
              <w:rFonts w:hint="default" w:ascii="Times New Roman" w:hAnsi="Times New Roman" w:cs="Times New Roman"/>
              <w:bCs/>
              <w:color w:val="auto"/>
              <w:szCs w:val="24"/>
              <w:lang w:val="zh-CN"/>
            </w:rPr>
            <w:fldChar w:fldCharType="end"/>
          </w:r>
        </w:p>
        <w:p w14:paraId="54BC1CFE">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_Toc1003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8垫衬法</w:t>
          </w:r>
          <w:r>
            <w:tab/>
          </w:r>
          <w:r>
            <w:fldChar w:fldCharType="begin"/>
          </w:r>
          <w:r>
            <w:instrText xml:space="preserve"> PAGEREF _Toc1003 \h </w:instrText>
          </w:r>
          <w:r>
            <w:fldChar w:fldCharType="separate"/>
          </w:r>
          <w:r>
            <w:t>65</w:t>
          </w:r>
          <w:r>
            <w:fldChar w:fldCharType="end"/>
          </w:r>
          <w:r>
            <w:rPr>
              <w:rFonts w:hint="default" w:ascii="Times New Roman" w:hAnsi="Times New Roman" w:cs="Times New Roman"/>
              <w:bCs/>
              <w:color w:val="auto"/>
              <w:szCs w:val="24"/>
              <w:lang w:val="zh-CN"/>
            </w:rPr>
            <w:fldChar w:fldCharType="end"/>
          </w:r>
        </w:p>
        <w:p w14:paraId="7708EEFD">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_Toc19263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9点状原位固化法</w:t>
          </w:r>
          <w:r>
            <w:tab/>
          </w:r>
          <w:r>
            <w:fldChar w:fldCharType="begin"/>
          </w:r>
          <w:r>
            <w:instrText xml:space="preserve"> PAGEREF _Toc19263 \h </w:instrText>
          </w:r>
          <w:r>
            <w:fldChar w:fldCharType="separate"/>
          </w:r>
          <w:r>
            <w:t>67</w:t>
          </w:r>
          <w:r>
            <w:fldChar w:fldCharType="end"/>
          </w:r>
          <w:r>
            <w:rPr>
              <w:rFonts w:hint="default" w:ascii="Times New Roman" w:hAnsi="Times New Roman" w:cs="Times New Roman"/>
              <w:bCs/>
              <w:color w:val="auto"/>
              <w:szCs w:val="24"/>
              <w:lang w:val="zh-CN"/>
            </w:rPr>
            <w:fldChar w:fldCharType="end"/>
          </w:r>
        </w:p>
        <w:p w14:paraId="03848AD9">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_Toc25702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10不锈钢双胀环法</w:t>
          </w:r>
          <w:r>
            <w:tab/>
          </w:r>
          <w:r>
            <w:fldChar w:fldCharType="begin"/>
          </w:r>
          <w:r>
            <w:instrText xml:space="preserve"> PAGEREF _Toc25702 \h </w:instrText>
          </w:r>
          <w:r>
            <w:fldChar w:fldCharType="separate"/>
          </w:r>
          <w:r>
            <w:t>68</w:t>
          </w:r>
          <w:r>
            <w:fldChar w:fldCharType="end"/>
          </w:r>
          <w:r>
            <w:rPr>
              <w:rFonts w:hint="default" w:ascii="Times New Roman" w:hAnsi="Times New Roman" w:cs="Times New Roman"/>
              <w:bCs/>
              <w:color w:val="auto"/>
              <w:szCs w:val="24"/>
              <w:lang w:val="zh-CN"/>
            </w:rPr>
            <w:fldChar w:fldCharType="end"/>
          </w:r>
        </w:p>
        <w:p w14:paraId="67E963FE">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_Toc1339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11不锈钢快速锁法</w:t>
          </w:r>
          <w:r>
            <w:tab/>
          </w:r>
          <w:r>
            <w:fldChar w:fldCharType="begin"/>
          </w:r>
          <w:r>
            <w:instrText xml:space="preserve"> PAGEREF _Toc1339 \h </w:instrText>
          </w:r>
          <w:r>
            <w:fldChar w:fldCharType="separate"/>
          </w:r>
          <w:r>
            <w:t>70</w:t>
          </w:r>
          <w:r>
            <w:fldChar w:fldCharType="end"/>
          </w:r>
          <w:r>
            <w:rPr>
              <w:rFonts w:hint="default" w:ascii="Times New Roman" w:hAnsi="Times New Roman" w:cs="Times New Roman"/>
              <w:bCs/>
              <w:color w:val="auto"/>
              <w:szCs w:val="24"/>
              <w:lang w:val="zh-CN"/>
            </w:rPr>
            <w:fldChar w:fldCharType="end"/>
          </w:r>
        </w:p>
        <w:p w14:paraId="14EF21D6">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_Toc28882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12检查井修复</w:t>
          </w:r>
          <w:r>
            <w:tab/>
          </w:r>
          <w:r>
            <w:fldChar w:fldCharType="begin"/>
          </w:r>
          <w:r>
            <w:instrText xml:space="preserve"> PAGEREF _Toc28882 \h </w:instrText>
          </w:r>
          <w:r>
            <w:fldChar w:fldCharType="separate"/>
          </w:r>
          <w:r>
            <w:t>71</w:t>
          </w:r>
          <w:r>
            <w:fldChar w:fldCharType="end"/>
          </w:r>
          <w:r>
            <w:rPr>
              <w:rFonts w:hint="default" w:ascii="Times New Roman" w:hAnsi="Times New Roman" w:cs="Times New Roman"/>
              <w:bCs/>
              <w:color w:val="auto"/>
              <w:szCs w:val="24"/>
              <w:lang w:val="zh-CN"/>
            </w:rPr>
            <w:fldChar w:fldCharType="end"/>
          </w:r>
        </w:p>
        <w:p w14:paraId="48979184">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_Toc19189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szCs w:val="28"/>
              <w:highlight w:val="none"/>
              <w:lang w:val="en-US" w:eastAsia="zh-CN"/>
            </w:rPr>
            <w:t>7</w:t>
          </w: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13管道功能性试验</w:t>
          </w:r>
          <w:r>
            <w:tab/>
          </w:r>
          <w:r>
            <w:fldChar w:fldCharType="begin"/>
          </w:r>
          <w:r>
            <w:instrText xml:space="preserve"> PAGEREF _Toc19189 \h </w:instrText>
          </w:r>
          <w:r>
            <w:fldChar w:fldCharType="separate"/>
          </w:r>
          <w:r>
            <w:t>71</w:t>
          </w:r>
          <w:r>
            <w:fldChar w:fldCharType="end"/>
          </w:r>
          <w:r>
            <w:rPr>
              <w:rFonts w:hint="default" w:ascii="Times New Roman" w:hAnsi="Times New Roman" w:cs="Times New Roman"/>
              <w:bCs/>
              <w:color w:val="auto"/>
              <w:szCs w:val="24"/>
              <w:lang w:val="zh-CN"/>
            </w:rPr>
            <w:fldChar w:fldCharType="end"/>
          </w:r>
        </w:p>
        <w:p w14:paraId="2CA30387">
          <w:pPr>
            <w:pStyle w:val="12"/>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_Toc1500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14工程竣工验收</w:t>
          </w:r>
          <w:r>
            <w:tab/>
          </w:r>
          <w:r>
            <w:fldChar w:fldCharType="begin"/>
          </w:r>
          <w:r>
            <w:instrText xml:space="preserve"> PAGEREF _Toc1500 \h </w:instrText>
          </w:r>
          <w:r>
            <w:fldChar w:fldCharType="separate"/>
          </w:r>
          <w:r>
            <w:t>72</w:t>
          </w:r>
          <w:r>
            <w:fldChar w:fldCharType="end"/>
          </w:r>
          <w:r>
            <w:rPr>
              <w:rFonts w:hint="default" w:ascii="Times New Roman" w:hAnsi="Times New Roman" w:cs="Times New Roman"/>
              <w:bCs/>
              <w:color w:val="auto"/>
              <w:szCs w:val="24"/>
              <w:lang w:val="zh-CN"/>
            </w:rPr>
            <w:fldChar w:fldCharType="end"/>
          </w:r>
        </w:p>
        <w:p w14:paraId="7515A8EC">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_Toc21106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bCs/>
              <w:kern w:val="2"/>
              <w:szCs w:val="32"/>
              <w:lang w:val="en-US" w:eastAsia="zh-CN"/>
            </w:rPr>
            <w:t>附录A</w:t>
          </w:r>
          <w:r>
            <w:rPr>
              <w:rFonts w:hint="default" w:ascii="Times New Roman" w:hAnsi="Times New Roman" w:eastAsia="宋体" w:cs="Times New Roman"/>
              <w:bCs/>
              <w:kern w:val="2"/>
              <w:szCs w:val="32"/>
            </w:rPr>
            <w:t xml:space="preserve">  非开挖修复更新方法的适用范围和使用条件</w:t>
          </w:r>
          <w:r>
            <w:tab/>
          </w:r>
          <w:r>
            <w:fldChar w:fldCharType="begin"/>
          </w:r>
          <w:r>
            <w:instrText xml:space="preserve"> PAGEREF _Toc21106 \h </w:instrText>
          </w:r>
          <w:r>
            <w:fldChar w:fldCharType="separate"/>
          </w:r>
          <w:r>
            <w:t>74</w:t>
          </w:r>
          <w:r>
            <w:fldChar w:fldCharType="end"/>
          </w:r>
          <w:r>
            <w:rPr>
              <w:rFonts w:hint="default" w:ascii="Times New Roman" w:hAnsi="Times New Roman" w:cs="Times New Roman"/>
              <w:bCs/>
              <w:color w:val="auto"/>
              <w:szCs w:val="24"/>
              <w:lang w:val="zh-CN"/>
            </w:rPr>
            <w:fldChar w:fldCharType="end"/>
          </w:r>
        </w:p>
        <w:p w14:paraId="1662E43C">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_Toc10956 </w:instrText>
          </w:r>
          <w:r>
            <w:rPr>
              <w:rFonts w:hint="default" w:ascii="Times New Roman" w:hAnsi="Times New Roman" w:cs="Times New Roman"/>
              <w:bCs/>
              <w:szCs w:val="24"/>
              <w:lang w:val="zh-CN"/>
            </w:rPr>
            <w:fldChar w:fldCharType="separate"/>
          </w:r>
          <w:r>
            <w:rPr>
              <w:rFonts w:hint="default" w:ascii="Times New Roman" w:hAnsi="Times New Roman" w:cs="Times New Roman"/>
              <w:bCs w:val="0"/>
              <w:szCs w:val="24"/>
            </w:rPr>
            <w:t>本标准用词说明</w:t>
          </w:r>
          <w:r>
            <w:tab/>
          </w:r>
          <w:r>
            <w:fldChar w:fldCharType="begin"/>
          </w:r>
          <w:r>
            <w:instrText xml:space="preserve"> PAGEREF _Toc10956 \h </w:instrText>
          </w:r>
          <w:r>
            <w:fldChar w:fldCharType="separate"/>
          </w:r>
          <w:r>
            <w:t>75</w:t>
          </w:r>
          <w:r>
            <w:fldChar w:fldCharType="end"/>
          </w:r>
          <w:r>
            <w:rPr>
              <w:rFonts w:hint="default" w:ascii="Times New Roman" w:hAnsi="Times New Roman" w:cs="Times New Roman"/>
              <w:bCs/>
              <w:color w:val="auto"/>
              <w:szCs w:val="24"/>
              <w:lang w:val="zh-CN"/>
            </w:rPr>
            <w:fldChar w:fldCharType="end"/>
          </w:r>
        </w:p>
        <w:p w14:paraId="2ADAD8E5">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_Toc21721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bCs w:val="0"/>
              <w:kern w:val="44"/>
              <w:szCs w:val="24"/>
              <w:highlight w:val="none"/>
              <w:lang w:val="en-US" w:eastAsia="zh-CN" w:bidi="ar-SA"/>
            </w:rPr>
            <w:t>引用标准名录</w:t>
          </w:r>
          <w:r>
            <w:tab/>
          </w:r>
          <w:r>
            <w:fldChar w:fldCharType="begin"/>
          </w:r>
          <w:r>
            <w:instrText xml:space="preserve"> PAGEREF _Toc21721 \h </w:instrText>
          </w:r>
          <w:r>
            <w:fldChar w:fldCharType="separate"/>
          </w:r>
          <w:r>
            <w:t>76</w:t>
          </w:r>
          <w:r>
            <w:fldChar w:fldCharType="end"/>
          </w:r>
          <w:r>
            <w:rPr>
              <w:rFonts w:hint="default" w:ascii="Times New Roman" w:hAnsi="Times New Roman" w:cs="Times New Roman"/>
              <w:bCs/>
              <w:color w:val="auto"/>
              <w:szCs w:val="24"/>
              <w:lang w:val="zh-CN"/>
            </w:rPr>
            <w:fldChar w:fldCharType="end"/>
          </w:r>
        </w:p>
        <w:p w14:paraId="19D5D60D">
          <w:pPr>
            <w:pStyle w:val="11"/>
            <w:tabs>
              <w:tab w:val="right" w:leader="dot" w:pos="8306"/>
            </w:tabs>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_Toc13588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44"/>
            </w:rPr>
            <w:t>条文说明</w:t>
          </w:r>
          <w:r>
            <w:tab/>
          </w:r>
          <w:r>
            <w:fldChar w:fldCharType="begin"/>
          </w:r>
          <w:r>
            <w:instrText xml:space="preserve"> PAGEREF _Toc13588 \h </w:instrText>
          </w:r>
          <w:r>
            <w:fldChar w:fldCharType="separate"/>
          </w:r>
          <w:r>
            <w:t>77</w:t>
          </w:r>
          <w:r>
            <w:fldChar w:fldCharType="end"/>
          </w:r>
          <w:r>
            <w:rPr>
              <w:rFonts w:hint="default" w:ascii="Times New Roman" w:hAnsi="Times New Roman" w:cs="Times New Roman"/>
              <w:bCs/>
              <w:color w:val="auto"/>
              <w:szCs w:val="24"/>
              <w:lang w:val="zh-CN"/>
            </w:rPr>
            <w:fldChar w:fldCharType="end"/>
          </w:r>
        </w:p>
        <w:p w14:paraId="2B5D6AB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Cs w:val="24"/>
              <w:lang w:val="zh-CN"/>
            </w:rPr>
            <w:fldChar w:fldCharType="end"/>
          </w:r>
        </w:p>
      </w:sdtContent>
    </w:sdt>
    <w:p w14:paraId="0FA7B3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color w:val="auto"/>
          <w:kern w:val="2"/>
          <w:sz w:val="24"/>
          <w:szCs w:val="24"/>
        </w:rPr>
        <w:sectPr>
          <w:pgSz w:w="11906" w:h="16838"/>
          <w:pgMar w:top="1440" w:right="1800" w:bottom="1440" w:left="1800" w:header="851" w:footer="992" w:gutter="0"/>
          <w:cols w:space="425" w:num="1"/>
          <w:docGrid w:type="lines" w:linePitch="312" w:charSpace="0"/>
        </w:sectPr>
      </w:pPr>
    </w:p>
    <w:sdt>
      <w:sdtPr>
        <w:rPr>
          <w:rFonts w:hint="default" w:ascii="Times New Roman" w:hAnsi="Times New Roman" w:eastAsia="宋体" w:cs="Times New Roman"/>
          <w:b w:val="0"/>
          <w:bCs w:val="0"/>
          <w:color w:val="0000FF"/>
          <w:sz w:val="21"/>
          <w:szCs w:val="21"/>
          <w:lang w:val="zh-CN"/>
        </w:rPr>
        <w:id w:val="147478626"/>
        <w:docPartObj>
          <w:docPartGallery w:val="Table of Contents"/>
          <w:docPartUnique/>
        </w:docPartObj>
      </w:sdtPr>
      <w:sdtEndPr>
        <w:rPr>
          <w:rFonts w:hint="default" w:ascii="Times New Roman" w:hAnsi="Times New Roman" w:eastAsia="宋体" w:cs="Times New Roman"/>
          <w:b w:val="0"/>
          <w:bCs w:val="0"/>
          <w:color w:val="auto"/>
          <w:sz w:val="24"/>
          <w:szCs w:val="24"/>
          <w:lang w:val="zh-CN"/>
        </w:rPr>
      </w:sdtEndPr>
      <w:sdtContent>
        <w:p w14:paraId="159C60CD">
          <w:pPr>
            <w:pStyle w:val="11"/>
            <w:tabs>
              <w:tab w:val="right" w:leader="dot" w:pos="8296"/>
            </w:tabs>
            <w:jc w:val="center"/>
            <w:rPr>
              <w:rFonts w:hint="default" w:ascii="Times New Roman" w:hAnsi="Times New Roman" w:eastAsia="仿宋" w:cs="Times New Roman"/>
              <w:b/>
              <w:color w:val="auto"/>
              <w:kern w:val="2"/>
              <w:sz w:val="28"/>
              <w:szCs w:val="28"/>
            </w:rPr>
          </w:pPr>
          <w:r>
            <w:rPr>
              <w:rFonts w:hint="default" w:ascii="Times New Roman" w:hAnsi="Times New Roman" w:cs="Times New Roman"/>
              <w:b/>
              <w:bCs/>
              <w:color w:val="auto"/>
              <w:sz w:val="32"/>
              <w:szCs w:val="32"/>
            </w:rPr>
            <w:t>Contents</w:t>
          </w:r>
        </w:p>
        <w:p w14:paraId="5FB48AD5">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TOC \o "1-3" \h \z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szCs w:val="24"/>
            </w:rPr>
            <w:instrText xml:space="preserve"> HYPERLINK \l _Toc29660 </w:instrText>
          </w:r>
          <w:r>
            <w:rPr>
              <w:rFonts w:hint="default" w:ascii="Times New Roman" w:hAnsi="Times New Roman" w:cs="Times New Roman"/>
              <w:szCs w:val="24"/>
            </w:rPr>
            <w:fldChar w:fldCharType="separate"/>
          </w:r>
          <w:r>
            <w:rPr>
              <w:rFonts w:hint="default" w:ascii="Times New Roman" w:hAnsi="Times New Roman" w:cs="Times New Roman"/>
              <w:bCs/>
              <w:kern w:val="2"/>
              <w:szCs w:val="32"/>
              <w:highlight w:val="none"/>
            </w:rPr>
            <w:t xml:space="preserve">1 </w:t>
          </w:r>
          <w:r>
            <w:rPr>
              <w:rStyle w:val="17"/>
              <w:rFonts w:hint="default" w:ascii="Times New Roman" w:hAnsi="Times New Roman" w:cs="Times New Roman"/>
              <w:color w:val="auto"/>
              <w:sz w:val="24"/>
              <w:szCs w:val="24"/>
            </w:rPr>
            <w:t>General Provisions</w:t>
          </w:r>
          <w:r>
            <w:rPr>
              <w:rFonts w:hint="default" w:ascii="Times New Roman" w:hAnsi="Times New Roman" w:cs="Times New Roman"/>
            </w:rPr>
            <w:tab/>
          </w:r>
          <w:r>
            <w:rPr>
              <w:rFonts w:hint="default" w:ascii="Times New Roman" w:hAnsi="Times New Roman" w:cs="Times New Roman"/>
              <w:color w:val="auto"/>
              <w:szCs w:val="24"/>
            </w:rPr>
            <w:fldChar w:fldCharType="end"/>
          </w:r>
          <w:r>
            <w:rPr>
              <w:rFonts w:hint="eastAsia" w:cs="Times New Roman"/>
              <w:color w:val="auto"/>
              <w:szCs w:val="24"/>
              <w:lang w:val="en-US" w:eastAsia="zh-CN"/>
            </w:rPr>
            <w:t>1</w:t>
          </w:r>
        </w:p>
        <w:p w14:paraId="3E48D8DB">
          <w:pPr>
            <w:pStyle w:val="11"/>
            <w:tabs>
              <w:tab w:val="right" w:leader="dot" w:pos="8306"/>
            </w:tabs>
            <w:rPr>
              <w:rFonts w:hint="default" w:ascii="Times New Roman" w:hAnsi="Times New Roman" w:cs="Times New Roma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_Toc12135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2 Terms and Symbols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p>
        <w:p w14:paraId="572D3C3E">
          <w:pPr>
            <w:pStyle w:val="12"/>
            <w:tabs>
              <w:tab w:val="right" w:leader="dot" w:pos="8306"/>
            </w:tabs>
            <w:rPr>
              <w:rFonts w:hint="default" w:ascii="Times New Roman" w:hAnsi="Times New Roman" w:cs="Times New Roma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_Toc29093 </w:instrText>
          </w:r>
          <w:r>
            <w:rPr>
              <w:rFonts w:hint="default" w:ascii="Times New Roman" w:hAnsi="Times New Roman" w:cs="Times New Roman"/>
              <w:bCs/>
              <w:szCs w:val="24"/>
              <w:lang w:val="zh-CN"/>
            </w:rPr>
            <w:fldChar w:fldCharType="separate"/>
          </w:r>
          <w:r>
            <w:rPr>
              <w:rFonts w:hint="default" w:ascii="Times New Roman" w:hAnsi="Times New Roman" w:cs="Times New Roman"/>
            </w:rPr>
            <w:t>2.1</w:t>
          </w:r>
          <w:r>
            <w:rPr>
              <w:rFonts w:hint="default" w:ascii="Times New Roman" w:hAnsi="Times New Roman" w:cs="Times New Roman"/>
              <w:lang w:val="en-US" w:eastAsia="zh-CN"/>
            </w:rPr>
            <w:t xml:space="preserve"> </w:t>
          </w:r>
          <w:r>
            <w:rPr>
              <w:rFonts w:hint="default" w:ascii="Times New Roman" w:hAnsi="Times New Roman" w:cs="Times New Roman"/>
            </w:rPr>
            <w:t>Terms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p>
        <w:p w14:paraId="5FD99B6D">
          <w:pPr>
            <w:pStyle w:val="12"/>
            <w:tabs>
              <w:tab w:val="right" w:leader="dot" w:pos="8306"/>
            </w:tabs>
            <w:rPr>
              <w:rFonts w:hint="default" w:ascii="Times New Roman" w:hAnsi="Times New Roman" w:cs="Times New Roma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_Toc12156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2.2</w:t>
          </w:r>
          <w:r>
            <w:rPr>
              <w:rFonts w:hint="default" w:ascii="Times New Roman" w:hAnsi="Times New Roman" w:cs="Times New Roman"/>
              <w:lang w:val="en-US" w:eastAsia="zh-CN"/>
            </w:rPr>
            <w:t xml:space="preserve"> </w:t>
          </w:r>
          <w:r>
            <w:rPr>
              <w:rFonts w:hint="default" w:ascii="Times New Roman" w:hAnsi="Times New Roman" w:eastAsia="宋体" w:cs="Times New Roman"/>
            </w:rPr>
            <w:t>Symbols</w:t>
          </w:r>
          <w:r>
            <w:rPr>
              <w:rFonts w:hint="default" w:ascii="Times New Roman" w:hAnsi="Times New Roman" w:cs="Times New Roman"/>
            </w:rPr>
            <w:tab/>
          </w:r>
          <w:r>
            <w:rPr>
              <w:rFonts w:hint="eastAsia" w:ascii="Times New Roman" w:hAnsi="Times New Roman" w:cs="Times New Roman"/>
              <w:lang w:val="en-US" w:eastAsia="zh-CN"/>
            </w:rPr>
            <w:t>7</w:t>
          </w:r>
          <w:r>
            <w:rPr>
              <w:rFonts w:hint="default" w:ascii="Times New Roman" w:hAnsi="Times New Roman" w:cs="Times New Roman"/>
              <w:bCs/>
              <w:color w:val="auto"/>
              <w:szCs w:val="24"/>
              <w:lang w:val="zh-CN"/>
            </w:rPr>
            <w:fldChar w:fldCharType="end"/>
          </w:r>
        </w:p>
        <w:p w14:paraId="3CA76D21">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_Toc32433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highlight w:val="none"/>
            </w:rPr>
            <w:t xml:space="preserve">3 </w:t>
          </w:r>
          <w:r>
            <w:rPr>
              <w:rStyle w:val="17"/>
              <w:rFonts w:hint="default" w:ascii="Times New Roman" w:hAnsi="Times New Roman" w:cs="Times New Roman"/>
              <w:color w:val="auto"/>
              <w:sz w:val="24"/>
              <w:szCs w:val="24"/>
            </w:rPr>
            <w:t>Basic Requirement</w:t>
          </w:r>
          <w:r>
            <w:rPr>
              <w:rStyle w:val="17"/>
              <w:rFonts w:hint="default" w:ascii="Times New Roman" w:hAnsi="Times New Roman" w:cs="Times New Roman"/>
              <w:color w:val="auto"/>
              <w:sz w:val="24"/>
              <w:szCs w:val="24"/>
              <w:lang w:val="en-US" w:eastAsia="zh-CN"/>
            </w:rPr>
            <w:t>s</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bookmarkStart w:id="364" w:name="_GoBack"/>
          <w:bookmarkEnd w:id="364"/>
        </w:p>
        <w:p w14:paraId="03AA977D">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_Toc29595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4 Material Selection</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42D55B96">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_Toc14128 </w:instrText>
          </w:r>
          <w:r>
            <w:rPr>
              <w:rFonts w:hint="default" w:ascii="Times New Roman" w:hAnsi="Times New Roman" w:cs="Times New Roman"/>
              <w:bCs/>
              <w:szCs w:val="24"/>
              <w:lang w:val="zh-CN"/>
            </w:rPr>
            <w:fldChar w:fldCharType="separate"/>
          </w:r>
          <w:r>
            <w:rPr>
              <w:rFonts w:hint="default" w:ascii="Times New Roman" w:hAnsi="Times New Roman" w:cs="Times New Roman"/>
            </w:rPr>
            <w:t>4.1</w:t>
          </w:r>
          <w:r>
            <w:rPr>
              <w:rFonts w:hint="default" w:ascii="Times New Roman" w:hAnsi="Times New Roman" w:cs="Times New Roman"/>
              <w:lang w:val="en-US" w:eastAsia="zh-CN"/>
            </w:rPr>
            <w:t xml:space="preserve"> </w:t>
          </w:r>
          <w:r>
            <w:rPr>
              <w:rFonts w:hint="default" w:ascii="Times New Roman" w:hAnsi="Times New Roman" w:cs="Times New Roman"/>
            </w:rPr>
            <w:t>General Requirements</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5BE07DF5">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_Toc26537 </w:instrText>
          </w:r>
          <w:r>
            <w:rPr>
              <w:rFonts w:hint="default" w:ascii="Times New Roman" w:hAnsi="Times New Roman" w:cs="Times New Roman"/>
              <w:bCs/>
              <w:szCs w:val="24"/>
              <w:lang w:val="zh-CN"/>
            </w:rPr>
            <w:fldChar w:fldCharType="separate"/>
          </w:r>
          <w:r>
            <w:rPr>
              <w:rFonts w:hint="default" w:ascii="Times New Roman" w:hAnsi="Times New Roman" w:cs="Times New Roman"/>
            </w:rPr>
            <w:t>4.2</w:t>
          </w:r>
          <w:r>
            <w:rPr>
              <w:rFonts w:hint="default" w:ascii="Times New Roman" w:hAnsi="Times New Roman" w:cs="Times New Roman"/>
              <w:lang w:val="en-US" w:eastAsia="zh-CN"/>
            </w:rPr>
            <w:t xml:space="preserve"> C</w:t>
          </w:r>
          <w:r>
            <w:rPr>
              <w:rFonts w:hint="default" w:ascii="Times New Roman" w:hAnsi="Times New Roman" w:cs="Times New Roman"/>
            </w:rPr>
            <w:t>ured-in-</w:t>
          </w:r>
          <w:r>
            <w:rPr>
              <w:rFonts w:hint="default" w:ascii="Times New Roman" w:hAnsi="Times New Roman" w:cs="Times New Roman"/>
              <w:lang w:val="en-US" w:eastAsia="zh-CN"/>
            </w:rPr>
            <w:t>P</w:t>
          </w:r>
          <w:r>
            <w:rPr>
              <w:rFonts w:hint="default" w:ascii="Times New Roman" w:hAnsi="Times New Roman" w:cs="Times New Roman"/>
            </w:rPr>
            <w:t xml:space="preserve">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7680BA87">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_Toc32262 </w:instrText>
          </w:r>
          <w:r>
            <w:rPr>
              <w:rFonts w:hint="default" w:ascii="Times New Roman" w:hAnsi="Times New Roman" w:cs="Times New Roman"/>
              <w:bCs/>
              <w:szCs w:val="24"/>
              <w:lang w:val="zh-CN"/>
            </w:rPr>
            <w:fldChar w:fldCharType="separate"/>
          </w:r>
          <w:r>
            <w:rPr>
              <w:rFonts w:hint="default" w:ascii="Times New Roman" w:hAnsi="Times New Roman" w:cs="Times New Roman"/>
            </w:rPr>
            <w:t>4.3</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S</w:t>
          </w:r>
          <w:r>
            <w:rPr>
              <w:rFonts w:hint="default" w:ascii="Times New Roman" w:hAnsi="Times New Roman" w:cs="Times New Roman"/>
            </w:rPr>
            <w:t>egments</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6</w:t>
          </w:r>
        </w:p>
        <w:p w14:paraId="55F6AEFA">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_Toc14146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4.4</w:t>
          </w:r>
          <w:r>
            <w:rPr>
              <w:rFonts w:hint="default" w:ascii="Times New Roman" w:hAnsi="Times New Roman" w:cs="Times New Roman"/>
              <w:lang w:val="en-US" w:eastAsia="zh-CN"/>
            </w:rPr>
            <w:t xml:space="preserve"> S</w:t>
          </w:r>
          <w:r>
            <w:rPr>
              <w:rFonts w:hint="default" w:ascii="Times New Roman" w:hAnsi="Times New Roman" w:cs="Times New Roman"/>
            </w:rPr>
            <w:t xml:space="preserve">liplining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hort </w:t>
          </w:r>
          <w:r>
            <w:rPr>
              <w:rFonts w:hint="default" w:ascii="Times New Roman" w:hAnsi="Times New Roman" w:cs="Times New Roman"/>
              <w:lang w:val="en-US" w:eastAsia="zh-CN"/>
            </w:rPr>
            <w:t>T</w:t>
          </w:r>
          <w:r>
            <w:rPr>
              <w:rFonts w:hint="default" w:ascii="Times New Roman" w:hAnsi="Times New Roman" w:cs="Times New Roman"/>
            </w:rPr>
            <w:t>ube</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7</w:t>
          </w:r>
        </w:p>
        <w:p w14:paraId="1198A192">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_Toc31618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4.5</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pirally-wound </w:t>
          </w:r>
          <w:r>
            <w:rPr>
              <w:rFonts w:hint="default" w:ascii="Times New Roman" w:hAnsi="Times New Roman" w:cs="Times New Roman"/>
              <w:lang w:val="en-US" w:eastAsia="zh-CN"/>
            </w:rPr>
            <w:t>P</w:t>
          </w:r>
          <w:r>
            <w:rPr>
              <w:rFonts w:hint="default" w:ascii="Times New Roman" w:hAnsi="Times New Roman" w:cs="Times New Roman"/>
            </w:rPr>
            <w:t>ipes</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8</w:t>
          </w:r>
        </w:p>
        <w:p w14:paraId="5F564DE3">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_Toc28697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4.6</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prayed </w:t>
          </w:r>
          <w:r>
            <w:rPr>
              <w:rFonts w:hint="default" w:ascii="Times New Roman" w:hAnsi="Times New Roman" w:cs="Times New Roman"/>
              <w:lang w:val="en-US" w:eastAsia="zh-CN"/>
            </w:rPr>
            <w:t>C</w:t>
          </w:r>
          <w:r>
            <w:rPr>
              <w:rFonts w:hint="default" w:ascii="Times New Roman" w:hAnsi="Times New Roman" w:cs="Times New Roman"/>
            </w:rPr>
            <w:t xml:space="preserve">ementitious </w:t>
          </w:r>
          <w:r>
            <w:rPr>
              <w:rFonts w:hint="default" w:ascii="Times New Roman" w:hAnsi="Times New Roman" w:cs="Times New Roman"/>
              <w:lang w:val="en-US" w:eastAsia="zh-CN"/>
            </w:rPr>
            <w:t>M</w:t>
          </w:r>
          <w:r>
            <w:rPr>
              <w:rFonts w:hint="default" w:ascii="Times New Roman" w:hAnsi="Times New Roman" w:cs="Times New Roman"/>
            </w:rPr>
            <w:t>aterials</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p>
        <w:p w14:paraId="6E25A604">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_Toc23227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4.7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R</w:t>
          </w:r>
          <w:r>
            <w:rPr>
              <w:rFonts w:hint="default" w:ascii="Times New Roman" w:hAnsi="Times New Roman" w:cs="Times New Roman"/>
            </w:rPr>
            <w:t xml:space="preserve">igidly </w:t>
          </w:r>
          <w:r>
            <w:rPr>
              <w:rFonts w:hint="default" w:ascii="Times New Roman" w:hAnsi="Times New Roman" w:cs="Times New Roman"/>
              <w:lang w:val="en-US" w:eastAsia="zh-CN"/>
            </w:rPr>
            <w:t>A</w:t>
          </w:r>
          <w:r>
            <w:rPr>
              <w:rFonts w:hint="default" w:ascii="Times New Roman" w:hAnsi="Times New Roman" w:cs="Times New Roman"/>
            </w:rPr>
            <w:t xml:space="preserve">nchored </w:t>
          </w:r>
          <w:r>
            <w:rPr>
              <w:rFonts w:hint="default" w:ascii="Times New Roman" w:hAnsi="Times New Roman" w:cs="Times New Roman"/>
              <w:lang w:val="en-US" w:eastAsia="zh-CN"/>
            </w:rPr>
            <w:t>P</w:t>
          </w:r>
          <w:r>
            <w:rPr>
              <w:rFonts w:hint="default" w:ascii="Times New Roman" w:hAnsi="Times New Roman" w:cs="Times New Roman"/>
            </w:rPr>
            <w:t xml:space="preserve">lastics </w:t>
          </w:r>
          <w:r>
            <w:rPr>
              <w:rFonts w:hint="default" w:ascii="Times New Roman" w:hAnsi="Times New Roman" w:cs="Times New Roman"/>
              <w:lang w:val="en-US" w:eastAsia="zh-CN"/>
            </w:rPr>
            <w:t>I</w:t>
          </w:r>
          <w:r>
            <w:rPr>
              <w:rFonts w:hint="default" w:ascii="Times New Roman" w:hAnsi="Times New Roman" w:cs="Times New Roman"/>
            </w:rPr>
            <w:t>nner layer</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2</w:t>
          </w:r>
        </w:p>
        <w:p w14:paraId="489E4776">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_Toc23634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4.8 S</w:t>
          </w:r>
          <w:r>
            <w:rPr>
              <w:rFonts w:hint="default" w:ascii="Times New Roman" w:hAnsi="Times New Roman" w:cs="Times New Roman"/>
            </w:rPr>
            <w:t xml:space="preserve">pot </w:t>
          </w:r>
          <w:r>
            <w:rPr>
              <w:rFonts w:hint="default" w:ascii="Times New Roman" w:hAnsi="Times New Roman" w:cs="Times New Roman"/>
              <w:lang w:val="en-US" w:eastAsia="zh-CN"/>
            </w:rPr>
            <w:t>C</w:t>
          </w:r>
          <w:r>
            <w:rPr>
              <w:rFonts w:hint="default" w:ascii="Times New Roman" w:hAnsi="Times New Roman" w:cs="Times New Roman"/>
            </w:rPr>
            <w:t>ured-in-</w:t>
          </w:r>
          <w:r>
            <w:rPr>
              <w:rFonts w:hint="default" w:ascii="Times New Roman" w:hAnsi="Times New Roman" w:cs="Times New Roman"/>
              <w:lang w:val="en-US" w:eastAsia="zh-CN"/>
            </w:rPr>
            <w:t>P</w:t>
          </w:r>
          <w:r>
            <w:rPr>
              <w:rFonts w:hint="default" w:ascii="Times New Roman" w:hAnsi="Times New Roman" w:cs="Times New Roman"/>
            </w:rPr>
            <w:t xml:space="preserve">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4</w:t>
          </w:r>
        </w:p>
        <w:p w14:paraId="4497A5C8">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_Toc778 </w:instrText>
          </w:r>
          <w:r>
            <w:rPr>
              <w:rFonts w:hint="default" w:ascii="Times New Roman" w:hAnsi="Times New Roman" w:cs="Times New Roman"/>
              <w:bCs/>
              <w:szCs w:val="24"/>
              <w:lang w:val="zh-CN"/>
            </w:rPr>
            <w:fldChar w:fldCharType="separate"/>
          </w:r>
          <w:r>
            <w:rPr>
              <w:rFonts w:hint="default" w:ascii="Times New Roman" w:hAnsi="Times New Roman" w:cs="Times New Roman"/>
            </w:rPr>
            <w:t>4.9</w:t>
          </w:r>
          <w:r>
            <w:rPr>
              <w:rFonts w:hint="default" w:ascii="Times New Roman" w:hAnsi="Times New Roman" w:cs="Times New Roman"/>
              <w:lang w:val="en-US" w:eastAsia="zh-CN"/>
            </w:rPr>
            <w:t xml:space="preserve"> 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E</w:t>
          </w:r>
          <w:r>
            <w:rPr>
              <w:rFonts w:hint="default" w:ascii="Times New Roman" w:hAnsi="Times New Roman" w:cs="Times New Roman"/>
            </w:rPr>
            <w:t xml:space="preserve">xpansion </w:t>
          </w:r>
          <w:r>
            <w:rPr>
              <w:rFonts w:hint="default" w:ascii="Times New Roman" w:hAnsi="Times New Roman" w:cs="Times New Roman"/>
              <w:lang w:val="en-US" w:eastAsia="zh-CN"/>
            </w:rPr>
            <w:t>R</w:t>
          </w:r>
          <w:r>
            <w:rPr>
              <w:rFonts w:hint="default" w:ascii="Times New Roman" w:hAnsi="Times New Roman" w:cs="Times New Roman"/>
            </w:rPr>
            <w:t xml:space="preserve">ing </w:t>
          </w:r>
          <w:r>
            <w:rPr>
              <w:rFonts w:hint="default" w:ascii="Times New Roman" w:hAnsi="Times New Roman" w:cs="Times New Roman"/>
              <w:lang w:val="en-US" w:eastAsia="zh-CN"/>
            </w:rPr>
            <w:t>S</w:t>
          </w:r>
          <w:r>
            <w:rPr>
              <w:rFonts w:hint="default" w:ascii="Times New Roman" w:hAnsi="Times New Roman" w:cs="Times New Roman"/>
            </w:rPr>
            <w:t xml:space="preserve">eal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5</w:t>
          </w:r>
        </w:p>
        <w:p w14:paraId="36A59D1A">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_Toc31895 </w:instrText>
          </w:r>
          <w:r>
            <w:rPr>
              <w:rFonts w:hint="default" w:ascii="Times New Roman" w:hAnsi="Times New Roman" w:cs="Times New Roman"/>
              <w:bCs/>
              <w:szCs w:val="24"/>
              <w:lang w:val="zh-CN"/>
            </w:rPr>
            <w:fldChar w:fldCharType="separate"/>
          </w:r>
          <w:r>
            <w:rPr>
              <w:rFonts w:hint="default" w:ascii="Times New Roman" w:hAnsi="Times New Roman" w:cs="Times New Roman"/>
            </w:rPr>
            <w:t>4.10</w:t>
          </w:r>
          <w:r>
            <w:rPr>
              <w:rFonts w:hint="default" w:ascii="Times New Roman" w:hAnsi="Times New Roman" w:cs="Times New Roman"/>
              <w:lang w:val="en-US" w:eastAsia="zh-CN"/>
            </w:rPr>
            <w:t xml:space="preserve"> 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Q</w:t>
          </w:r>
          <w:r>
            <w:rPr>
              <w:rFonts w:hint="default" w:ascii="Times New Roman" w:hAnsi="Times New Roman" w:cs="Times New Roman"/>
            </w:rPr>
            <w:t xml:space="preserve">uick-lock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R</w:t>
          </w:r>
          <w:r>
            <w:rPr>
              <w:rFonts w:hint="default" w:ascii="Times New Roman" w:hAnsi="Times New Roman" w:cs="Times New Roman"/>
            </w:rPr>
            <w:t xml:space="preserve">epair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5</w:t>
          </w:r>
        </w:p>
        <w:p w14:paraId="6E9A1B81">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_Toc13891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lang w:val="en-US" w:eastAsia="zh-CN"/>
            </w:rPr>
            <w:t>5</w:t>
          </w:r>
          <w:r>
            <w:rPr>
              <w:rFonts w:hint="default" w:ascii="Times New Roman" w:hAnsi="Times New Roman" w:cs="Times New Roman"/>
              <w:bCs/>
              <w:kern w:val="2"/>
              <w:szCs w:val="32"/>
            </w:rPr>
            <w:t xml:space="preserve"> </w:t>
          </w:r>
          <w:r>
            <w:rPr>
              <w:rFonts w:hint="default" w:ascii="Times New Roman" w:hAnsi="Times New Roman" w:cs="Times New Roman"/>
              <w:bCs/>
              <w:kern w:val="2"/>
              <w:szCs w:val="32"/>
              <w:lang w:val="en-US" w:eastAsia="zh-CN"/>
            </w:rPr>
            <w:t>Design</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6</w:t>
          </w:r>
        </w:p>
        <w:p w14:paraId="6367D7E8">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_Toc2044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w:t>
          </w:r>
          <w:r>
            <w:rPr>
              <w:rFonts w:hint="default" w:ascii="Times New Roman" w:hAnsi="Times New Roman" w:eastAsia="宋体"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General Requirements</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6</w:t>
          </w:r>
        </w:p>
        <w:p w14:paraId="2ED26E93">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_Toc390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w:t>
          </w: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cs="Times New Roman"/>
              <w:lang w:val="en-US" w:eastAsia="zh-CN"/>
            </w:rPr>
            <w:t xml:space="preserve"> Design of Liner</w:t>
          </w:r>
          <w:r>
            <w:rPr>
              <w:rFonts w:hint="default" w:ascii="Times New Roman" w:hAnsi="Times New Roman" w:cs="Times New Roman"/>
            </w:rPr>
            <w:tab/>
          </w:r>
          <w:r>
            <w:rPr>
              <w:rFonts w:hint="eastAsia" w:cs="Times New Roman"/>
              <w:lang w:val="en-US" w:eastAsia="zh-CN"/>
            </w:rPr>
            <w:t>2</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6</w:t>
          </w:r>
        </w:p>
        <w:p w14:paraId="2709D62E">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_Toc18421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5.3</w:t>
          </w:r>
          <w:r>
            <w:rPr>
              <w:rFonts w:hint="default" w:ascii="Times New Roman" w:hAnsi="Times New Roman" w:cs="Times New Roman"/>
              <w:lang w:val="en-US" w:eastAsia="zh-CN"/>
            </w:rPr>
            <w:t xml:space="preserve"> Hydraulic Computation</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1</w:t>
          </w:r>
        </w:p>
        <w:p w14:paraId="1EAEC8A5">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_Toc7663 </w:instrText>
          </w:r>
          <w:r>
            <w:rPr>
              <w:rFonts w:hint="default" w:ascii="Times New Roman" w:hAnsi="Times New Roman" w:cs="Times New Roman"/>
              <w:bCs/>
              <w:szCs w:val="24"/>
              <w:lang w:val="zh-CN"/>
            </w:rPr>
            <w:fldChar w:fldCharType="separate"/>
          </w:r>
          <w:r>
            <w:rPr>
              <w:rFonts w:hint="default" w:ascii="Times New Roman" w:hAnsi="Times New Roman" w:cs="Times New Roman"/>
            </w:rPr>
            <w:t>5.4</w:t>
          </w:r>
          <w:r>
            <w:rPr>
              <w:rFonts w:hint="default" w:ascii="Times New Roman" w:hAnsi="Times New Roman" w:cs="Times New Roman"/>
              <w:lang w:val="en-US" w:eastAsia="zh-CN"/>
            </w:rPr>
            <w:t xml:space="preserve"> Design of Working Pit</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02770B4A">
          <w:pPr>
            <w:pStyle w:val="12"/>
            <w:tabs>
              <w:tab w:val="right" w:leader="dot" w:pos="8306"/>
            </w:tabs>
            <w:rPr>
              <w:rFonts w:hint="default"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_Toc6367 </w:instrText>
          </w:r>
          <w:r>
            <w:rPr>
              <w:rFonts w:hint="default" w:ascii="Times New Roman" w:hAnsi="Times New Roman" w:cs="Times New Roman"/>
              <w:bCs/>
              <w:szCs w:val="24"/>
              <w:lang w:val="zh-CN"/>
            </w:rPr>
            <w:fldChar w:fldCharType="separate"/>
          </w:r>
          <w:r>
            <w:rPr>
              <w:rFonts w:hint="default" w:ascii="Times New Roman" w:hAnsi="Times New Roman" w:cs="Times New Roman"/>
              <w:lang w:val="en-US" w:eastAsia="zh-CN"/>
            </w:rPr>
            <w:t>5.5 Manholes</w:t>
          </w:r>
          <w:r>
            <w:rPr>
              <w:rFonts w:hint="default" w:ascii="Times New Roman" w:hAnsi="Times New Roman" w:cs="Times New Roman"/>
            </w:rPr>
            <w:tab/>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33</w:t>
          </w:r>
        </w:p>
        <w:p w14:paraId="4B9D75E8">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_Toc1898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 Construction</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4</w:t>
          </w:r>
        </w:p>
        <w:p w14:paraId="29AF4E8F">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_Toc23531 </w:instrText>
          </w:r>
          <w:r>
            <w:rPr>
              <w:rFonts w:hint="default" w:ascii="Times New Roman" w:hAnsi="Times New Roman" w:cs="Times New Roman"/>
              <w:bCs/>
              <w:szCs w:val="24"/>
              <w:lang w:val="zh-CN"/>
            </w:rPr>
            <w:fldChar w:fldCharType="separate"/>
          </w:r>
          <w:r>
            <w:rPr>
              <w:rFonts w:hint="default" w:ascii="Times New Roman" w:hAnsi="Times New Roman" w:cs="Times New Roman"/>
            </w:rPr>
            <w:t>6.1</w:t>
          </w:r>
          <w:r>
            <w:rPr>
              <w:rFonts w:hint="default" w:ascii="Times New Roman" w:hAnsi="Times New Roman" w:cs="Times New Roman"/>
              <w:lang w:val="en-US" w:eastAsia="zh-CN"/>
            </w:rPr>
            <w:t xml:space="preserve"> </w:t>
          </w:r>
          <w:r>
            <w:rPr>
              <w:rFonts w:hint="default" w:ascii="Times New Roman" w:hAnsi="Times New Roman" w:cs="Times New Roman"/>
            </w:rPr>
            <w:t>General Requirements</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4</w:t>
          </w:r>
        </w:p>
        <w:p w14:paraId="00CE7DFC">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_Toc879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6.2</w:t>
          </w:r>
          <w:r>
            <w:rPr>
              <w:rFonts w:hint="default" w:ascii="Times New Roman" w:hAnsi="Times New Roman" w:cs="Times New Roman"/>
              <w:lang w:val="en-US" w:eastAsia="zh-CN"/>
            </w:rPr>
            <w:t xml:space="preserve"> Pipeline Preprocessing</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5</w:t>
          </w:r>
        </w:p>
        <w:p w14:paraId="355CF510">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_Toc19835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6.3</w:t>
          </w:r>
          <w:r>
            <w:rPr>
              <w:rFonts w:hint="default" w:ascii="Times New Roman" w:hAnsi="Times New Roman" w:cs="Times New Roman"/>
              <w:bCs/>
              <w:kern w:val="2"/>
              <w:szCs w:val="32"/>
              <w:lang w:val="en-US" w:eastAsia="zh-CN"/>
            </w:rPr>
            <w:t xml:space="preserve"> Inversion Cured-in-place Pipe Method</w:t>
          </w:r>
          <w:r>
            <w:rPr>
              <w:rFonts w:hint="default" w:ascii="Times New Roman" w:hAnsi="Times New Roman" w:cs="Times New Roman"/>
            </w:rPr>
            <w:tab/>
          </w:r>
          <w:r>
            <w:rPr>
              <w:rFonts w:hint="eastAsia" w:ascii="Times New Roman" w:hAnsi="Times New Roman" w:cs="Times New Roman"/>
              <w:lang w:val="en-US" w:eastAsia="zh-CN"/>
            </w:rPr>
            <w:t>3</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8</w:t>
          </w:r>
        </w:p>
        <w:p w14:paraId="2485D647">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_Toc24193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rPr>
            <w:t>6.4</w:t>
          </w:r>
          <w:r>
            <w:rPr>
              <w:rFonts w:hint="default" w:ascii="Times New Roman" w:hAnsi="Times New Roman" w:cs="Times New Roman"/>
              <w:bCs/>
              <w:kern w:val="2"/>
              <w:szCs w:val="32"/>
              <w:lang w:val="en-US" w:eastAsia="zh-CN"/>
            </w:rPr>
            <w:t xml:space="preserve"> </w:t>
          </w:r>
          <w:r>
            <w:rPr>
              <w:rFonts w:hint="default" w:ascii="Times New Roman" w:hAnsi="Times New Roman" w:cs="Times New Roman"/>
            </w:rPr>
            <w:t xml:space="preserve">UV </w:t>
          </w:r>
          <w:r>
            <w:rPr>
              <w:rFonts w:hint="default" w:ascii="Times New Roman" w:hAnsi="Times New Roman" w:cs="Times New Roman"/>
              <w:lang w:val="en-US" w:eastAsia="zh-CN"/>
            </w:rPr>
            <w:t>C</w:t>
          </w:r>
          <w:r>
            <w:rPr>
              <w:rFonts w:hint="default" w:ascii="Times New Roman" w:hAnsi="Times New Roman" w:cs="Times New Roman"/>
            </w:rPr>
            <w:t xml:space="preserve">ured-in-place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p>
        <w:p w14:paraId="1DD86E9C">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_Toc2850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6.5</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S</w:t>
          </w:r>
          <w:r>
            <w:rPr>
              <w:rFonts w:hint="default" w:ascii="Times New Roman" w:hAnsi="Times New Roman" w:cs="Times New Roman"/>
            </w:rPr>
            <w:t>egments</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41A9584E">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_Toc7830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6.6</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S</w:t>
          </w:r>
          <w:r>
            <w:rPr>
              <w:rFonts w:hint="default" w:ascii="Times New Roman" w:hAnsi="Times New Roman" w:cs="Times New Roman"/>
            </w:rPr>
            <w:t xml:space="preserve">liplining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hort </w:t>
          </w:r>
          <w:r>
            <w:rPr>
              <w:rFonts w:hint="default" w:ascii="Times New Roman" w:hAnsi="Times New Roman" w:cs="Times New Roman"/>
              <w:lang w:val="en-US" w:eastAsia="zh-CN"/>
            </w:rPr>
            <w:t>T</w:t>
          </w:r>
          <w:r>
            <w:rPr>
              <w:rFonts w:hint="default" w:ascii="Times New Roman" w:hAnsi="Times New Roman" w:cs="Times New Roman"/>
            </w:rPr>
            <w:t>ube</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3</w:t>
          </w:r>
        </w:p>
        <w:p w14:paraId="5B64CE86">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_Toc12008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6.7</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pirally-wound </w:t>
          </w:r>
          <w:r>
            <w:rPr>
              <w:rFonts w:hint="default" w:ascii="Times New Roman" w:hAnsi="Times New Roman" w:cs="Times New Roman"/>
              <w:lang w:val="en-US" w:eastAsia="zh-CN"/>
            </w:rPr>
            <w:t>P</w:t>
          </w:r>
          <w:r>
            <w:rPr>
              <w:rFonts w:hint="default" w:ascii="Times New Roman" w:hAnsi="Times New Roman" w:cs="Times New Roman"/>
            </w:rPr>
            <w:t>ipes</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5</w:t>
          </w:r>
        </w:p>
        <w:p w14:paraId="2AB69480">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_Toc6614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6.8</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prayed </w:t>
          </w:r>
          <w:r>
            <w:rPr>
              <w:rFonts w:hint="default" w:ascii="Times New Roman" w:hAnsi="Times New Roman" w:cs="Times New Roman"/>
              <w:lang w:val="en-US" w:eastAsia="zh-CN"/>
            </w:rPr>
            <w:t>C</w:t>
          </w:r>
          <w:r>
            <w:rPr>
              <w:rFonts w:hint="default" w:ascii="Times New Roman" w:hAnsi="Times New Roman" w:cs="Times New Roman"/>
            </w:rPr>
            <w:t xml:space="preserve">ementitious </w:t>
          </w:r>
          <w:r>
            <w:rPr>
              <w:rFonts w:hint="default" w:ascii="Times New Roman" w:hAnsi="Times New Roman" w:cs="Times New Roman"/>
              <w:lang w:val="en-US" w:eastAsia="zh-CN"/>
            </w:rPr>
            <w:t>M</w:t>
          </w:r>
          <w:r>
            <w:rPr>
              <w:rFonts w:hint="default" w:ascii="Times New Roman" w:hAnsi="Times New Roman" w:cs="Times New Roman"/>
            </w:rPr>
            <w:t>aterials</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7</w:t>
          </w:r>
        </w:p>
        <w:p w14:paraId="7CBE4D8B">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_Toc20875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6.9</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R</w:t>
          </w:r>
          <w:r>
            <w:rPr>
              <w:rFonts w:hint="default" w:ascii="Times New Roman" w:hAnsi="Times New Roman" w:cs="Times New Roman"/>
            </w:rPr>
            <w:t xml:space="preserve">igidly </w:t>
          </w:r>
          <w:r>
            <w:rPr>
              <w:rFonts w:hint="default" w:ascii="Times New Roman" w:hAnsi="Times New Roman" w:cs="Times New Roman"/>
              <w:lang w:val="en-US" w:eastAsia="zh-CN"/>
            </w:rPr>
            <w:t>A</w:t>
          </w:r>
          <w:r>
            <w:rPr>
              <w:rFonts w:hint="default" w:ascii="Times New Roman" w:hAnsi="Times New Roman" w:cs="Times New Roman"/>
            </w:rPr>
            <w:t xml:space="preserve">nchored </w:t>
          </w:r>
          <w:r>
            <w:rPr>
              <w:rFonts w:hint="default" w:ascii="Times New Roman" w:hAnsi="Times New Roman" w:cs="Times New Roman"/>
              <w:lang w:val="en-US" w:eastAsia="zh-CN"/>
            </w:rPr>
            <w:t>P</w:t>
          </w:r>
          <w:r>
            <w:rPr>
              <w:rFonts w:hint="default" w:ascii="Times New Roman" w:hAnsi="Times New Roman" w:cs="Times New Roman"/>
            </w:rPr>
            <w:t xml:space="preserve">lastics </w:t>
          </w:r>
          <w:r>
            <w:rPr>
              <w:rFonts w:hint="default" w:ascii="Times New Roman" w:hAnsi="Times New Roman" w:cs="Times New Roman"/>
              <w:lang w:val="en-US" w:eastAsia="zh-CN"/>
            </w:rPr>
            <w:t>I</w:t>
          </w:r>
          <w:r>
            <w:rPr>
              <w:rFonts w:hint="default" w:ascii="Times New Roman" w:hAnsi="Times New Roman" w:cs="Times New Roman"/>
            </w:rPr>
            <w:t>nner layer</w:t>
          </w:r>
          <w:r>
            <w:rPr>
              <w:rFonts w:hint="default" w:ascii="Times New Roman" w:hAnsi="Times New Roman" w:cs="Times New Roman"/>
            </w:rPr>
            <w:tab/>
          </w:r>
          <w:r>
            <w:rPr>
              <w:rFonts w:hint="eastAsia" w:ascii="Times New Roman" w:hAnsi="Times New Roman" w:cs="Times New Roman"/>
              <w:lang w:val="en-US" w:eastAsia="zh-CN"/>
            </w:rPr>
            <w:t>4</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8</w:t>
          </w:r>
        </w:p>
        <w:p w14:paraId="7706DDFA">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_Toc7261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6.10</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S</w:t>
          </w:r>
          <w:r>
            <w:rPr>
              <w:rFonts w:hint="default" w:ascii="Times New Roman" w:hAnsi="Times New Roman" w:cs="Times New Roman"/>
            </w:rPr>
            <w:t xml:space="preserve">pot </w:t>
          </w:r>
          <w:r>
            <w:rPr>
              <w:rFonts w:hint="default" w:ascii="Times New Roman" w:hAnsi="Times New Roman" w:cs="Times New Roman"/>
              <w:lang w:val="en-US" w:eastAsia="zh-CN"/>
            </w:rPr>
            <w:t>C</w:t>
          </w:r>
          <w:r>
            <w:rPr>
              <w:rFonts w:hint="default" w:ascii="Times New Roman" w:hAnsi="Times New Roman" w:cs="Times New Roman"/>
            </w:rPr>
            <w:t>ured-in-</w:t>
          </w:r>
          <w:r>
            <w:rPr>
              <w:rFonts w:hint="default" w:ascii="Times New Roman" w:hAnsi="Times New Roman" w:cs="Times New Roman"/>
              <w:lang w:val="en-US" w:eastAsia="zh-CN"/>
            </w:rPr>
            <w:t>P</w:t>
          </w:r>
          <w:r>
            <w:rPr>
              <w:rFonts w:hint="default" w:ascii="Times New Roman" w:hAnsi="Times New Roman" w:cs="Times New Roman"/>
            </w:rPr>
            <w:t xml:space="preserve">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p>
        <w:p w14:paraId="2ADDFDC0">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_Toc5063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6.11</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E</w:t>
          </w:r>
          <w:r>
            <w:rPr>
              <w:rFonts w:hint="default" w:ascii="Times New Roman" w:hAnsi="Times New Roman" w:cs="Times New Roman"/>
            </w:rPr>
            <w:t xml:space="preserve">xpansion </w:t>
          </w:r>
          <w:r>
            <w:rPr>
              <w:rFonts w:hint="default" w:ascii="Times New Roman" w:hAnsi="Times New Roman" w:cs="Times New Roman"/>
              <w:lang w:val="en-US" w:eastAsia="zh-CN"/>
            </w:rPr>
            <w:t>R</w:t>
          </w:r>
          <w:r>
            <w:rPr>
              <w:rFonts w:hint="default" w:ascii="Times New Roman" w:hAnsi="Times New Roman" w:cs="Times New Roman"/>
            </w:rPr>
            <w:t xml:space="preserve">ing </w:t>
          </w:r>
          <w:r>
            <w:rPr>
              <w:rFonts w:hint="default" w:ascii="Times New Roman" w:hAnsi="Times New Roman" w:cs="Times New Roman"/>
              <w:lang w:val="en-US" w:eastAsia="zh-CN"/>
            </w:rPr>
            <w:t>S</w:t>
          </w:r>
          <w:r>
            <w:rPr>
              <w:rFonts w:hint="default" w:ascii="Times New Roman" w:hAnsi="Times New Roman" w:cs="Times New Roman"/>
            </w:rPr>
            <w:t xml:space="preserve">eal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1</w:t>
          </w:r>
        </w:p>
        <w:p w14:paraId="492C81C1">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_Toc23765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6.12</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lang w:val="en-US" w:eastAsia="zh-CN"/>
            </w:rPr>
            <w:t>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Q</w:t>
          </w:r>
          <w:r>
            <w:rPr>
              <w:rFonts w:hint="default" w:ascii="Times New Roman" w:hAnsi="Times New Roman" w:cs="Times New Roman"/>
            </w:rPr>
            <w:t xml:space="preserve">uick-lock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R</w:t>
          </w:r>
          <w:r>
            <w:rPr>
              <w:rFonts w:hint="default" w:ascii="Times New Roman" w:hAnsi="Times New Roman" w:cs="Times New Roman"/>
            </w:rPr>
            <w:t xml:space="preserve">epair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25B9EDE6">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_Toc3829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28"/>
            </w:rPr>
            <w:t>6.13</w:t>
          </w:r>
          <w:r>
            <w:rPr>
              <w:rFonts w:hint="default" w:ascii="Times New Roman" w:hAnsi="Times New Roman" w:cs="Times New Roman"/>
              <w:bCs/>
              <w:kern w:val="2"/>
              <w:szCs w:val="28"/>
              <w:lang w:val="en-US" w:eastAsia="zh-CN"/>
            </w:rPr>
            <w:t xml:space="preserve"> </w:t>
          </w:r>
          <w:r>
            <w:rPr>
              <w:rFonts w:hint="default" w:ascii="Times New Roman" w:hAnsi="Times New Roman" w:cs="Times New Roman"/>
              <w:bCs/>
              <w:kern w:val="2"/>
              <w:szCs w:val="28"/>
            </w:rPr>
            <w:t>Manhole Rehabilitation</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3</w:t>
          </w:r>
        </w:p>
        <w:p w14:paraId="726C4114">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_Toc16171 </w:instrText>
          </w:r>
          <w:r>
            <w:rPr>
              <w:rFonts w:hint="default" w:ascii="Times New Roman" w:hAnsi="Times New Roman" w:cs="Times New Roman"/>
              <w:bCs/>
              <w:szCs w:val="24"/>
              <w:lang w:val="zh-CN"/>
            </w:rPr>
            <w:fldChar w:fldCharType="separate"/>
          </w:r>
          <w:r>
            <w:rPr>
              <w:rFonts w:hint="default" w:ascii="Times New Roman" w:hAnsi="Times New Roman" w:cs="Times New Roman"/>
              <w:bCs/>
              <w:kern w:val="2"/>
              <w:szCs w:val="32"/>
              <w:lang w:val="en-US" w:eastAsia="zh-CN"/>
            </w:rPr>
            <w:t>7</w:t>
          </w:r>
          <w:r>
            <w:rPr>
              <w:rFonts w:hint="default" w:ascii="Times New Roman" w:hAnsi="Times New Roman" w:cs="Times New Roman"/>
              <w:bCs/>
              <w:kern w:val="2"/>
              <w:szCs w:val="32"/>
            </w:rPr>
            <w:t xml:space="preserve"> Acceptance</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5</w:t>
          </w:r>
        </w:p>
        <w:p w14:paraId="7E1D7193">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_Toc20346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General Requirements</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5</w:t>
          </w:r>
        </w:p>
        <w:p w14:paraId="79E04432">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_Toc7598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.2</w:t>
          </w:r>
          <w:r>
            <w:rPr>
              <w:rFonts w:hint="default" w:ascii="Times New Roman" w:hAnsi="Times New Roman" w:cs="Times New Roman"/>
              <w:lang w:val="en-US" w:eastAsia="zh-CN"/>
            </w:rPr>
            <w:t xml:space="preserve"> Pipeline Preprocessing</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7</w:t>
          </w:r>
        </w:p>
        <w:p w14:paraId="6519325D">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_Toc20447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.3</w:t>
          </w:r>
          <w:r>
            <w:rPr>
              <w:rFonts w:hint="default" w:ascii="Times New Roman" w:hAnsi="Times New Roman" w:cs="Times New Roman"/>
              <w:lang w:val="en-US" w:eastAsia="zh-CN"/>
            </w:rPr>
            <w:t xml:space="preserve"> C</w:t>
          </w:r>
          <w:r>
            <w:rPr>
              <w:rFonts w:hint="default" w:ascii="Times New Roman" w:hAnsi="Times New Roman" w:cs="Times New Roman"/>
            </w:rPr>
            <w:t>ured-in-</w:t>
          </w:r>
          <w:r>
            <w:rPr>
              <w:rFonts w:hint="default" w:ascii="Times New Roman" w:hAnsi="Times New Roman" w:cs="Times New Roman"/>
              <w:lang w:val="en-US" w:eastAsia="zh-CN"/>
            </w:rPr>
            <w:t>P</w:t>
          </w:r>
          <w:r>
            <w:rPr>
              <w:rFonts w:hint="default" w:ascii="Times New Roman" w:hAnsi="Times New Roman" w:cs="Times New Roman"/>
            </w:rPr>
            <w:t xml:space="preserve">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8</w:t>
          </w:r>
        </w:p>
        <w:p w14:paraId="1B5E877A">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_Toc21587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4</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S</w:t>
          </w:r>
          <w:r>
            <w:rPr>
              <w:rFonts w:hint="default" w:ascii="Times New Roman" w:hAnsi="Times New Roman" w:cs="Times New Roman"/>
            </w:rPr>
            <w:t>egments</w:t>
          </w:r>
          <w:r>
            <w:rPr>
              <w:rFonts w:hint="default" w:ascii="Times New Roman" w:hAnsi="Times New Roman" w:cs="Times New Roman"/>
            </w:rPr>
            <w:tab/>
          </w:r>
          <w:r>
            <w:rPr>
              <w:rFonts w:hint="eastAsia" w:ascii="Times New Roman" w:hAnsi="Times New Roman" w:cs="Times New Roman"/>
              <w:lang w:val="en-US" w:eastAsia="zh-CN"/>
            </w:rPr>
            <w:t>6</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p>
        <w:p w14:paraId="2F8C88CB">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_Toc24976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rPr>
            <w:t>7.5</w:t>
          </w:r>
          <w:r>
            <w:rPr>
              <w:rFonts w:hint="default" w:ascii="Times New Roman" w:hAnsi="Times New Roman" w:cs="Times New Roman"/>
              <w:lang w:val="en-US" w:eastAsia="zh-CN"/>
            </w:rPr>
            <w:t xml:space="preserve"> S</w:t>
          </w:r>
          <w:r>
            <w:rPr>
              <w:rFonts w:hint="default" w:ascii="Times New Roman" w:hAnsi="Times New Roman" w:cs="Times New Roman"/>
            </w:rPr>
            <w:t xml:space="preserve">liplining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hort </w:t>
          </w:r>
          <w:r>
            <w:rPr>
              <w:rFonts w:hint="default" w:ascii="Times New Roman" w:hAnsi="Times New Roman" w:cs="Times New Roman"/>
              <w:lang w:val="en-US" w:eastAsia="zh-CN"/>
            </w:rPr>
            <w:t>T</w:t>
          </w:r>
          <w:r>
            <w:rPr>
              <w:rFonts w:hint="default" w:ascii="Times New Roman" w:hAnsi="Times New Roman" w:cs="Times New Roman"/>
            </w:rPr>
            <w:t>ube</w:t>
          </w:r>
          <w:r>
            <w:rPr>
              <w:rFonts w:hint="default" w:ascii="Times New Roman" w:hAnsi="Times New Roman" w:cs="Times New Roman"/>
            </w:rPr>
            <w:tab/>
          </w:r>
          <w:r>
            <w:rPr>
              <w:rFonts w:hint="eastAsia" w:ascii="Times New Roman" w:hAnsi="Times New Roman" w:cs="Times New Roman"/>
              <w:lang w:val="en-US" w:eastAsia="zh-CN"/>
            </w:rPr>
            <w:t>6</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1</w:t>
          </w:r>
        </w:p>
        <w:p w14:paraId="5B130A67">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_Toc26362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6</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pirally-wound </w:t>
          </w:r>
          <w:r>
            <w:rPr>
              <w:rFonts w:hint="default" w:ascii="Times New Roman" w:hAnsi="Times New Roman" w:cs="Times New Roman"/>
              <w:lang w:val="en-US" w:eastAsia="zh-CN"/>
            </w:rPr>
            <w:t>P</w:t>
          </w:r>
          <w:r>
            <w:rPr>
              <w:rFonts w:hint="default" w:ascii="Times New Roman" w:hAnsi="Times New Roman" w:cs="Times New Roman"/>
            </w:rPr>
            <w:t>ipes</w:t>
          </w:r>
          <w:r>
            <w:rPr>
              <w:rFonts w:hint="default" w:ascii="Times New Roman" w:hAnsi="Times New Roman" w:cs="Times New Roman"/>
            </w:rPr>
            <w:tab/>
          </w:r>
          <w:r>
            <w:rPr>
              <w:rFonts w:hint="eastAsia" w:ascii="Times New Roman" w:hAnsi="Times New Roman" w:cs="Times New Roman"/>
              <w:lang w:val="en-US" w:eastAsia="zh-CN"/>
            </w:rPr>
            <w:t>6</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3</w:t>
          </w:r>
        </w:p>
        <w:p w14:paraId="4F7A2511">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_Toc6282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7</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S</w:t>
          </w:r>
          <w:r>
            <w:rPr>
              <w:rFonts w:hint="default" w:ascii="Times New Roman" w:hAnsi="Times New Roman" w:cs="Times New Roman"/>
            </w:rPr>
            <w:t xml:space="preserve">prayed </w:t>
          </w:r>
          <w:r>
            <w:rPr>
              <w:rFonts w:hint="default" w:ascii="Times New Roman" w:hAnsi="Times New Roman" w:cs="Times New Roman"/>
              <w:lang w:val="en-US" w:eastAsia="zh-CN"/>
            </w:rPr>
            <w:t>C</w:t>
          </w:r>
          <w:r>
            <w:rPr>
              <w:rFonts w:hint="default" w:ascii="Times New Roman" w:hAnsi="Times New Roman" w:cs="Times New Roman"/>
            </w:rPr>
            <w:t xml:space="preserve">ementitious </w:t>
          </w:r>
          <w:r>
            <w:rPr>
              <w:rFonts w:hint="default" w:ascii="Times New Roman" w:hAnsi="Times New Roman" w:cs="Times New Roman"/>
              <w:lang w:val="en-US" w:eastAsia="zh-CN"/>
            </w:rPr>
            <w:t>M</w:t>
          </w:r>
          <w:r>
            <w:rPr>
              <w:rFonts w:hint="default" w:ascii="Times New Roman" w:hAnsi="Times New Roman" w:cs="Times New Roman"/>
            </w:rPr>
            <w:t>aterials</w:t>
          </w:r>
          <w:r>
            <w:rPr>
              <w:rFonts w:hint="default" w:ascii="Times New Roman" w:hAnsi="Times New Roman" w:cs="Times New Roman"/>
            </w:rPr>
            <w:tab/>
          </w:r>
          <w:r>
            <w:rPr>
              <w:rFonts w:hint="eastAsia" w:cs="Times New Roman"/>
              <w:lang w:val="en-US" w:eastAsia="zh-CN"/>
            </w:rPr>
            <w:t>6</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4</w:t>
          </w:r>
        </w:p>
        <w:p w14:paraId="1812674B">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_Toc8926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8</w:t>
          </w:r>
          <w:r>
            <w:rPr>
              <w:rFonts w:hint="default" w:ascii="Times New Roman" w:hAnsi="Times New Roman" w:cs="Times New Roman"/>
              <w:lang w:val="en-US" w:eastAsia="zh-CN"/>
            </w:rPr>
            <w:t xml:space="preserve"> L</w:t>
          </w:r>
          <w:r>
            <w:rPr>
              <w:rFonts w:hint="default" w:ascii="Times New Roman" w:hAnsi="Times New Roman" w:cs="Times New Roman"/>
            </w:rPr>
            <w:t xml:space="preserve">ining </w:t>
          </w:r>
          <w:r>
            <w:rPr>
              <w:rFonts w:hint="default" w:ascii="Times New Roman" w:hAnsi="Times New Roman" w:cs="Times New Roman"/>
              <w:lang w:val="en-US" w:eastAsia="zh-CN"/>
            </w:rPr>
            <w:t>W</w:t>
          </w:r>
          <w:r>
            <w:rPr>
              <w:rFonts w:hint="default" w:ascii="Times New Roman" w:hAnsi="Times New Roman" w:cs="Times New Roman"/>
            </w:rPr>
            <w:t xml:space="preserve">ith </w:t>
          </w:r>
          <w:r>
            <w:rPr>
              <w:rFonts w:hint="default" w:ascii="Times New Roman" w:hAnsi="Times New Roman" w:cs="Times New Roman"/>
              <w:lang w:val="en-US" w:eastAsia="zh-CN"/>
            </w:rPr>
            <w:t>R</w:t>
          </w:r>
          <w:r>
            <w:rPr>
              <w:rFonts w:hint="default" w:ascii="Times New Roman" w:hAnsi="Times New Roman" w:cs="Times New Roman"/>
            </w:rPr>
            <w:t xml:space="preserve">igidly </w:t>
          </w:r>
          <w:r>
            <w:rPr>
              <w:rFonts w:hint="default" w:ascii="Times New Roman" w:hAnsi="Times New Roman" w:cs="Times New Roman"/>
              <w:lang w:val="en-US" w:eastAsia="zh-CN"/>
            </w:rPr>
            <w:t>A</w:t>
          </w:r>
          <w:r>
            <w:rPr>
              <w:rFonts w:hint="default" w:ascii="Times New Roman" w:hAnsi="Times New Roman" w:cs="Times New Roman"/>
            </w:rPr>
            <w:t xml:space="preserve">nchored </w:t>
          </w:r>
          <w:r>
            <w:rPr>
              <w:rFonts w:hint="default" w:ascii="Times New Roman" w:hAnsi="Times New Roman" w:cs="Times New Roman"/>
              <w:lang w:val="en-US" w:eastAsia="zh-CN"/>
            </w:rPr>
            <w:t>P</w:t>
          </w:r>
          <w:r>
            <w:rPr>
              <w:rFonts w:hint="default" w:ascii="Times New Roman" w:hAnsi="Times New Roman" w:cs="Times New Roman"/>
            </w:rPr>
            <w:t xml:space="preserve">lastics </w:t>
          </w:r>
          <w:r>
            <w:rPr>
              <w:rFonts w:hint="default" w:ascii="Times New Roman" w:hAnsi="Times New Roman" w:cs="Times New Roman"/>
              <w:lang w:val="en-US" w:eastAsia="zh-CN"/>
            </w:rPr>
            <w:t>I</w:t>
          </w:r>
          <w:r>
            <w:rPr>
              <w:rFonts w:hint="default" w:ascii="Times New Roman" w:hAnsi="Times New Roman" w:cs="Times New Roman"/>
            </w:rPr>
            <w:t>nner layer</w:t>
          </w:r>
          <w:r>
            <w:rPr>
              <w:rFonts w:hint="default" w:ascii="Times New Roman" w:hAnsi="Times New Roman" w:cs="Times New Roman"/>
            </w:rPr>
            <w:tab/>
          </w:r>
          <w:r>
            <w:rPr>
              <w:rFonts w:hint="eastAsia" w:ascii="Times New Roman" w:hAnsi="Times New Roman" w:cs="Times New Roman"/>
              <w:lang w:val="en-US" w:eastAsia="zh-CN"/>
            </w:rPr>
            <w:t>6</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5</w:t>
          </w:r>
        </w:p>
        <w:p w14:paraId="0C6BE947">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_Toc14723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9</w:t>
          </w:r>
          <w:r>
            <w:rPr>
              <w:rFonts w:hint="default" w:ascii="Times New Roman" w:hAnsi="Times New Roman" w:cs="Times New Roman"/>
              <w:lang w:val="en-US" w:eastAsia="zh-CN"/>
            </w:rPr>
            <w:t xml:space="preserve"> S</w:t>
          </w:r>
          <w:r>
            <w:rPr>
              <w:rFonts w:hint="default" w:ascii="Times New Roman" w:hAnsi="Times New Roman" w:cs="Times New Roman"/>
            </w:rPr>
            <w:t xml:space="preserve">pot </w:t>
          </w:r>
          <w:r>
            <w:rPr>
              <w:rFonts w:hint="default" w:ascii="Times New Roman" w:hAnsi="Times New Roman" w:cs="Times New Roman"/>
              <w:lang w:val="en-US" w:eastAsia="zh-CN"/>
            </w:rPr>
            <w:t>C</w:t>
          </w:r>
          <w:r>
            <w:rPr>
              <w:rFonts w:hint="default" w:ascii="Times New Roman" w:hAnsi="Times New Roman" w:cs="Times New Roman"/>
            </w:rPr>
            <w:t>ured-in-</w:t>
          </w:r>
          <w:r>
            <w:rPr>
              <w:rFonts w:hint="default" w:ascii="Times New Roman" w:hAnsi="Times New Roman" w:cs="Times New Roman"/>
              <w:lang w:val="en-US" w:eastAsia="zh-CN"/>
            </w:rPr>
            <w:t>P</w:t>
          </w:r>
          <w:r>
            <w:rPr>
              <w:rFonts w:hint="default" w:ascii="Times New Roman" w:hAnsi="Times New Roman" w:cs="Times New Roman"/>
            </w:rPr>
            <w:t xml:space="preserve">lace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cs="Times New Roman"/>
              <w:lang w:val="en-US" w:eastAsia="zh-CN"/>
            </w:rPr>
            <w:t>6</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7</w:t>
          </w:r>
        </w:p>
        <w:p w14:paraId="15366E48">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_Toc23713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10</w:t>
          </w:r>
          <w:r>
            <w:rPr>
              <w:rFonts w:hint="default" w:ascii="Times New Roman" w:hAnsi="Times New Roman" w:cs="Times New Roman"/>
              <w:lang w:val="en-US" w:eastAsia="zh-CN"/>
            </w:rPr>
            <w:t xml:space="preserve"> 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E</w:t>
          </w:r>
          <w:r>
            <w:rPr>
              <w:rFonts w:hint="default" w:ascii="Times New Roman" w:hAnsi="Times New Roman" w:cs="Times New Roman"/>
            </w:rPr>
            <w:t xml:space="preserve">xpansion </w:t>
          </w:r>
          <w:r>
            <w:rPr>
              <w:rFonts w:hint="default" w:ascii="Times New Roman" w:hAnsi="Times New Roman" w:cs="Times New Roman"/>
              <w:lang w:val="en-US" w:eastAsia="zh-CN"/>
            </w:rPr>
            <w:t>R</w:t>
          </w:r>
          <w:r>
            <w:rPr>
              <w:rFonts w:hint="default" w:ascii="Times New Roman" w:hAnsi="Times New Roman" w:cs="Times New Roman"/>
            </w:rPr>
            <w:t xml:space="preserve">ing </w:t>
          </w:r>
          <w:r>
            <w:rPr>
              <w:rFonts w:hint="default" w:ascii="Times New Roman" w:hAnsi="Times New Roman" w:cs="Times New Roman"/>
              <w:lang w:val="en-US" w:eastAsia="zh-CN"/>
            </w:rPr>
            <w:t>S</w:t>
          </w:r>
          <w:r>
            <w:rPr>
              <w:rFonts w:hint="default" w:ascii="Times New Roman" w:hAnsi="Times New Roman" w:cs="Times New Roman"/>
            </w:rPr>
            <w:t xml:space="preserve">eal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cs="Times New Roman"/>
              <w:lang w:val="en-US" w:eastAsia="zh-CN"/>
            </w:rPr>
            <w:t>6</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8</w:t>
          </w:r>
        </w:p>
        <w:p w14:paraId="212B04D9">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_Toc26195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11</w:t>
          </w:r>
          <w:r>
            <w:rPr>
              <w:rFonts w:hint="default" w:ascii="Times New Roman" w:hAnsi="Times New Roman" w:cs="Times New Roman"/>
              <w:lang w:val="en-US" w:eastAsia="zh-CN"/>
            </w:rPr>
            <w:t xml:space="preserve"> S</w:t>
          </w:r>
          <w:r>
            <w:rPr>
              <w:rFonts w:hint="default" w:ascii="Times New Roman" w:hAnsi="Times New Roman" w:cs="Times New Roman"/>
            </w:rPr>
            <w:t xml:space="preserve">tainless </w:t>
          </w:r>
          <w:r>
            <w:rPr>
              <w:rFonts w:hint="default" w:ascii="Times New Roman" w:hAnsi="Times New Roman" w:cs="Times New Roman"/>
              <w:lang w:val="en-US" w:eastAsia="zh-CN"/>
            </w:rPr>
            <w:t>S</w:t>
          </w:r>
          <w:r>
            <w:rPr>
              <w:rFonts w:hint="default" w:ascii="Times New Roman" w:hAnsi="Times New Roman" w:cs="Times New Roman"/>
            </w:rPr>
            <w:t xml:space="preserve">teel </w:t>
          </w:r>
          <w:r>
            <w:rPr>
              <w:rFonts w:hint="default" w:ascii="Times New Roman" w:hAnsi="Times New Roman" w:cs="Times New Roman"/>
              <w:lang w:val="en-US" w:eastAsia="zh-CN"/>
            </w:rPr>
            <w:t>Q</w:t>
          </w:r>
          <w:r>
            <w:rPr>
              <w:rFonts w:hint="default" w:ascii="Times New Roman" w:hAnsi="Times New Roman" w:cs="Times New Roman"/>
            </w:rPr>
            <w:t xml:space="preserve">uick-lock </w:t>
          </w:r>
          <w:r>
            <w:rPr>
              <w:rFonts w:hint="default" w:ascii="Times New Roman" w:hAnsi="Times New Roman" w:cs="Times New Roman"/>
              <w:lang w:val="en-US" w:eastAsia="zh-CN"/>
            </w:rPr>
            <w:t>P</w:t>
          </w:r>
          <w:r>
            <w:rPr>
              <w:rFonts w:hint="default" w:ascii="Times New Roman" w:hAnsi="Times New Roman" w:cs="Times New Roman"/>
            </w:rPr>
            <w:t xml:space="preserve">ipe </w:t>
          </w:r>
          <w:r>
            <w:rPr>
              <w:rFonts w:hint="default" w:ascii="Times New Roman" w:hAnsi="Times New Roman" w:cs="Times New Roman"/>
              <w:lang w:val="en-US" w:eastAsia="zh-CN"/>
            </w:rPr>
            <w:t>R</w:t>
          </w:r>
          <w:r>
            <w:rPr>
              <w:rFonts w:hint="default" w:ascii="Times New Roman" w:hAnsi="Times New Roman" w:cs="Times New Roman"/>
            </w:rPr>
            <w:t xml:space="preserve">epair </w:t>
          </w:r>
          <w:r>
            <w:rPr>
              <w:rFonts w:hint="default" w:ascii="Times New Roman" w:hAnsi="Times New Roman" w:cs="Times New Roman"/>
              <w:lang w:val="en-US" w:eastAsia="zh-CN"/>
            </w:rPr>
            <w:t>M</w:t>
          </w:r>
          <w:r>
            <w:rPr>
              <w:rFonts w:hint="default" w:ascii="Times New Roman" w:hAnsi="Times New Roman" w:cs="Times New Roman"/>
            </w:rPr>
            <w:t>ethod</w:t>
          </w:r>
          <w:r>
            <w:rPr>
              <w:rFonts w:hint="default" w:ascii="Times New Roman" w:hAnsi="Times New Roman" w:cs="Times New Roman"/>
            </w:rPr>
            <w:tab/>
          </w:r>
          <w:r>
            <w:rPr>
              <w:rFonts w:hint="eastAsia" w:ascii="Times New Roman" w:hAnsi="Times New Roman" w:cs="Times New Roman"/>
              <w:lang w:val="en-US" w:eastAsia="zh-CN"/>
            </w:rPr>
            <w:t>7</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0</w:t>
          </w:r>
        </w:p>
        <w:p w14:paraId="1F69B66A">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_Toc14220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12</w:t>
          </w:r>
          <w:r>
            <w:rPr>
              <w:rFonts w:hint="default" w:ascii="Times New Roman" w:hAnsi="Times New Roman" w:cs="Times New Roman"/>
              <w:lang w:val="en-US" w:eastAsia="zh-CN"/>
            </w:rPr>
            <w:t xml:space="preserve"> </w:t>
          </w:r>
          <w:r>
            <w:rPr>
              <w:rFonts w:hint="default" w:ascii="Times New Roman" w:hAnsi="Times New Roman" w:cs="Times New Roman"/>
              <w:bCs/>
              <w:kern w:val="2"/>
              <w:szCs w:val="28"/>
            </w:rPr>
            <w:t>Manhole Rehabilitation</w:t>
          </w:r>
          <w:r>
            <w:rPr>
              <w:rFonts w:hint="default" w:ascii="Times New Roman" w:hAnsi="Times New Roman" w:cs="Times New Roman"/>
            </w:rPr>
            <w:tab/>
          </w:r>
          <w:r>
            <w:rPr>
              <w:rFonts w:hint="eastAsia" w:ascii="Times New Roman" w:hAnsi="Times New Roman" w:cs="Times New Roman"/>
              <w:lang w:val="en-US" w:eastAsia="zh-CN"/>
            </w:rPr>
            <w:t>7</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1</w:t>
          </w:r>
        </w:p>
        <w:p w14:paraId="010E7622">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_Toc25254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szCs w:val="28"/>
              <w:highlight w:val="none"/>
              <w:lang w:val="en-US" w:eastAsia="zh-CN"/>
            </w:rPr>
            <w:t>7</w:t>
          </w: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13</w:t>
          </w:r>
          <w:r>
            <w:rPr>
              <w:rFonts w:hint="default" w:ascii="Times New Roman" w:hAnsi="Times New Roman" w:cs="Times New Roman"/>
              <w:szCs w:val="28"/>
              <w:highlight w:val="none"/>
              <w:lang w:val="en-US" w:eastAsia="zh-CN"/>
            </w:rPr>
            <w:t xml:space="preserve"> </w:t>
          </w:r>
          <w:r>
            <w:rPr>
              <w:rFonts w:hint="default" w:ascii="Times New Roman" w:hAnsi="Times New Roman" w:eastAsia="宋体" w:cs="Times New Roman"/>
              <w:szCs w:val="28"/>
              <w:highlight w:val="none"/>
              <w:lang w:val="en-US" w:eastAsia="zh-CN"/>
            </w:rPr>
            <w:t>Pipeline Functional Testing</w:t>
          </w:r>
          <w:r>
            <w:rPr>
              <w:rFonts w:hint="default" w:ascii="Times New Roman" w:hAnsi="Times New Roman" w:cs="Times New Roman"/>
            </w:rPr>
            <w:tab/>
          </w:r>
          <w:r>
            <w:rPr>
              <w:rFonts w:hint="eastAsia" w:ascii="Times New Roman" w:hAnsi="Times New Roman" w:cs="Times New Roman"/>
              <w:lang w:val="en-US" w:eastAsia="zh-CN"/>
            </w:rPr>
            <w:t>7</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1</w:t>
          </w:r>
        </w:p>
        <w:p w14:paraId="4897F883">
          <w:pPr>
            <w:pStyle w:val="12"/>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_Toc2043 </w:instrText>
          </w:r>
          <w:r>
            <w:rPr>
              <w:rFonts w:hint="default" w:ascii="Times New Roman" w:hAnsi="Times New Roman" w:cs="Times New Roman"/>
              <w:bCs/>
              <w:szCs w:val="24"/>
              <w:lang w:val="zh-CN"/>
            </w:rPr>
            <w:fldChar w:fldCharType="separate"/>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14</w:t>
          </w:r>
          <w:r>
            <w:rPr>
              <w:rFonts w:hint="default" w:ascii="Times New Roman" w:hAnsi="Times New Roman" w:cs="Times New Roman"/>
              <w:lang w:val="en-US" w:eastAsia="zh-CN"/>
            </w:rPr>
            <w:t xml:space="preserve"> Project Final Acceptance</w:t>
          </w:r>
          <w:r>
            <w:rPr>
              <w:rFonts w:hint="default" w:ascii="Times New Roman" w:hAnsi="Times New Roman" w:cs="Times New Roman"/>
            </w:rPr>
            <w:tab/>
          </w:r>
          <w:r>
            <w:rPr>
              <w:rFonts w:hint="eastAsia" w:ascii="Times New Roman" w:hAnsi="Times New Roman" w:cs="Times New Roman"/>
              <w:lang w:val="en-US" w:eastAsia="zh-CN"/>
            </w:rPr>
            <w:t>7</w:t>
          </w:r>
          <w:r>
            <w:rPr>
              <w:rFonts w:hint="default" w:ascii="Times New Roman" w:hAnsi="Times New Roman" w:cs="Times New Roman"/>
              <w:bCs/>
              <w:color w:val="auto"/>
              <w:szCs w:val="24"/>
              <w:lang w:val="zh-CN"/>
            </w:rPr>
            <w:fldChar w:fldCharType="end"/>
          </w:r>
          <w:r>
            <w:rPr>
              <w:rFonts w:hint="eastAsia" w:ascii="Times New Roman" w:hAnsi="Times New Roman" w:cs="Times New Roman"/>
              <w:bCs/>
              <w:color w:val="auto"/>
              <w:szCs w:val="24"/>
              <w:lang w:val="en-US" w:eastAsia="zh-CN"/>
            </w:rPr>
            <w:t>2</w:t>
          </w:r>
        </w:p>
        <w:p w14:paraId="6D867DCF">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_Toc23360 </w:instrText>
          </w:r>
          <w:r>
            <w:rPr>
              <w:rFonts w:hint="default" w:ascii="Times New Roman" w:hAnsi="Times New Roman" w:cs="Times New Roman"/>
              <w:bCs/>
              <w:szCs w:val="24"/>
              <w:lang w:val="zh-CN"/>
            </w:rPr>
            <w:fldChar w:fldCharType="separate"/>
          </w:r>
          <w:r>
            <w:rPr>
              <w:rFonts w:hint="default" w:ascii="Times New Roman" w:hAnsi="Times New Roman" w:cs="Times New Roman"/>
              <w:bCs/>
              <w:szCs w:val="24"/>
              <w:lang w:val="zh-CN"/>
            </w:rPr>
            <w:t>Appendix A Application Scope and Conditions for Trenchless Rehabilitation and Renewal Methods</w:t>
          </w:r>
          <w:r>
            <w:rPr>
              <w:rFonts w:hint="default" w:ascii="Times New Roman" w:hAnsi="Times New Roman" w:cs="Times New Roman"/>
            </w:rPr>
            <w:tab/>
          </w:r>
          <w:r>
            <w:rPr>
              <w:rFonts w:hint="eastAsia" w:cs="Times New Roman"/>
              <w:lang w:val="en-US" w:eastAsia="zh-CN"/>
            </w:rPr>
            <w:t>7</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4</w:t>
          </w:r>
        </w:p>
        <w:p w14:paraId="26BF7278">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_Toc12821 </w:instrText>
          </w:r>
          <w:r>
            <w:rPr>
              <w:rFonts w:hint="default" w:ascii="Times New Roman" w:hAnsi="Times New Roman" w:cs="Times New Roman"/>
              <w:bCs/>
              <w:szCs w:val="24"/>
              <w:lang w:val="zh-CN"/>
            </w:rPr>
            <w:fldChar w:fldCharType="separate"/>
          </w:r>
          <w:r>
            <w:rPr>
              <w:rFonts w:hint="default" w:ascii="Times New Roman" w:hAnsi="Times New Roman" w:cs="Times New Roman"/>
              <w:bCs/>
              <w:szCs w:val="24"/>
              <w:lang w:val="zh-CN"/>
            </w:rPr>
            <w:t>Explanation of Wording in This Standard </w:t>
          </w:r>
          <w:r>
            <w:rPr>
              <w:rFonts w:hint="default" w:ascii="Times New Roman" w:hAnsi="Times New Roman" w:cs="Times New Roman"/>
            </w:rPr>
            <w:tab/>
          </w:r>
          <w:r>
            <w:rPr>
              <w:rFonts w:hint="eastAsia" w:cs="Times New Roman"/>
              <w:lang w:val="en-US" w:eastAsia="zh-CN"/>
            </w:rPr>
            <w:t>7</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5</w:t>
          </w:r>
        </w:p>
        <w:p w14:paraId="4FD2FB65">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_Toc11353 </w:instrText>
          </w:r>
          <w:r>
            <w:rPr>
              <w:rFonts w:hint="default" w:ascii="Times New Roman" w:hAnsi="Times New Roman" w:cs="Times New Roman"/>
              <w:bCs/>
              <w:szCs w:val="24"/>
              <w:lang w:val="zh-CN"/>
            </w:rPr>
            <w:fldChar w:fldCharType="separate"/>
          </w:r>
          <w:r>
            <w:rPr>
              <w:rFonts w:hint="default" w:ascii="Times New Roman" w:hAnsi="Times New Roman" w:cs="Times New Roman"/>
              <w:bCs/>
              <w:szCs w:val="24"/>
              <w:lang w:val="zh-CN"/>
            </w:rPr>
            <w:t>List of Quoted Standards</w:t>
          </w:r>
          <w:r>
            <w:rPr>
              <w:rFonts w:hint="default" w:ascii="Times New Roman" w:hAnsi="Times New Roman" w:cs="Times New Roman"/>
            </w:rPr>
            <w:tab/>
          </w:r>
          <w:r>
            <w:rPr>
              <w:rFonts w:hint="eastAsia" w:cs="Times New Roman"/>
              <w:lang w:val="en-US" w:eastAsia="zh-CN"/>
            </w:rPr>
            <w:t>7</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6</w:t>
          </w:r>
        </w:p>
        <w:p w14:paraId="037778EB">
          <w:pPr>
            <w:pStyle w:val="11"/>
            <w:tabs>
              <w:tab w:val="right" w:leader="dot" w:pos="8306"/>
            </w:tabs>
            <w:rPr>
              <w:rFonts w:hint="eastAsia" w:ascii="Times New Roman" w:hAnsi="Times New Roman" w:eastAsia="宋体" w:cs="Times New Roman"/>
              <w:lang w:val="en-US" w:eastAsia="zh-CN"/>
            </w:rPr>
          </w:pPr>
          <w:r>
            <w:rPr>
              <w:rFonts w:hint="default" w:ascii="Times New Roman" w:hAnsi="Times New Roman" w:cs="Times New Roman"/>
              <w:bCs/>
              <w:color w:val="auto"/>
              <w:szCs w:val="24"/>
              <w:lang w:val="zh-CN"/>
            </w:rPr>
            <w:fldChar w:fldCharType="begin"/>
          </w:r>
          <w:r>
            <w:rPr>
              <w:rFonts w:hint="default" w:ascii="Times New Roman" w:hAnsi="Times New Roman" w:cs="Times New Roman"/>
              <w:bCs/>
              <w:szCs w:val="24"/>
              <w:lang w:val="zh-CN"/>
            </w:rPr>
            <w:instrText xml:space="preserve"> HYPERLINK \l _Toc12085 </w:instrText>
          </w:r>
          <w:r>
            <w:rPr>
              <w:rFonts w:hint="default" w:ascii="Times New Roman" w:hAnsi="Times New Roman" w:cs="Times New Roman"/>
              <w:bCs/>
              <w:szCs w:val="24"/>
              <w:lang w:val="zh-CN"/>
            </w:rPr>
            <w:fldChar w:fldCharType="separate"/>
          </w:r>
          <w:r>
            <w:rPr>
              <w:rFonts w:hint="default" w:ascii="Times New Roman" w:hAnsi="Times New Roman" w:cs="Times New Roman"/>
              <w:bCs/>
              <w:szCs w:val="24"/>
              <w:lang w:val="zh-CN"/>
            </w:rPr>
            <w:t>Explanation of Provisions</w:t>
          </w:r>
          <w:r>
            <w:rPr>
              <w:rFonts w:hint="default" w:ascii="Times New Roman" w:hAnsi="Times New Roman" w:cs="Times New Roman"/>
            </w:rPr>
            <w:tab/>
          </w:r>
          <w:r>
            <w:rPr>
              <w:rFonts w:hint="eastAsia" w:cs="Times New Roman"/>
              <w:lang w:val="en-US" w:eastAsia="zh-CN"/>
            </w:rPr>
            <w:t>7</w:t>
          </w:r>
          <w:r>
            <w:rPr>
              <w:rFonts w:hint="default" w:ascii="Times New Roman" w:hAnsi="Times New Roman" w:cs="Times New Roman"/>
              <w:bCs/>
              <w:color w:val="auto"/>
              <w:szCs w:val="24"/>
              <w:lang w:val="zh-CN"/>
            </w:rPr>
            <w:fldChar w:fldCharType="end"/>
          </w:r>
          <w:r>
            <w:rPr>
              <w:rFonts w:hint="eastAsia" w:cs="Times New Roman"/>
              <w:bCs/>
              <w:color w:val="auto"/>
              <w:szCs w:val="24"/>
              <w:lang w:val="en-US" w:eastAsia="zh-CN"/>
            </w:rPr>
            <w:t>7</w:t>
          </w:r>
        </w:p>
        <w:p w14:paraId="5752133C">
          <w:pPr>
            <w:spacing w:line="360" w:lineRule="auto"/>
            <w:jc w:val="both"/>
            <w:outlineLvl w:val="0"/>
            <w:rPr>
              <w:rFonts w:hint="default" w:ascii="Times New Roman" w:hAnsi="Times New Roman" w:eastAsia="宋体" w:cs="Times New Roman"/>
              <w:b w:val="0"/>
              <w:bCs w:val="0"/>
              <w:color w:val="auto"/>
              <w:sz w:val="24"/>
              <w:szCs w:val="24"/>
              <w:lang w:val="zh-CN"/>
            </w:rPr>
          </w:pPr>
          <w:r>
            <w:rPr>
              <w:rFonts w:hint="default" w:ascii="Times New Roman" w:hAnsi="Times New Roman" w:cs="Times New Roman"/>
              <w:bCs/>
              <w:color w:val="auto"/>
              <w:szCs w:val="24"/>
              <w:lang w:val="zh-CN"/>
            </w:rPr>
            <w:fldChar w:fldCharType="end"/>
          </w:r>
        </w:p>
      </w:sdtContent>
    </w:sdt>
    <w:p w14:paraId="1F0BDEA2">
      <w:pPr>
        <w:spacing w:line="360" w:lineRule="auto"/>
        <w:jc w:val="center"/>
        <w:outlineLvl w:val="0"/>
        <w:rPr>
          <w:rFonts w:hint="default" w:ascii="Times New Roman" w:hAnsi="Times New Roman" w:cs="Times New Roman"/>
          <w:b/>
          <w:bCs/>
          <w:color w:val="auto"/>
          <w:kern w:val="2"/>
          <w:sz w:val="32"/>
          <w:szCs w:val="32"/>
          <w:highlight w:val="none"/>
        </w:rPr>
        <w:sectPr>
          <w:pgSz w:w="11906" w:h="16838"/>
          <w:pgMar w:top="1440" w:right="1800" w:bottom="1440" w:left="1800" w:header="851" w:footer="992" w:gutter="0"/>
          <w:cols w:space="425" w:num="1"/>
          <w:docGrid w:type="lines" w:linePitch="312" w:charSpace="0"/>
        </w:sectPr>
      </w:pPr>
    </w:p>
    <w:p w14:paraId="6EE8EEE0">
      <w:pPr>
        <w:spacing w:line="360" w:lineRule="auto"/>
        <w:jc w:val="center"/>
        <w:outlineLvl w:val="0"/>
        <w:rPr>
          <w:rFonts w:hint="default" w:ascii="Times New Roman" w:hAnsi="Times New Roman" w:cs="Times New Roman"/>
          <w:b/>
          <w:bCs/>
          <w:color w:val="auto"/>
          <w:kern w:val="2"/>
          <w:sz w:val="32"/>
          <w:szCs w:val="32"/>
          <w:highlight w:val="none"/>
        </w:rPr>
      </w:pPr>
      <w:bookmarkStart w:id="11" w:name="_Toc12409"/>
      <w:r>
        <w:rPr>
          <w:rFonts w:hint="default" w:ascii="Times New Roman" w:hAnsi="Times New Roman" w:cs="Times New Roman"/>
          <w:b/>
          <w:bCs/>
          <w:color w:val="auto"/>
          <w:kern w:val="2"/>
          <w:sz w:val="32"/>
          <w:szCs w:val="32"/>
          <w:highlight w:val="none"/>
        </w:rPr>
        <w:t>1 总  则</w:t>
      </w:r>
      <w:bookmarkEnd w:id="11"/>
    </w:p>
    <w:p w14:paraId="792568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1.0.1</w:t>
      </w:r>
      <w:r>
        <w:rPr>
          <w:rFonts w:hint="default" w:ascii="Times New Roman" w:hAnsi="Times New Roman" w:cs="Times New Roman"/>
          <w:sz w:val="24"/>
          <w:szCs w:val="24"/>
          <w:highlight w:val="none"/>
        </w:rPr>
        <w:t xml:space="preserve">  为规范</w:t>
      </w:r>
      <w:r>
        <w:rPr>
          <w:rFonts w:hint="default" w:ascii="Times New Roman" w:hAnsi="Times New Roman" w:cs="Times New Roman"/>
          <w:sz w:val="24"/>
          <w:szCs w:val="24"/>
          <w:highlight w:val="none"/>
          <w:lang w:val="en-US" w:eastAsia="zh-CN"/>
        </w:rPr>
        <w:t>四川省</w:t>
      </w:r>
      <w:r>
        <w:rPr>
          <w:rFonts w:hint="default" w:ascii="Times New Roman" w:hAnsi="Times New Roman" w:cs="Times New Roman"/>
          <w:sz w:val="24"/>
          <w:szCs w:val="24"/>
          <w:highlight w:val="none"/>
          <w:lang w:val="en-US"/>
        </w:rPr>
        <w:t>城镇</w:t>
      </w:r>
      <w:r>
        <w:rPr>
          <w:rFonts w:hint="default" w:ascii="Times New Roman" w:hAnsi="Times New Roman" w:cs="Times New Roman"/>
          <w:sz w:val="24"/>
          <w:szCs w:val="24"/>
          <w:highlight w:val="none"/>
        </w:rPr>
        <w:t>排水管道和检查井非开挖修复工程的技术要求，做到安全可靠、经济合理、技术先进、保障质量和保护环境，制定本规程。</w:t>
      </w:r>
    </w:p>
    <w:p w14:paraId="3C80CF1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Times New Roman"/>
          <w:kern w:val="2"/>
          <w:szCs w:val="24"/>
          <w:highlight w:val="none"/>
          <w:u w:val="single"/>
        </w:rPr>
      </w:pPr>
      <w:r>
        <w:rPr>
          <w:rFonts w:hint="default" w:ascii="Times New Roman" w:hAnsi="Times New Roman" w:eastAsia="楷体" w:cs="Times New Roman"/>
          <w:kern w:val="2"/>
          <w:szCs w:val="24"/>
          <w:highlight w:val="none"/>
          <w:u w:val="single"/>
        </w:rPr>
        <w:t>【条文说明】排水管道及其它市政管线被称为城市的“生命线”，然而随着城市建设的发展，我国排水管道面临老化严重、事故频发的问题。目前，国内用非开挖修复技术对排水管道进行修复的工程日趋增多，保证修复工程的质量对于排水管道的安全运行显得尤为重要。在采用非开挖技术对排水管道进行修复时，应以安全可靠为基础，确保工程质量和不影响环境。</w:t>
      </w:r>
    </w:p>
    <w:p w14:paraId="47E6F6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1.0.2</w:t>
      </w:r>
      <w:r>
        <w:rPr>
          <w:rFonts w:hint="default" w:ascii="Times New Roman" w:hAnsi="Times New Roman" w:cs="Times New Roman"/>
          <w:sz w:val="24"/>
          <w:szCs w:val="24"/>
          <w:highlight w:val="none"/>
        </w:rPr>
        <w:t xml:space="preserve">  本规程适用于</w:t>
      </w:r>
      <w:r>
        <w:rPr>
          <w:rFonts w:hint="default" w:ascii="Times New Roman" w:hAnsi="Times New Roman" w:cs="Times New Roman"/>
          <w:sz w:val="24"/>
          <w:szCs w:val="24"/>
          <w:highlight w:val="none"/>
          <w:lang w:val="en-US" w:eastAsia="zh-CN"/>
        </w:rPr>
        <w:t>四川省行政区域内</w:t>
      </w:r>
      <w:r>
        <w:rPr>
          <w:rFonts w:hint="default" w:ascii="Times New Roman" w:hAnsi="Times New Roman" w:cs="Times New Roman"/>
          <w:sz w:val="24"/>
          <w:szCs w:val="24"/>
          <w:highlight w:val="none"/>
          <w:lang w:val="en-US"/>
        </w:rPr>
        <w:t>城镇</w:t>
      </w:r>
      <w:r>
        <w:rPr>
          <w:rFonts w:hint="default" w:ascii="Times New Roman" w:hAnsi="Times New Roman" w:cs="Times New Roman"/>
          <w:sz w:val="24"/>
          <w:szCs w:val="24"/>
          <w:highlight w:val="none"/>
        </w:rPr>
        <w:t>排水管道非开挖修复工程的</w:t>
      </w:r>
      <w:r>
        <w:rPr>
          <w:rFonts w:hint="eastAsia" w:cs="Times New Roman"/>
          <w:sz w:val="24"/>
          <w:szCs w:val="24"/>
          <w:highlight w:val="none"/>
          <w:lang w:val="en-US" w:eastAsia="zh-CN"/>
        </w:rPr>
        <w:t>材料选择、</w:t>
      </w:r>
      <w:r>
        <w:rPr>
          <w:rFonts w:hint="default" w:ascii="Times New Roman" w:hAnsi="Times New Roman" w:cs="Times New Roman"/>
          <w:sz w:val="24"/>
          <w:szCs w:val="24"/>
          <w:highlight w:val="none"/>
        </w:rPr>
        <w:t>设计、施工</w:t>
      </w:r>
      <w:r>
        <w:rPr>
          <w:rFonts w:hint="default" w:ascii="Times New Roman" w:hAnsi="Times New Roman" w:cs="Times New Roman"/>
          <w:sz w:val="24"/>
          <w:szCs w:val="24"/>
          <w:highlight w:val="none"/>
          <w:lang w:val="en-US" w:eastAsia="zh-CN"/>
        </w:rPr>
        <w:t>及</w:t>
      </w:r>
      <w:r>
        <w:rPr>
          <w:rFonts w:hint="default" w:ascii="Times New Roman" w:hAnsi="Times New Roman" w:cs="Times New Roman"/>
          <w:sz w:val="24"/>
          <w:szCs w:val="24"/>
          <w:highlight w:val="none"/>
        </w:rPr>
        <w:t>验收。</w:t>
      </w:r>
    </w:p>
    <w:p w14:paraId="5501625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eastAsia="楷体" w:cs="Times New Roman"/>
          <w:kern w:val="2"/>
          <w:szCs w:val="24"/>
          <w:highlight w:val="none"/>
          <w:u w:val="single"/>
        </w:rPr>
        <w:t>【条文说明】本规程中的排水管道是指收集、输送污水或雨水的管道，包括内压不大于0.1MPa的压力输送污水或雨水的管道。对于内压超过0.1MPa的排水管道，应参照有关压力管道内衬修复规范进行设计和施工。</w:t>
      </w:r>
    </w:p>
    <w:p w14:paraId="5383E0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1.0.3</w:t>
      </w:r>
      <w:r>
        <w:rPr>
          <w:rFonts w:hint="default" w:ascii="Times New Roman" w:hAnsi="Times New Roman" w:cs="Times New Roman"/>
          <w:sz w:val="24"/>
          <w:szCs w:val="24"/>
          <w:highlight w:val="none"/>
        </w:rPr>
        <w:t xml:space="preserve">  城镇排水管道和检查井非开挖修复工程的材料</w:t>
      </w:r>
      <w:r>
        <w:rPr>
          <w:rFonts w:hint="eastAsia" w:cs="Times New Roman"/>
          <w:sz w:val="24"/>
          <w:szCs w:val="24"/>
          <w:highlight w:val="none"/>
          <w:lang w:val="en-US" w:eastAsia="zh-CN"/>
        </w:rPr>
        <w:t>选择</w:t>
      </w:r>
      <w:r>
        <w:rPr>
          <w:rFonts w:hint="default" w:ascii="Times New Roman" w:hAnsi="Times New Roman" w:cs="Times New Roman"/>
          <w:sz w:val="24"/>
          <w:szCs w:val="24"/>
          <w:highlight w:val="none"/>
        </w:rPr>
        <w:t>、设计、施工与验收，除应符合本规程的规定外，尚应符合国家</w:t>
      </w:r>
      <w:r>
        <w:rPr>
          <w:rFonts w:hint="default" w:ascii="Times New Roman" w:hAnsi="Times New Roman" w:cs="Times New Roman"/>
          <w:sz w:val="24"/>
          <w:szCs w:val="24"/>
          <w:highlight w:val="none"/>
          <w:lang w:val="en-US" w:eastAsia="zh-CN"/>
        </w:rPr>
        <w:t>及四川省</w:t>
      </w:r>
      <w:r>
        <w:rPr>
          <w:rFonts w:hint="default" w:ascii="Times New Roman" w:hAnsi="Times New Roman" w:cs="Times New Roman"/>
          <w:sz w:val="24"/>
          <w:szCs w:val="24"/>
          <w:highlight w:val="none"/>
        </w:rPr>
        <w:t>现行有关标准的规定。</w:t>
      </w:r>
    </w:p>
    <w:p w14:paraId="4A451ABB">
      <w:pPr>
        <w:spacing w:line="360" w:lineRule="auto"/>
        <w:ind w:firstLine="560" w:firstLineChars="200"/>
        <w:rPr>
          <w:rFonts w:hint="default" w:ascii="Times New Roman" w:hAnsi="Times New Roman" w:cs="Times New Roman"/>
          <w:color w:val="auto"/>
          <w:kern w:val="2"/>
          <w:sz w:val="28"/>
          <w:szCs w:val="28"/>
        </w:rPr>
      </w:pPr>
    </w:p>
    <w:p w14:paraId="678B7ECC">
      <w:pPr>
        <w:spacing w:line="360" w:lineRule="auto"/>
        <w:ind w:firstLine="560" w:firstLineChars="200"/>
        <w:rPr>
          <w:rFonts w:hint="default" w:ascii="Times New Roman" w:hAnsi="Times New Roman" w:cs="Times New Roman"/>
          <w:color w:val="auto"/>
          <w:kern w:val="2"/>
          <w:sz w:val="28"/>
          <w:szCs w:val="28"/>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2158FF17">
      <w:pPr>
        <w:jc w:val="center"/>
        <w:outlineLvl w:val="0"/>
        <w:rPr>
          <w:rFonts w:hint="default" w:ascii="Times New Roman" w:hAnsi="Times New Roman" w:cs="Times New Roman"/>
          <w:b/>
          <w:bCs/>
          <w:color w:val="auto"/>
          <w:kern w:val="2"/>
          <w:sz w:val="32"/>
          <w:szCs w:val="32"/>
          <w:highlight w:val="none"/>
        </w:rPr>
      </w:pPr>
      <w:bookmarkStart w:id="12" w:name="_Toc10748"/>
      <w:bookmarkStart w:id="13" w:name="_Toc7608"/>
      <w:r>
        <w:rPr>
          <w:rFonts w:hint="eastAsia" w:cs="Times New Roman"/>
          <w:b/>
          <w:bCs/>
          <w:kern w:val="2"/>
          <w:sz w:val="32"/>
          <w:szCs w:val="32"/>
          <w:lang w:val="en-US" w:eastAsia="zh-CN"/>
        </w:rPr>
        <w:t>2</w:t>
      </w:r>
      <w:r>
        <w:rPr>
          <w:rFonts w:hint="default" w:ascii="Times New Roman" w:hAnsi="Times New Roman" w:cs="Times New Roman"/>
          <w:b/>
          <w:bCs/>
          <w:kern w:val="2"/>
          <w:sz w:val="32"/>
          <w:szCs w:val="32"/>
        </w:rPr>
        <w:t xml:space="preserve"> </w:t>
      </w:r>
      <w:r>
        <w:rPr>
          <w:rFonts w:hint="eastAsia" w:cs="Times New Roman"/>
          <w:b/>
          <w:bCs/>
          <w:kern w:val="2"/>
          <w:sz w:val="32"/>
          <w:szCs w:val="32"/>
          <w:lang w:val="en-US" w:eastAsia="zh-CN"/>
        </w:rPr>
        <w:t>术语和符号</w:t>
      </w:r>
      <w:bookmarkEnd w:id="12"/>
      <w:bookmarkEnd w:id="13"/>
    </w:p>
    <w:p w14:paraId="0880C18E">
      <w:pPr>
        <w:pStyle w:val="3"/>
        <w:jc w:val="center"/>
        <w:rPr>
          <w:rFonts w:hint="eastAsia" w:ascii="Times New Roman" w:hAnsi="Times New Roman" w:eastAsia="宋体" w:cs="Times New Roman"/>
          <w:lang w:eastAsia="zh-CN"/>
        </w:rPr>
      </w:pPr>
      <w:bookmarkStart w:id="14" w:name="_Toc5694"/>
      <w:r>
        <w:rPr>
          <w:rFonts w:hint="default" w:ascii="Times New Roman" w:hAnsi="Times New Roman" w:eastAsia="宋体" w:cs="Times New Roman"/>
        </w:rPr>
        <w:t>2.</w:t>
      </w:r>
      <w:r>
        <w:rPr>
          <w:rFonts w:hint="eastAsia" w:cs="Times New Roman"/>
          <w:lang w:val="en-US" w:eastAsia="zh-CN"/>
        </w:rPr>
        <w:t>1术语</w:t>
      </w:r>
      <w:bookmarkEnd w:id="14"/>
    </w:p>
    <w:p w14:paraId="19A60B3E">
      <w:pPr>
        <w:snapToGrid w:val="0"/>
        <w:rPr>
          <w:rFonts w:hint="default" w:ascii="Times New Roman" w:hAnsi="Times New Roman" w:cs="Times New Roman"/>
          <w:szCs w:val="22"/>
        </w:rPr>
      </w:pPr>
      <w:r>
        <w:rPr>
          <w:rFonts w:hint="default" w:ascii="Times New Roman" w:hAnsi="Times New Roman" w:cs="Times New Roman"/>
        </w:rPr>
        <w:t xml:space="preserve">2.1.1 </w:t>
      </w:r>
      <w:bookmarkStart w:id="15" w:name="_Toc9105"/>
      <w:r>
        <w:rPr>
          <w:rFonts w:hint="default" w:ascii="Times New Roman" w:hAnsi="Times New Roman" w:cs="Times New Roman"/>
        </w:rPr>
        <w:t xml:space="preserve"> 非开挖修复  </w:t>
      </w:r>
      <w:r>
        <w:rPr>
          <w:rFonts w:hint="default" w:ascii="Times New Roman" w:hAnsi="Times New Roman" w:cs="Times New Roman"/>
          <w:szCs w:val="22"/>
        </w:rPr>
        <w:t xml:space="preserve"> trenchless pipeline rehabilitation</w:t>
      </w:r>
    </w:p>
    <w:bookmarkEnd w:id="15"/>
    <w:p w14:paraId="51AB3AE5">
      <w:pPr>
        <w:rPr>
          <w:rFonts w:hint="default" w:ascii="Times New Roman" w:hAnsi="Times New Roman" w:cs="Times New Roman"/>
        </w:rPr>
      </w:pPr>
      <w:r>
        <w:rPr>
          <w:rFonts w:hint="default" w:ascii="Times New Roman" w:hAnsi="Times New Roman" w:cs="Times New Roman"/>
        </w:rPr>
        <w:t>采用不开挖或局部开挖方式，对管网病害、受损管段或失效管段进行修复，恢复排水管道系统原始性能的管网更新、 维修和更换的技术及工法</w:t>
      </w:r>
    </w:p>
    <w:p w14:paraId="411800EE">
      <w:pPr>
        <w:rPr>
          <w:rFonts w:hint="default" w:ascii="Times New Roman" w:hAnsi="Times New Roman" w:eastAsia="楷体" w:cs="Times New Roman"/>
        </w:rPr>
      </w:pPr>
      <w:r>
        <w:rPr>
          <w:rFonts w:hint="default" w:ascii="Times New Roman" w:hAnsi="Times New Roman" w:eastAsia="楷体" w:cs="Times New Roman"/>
          <w:kern w:val="2"/>
          <w:szCs w:val="24"/>
          <w:u w:val="single"/>
        </w:rPr>
        <w:t>【条文说明】本规程规定的排水管道和检查井非开挖修复方法包括整体修复和局部修复。整体修复方法包括原位固化法、管片内衬法、短管内衬法、机械制螺旋缠绕法、水泥基材料喷筑喷筑法、垫衬法；局部修复方法包括点状原位固化法、不锈钢双胀环法、不锈钢快速锁法。</w:t>
      </w:r>
    </w:p>
    <w:p w14:paraId="3A64F3DA">
      <w:pPr>
        <w:rPr>
          <w:rFonts w:hint="default" w:ascii="Times New Roman" w:hAnsi="Times New Roman" w:cs="Times New Roman"/>
        </w:rPr>
      </w:pPr>
      <w:r>
        <w:rPr>
          <w:rFonts w:hint="default" w:ascii="Times New Roman" w:hAnsi="Times New Roman" w:cs="Times New Roman"/>
        </w:rPr>
        <w:t xml:space="preserve">2.1.2 </w:t>
      </w:r>
      <w:bookmarkStart w:id="16" w:name="_Toc18837"/>
      <w:r>
        <w:rPr>
          <w:rFonts w:hint="default" w:ascii="Times New Roman" w:hAnsi="Times New Roman" w:cs="Times New Roman"/>
        </w:rPr>
        <w:t xml:space="preserve"> 整体修复  overall </w:t>
      </w:r>
      <w:bookmarkEnd w:id="16"/>
      <w:r>
        <w:rPr>
          <w:rFonts w:hint="default" w:ascii="Times New Roman" w:hAnsi="Times New Roman" w:cs="Times New Roman"/>
        </w:rPr>
        <w:t>repair</w:t>
      </w:r>
    </w:p>
    <w:p w14:paraId="742E5AA2">
      <w:pPr>
        <w:ind w:firstLine="480" w:firstLineChars="200"/>
        <w:rPr>
          <w:rFonts w:hint="default" w:ascii="Times New Roman" w:hAnsi="Times New Roman" w:cs="Times New Roman"/>
        </w:rPr>
      </w:pPr>
      <w:r>
        <w:rPr>
          <w:rFonts w:hint="default" w:ascii="Times New Roman" w:hAnsi="Times New Roman" w:cs="Times New Roman"/>
        </w:rPr>
        <w:t>对两个或多个附属构筑物之间的排水管道进行整段修复的方法</w:t>
      </w:r>
    </w:p>
    <w:p w14:paraId="645C1EFC">
      <w:pPr>
        <w:rPr>
          <w:rFonts w:hint="default" w:ascii="Times New Roman" w:hAnsi="Times New Roman" w:cs="Times New Roman"/>
        </w:rPr>
      </w:pPr>
      <w:r>
        <w:rPr>
          <w:rFonts w:hint="default" w:ascii="Times New Roman" w:hAnsi="Times New Roman" w:cs="Times New Roman"/>
        </w:rPr>
        <w:t xml:space="preserve">2.1.3 </w:t>
      </w:r>
      <w:bookmarkStart w:id="17" w:name="_Toc11007"/>
      <w:r>
        <w:rPr>
          <w:rFonts w:hint="default" w:ascii="Times New Roman" w:hAnsi="Times New Roman" w:cs="Times New Roman"/>
        </w:rPr>
        <w:t xml:space="preserve"> 局部修复  localized </w:t>
      </w:r>
      <w:bookmarkEnd w:id="17"/>
      <w:r>
        <w:rPr>
          <w:rFonts w:hint="default" w:ascii="Times New Roman" w:hAnsi="Times New Roman" w:cs="Times New Roman"/>
        </w:rPr>
        <w:t>repair</w:t>
      </w:r>
    </w:p>
    <w:p w14:paraId="4ECFA07C">
      <w:pPr>
        <w:ind w:firstLine="480" w:firstLineChars="200"/>
        <w:rPr>
          <w:rFonts w:hint="default" w:ascii="Times New Roman" w:hAnsi="Times New Roman" w:cs="Times New Roman"/>
        </w:rPr>
      </w:pPr>
      <w:r>
        <w:rPr>
          <w:rFonts w:hint="default" w:ascii="Times New Roman" w:hAnsi="Times New Roman" w:cs="Times New Roman"/>
        </w:rPr>
        <w:t>对排水管道局部的破裂、变形、渗漏、错口、脱节、腐蚀等缺陷进行修复的方法。</w:t>
      </w:r>
    </w:p>
    <w:p w14:paraId="7393A88F">
      <w:pPr>
        <w:tabs>
          <w:tab w:val="left" w:pos="7200"/>
        </w:tabs>
        <w:rPr>
          <w:rFonts w:hint="default" w:ascii="Times New Roman" w:hAnsi="Times New Roman" w:cs="Times New Roman"/>
        </w:rPr>
      </w:pPr>
      <w:r>
        <w:rPr>
          <w:rFonts w:hint="default" w:ascii="Times New Roman" w:hAnsi="Times New Roman" w:cs="Times New Roman"/>
        </w:rPr>
        <w:t xml:space="preserve">2.1.4 </w:t>
      </w:r>
      <w:bookmarkStart w:id="18" w:name="_Toc8276"/>
      <w:r>
        <w:rPr>
          <w:rFonts w:hint="default" w:ascii="Times New Roman" w:hAnsi="Times New Roman" w:cs="Times New Roman"/>
        </w:rPr>
        <w:t xml:space="preserve"> 半结构性修复  semi-structural rehabilitation</w:t>
      </w:r>
      <w:bookmarkEnd w:id="18"/>
    </w:p>
    <w:p w14:paraId="10B573E3">
      <w:pPr>
        <w:ind w:firstLine="480" w:firstLineChars="200"/>
        <w:rPr>
          <w:rFonts w:hint="default" w:ascii="Times New Roman" w:hAnsi="Times New Roman" w:cs="Times New Roman"/>
        </w:rPr>
      </w:pPr>
      <w:r>
        <w:rPr>
          <w:rFonts w:hint="default" w:ascii="Times New Roman" w:hAnsi="Times New Roman" w:cs="Times New Roman"/>
        </w:rPr>
        <w:t>新的内衬管依赖于原有管道的结构，在设计寿命之内仅需要承受外部的静水压力，而外部土压力和动荷载仍由原有管道支撑的修复方法。</w:t>
      </w:r>
    </w:p>
    <w:p w14:paraId="465CC968">
      <w:pPr>
        <w:rPr>
          <w:rFonts w:hint="default" w:ascii="Times New Roman" w:hAnsi="Times New Roman" w:cs="Times New Roman"/>
        </w:rPr>
      </w:pPr>
      <w:r>
        <w:rPr>
          <w:rFonts w:hint="default" w:ascii="Times New Roman" w:hAnsi="Times New Roman" w:eastAsia="楷体" w:cs="Times New Roman"/>
          <w:kern w:val="2"/>
          <w:szCs w:val="24"/>
          <w:u w:val="single"/>
        </w:rPr>
        <w:t>【条文说明】当内衬管道紧密贴合原有管道时，内压作用于内衬管道，使得内衬管道与原有管道之间间隙迅速消除，由于内衬管道的刚度一般远低于原有管道的刚度，几乎所有的内压均传递到原有管道上，内压主要由原有管道承受，内衬管道只需在原有管道的接头漏水、腐蚀孔洞等局部缺陷位置承受内压。在外压方面，外部土压力和动荷载主要由原有管道承受，内衬管道只需承受外部地下水压力和真空压力。半结构性修复主要用于存在接头漏水、腐蚀孔洞等局部缺陷的管道，不适用于存在严重结构性缺陷的管道。</w:t>
      </w:r>
    </w:p>
    <w:p w14:paraId="55CDA3C5">
      <w:pPr>
        <w:rPr>
          <w:rFonts w:hint="default" w:ascii="Times New Roman" w:hAnsi="Times New Roman" w:cs="Times New Roman"/>
        </w:rPr>
      </w:pPr>
      <w:r>
        <w:rPr>
          <w:rFonts w:hint="default" w:ascii="Times New Roman" w:hAnsi="Times New Roman" w:cs="Times New Roman"/>
        </w:rPr>
        <w:t xml:space="preserve">2.1.5 </w:t>
      </w:r>
      <w:bookmarkStart w:id="19" w:name="_Toc30665"/>
      <w:r>
        <w:rPr>
          <w:rFonts w:hint="default" w:ascii="Times New Roman" w:hAnsi="Times New Roman" w:cs="Times New Roman"/>
        </w:rPr>
        <w:t xml:space="preserve"> 结构性修复  structural rehabilitation</w:t>
      </w:r>
      <w:bookmarkEnd w:id="19"/>
    </w:p>
    <w:p w14:paraId="0D292996">
      <w:pPr>
        <w:snapToGrid w:val="0"/>
        <w:ind w:firstLine="484" w:firstLineChars="202"/>
        <w:rPr>
          <w:rFonts w:hint="default" w:ascii="Times New Roman" w:hAnsi="Times New Roman" w:cs="Times New Roman"/>
          <w:szCs w:val="22"/>
        </w:rPr>
      </w:pPr>
      <w:r>
        <w:rPr>
          <w:rFonts w:hint="default" w:ascii="Times New Roman" w:hAnsi="Times New Roman" w:cs="Times New Roman"/>
          <w:szCs w:val="22"/>
        </w:rPr>
        <w:t>新的内衬管独立承受原有管道内、外全部压力的修复方法。</w:t>
      </w:r>
    </w:p>
    <w:p w14:paraId="04B6A5BF">
      <w:pPr>
        <w:snapToGrid w:val="0"/>
        <w:rPr>
          <w:rFonts w:hint="default" w:ascii="Times New Roman" w:hAnsi="Times New Roman" w:cs="Times New Roman"/>
          <w:szCs w:val="22"/>
        </w:rPr>
      </w:pPr>
      <w:r>
        <w:rPr>
          <w:rFonts w:hint="default" w:ascii="Times New Roman" w:hAnsi="Times New Roman" w:eastAsia="楷体" w:cs="Times New Roman"/>
          <w:kern w:val="2"/>
          <w:szCs w:val="24"/>
          <w:u w:val="single"/>
        </w:rPr>
        <w:t>【条文说明】结构性内衬管道不依赖于原有管道而独立承受内外部压力，主要用于存在严重结构性缺陷的管道。</w:t>
      </w:r>
    </w:p>
    <w:p w14:paraId="1A0EB077">
      <w:pPr>
        <w:rPr>
          <w:rFonts w:hint="default" w:ascii="Times New Roman" w:hAnsi="Times New Roman" w:cs="Times New Roman"/>
        </w:rPr>
      </w:pPr>
      <w:r>
        <w:rPr>
          <w:rFonts w:hint="default" w:ascii="Times New Roman" w:hAnsi="Times New Roman" w:cs="Times New Roman"/>
        </w:rPr>
        <w:t xml:space="preserve">2.1.6 </w:t>
      </w:r>
      <w:bookmarkStart w:id="20" w:name="_Toc32105"/>
      <w:r>
        <w:rPr>
          <w:rFonts w:hint="default" w:ascii="Times New Roman" w:hAnsi="Times New Roman" w:cs="Times New Roman"/>
        </w:rPr>
        <w:t xml:space="preserve"> 原位固化法  cured-in-place pipe</w:t>
      </w:r>
      <w:bookmarkEnd w:id="20"/>
      <w:r>
        <w:rPr>
          <w:rFonts w:hint="default" w:ascii="Times New Roman" w:hAnsi="Times New Roman" w:cs="Times New Roman"/>
        </w:rPr>
        <w:t xml:space="preserve"> method</w:t>
      </w:r>
    </w:p>
    <w:p w14:paraId="13813F15">
      <w:pPr>
        <w:ind w:firstLine="480" w:firstLineChars="200"/>
        <w:rPr>
          <w:rFonts w:hint="default" w:ascii="Times New Roman" w:hAnsi="Times New Roman" w:cs="Times New Roman"/>
        </w:rPr>
      </w:pPr>
      <w:r>
        <w:rPr>
          <w:rFonts w:hint="default" w:ascii="Times New Roman" w:hAnsi="Times New Roman" w:cs="Times New Roman"/>
        </w:rPr>
        <w:t>将浸渍树脂的软管通过翻转或者牵拉的方法置入原有管道内部并与原管紧密贴合后固化形成管道内衬的修复方法，简称CIPP法。</w:t>
      </w:r>
    </w:p>
    <w:p w14:paraId="5CAFAC9F">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据软管置入原有管道方式的不同，原位固化法分为翻转式原位固化法（热固化和常温固化，其中热固化又分为热水固化、蒸汽固化两种）和拉入式原位固化法（紫外光（UV）固化、LED（LED-UV）光固化），分别如图</w:t>
      </w:r>
      <w:r>
        <w:rPr>
          <w:rFonts w:hint="default" w:ascii="Times New Roman" w:hAnsi="Times New Roman" w:eastAsia="楷体" w:cs="Times New Roman"/>
          <w:kern w:val="2"/>
          <w:szCs w:val="24"/>
          <w:u w:val="single"/>
          <w:lang w:val="en-US" w:eastAsia="zh-CN"/>
        </w:rPr>
        <w:t>2.1.6-1</w:t>
      </w: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2.1.6-2</w:t>
      </w:r>
      <w:r>
        <w:rPr>
          <w:rFonts w:hint="default" w:ascii="Times New Roman" w:hAnsi="Times New Roman" w:eastAsia="楷体" w:cs="Times New Roman"/>
          <w:kern w:val="2"/>
          <w:szCs w:val="24"/>
          <w:u w:val="single"/>
        </w:rPr>
        <w:t>所示。</w:t>
      </w:r>
    </w:p>
    <w:p w14:paraId="09B4F9A6">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drawing>
          <wp:inline distT="0" distB="0" distL="0" distR="0">
            <wp:extent cx="4319905" cy="1981200"/>
            <wp:effectExtent l="0" t="0" r="4445" b="0"/>
            <wp:docPr id="1793272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221" name="图片 36"/>
                    <pic:cNvPicPr>
                      <a:picLocks noChangeAspect="1"/>
                    </pic:cNvPicPr>
                  </pic:nvPicPr>
                  <pic:blipFill>
                    <a:blip r:embed="rId8" cstate="print">
                      <a:extLst>
                        <a:ext uri="{28A0092B-C50C-407E-A947-70E740481C1C}">
                          <a14:useLocalDpi xmlns:a14="http://schemas.microsoft.com/office/drawing/2010/main" val="0"/>
                        </a:ext>
                      </a:extLst>
                    </a:blip>
                    <a:srcRect r="1040" b="1693"/>
                    <a:stretch>
                      <a:fillRect/>
                    </a:stretch>
                  </pic:blipFill>
                  <pic:spPr>
                    <a:xfrm>
                      <a:off x="0" y="0"/>
                      <a:ext cx="4320000" cy="1981451"/>
                    </a:xfrm>
                    <a:prstGeom prst="rect">
                      <a:avLst/>
                    </a:prstGeom>
                    <a:ln>
                      <a:noFill/>
                    </a:ln>
                  </pic:spPr>
                </pic:pic>
              </a:graphicData>
            </a:graphic>
          </wp:inline>
        </w:drawing>
      </w:r>
    </w:p>
    <w:p w14:paraId="5A04E328">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2.1.6-1</w:t>
      </w:r>
      <w:r>
        <w:rPr>
          <w:rFonts w:hint="default" w:ascii="Times New Roman" w:hAnsi="Times New Roman" w:eastAsia="楷体" w:cs="Times New Roman"/>
          <w:kern w:val="2"/>
          <w:szCs w:val="24"/>
          <w:u w:val="single"/>
        </w:rPr>
        <w:t xml:space="preserve">  翻转式原位固化法示意图</w:t>
      </w:r>
    </w:p>
    <w:p w14:paraId="1C943B28">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1—翻转设备；2—空压机；3—控制设备；4—软管；5—管塞；6—挡板</w:t>
      </w:r>
    </w:p>
    <w:p w14:paraId="68CDAD29">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drawing>
          <wp:inline distT="0" distB="0" distL="0" distR="0">
            <wp:extent cx="4319905" cy="1651000"/>
            <wp:effectExtent l="0" t="0" r="4445" b="6350"/>
            <wp:docPr id="1329038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31" name="图片 38"/>
                    <pic:cNvPicPr>
                      <a:picLocks noChangeAspect="1"/>
                    </pic:cNvPicPr>
                  </pic:nvPicPr>
                  <pic:blipFill>
                    <a:blip r:embed="rId9" cstate="print">
                      <a:extLst>
                        <a:ext uri="{28A0092B-C50C-407E-A947-70E740481C1C}">
                          <a14:useLocalDpi xmlns:a14="http://schemas.microsoft.com/office/drawing/2010/main" val="0"/>
                        </a:ext>
                      </a:extLst>
                    </a:blip>
                    <a:srcRect r="1035" b="1950"/>
                    <a:stretch>
                      <a:fillRect/>
                    </a:stretch>
                  </pic:blipFill>
                  <pic:spPr>
                    <a:xfrm>
                      <a:off x="0" y="0"/>
                      <a:ext cx="4320000" cy="1651532"/>
                    </a:xfrm>
                    <a:prstGeom prst="rect">
                      <a:avLst/>
                    </a:prstGeom>
                    <a:ln>
                      <a:noFill/>
                    </a:ln>
                  </pic:spPr>
                </pic:pic>
              </a:graphicData>
            </a:graphic>
          </wp:inline>
        </w:drawing>
      </w:r>
    </w:p>
    <w:p w14:paraId="452D3DEC">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2.1.6-2</w:t>
      </w:r>
      <w:r>
        <w:rPr>
          <w:rFonts w:hint="default" w:ascii="Times New Roman" w:hAnsi="Times New Roman" w:eastAsia="楷体" w:cs="Times New Roman"/>
          <w:kern w:val="2"/>
          <w:szCs w:val="24"/>
          <w:u w:val="single"/>
        </w:rPr>
        <w:t xml:space="preserve">  紫外光原位固化法示意图</w:t>
      </w:r>
    </w:p>
    <w:p w14:paraId="2F4FA858">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1—已固化的内衬管；2—扎头；3—紫外光灯架；4—原有管道；5—充气管</w:t>
      </w:r>
    </w:p>
    <w:p w14:paraId="114FF8F8">
      <w:pPr>
        <w:ind w:firstLine="480" w:firstLineChars="200"/>
        <w:rPr>
          <w:rFonts w:hint="default" w:ascii="Times New Roman" w:hAnsi="Times New Roman" w:cs="Times New Roman"/>
        </w:rPr>
      </w:pPr>
    </w:p>
    <w:p w14:paraId="10B014DF">
      <w:pPr>
        <w:rPr>
          <w:rFonts w:hint="default" w:ascii="Times New Roman" w:hAnsi="Times New Roman" w:cs="Times New Roman"/>
        </w:rPr>
      </w:pPr>
      <w:r>
        <w:rPr>
          <w:rFonts w:hint="default" w:ascii="Times New Roman" w:hAnsi="Times New Roman" w:cs="Times New Roman"/>
        </w:rPr>
        <w:t>2.1.7  翻转式原位固化法  inversion cured-in-place pipe method</w:t>
      </w:r>
    </w:p>
    <w:p w14:paraId="6EB7E486">
      <w:pPr>
        <w:ind w:firstLine="480" w:firstLineChars="200"/>
        <w:rPr>
          <w:rFonts w:hint="default" w:ascii="Times New Roman" w:hAnsi="Times New Roman" w:cs="Times New Roman"/>
        </w:rPr>
      </w:pPr>
      <w:r>
        <w:rPr>
          <w:rFonts w:hint="default" w:ascii="Times New Roman" w:hAnsi="Times New Roman" w:cs="Times New Roman"/>
        </w:rPr>
        <w:t>采用翻转方式将浸渍热固性树脂的软管置入原有管道内，热水、蒸汽或常温下固化后形成管道内衬的修复方法。</w:t>
      </w:r>
    </w:p>
    <w:p w14:paraId="62D8FE50">
      <w:pPr>
        <w:rPr>
          <w:rFonts w:hint="default" w:ascii="Times New Roman" w:hAnsi="Times New Roman" w:cs="Times New Roman"/>
        </w:rPr>
      </w:pPr>
      <w:r>
        <w:rPr>
          <w:rFonts w:hint="default" w:ascii="Times New Roman" w:hAnsi="Times New Roman" w:cs="Times New Roman"/>
        </w:rPr>
        <w:t>2.1.8  紫外光原位固化法  UV cured-in-place pipe method</w:t>
      </w:r>
    </w:p>
    <w:p w14:paraId="68B162B3">
      <w:pPr>
        <w:ind w:firstLine="480" w:firstLineChars="200"/>
        <w:rPr>
          <w:rFonts w:hint="default" w:ascii="Times New Roman" w:hAnsi="Times New Roman" w:cs="Times New Roman"/>
        </w:rPr>
      </w:pPr>
      <w:r>
        <w:rPr>
          <w:rFonts w:hint="default" w:ascii="Times New Roman" w:hAnsi="Times New Roman" w:cs="Times New Roman"/>
        </w:rPr>
        <w:t>采用牵拉方式将浸有光引发树脂的软管置入原有管道内，通过紫外光固化后形成管道内衬的修复方法。</w:t>
      </w:r>
    </w:p>
    <w:p w14:paraId="7F7E41F5">
      <w:pPr>
        <w:rPr>
          <w:rFonts w:hint="default" w:ascii="Times New Roman" w:hAnsi="Times New Roman" w:cs="Times New Roman"/>
        </w:rPr>
      </w:pPr>
      <w:bookmarkStart w:id="21" w:name="_Toc28580"/>
      <w:r>
        <w:rPr>
          <w:rFonts w:hint="default" w:ascii="Times New Roman" w:hAnsi="Times New Roman" w:cs="Times New Roman"/>
        </w:rPr>
        <w:t>2.1.9  管片内衬法  lining</w:t>
      </w:r>
      <w:bookmarkEnd w:id="21"/>
      <w:r>
        <w:rPr>
          <w:rFonts w:hint="default" w:ascii="Times New Roman" w:hAnsi="Times New Roman" w:cs="Times New Roman"/>
        </w:rPr>
        <w:t xml:space="preserve"> with pipe segments </w:t>
      </w:r>
    </w:p>
    <w:p w14:paraId="4E79DD73">
      <w:pPr>
        <w:ind w:firstLine="480" w:firstLineChars="200"/>
        <w:rPr>
          <w:rFonts w:hint="default" w:ascii="Times New Roman" w:hAnsi="Times New Roman" w:cs="Times New Roman"/>
        </w:rPr>
      </w:pPr>
      <w:r>
        <w:rPr>
          <w:rFonts w:hint="default" w:ascii="Times New Roman" w:hAnsi="Times New Roman" w:cs="Times New Roman"/>
        </w:rPr>
        <w:t>将片状型材在原有管道（检查井）内拼装形成内衬，并对内衬与原管（井壁）之间的空隙进行填充的修复方法。</w:t>
      </w:r>
    </w:p>
    <w:p w14:paraId="55C5ABE6">
      <w:pPr>
        <w:rPr>
          <w:rFonts w:hint="default" w:ascii="Times New Roman" w:hAnsi="Times New Roman" w:cs="Times New Roman"/>
        </w:rPr>
      </w:pPr>
      <w:r>
        <w:rPr>
          <w:rFonts w:hint="default" w:ascii="Times New Roman" w:hAnsi="Times New Roman" w:eastAsia="楷体" w:cs="Times New Roman"/>
          <w:kern w:val="2"/>
          <w:szCs w:val="24"/>
          <w:u w:val="single"/>
        </w:rPr>
        <w:t>【条文说明】管片内衬法是采用管内组装管片的方法修复破损的排水管道。该技术采用的主要材料为硬聚氯乙烯（PVC-U）材质的管片和灌浆料，通过使用连接件将管片在原有管道内连接拼装，然后在原有管道和拼装而成的内衬管之间填充灌浆料，使内衬管和原有管道连成一体，达到修复原有管道的目的。</w:t>
      </w:r>
    </w:p>
    <w:p w14:paraId="5622FE3E">
      <w:pPr>
        <w:rPr>
          <w:rFonts w:hint="default" w:ascii="Times New Roman" w:hAnsi="Times New Roman" w:cs="Times New Roman"/>
        </w:rPr>
      </w:pPr>
      <w:r>
        <w:rPr>
          <w:rFonts w:hint="default" w:ascii="Times New Roman" w:hAnsi="Times New Roman" w:cs="Times New Roman"/>
        </w:rPr>
        <w:t xml:space="preserve">2.1.10 </w:t>
      </w:r>
      <w:bookmarkStart w:id="22" w:name="_Toc12649"/>
      <w:r>
        <w:rPr>
          <w:rFonts w:hint="default" w:ascii="Times New Roman" w:hAnsi="Times New Roman" w:cs="Times New Roman"/>
        </w:rPr>
        <w:t xml:space="preserve"> 短管内衬法  </w:t>
      </w:r>
      <w:bookmarkEnd w:id="22"/>
      <w:r>
        <w:rPr>
          <w:rFonts w:hint="default" w:ascii="Times New Roman" w:hAnsi="Times New Roman" w:cs="Times New Roman"/>
        </w:rPr>
        <w:t xml:space="preserve"> sliplining with short tube</w:t>
      </w:r>
    </w:p>
    <w:p w14:paraId="6792B7D3">
      <w:pPr>
        <w:ind w:firstLine="480" w:firstLineChars="200"/>
        <w:rPr>
          <w:rFonts w:hint="default" w:ascii="Times New Roman" w:hAnsi="Times New Roman" w:cs="Times New Roman"/>
        </w:rPr>
      </w:pPr>
      <w:r>
        <w:rPr>
          <w:rFonts w:hint="default" w:ascii="Times New Roman" w:hAnsi="Times New Roman" w:cs="Times New Roman"/>
        </w:rPr>
        <w:t>采用牵拉、顶推方式将预制短管置入原有管道（检查井）形成内衬，并对内衬与原管（井壁）之间的空隙进行填充的修复方法。</w:t>
      </w:r>
    </w:p>
    <w:p w14:paraId="7664C366">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短管穿插法是在不开挖路面的情况下，利用检查井，将经过特殊加工的短管送到原有管道内，并用水泥浆对新管和原有管道之间的空隙进行填充，保证新管道、原有管道共同作用，从而实现对现况管道的修复，短管穿插法修复原理见图</w:t>
      </w:r>
      <w:r>
        <w:rPr>
          <w:rFonts w:hint="default" w:ascii="Times New Roman" w:hAnsi="Times New Roman" w:eastAsia="楷体" w:cs="Times New Roman"/>
          <w:kern w:val="2"/>
          <w:szCs w:val="24"/>
          <w:u w:val="single"/>
          <w:lang w:val="en-US" w:eastAsia="zh-CN"/>
        </w:rPr>
        <w:t>2.1.10</w:t>
      </w:r>
      <w:r>
        <w:rPr>
          <w:rFonts w:hint="default" w:ascii="Times New Roman" w:hAnsi="Times New Roman" w:eastAsia="楷体" w:cs="Times New Roman"/>
          <w:kern w:val="2"/>
          <w:szCs w:val="24"/>
          <w:u w:val="single"/>
        </w:rPr>
        <w:t>。</w:t>
      </w:r>
    </w:p>
    <w:p w14:paraId="5DA35D9B">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drawing>
          <wp:inline distT="0" distB="0" distL="0" distR="0">
            <wp:extent cx="3599815" cy="1514475"/>
            <wp:effectExtent l="0" t="0" r="635" b="9525"/>
            <wp:docPr id="12169108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0833" name="图片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1514809"/>
                    </a:xfrm>
                    <a:prstGeom prst="rect">
                      <a:avLst/>
                    </a:prstGeom>
                  </pic:spPr>
                </pic:pic>
              </a:graphicData>
            </a:graphic>
          </wp:inline>
        </w:drawing>
      </w:r>
    </w:p>
    <w:p w14:paraId="054A7315">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2.1.10</w:t>
      </w:r>
      <w:r>
        <w:rPr>
          <w:rFonts w:hint="default" w:ascii="Times New Roman" w:hAnsi="Times New Roman" w:eastAsia="楷体" w:cs="Times New Roman"/>
          <w:kern w:val="2"/>
          <w:szCs w:val="24"/>
          <w:u w:val="single"/>
        </w:rPr>
        <w:t xml:space="preserve">  短管内衬法修复原理示意图</w:t>
      </w:r>
    </w:p>
    <w:p w14:paraId="732CB4C0">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1—短管；2—牵引索；3—内置短管</w:t>
      </w:r>
    </w:p>
    <w:p w14:paraId="242859FE">
      <w:pPr>
        <w:rPr>
          <w:rFonts w:hint="default" w:ascii="Times New Roman" w:hAnsi="Times New Roman" w:cs="Times New Roman"/>
        </w:rPr>
      </w:pPr>
      <w:r>
        <w:rPr>
          <w:rFonts w:hint="default" w:ascii="Times New Roman" w:hAnsi="Times New Roman" w:cs="Times New Roman"/>
        </w:rPr>
        <w:t xml:space="preserve">2.1.11  </w:t>
      </w:r>
      <w:bookmarkStart w:id="23" w:name="_Toc138060683"/>
      <w:bookmarkEnd w:id="23"/>
      <w:bookmarkStart w:id="24" w:name="_Toc26000"/>
      <w:r>
        <w:rPr>
          <w:rFonts w:hint="default" w:ascii="Times New Roman" w:hAnsi="Times New Roman" w:cs="Times New Roman"/>
        </w:rPr>
        <w:t xml:space="preserve">机械制螺旋缠绕法  </w:t>
      </w:r>
      <w:bookmarkEnd w:id="24"/>
      <w:r>
        <w:rPr>
          <w:rFonts w:hint="default" w:ascii="Times New Roman" w:hAnsi="Times New Roman" w:cs="Times New Roman"/>
        </w:rPr>
        <w:t xml:space="preserve">lining with spirally-wound pipes </w:t>
      </w:r>
    </w:p>
    <w:p w14:paraId="256DEE9D">
      <w:pPr>
        <w:ind w:firstLine="480" w:firstLineChars="200"/>
        <w:rPr>
          <w:rFonts w:hint="default" w:ascii="Times New Roman" w:hAnsi="Times New Roman" w:cs="Times New Roman"/>
        </w:rPr>
      </w:pPr>
      <w:r>
        <w:rPr>
          <w:rFonts w:hint="default" w:ascii="Times New Roman" w:hAnsi="Times New Roman" w:cs="Times New Roman"/>
        </w:rPr>
        <w:t>采用机械缠绕的方法将带状型材在原有管道内形成一条新的管道内衬的修复方法，简称螺旋缠绕法。</w:t>
      </w:r>
    </w:p>
    <w:p w14:paraId="6B10C12C">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机械制螺旋缠绕法可分为贴合原有管道和非贴合原有管道工艺，前者是安装在井内的制管机将带状型材制成比原有管道略小的螺旋管，推送到终端后继续旋转使其膨胀，直到和原管壁贴合，被称为扩张法，主要适用于600mm以下的管道；后者则需要向管壁之间的环状空隙注入水泥浆使内衬管与原有管道结合形成整体，主要包括钢塑加强法和机头行走法。扩张法、钢塑加强法、机头行走法各工艺见图</w:t>
      </w:r>
      <w:r>
        <w:rPr>
          <w:rFonts w:hint="default" w:ascii="Times New Roman" w:hAnsi="Times New Roman" w:eastAsia="楷体" w:cs="Times New Roman"/>
          <w:kern w:val="2"/>
          <w:szCs w:val="24"/>
          <w:u w:val="single"/>
          <w:lang w:val="en-US" w:eastAsia="zh-CN"/>
        </w:rPr>
        <w:t>2.1.11-1</w:t>
      </w: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2.1.11-3</w:t>
      </w:r>
      <w:r>
        <w:rPr>
          <w:rFonts w:hint="default" w:ascii="Times New Roman" w:hAnsi="Times New Roman" w:eastAsia="楷体" w:cs="Times New Roman"/>
          <w:kern w:val="2"/>
          <w:szCs w:val="24"/>
          <w:u w:val="single"/>
        </w:rPr>
        <w:t>。</w:t>
      </w:r>
    </w:p>
    <w:p w14:paraId="6E6BAA60">
      <w:pPr>
        <w:ind w:firstLine="480" w:firstLineChars="200"/>
        <w:jc w:val="center"/>
        <w:rPr>
          <w:rFonts w:hint="default" w:ascii="Times New Roman" w:hAnsi="Times New Roman" w:eastAsia="楷体" w:cs="Times New Roman"/>
          <w:kern w:val="2"/>
          <w:szCs w:val="24"/>
          <w:u w:val="single"/>
        </w:rPr>
      </w:pPr>
    </w:p>
    <w:p w14:paraId="2EDD2EE8">
      <w:pPr>
        <w:ind w:firstLine="600" w:firstLineChars="200"/>
        <w:jc w:val="center"/>
        <w:rPr>
          <w:rFonts w:hint="default" w:ascii="Times New Roman" w:hAnsi="Times New Roman" w:eastAsia="楷体" w:cs="Times New Roman"/>
          <w:kern w:val="2"/>
          <w:szCs w:val="24"/>
          <w:u w:val="single"/>
        </w:rPr>
      </w:pPr>
      <w:r>
        <w:rPr>
          <w:rFonts w:hint="default" w:ascii="Times New Roman" w:hAnsi="Times New Roman" w:cs="Times New Roman"/>
          <w:sz w:val="30"/>
          <w:szCs w:val="30"/>
        </w:rPr>
        <w:drawing>
          <wp:inline distT="0" distB="0" distL="0" distR="0">
            <wp:extent cx="3038475" cy="1285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99104" cy="1311289"/>
                    </a:xfrm>
                    <a:prstGeom prst="rect">
                      <a:avLst/>
                    </a:prstGeom>
                    <a:noFill/>
                  </pic:spPr>
                </pic:pic>
              </a:graphicData>
            </a:graphic>
          </wp:inline>
        </w:drawing>
      </w:r>
    </w:p>
    <w:p w14:paraId="57101775">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2.1.11-1</w:t>
      </w:r>
      <w:r>
        <w:rPr>
          <w:rFonts w:hint="default" w:ascii="Times New Roman" w:hAnsi="Times New Roman" w:eastAsia="楷体" w:cs="Times New Roman"/>
          <w:kern w:val="2"/>
          <w:szCs w:val="24"/>
          <w:u w:val="single"/>
        </w:rPr>
        <w:t xml:space="preserve">  扩张法工艺示意图</w:t>
      </w:r>
    </w:p>
    <w:p w14:paraId="6EF4E4EC">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1—带状型材；2—缠绕机；3—拉线；4—主锁扣；5—副锁扣；6—弹性胶粘剂；7—润滑密封胶；8—钢线；9—型材滑动扩张</w:t>
      </w:r>
    </w:p>
    <w:p w14:paraId="75DC6CDC">
      <w:pPr>
        <w:ind w:firstLine="480" w:firstLineChars="200"/>
        <w:jc w:val="center"/>
        <w:rPr>
          <w:rFonts w:hint="default" w:ascii="Times New Roman" w:hAnsi="Times New Roman" w:eastAsia="楷体" w:cs="Times New Roman"/>
          <w:kern w:val="2"/>
          <w:szCs w:val="24"/>
          <w:u w:val="single"/>
        </w:rPr>
      </w:pPr>
    </w:p>
    <w:p w14:paraId="65289A0C">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cs="Times New Roman"/>
        </w:rPr>
        <w:drawing>
          <wp:inline distT="0" distB="0" distL="0" distR="0">
            <wp:extent cx="3388995" cy="1390015"/>
            <wp:effectExtent l="0" t="0" r="190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extLst>
                        <a:ext uri="{28A0092B-C50C-407E-A947-70E740481C1C}">
                          <a14:useLocalDpi xmlns:a14="http://schemas.microsoft.com/office/drawing/2010/main" val="0"/>
                        </a:ext>
                      </a:extLst>
                    </a:blip>
                    <a:srcRect b="16663"/>
                    <a:stretch>
                      <a:fillRect/>
                    </a:stretch>
                  </pic:blipFill>
                  <pic:spPr>
                    <a:xfrm>
                      <a:off x="0" y="0"/>
                      <a:ext cx="3469851" cy="1423208"/>
                    </a:xfrm>
                    <a:prstGeom prst="rect">
                      <a:avLst/>
                    </a:prstGeom>
                    <a:ln>
                      <a:noFill/>
                    </a:ln>
                  </pic:spPr>
                </pic:pic>
              </a:graphicData>
            </a:graphic>
          </wp:inline>
        </w:drawing>
      </w:r>
    </w:p>
    <w:p w14:paraId="2AAAFE42">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2.1.11-2</w:t>
      </w:r>
      <w:r>
        <w:rPr>
          <w:rFonts w:hint="default" w:ascii="Times New Roman" w:hAnsi="Times New Roman" w:eastAsia="楷体" w:cs="Times New Roman"/>
          <w:kern w:val="2"/>
          <w:szCs w:val="24"/>
          <w:u w:val="single"/>
        </w:rPr>
        <w:t xml:space="preserve">  钢塑加强法工艺示意图</w:t>
      </w:r>
    </w:p>
    <w:p w14:paraId="61C8FBD6">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1—带状型材；2—缠绕机；3—钢带</w:t>
      </w:r>
    </w:p>
    <w:p w14:paraId="58E08BA1">
      <w:pPr>
        <w:ind w:firstLine="480" w:firstLineChars="200"/>
        <w:jc w:val="center"/>
        <w:rPr>
          <w:rFonts w:hint="default" w:ascii="Times New Roman" w:hAnsi="Times New Roman" w:eastAsia="楷体" w:cs="Times New Roman"/>
          <w:kern w:val="2"/>
          <w:szCs w:val="24"/>
          <w:u w:val="single"/>
        </w:rPr>
      </w:pPr>
    </w:p>
    <w:p w14:paraId="54654399">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cs="Times New Roman"/>
        </w:rPr>
        <w:drawing>
          <wp:inline distT="0" distB="0" distL="0" distR="0">
            <wp:extent cx="3404235" cy="1054735"/>
            <wp:effectExtent l="0" t="0" r="571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59685" cy="1071857"/>
                    </a:xfrm>
                    <a:prstGeom prst="rect">
                      <a:avLst/>
                    </a:prstGeom>
                    <a:noFill/>
                  </pic:spPr>
                </pic:pic>
              </a:graphicData>
            </a:graphic>
          </wp:inline>
        </w:drawing>
      </w:r>
    </w:p>
    <w:p w14:paraId="42C56232">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2.1.11-3</w:t>
      </w:r>
      <w:r>
        <w:rPr>
          <w:rFonts w:hint="default" w:ascii="Times New Roman" w:hAnsi="Times New Roman" w:eastAsia="楷体" w:cs="Times New Roman"/>
          <w:kern w:val="2"/>
          <w:szCs w:val="24"/>
          <w:u w:val="single"/>
        </w:rPr>
        <w:t xml:space="preserve">  机头行走法工艺示意图</w:t>
      </w:r>
    </w:p>
    <w:p w14:paraId="725A87F4">
      <w:pPr>
        <w:ind w:firstLine="480" w:firstLineChars="200"/>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1—带状型材；2—缠绕机</w:t>
      </w:r>
    </w:p>
    <w:p w14:paraId="41044DFC">
      <w:pPr>
        <w:rPr>
          <w:rFonts w:hint="default" w:ascii="Times New Roman" w:hAnsi="Times New Roman" w:cs="Times New Roman"/>
        </w:rPr>
      </w:pPr>
      <w:r>
        <w:rPr>
          <w:rFonts w:hint="default" w:ascii="Times New Roman" w:hAnsi="Times New Roman" w:cs="Times New Roman"/>
        </w:rPr>
        <w:t xml:space="preserve">2.1.12  水泥基材料喷筑喷筑法 </w:t>
      </w:r>
      <w:bookmarkStart w:id="25" w:name="OLE_LINK2"/>
      <w:r>
        <w:rPr>
          <w:rFonts w:hint="default" w:ascii="Times New Roman" w:hAnsi="Times New Roman" w:cs="Times New Roman"/>
        </w:rPr>
        <w:t xml:space="preserve"> lining with sprayed</w:t>
      </w:r>
      <w:bookmarkEnd w:id="25"/>
      <w:r>
        <w:rPr>
          <w:rFonts w:hint="default" w:ascii="Times New Roman" w:hAnsi="Times New Roman" w:cs="Times New Roman"/>
        </w:rPr>
        <w:t xml:space="preserve"> cementitious materials </w:t>
      </w:r>
    </w:p>
    <w:p w14:paraId="4B2F44DC">
      <w:pPr>
        <w:ind w:firstLine="480" w:firstLineChars="200"/>
        <w:rPr>
          <w:rFonts w:hint="default" w:ascii="Times New Roman" w:hAnsi="Times New Roman" w:cs="Times New Roman"/>
        </w:rPr>
      </w:pPr>
      <w:r>
        <w:rPr>
          <w:rFonts w:hint="default" w:ascii="Times New Roman" w:hAnsi="Times New Roman" w:cs="Times New Roman"/>
        </w:rPr>
        <w:t>将修复用水泥基材料均匀覆盖在原有管道设施内表面形成内衬的修复方法。</w:t>
      </w:r>
    </w:p>
    <w:p w14:paraId="062784C9">
      <w:pPr>
        <w:rPr>
          <w:rFonts w:hint="default" w:ascii="Times New Roman" w:hAnsi="Times New Roman" w:cs="Times New Roman"/>
        </w:rPr>
      </w:pPr>
      <w:r>
        <w:rPr>
          <w:rFonts w:hint="default" w:ascii="Times New Roman" w:hAnsi="Times New Roman" w:cs="Times New Roman"/>
        </w:rPr>
        <w:t xml:space="preserve">2.1.13  垫衬法  lining with rigidly anchored plastics inner layer </w:t>
      </w:r>
    </w:p>
    <w:p w14:paraId="471464E5">
      <w:pPr>
        <w:ind w:firstLine="480" w:firstLineChars="200"/>
        <w:rPr>
          <w:rFonts w:hint="default" w:ascii="Times New Roman" w:hAnsi="Times New Roman" w:cs="Times New Roman"/>
        </w:rPr>
      </w:pPr>
      <w:r>
        <w:rPr>
          <w:rFonts w:hint="default" w:ascii="Times New Roman" w:hAnsi="Times New Roman" w:cs="Times New Roman"/>
        </w:rPr>
        <w:t>将带锚固键的塑料垫衬做成一条新的管道内衬，安装在原有管道内，并对内衬与原有管道之间的间隙进行填充的管道修复方法。</w:t>
      </w:r>
    </w:p>
    <w:p w14:paraId="307F08DC">
      <w:pPr>
        <w:rPr>
          <w:rFonts w:hint="default" w:ascii="Times New Roman" w:hAnsi="Times New Roman" w:cs="Times New Roman"/>
        </w:rPr>
      </w:pPr>
      <w:r>
        <w:rPr>
          <w:rFonts w:hint="default" w:ascii="Times New Roman" w:hAnsi="Times New Roman" w:eastAsia="楷体" w:cs="Times New Roman"/>
          <w:kern w:val="2"/>
          <w:szCs w:val="24"/>
          <w:u w:val="single"/>
        </w:rPr>
        <w:t>【条文说明】垫衬法是通过检查井将带有锚固键的塑料衬垫作为内衬管，通过牵引机置入原有管道内，在内衬管与原有管道间环形空隙进行注浆锚固，使原有管道重生的修复方法。内衬管背面增加锚固键是很必要的，它作为与原有管道的支撑与原有管道壁构成的环状空间用灌浆材料填充。浆料固化后，内衬管与管道内壁结合在一起，形成新的管道结构，起到防渗、防腐蚀、加固的作用。根据系统的结构不同，可通过多层内衬的组合达到结构所需的总厚度。同时，产生了多道设防、控制渗漏的管壁结构。</w:t>
      </w:r>
    </w:p>
    <w:p w14:paraId="7AA424CB">
      <w:pPr>
        <w:rPr>
          <w:rFonts w:hint="default" w:ascii="Times New Roman" w:hAnsi="Times New Roman" w:cs="Times New Roman"/>
        </w:rPr>
      </w:pPr>
      <w:bookmarkStart w:id="26" w:name="_Toc20796"/>
      <w:r>
        <w:rPr>
          <w:rFonts w:hint="default" w:ascii="Times New Roman" w:hAnsi="Times New Roman" w:cs="Times New Roman"/>
        </w:rPr>
        <w:t>2.1.14  点状原位固化法  spot cured-in-place pipe</w:t>
      </w:r>
      <w:bookmarkEnd w:id="26"/>
      <w:r>
        <w:rPr>
          <w:rFonts w:hint="default" w:ascii="Times New Roman" w:hAnsi="Times New Roman" w:cs="Times New Roman"/>
        </w:rPr>
        <w:t xml:space="preserve"> method</w:t>
      </w:r>
    </w:p>
    <w:p w14:paraId="76A3EF7B">
      <w:pPr>
        <w:ind w:firstLine="480" w:firstLineChars="200"/>
        <w:rPr>
          <w:rFonts w:hint="default" w:ascii="Times New Roman" w:hAnsi="Times New Roman" w:cs="Times New Roman"/>
        </w:rPr>
      </w:pPr>
      <w:r>
        <w:rPr>
          <w:rFonts w:hint="default" w:ascii="Times New Roman" w:hAnsi="Times New Roman" w:cs="Times New Roman"/>
        </w:rPr>
        <w:t>将经树脂浸透后的织物缠绕在修复气囊上，拉入到待修复位置，修复气囊充气膨胀后使树脂织物压粘于管道内壁上保持压力，待树脂固化后形成内衬筒的修复方法，简称点状CIPP法。</w:t>
      </w:r>
    </w:p>
    <w:p w14:paraId="4B19F239">
      <w:pPr>
        <w:rPr>
          <w:rFonts w:hint="default" w:ascii="Times New Roman" w:hAnsi="Times New Roman" w:cs="Times New Roman"/>
        </w:rPr>
      </w:pPr>
      <w:bookmarkStart w:id="27" w:name="_Toc18462"/>
      <w:r>
        <w:rPr>
          <w:rFonts w:hint="default" w:ascii="Times New Roman" w:hAnsi="Times New Roman" w:cs="Times New Roman"/>
        </w:rPr>
        <w:t>2.1.15  不锈钢双胀环法  stainless steel expansion ring seal method</w:t>
      </w:r>
      <w:bookmarkEnd w:id="27"/>
    </w:p>
    <w:p w14:paraId="0219DC51">
      <w:pPr>
        <w:ind w:firstLine="480" w:firstLineChars="200"/>
        <w:rPr>
          <w:rFonts w:hint="default" w:ascii="Times New Roman" w:hAnsi="Times New Roman" w:cs="Times New Roman"/>
        </w:rPr>
      </w:pPr>
      <w:r>
        <w:rPr>
          <w:rFonts w:hint="default" w:ascii="Times New Roman" w:hAnsi="Times New Roman" w:cs="Times New Roman"/>
        </w:rPr>
        <w:t>以环状橡胶止水密封带与不锈钢胀环为主要修复材料，在管道接口或局部损坏部位安装环状橡胶圈止水密封带，密封带就位后用2道或3道不锈钢胀环固定的管道修复方法。</w:t>
      </w:r>
    </w:p>
    <w:p w14:paraId="2675D187">
      <w:pPr>
        <w:rPr>
          <w:rFonts w:hint="default" w:ascii="Times New Roman" w:hAnsi="Times New Roman" w:cs="Times New Roman"/>
        </w:rPr>
      </w:pPr>
      <w:r>
        <w:rPr>
          <w:rFonts w:hint="default" w:ascii="Times New Roman" w:hAnsi="Times New Roman" w:cs="Times New Roman"/>
        </w:rPr>
        <w:t>2.1.16  不锈钢快速锁法  stainless steel quick-lock pipe repair method</w:t>
      </w:r>
    </w:p>
    <w:p w14:paraId="7EA08FD2">
      <w:pPr>
        <w:ind w:firstLine="480" w:firstLineChars="200"/>
        <w:rPr>
          <w:rFonts w:hint="default" w:ascii="Times New Roman" w:hAnsi="Times New Roman" w:cs="Times New Roman"/>
        </w:rPr>
      </w:pPr>
      <w:r>
        <w:rPr>
          <w:rFonts w:hint="default" w:ascii="Times New Roman" w:hAnsi="Times New Roman" w:cs="Times New Roman"/>
        </w:rPr>
        <w:t>采用专用不锈钢圈扩充后将橡胶密封圈挤压在原有管道缺陷位置，形成管道内衬的管道局部修复方法。</w:t>
      </w:r>
    </w:p>
    <w:p w14:paraId="5B5C737F">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【条文说明】不锈钢快速锁安装状态见图</w:t>
      </w:r>
      <w:r>
        <w:rPr>
          <w:rFonts w:hint="default" w:ascii="Times New Roman" w:hAnsi="Times New Roman" w:eastAsia="楷体" w:cs="Times New Roman"/>
          <w:kern w:val="2"/>
          <w:szCs w:val="24"/>
          <w:u w:val="single"/>
          <w:lang w:val="en-US" w:eastAsia="zh-CN"/>
        </w:rPr>
        <w:t>2.1.16</w:t>
      </w:r>
      <w:r>
        <w:rPr>
          <w:rFonts w:hint="default" w:ascii="Times New Roman" w:hAnsi="Times New Roman" w:eastAsia="楷体" w:cs="Times New Roman"/>
          <w:kern w:val="2"/>
          <w:szCs w:val="24"/>
          <w:u w:val="single"/>
        </w:rPr>
        <w:t>。</w:t>
      </w:r>
    </w:p>
    <w:p w14:paraId="47647932">
      <w:pPr>
        <w:jc w:val="both"/>
        <w:rPr>
          <w:rFonts w:hint="default" w:ascii="Times New Roman" w:hAnsi="Times New Roman" w:cs="Times New Roman"/>
          <w:b/>
          <w:bCs/>
          <w:color w:val="000000" w:themeColor="text1"/>
          <w:szCs w:val="18"/>
          <w14:textFill>
            <w14:solidFill>
              <w14:schemeClr w14:val="tx1"/>
            </w14:solidFill>
          </w14:textFill>
        </w:rPr>
      </w:pPr>
      <w:r>
        <w:rPr>
          <w:rFonts w:hint="default" w:ascii="Times New Roman" w:hAnsi="Times New Roman" w:cs="Times New Roman"/>
        </w:rPr>
        <w:drawing>
          <wp:inline distT="0" distB="0" distL="114300" distR="114300">
            <wp:extent cx="5277485" cy="2120900"/>
            <wp:effectExtent l="0" t="0" r="18415" b="12700"/>
            <wp:docPr id="34"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8"/>
                    <pic:cNvPicPr>
                      <a:picLocks noChangeAspect="1"/>
                    </pic:cNvPicPr>
                  </pic:nvPicPr>
                  <pic:blipFill>
                    <a:blip r:embed="rId14"/>
                    <a:stretch>
                      <a:fillRect/>
                    </a:stretch>
                  </pic:blipFill>
                  <pic:spPr>
                    <a:xfrm>
                      <a:off x="0" y="0"/>
                      <a:ext cx="5277485" cy="2120900"/>
                    </a:xfrm>
                    <a:prstGeom prst="rect">
                      <a:avLst/>
                    </a:prstGeom>
                    <a:noFill/>
                    <a:ln>
                      <a:noFill/>
                    </a:ln>
                  </pic:spPr>
                </pic:pic>
              </a:graphicData>
            </a:graphic>
          </wp:inline>
        </w:drawing>
      </w:r>
    </w:p>
    <w:p w14:paraId="748A4F2C">
      <w:pPr>
        <w:ind w:firstLine="480" w:firstLineChars="200"/>
        <w:jc w:val="center"/>
        <w:rPr>
          <w:rFonts w:hint="default" w:ascii="Times New Roman" w:hAnsi="Times New Roman" w:eastAsia="楷体" w:cs="Times New Roman"/>
          <w:b/>
          <w:bCs/>
          <w:color w:val="000000" w:themeColor="text1"/>
          <w:szCs w:val="24"/>
          <w:u w:val="single"/>
          <w14:textFill>
            <w14:solidFill>
              <w14:schemeClr w14:val="tx1"/>
            </w14:solidFill>
          </w14:textFill>
        </w:rPr>
      </w:pPr>
      <w:r>
        <w:rPr>
          <w:rFonts w:hint="default" w:ascii="Times New Roman" w:hAnsi="Times New Roman" w:eastAsia="楷体" w:cs="Times New Roman"/>
          <w:b w:val="0"/>
          <w:kern w:val="2"/>
          <w:szCs w:val="24"/>
          <w:u w:val="single"/>
        </w:rPr>
        <w:t>图</w:t>
      </w:r>
      <w:r>
        <w:rPr>
          <w:rFonts w:hint="default" w:ascii="Times New Roman" w:hAnsi="Times New Roman" w:eastAsia="楷体" w:cs="Times New Roman"/>
          <w:kern w:val="2"/>
          <w:szCs w:val="24"/>
          <w:u w:val="single"/>
          <w:lang w:val="en-US" w:eastAsia="zh-CN"/>
        </w:rPr>
        <w:t>2.1.16</w:t>
      </w:r>
      <w:r>
        <w:rPr>
          <w:rFonts w:hint="default" w:ascii="Times New Roman" w:hAnsi="Times New Roman" w:eastAsia="楷体" w:cs="Times New Roman"/>
          <w:b w:val="0"/>
          <w:kern w:val="2"/>
          <w:szCs w:val="24"/>
          <w:u w:val="single"/>
        </w:rPr>
        <w:t xml:space="preserve">  </w:t>
      </w:r>
      <w:r>
        <w:rPr>
          <w:rFonts w:hint="default" w:ascii="Times New Roman" w:hAnsi="Times New Roman" w:eastAsia="楷体" w:cs="Times New Roman"/>
          <w:bCs/>
          <w:color w:val="000000" w:themeColor="text1"/>
          <w:kern w:val="2"/>
          <w:szCs w:val="24"/>
          <w:u w:val="single"/>
          <w14:textFill>
            <w14:solidFill>
              <w14:schemeClr w14:val="tx1"/>
            </w14:solidFill>
          </w14:textFill>
        </w:rPr>
        <w:t>不锈钢快速锁安装状态示意图</w:t>
      </w:r>
    </w:p>
    <w:p w14:paraId="4B55B8EE">
      <w:pPr>
        <w:rPr>
          <w:rFonts w:hint="default" w:ascii="Times New Roman" w:hAnsi="Times New Roman" w:eastAsia="楷体" w:cs="Times New Roman"/>
          <w:kern w:val="2"/>
          <w:sz w:val="24"/>
          <w:szCs w:val="24"/>
          <w:u w:val="single"/>
        </w:rPr>
      </w:pPr>
      <w:r>
        <w:rPr>
          <w:rFonts w:hint="default" w:ascii="Times New Roman" w:hAnsi="Times New Roman" w:eastAsia="楷体" w:cs="Times New Roman"/>
          <w:kern w:val="2"/>
          <w:sz w:val="24"/>
          <w:szCs w:val="24"/>
          <w:u w:val="single"/>
        </w:rPr>
        <w:t>1—橡胶迎水坡边；2—中心线；3—密封台间距；4—密封长度；5—橡胶厚度；6—不锈钢壁厚；7—密封高度；8—不锈钢套筒直径；9—密封台外径；10—管径；11—密封台外径；12—不锈钢套筒直径</w:t>
      </w:r>
      <w:bookmarkStart w:id="28" w:name="_Toc21939"/>
    </w:p>
    <w:p w14:paraId="5B46EC28">
      <w:pPr>
        <w:rPr>
          <w:rFonts w:hint="default" w:ascii="Times New Roman" w:hAnsi="Times New Roman" w:cs="Times New Roman"/>
        </w:rPr>
      </w:pPr>
      <w:r>
        <w:rPr>
          <w:rFonts w:hint="default" w:ascii="Times New Roman" w:hAnsi="Times New Roman" w:cs="Times New Roman"/>
        </w:rPr>
        <w:t>2.1.17  干软管  dry tube</w:t>
      </w:r>
      <w:bookmarkEnd w:id="28"/>
    </w:p>
    <w:p w14:paraId="1DCC3124">
      <w:pPr>
        <w:ind w:firstLine="480" w:firstLineChars="200"/>
        <w:rPr>
          <w:rFonts w:hint="default" w:ascii="Times New Roman" w:hAnsi="Times New Roman" w:cs="Times New Roman"/>
        </w:rPr>
      </w:pPr>
      <w:r>
        <w:rPr>
          <w:rFonts w:hint="default" w:ascii="Times New Roman" w:hAnsi="Times New Roman" w:cs="Times New Roman"/>
        </w:rPr>
        <w:t>由一层或多层聚酯纤维毡等纤维织物或同等性能材料制作而成的柔性管材。</w:t>
      </w:r>
    </w:p>
    <w:p w14:paraId="65A54FB0">
      <w:pPr>
        <w:rPr>
          <w:rFonts w:hint="default" w:ascii="Times New Roman" w:hAnsi="Times New Roman" w:cs="Times New Roman"/>
        </w:rPr>
      </w:pPr>
      <w:r>
        <w:rPr>
          <w:rFonts w:hint="default" w:ascii="Times New Roman" w:hAnsi="Times New Roman" w:cs="Times New Roman"/>
        </w:rPr>
        <w:t>2.1.18  湿软管  wet tube</w:t>
      </w:r>
    </w:p>
    <w:p w14:paraId="52B3023C">
      <w:pPr>
        <w:ind w:firstLine="480" w:firstLineChars="200"/>
        <w:rPr>
          <w:rFonts w:hint="default" w:ascii="Times New Roman" w:hAnsi="Times New Roman" w:cs="Times New Roman"/>
        </w:rPr>
      </w:pPr>
      <w:r>
        <w:rPr>
          <w:rFonts w:hint="default" w:ascii="Times New Roman" w:hAnsi="Times New Roman" w:cs="Times New Roman"/>
        </w:rPr>
        <w:t>干软管经浸渍树脂后尚未固化的管材。</w:t>
      </w:r>
    </w:p>
    <w:p w14:paraId="48D1C445">
      <w:pPr>
        <w:rPr>
          <w:rFonts w:hint="default" w:ascii="Times New Roman" w:hAnsi="Times New Roman" w:cs="Times New Roman"/>
        </w:rPr>
      </w:pPr>
      <w:bookmarkStart w:id="29" w:name="_Toc13942"/>
      <w:r>
        <w:rPr>
          <w:rFonts w:hint="default" w:ascii="Times New Roman" w:hAnsi="Times New Roman" w:cs="Times New Roman"/>
        </w:rPr>
        <w:t>2.1.19  内衬管  liner</w:t>
      </w:r>
      <w:bookmarkEnd w:id="29"/>
      <w:r>
        <w:rPr>
          <w:rFonts w:hint="default" w:ascii="Times New Roman" w:hAnsi="Times New Roman" w:cs="Times New Roman"/>
        </w:rPr>
        <w:t xml:space="preserve"> </w:t>
      </w:r>
    </w:p>
    <w:p w14:paraId="3C4EC3FE">
      <w:pPr>
        <w:ind w:firstLine="480" w:firstLineChars="200"/>
        <w:rPr>
          <w:rFonts w:hint="default" w:ascii="Times New Roman" w:hAnsi="Times New Roman" w:cs="Times New Roman"/>
        </w:rPr>
      </w:pPr>
      <w:r>
        <w:rPr>
          <w:rFonts w:hint="default" w:ascii="Times New Roman" w:hAnsi="Times New Roman" w:cs="Times New Roman"/>
        </w:rPr>
        <w:t>通过各种非开挖修复方法在原有管道内形成的管道内衬。</w:t>
      </w:r>
    </w:p>
    <w:p w14:paraId="6A9A9CA9">
      <w:pPr>
        <w:rPr>
          <w:rFonts w:hint="default" w:ascii="Times New Roman" w:hAnsi="Times New Roman" w:cs="Times New Roman"/>
        </w:rPr>
      </w:pPr>
      <w:bookmarkStart w:id="30" w:name="_Toc5914"/>
      <w:r>
        <w:rPr>
          <w:rFonts w:hint="default" w:ascii="Times New Roman" w:hAnsi="Times New Roman" w:cs="Times New Roman"/>
        </w:rPr>
        <w:t>2.1.20  带状型材  strip profile</w:t>
      </w:r>
      <w:bookmarkEnd w:id="30"/>
    </w:p>
    <w:p w14:paraId="7632B386">
      <w:pPr>
        <w:ind w:firstLine="480" w:firstLineChars="200"/>
        <w:rPr>
          <w:rFonts w:hint="default" w:ascii="Times New Roman" w:hAnsi="Times New Roman" w:cs="Times New Roman"/>
        </w:rPr>
      </w:pPr>
      <w:r>
        <w:rPr>
          <w:rFonts w:hint="default" w:ascii="Times New Roman" w:hAnsi="Times New Roman" w:cs="Times New Roman"/>
        </w:rPr>
        <w:t>经生产预制加工成内壁光滑、外壁有T形加强筋，在现场通过井下缠绕机形成内衬管道，从而完成修复目标的内衬材料。</w:t>
      </w:r>
    </w:p>
    <w:p w14:paraId="62A648F2">
      <w:pPr>
        <w:rPr>
          <w:rFonts w:hint="default" w:ascii="Times New Roman" w:hAnsi="Times New Roman" w:cs="Times New Roman"/>
        </w:rPr>
      </w:pPr>
      <w:r>
        <w:rPr>
          <w:rFonts w:hint="default" w:ascii="Times New Roman" w:hAnsi="Times New Roman" w:cs="Times New Roman"/>
        </w:rPr>
        <w:t>2.1.21  施工段  construction section</w:t>
      </w:r>
    </w:p>
    <w:p w14:paraId="26735AC3">
      <w:pPr>
        <w:ind w:firstLine="480" w:firstLineChars="200"/>
        <w:rPr>
          <w:rFonts w:hint="default" w:ascii="Times New Roman" w:hAnsi="Times New Roman" w:cs="Times New Roman"/>
        </w:rPr>
      </w:pPr>
      <w:r>
        <w:rPr>
          <w:rFonts w:hint="default" w:ascii="Times New Roman" w:hAnsi="Times New Roman" w:cs="Times New Roman"/>
        </w:rPr>
        <w:t>按照非开挖修复某一项工艺一次性连续修复的管段。</w:t>
      </w:r>
    </w:p>
    <w:p w14:paraId="74929AAE">
      <w:pPr>
        <w:pStyle w:val="3"/>
        <w:jc w:val="center"/>
        <w:rPr>
          <w:rFonts w:hint="default" w:ascii="Times New Roman" w:hAnsi="Times New Roman" w:eastAsia="宋体" w:cs="Times New Roman"/>
        </w:rPr>
      </w:pPr>
      <w:bookmarkStart w:id="31" w:name="_Toc5061"/>
      <w:r>
        <w:rPr>
          <w:rFonts w:hint="default" w:ascii="Times New Roman" w:hAnsi="Times New Roman" w:eastAsia="宋体" w:cs="Times New Roman"/>
        </w:rPr>
        <w:t>2.2符号</w:t>
      </w:r>
      <w:bookmarkEnd w:id="31"/>
    </w:p>
    <w:p w14:paraId="6E6582FA">
      <w:pPr>
        <w:rPr>
          <w:rFonts w:hint="default" w:ascii="Times New Roman" w:hAnsi="Times New Roman" w:cs="Times New Roman"/>
        </w:rPr>
      </w:pPr>
      <w:r>
        <w:rPr>
          <w:rFonts w:hint="default" w:ascii="Times New Roman" w:hAnsi="Times New Roman" w:cs="Times New Roman"/>
        </w:rPr>
        <w:t>2.2.1  尺寸</w:t>
      </w:r>
    </w:p>
    <w:tbl>
      <w:tblPr>
        <w:tblStyle w:val="13"/>
        <w:tblW w:w="0" w:type="auto"/>
        <w:tblInd w:w="0" w:type="dxa"/>
        <w:tblLayout w:type="autofit"/>
        <w:tblCellMar>
          <w:top w:w="0" w:type="dxa"/>
          <w:left w:w="28" w:type="dxa"/>
          <w:bottom w:w="0" w:type="dxa"/>
          <w:right w:w="28" w:type="dxa"/>
        </w:tblCellMar>
      </w:tblPr>
      <w:tblGrid>
        <w:gridCol w:w="496"/>
        <w:gridCol w:w="5096"/>
      </w:tblGrid>
      <w:tr w14:paraId="735452D6">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6B180A14">
            <w:pPr>
              <w:tabs>
                <w:tab w:val="right" w:pos="840"/>
              </w:tabs>
              <w:autoSpaceDE w:val="0"/>
              <w:autoSpaceDN w:val="0"/>
              <w:adjustRightInd w:val="0"/>
              <w:rPr>
                <w:rFonts w:hint="default" w:ascii="Times New Roman" w:hAnsi="Times New Roman" w:cs="Times New Roman"/>
                <w:bCs/>
                <w:i/>
                <w:color w:val="000000" w:themeColor="text1"/>
                <w:szCs w:val="24"/>
                <w14:textFill>
                  <w14:solidFill>
                    <w14:schemeClr w14:val="tx1"/>
                  </w14:solidFill>
                </w14:textFill>
              </w:rPr>
            </w:pPr>
            <w:r>
              <w:rPr>
                <w:rFonts w:hint="default" w:ascii="Times New Roman" w:hAnsi="Times New Roman" w:cs="Times New Roman"/>
                <w:bCs/>
                <w:i/>
                <w:color w:val="000000" w:themeColor="text1"/>
                <w:szCs w:val="24"/>
                <w14:textFill>
                  <w14:solidFill>
                    <w14:schemeClr w14:val="tx1"/>
                  </w14:solidFill>
                </w14:textFill>
              </w:rPr>
              <w:t>D</w:t>
            </w:r>
          </w:p>
        </w:tc>
        <w:tc>
          <w:tcPr>
            <w:tcW w:w="0" w:type="auto"/>
            <w:tcBorders>
              <w:top w:val="nil"/>
              <w:left w:val="nil"/>
              <w:bottom w:val="nil"/>
              <w:right w:val="nil"/>
            </w:tcBorders>
            <w:vAlign w:val="center"/>
          </w:tcPr>
          <w:p w14:paraId="69196A63">
            <w:pPr>
              <w:tabs>
                <w:tab w:val="right" w:pos="840"/>
              </w:tabs>
              <w:autoSpaceDE w:val="0"/>
              <w:autoSpaceDN w:val="0"/>
              <w:adjustRightInd w:val="0"/>
              <w:rPr>
                <w:rFonts w:hint="default" w:ascii="Times New Roman" w:hAnsi="Times New Roman" w:cs="Times New Roman"/>
                <w:bCs/>
                <w:color w:val="000000" w:themeColor="text1"/>
                <w:szCs w:val="24"/>
                <w14:textFill>
                  <w14:solidFill>
                    <w14:schemeClr w14:val="tx1"/>
                  </w14:solidFill>
                </w14:textFill>
              </w:rPr>
            </w:pPr>
            <w:r>
              <w:rPr>
                <w:rFonts w:hint="default" w:ascii="Times New Roman" w:hAnsi="Times New Roman" w:cs="Times New Roman"/>
                <w:bCs/>
                <w:color w:val="000000" w:themeColor="text1"/>
                <w:szCs w:val="24"/>
                <w14:textFill>
                  <w14:solidFill>
                    <w14:schemeClr w14:val="tx1"/>
                  </w14:solidFill>
                </w14:textFill>
              </w:rPr>
              <w:t>——管道的平均内径；</w:t>
            </w:r>
          </w:p>
        </w:tc>
      </w:tr>
      <w:tr w14:paraId="33C3EF3B">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23D892CE">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E</w:t>
            </w:r>
          </w:p>
        </w:tc>
        <w:tc>
          <w:tcPr>
            <w:tcW w:w="0" w:type="auto"/>
            <w:tcBorders>
              <w:top w:val="nil"/>
              <w:left w:val="nil"/>
              <w:bottom w:val="nil"/>
              <w:right w:val="nil"/>
            </w:tcBorders>
            <w:vAlign w:val="center"/>
          </w:tcPr>
          <w:p w14:paraId="7B3813E9">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——原有管道平均内径；</w:t>
            </w:r>
          </w:p>
        </w:tc>
      </w:tr>
      <w:tr w14:paraId="370784BF">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3653F1B6">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L</w:t>
            </w:r>
          </w:p>
        </w:tc>
        <w:tc>
          <w:tcPr>
            <w:tcW w:w="0" w:type="auto"/>
            <w:tcBorders>
              <w:top w:val="nil"/>
              <w:left w:val="nil"/>
              <w:bottom w:val="nil"/>
              <w:right w:val="nil"/>
            </w:tcBorders>
            <w:vAlign w:val="center"/>
          </w:tcPr>
          <w:p w14:paraId="01B10017">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——闭气试验管道内径；</w:t>
            </w:r>
          </w:p>
        </w:tc>
      </w:tr>
      <w:tr w14:paraId="14B4C177">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72EC1A9D">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max</w:t>
            </w:r>
          </w:p>
        </w:tc>
        <w:tc>
          <w:tcPr>
            <w:tcW w:w="0" w:type="auto"/>
            <w:tcBorders>
              <w:top w:val="nil"/>
              <w:left w:val="nil"/>
              <w:bottom w:val="nil"/>
              <w:right w:val="nil"/>
            </w:tcBorders>
            <w:vAlign w:val="center"/>
          </w:tcPr>
          <w:p w14:paraId="02363719">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——原有管道的最大内径；</w:t>
            </w:r>
          </w:p>
        </w:tc>
      </w:tr>
      <w:tr w14:paraId="5BCEB131">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4F7B9128">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min</w:t>
            </w:r>
          </w:p>
        </w:tc>
        <w:tc>
          <w:tcPr>
            <w:tcW w:w="0" w:type="auto"/>
            <w:tcBorders>
              <w:top w:val="nil"/>
              <w:left w:val="nil"/>
              <w:bottom w:val="nil"/>
              <w:right w:val="nil"/>
            </w:tcBorders>
            <w:vAlign w:val="center"/>
          </w:tcPr>
          <w:p w14:paraId="7E771E79">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——原有管道的最小内径；</w:t>
            </w:r>
          </w:p>
        </w:tc>
      </w:tr>
      <w:tr w14:paraId="3F71824B">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0FFBDB44">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N</w:t>
            </w:r>
          </w:p>
          <w:p w14:paraId="469FD549">
            <w:pPr>
              <w:tabs>
                <w:tab w:val="right" w:pos="840"/>
              </w:tabs>
              <w:autoSpaceDE w:val="0"/>
              <w:autoSpaceDN w:val="0"/>
              <w:adjustRightInd w:val="0"/>
              <w:rPr>
                <w:rFonts w:hint="default" w:ascii="Times New Roman" w:hAnsi="Times New Roman" w:cs="Times New Roman"/>
                <w:bCs/>
                <w:i/>
                <w:szCs w:val="24"/>
              </w:rPr>
            </w:pPr>
          </w:p>
        </w:tc>
        <w:tc>
          <w:tcPr>
            <w:tcW w:w="0" w:type="auto"/>
            <w:tcBorders>
              <w:top w:val="nil"/>
              <w:left w:val="nil"/>
              <w:bottom w:val="nil"/>
              <w:right w:val="nil"/>
            </w:tcBorders>
            <w:vAlign w:val="center"/>
          </w:tcPr>
          <w:p w14:paraId="1D1D76EC">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——内衬管平均直径；</w:t>
            </w:r>
          </w:p>
        </w:tc>
      </w:tr>
      <w:tr w14:paraId="2BFC61BE">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2D85ED78">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O</w:t>
            </w:r>
          </w:p>
        </w:tc>
        <w:tc>
          <w:tcPr>
            <w:tcW w:w="0" w:type="auto"/>
            <w:tcBorders>
              <w:top w:val="nil"/>
              <w:left w:val="nil"/>
              <w:bottom w:val="nil"/>
              <w:right w:val="nil"/>
            </w:tcBorders>
            <w:vAlign w:val="center"/>
          </w:tcPr>
          <w:p w14:paraId="13201657">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——内衬管管道外径；</w:t>
            </w:r>
          </w:p>
        </w:tc>
      </w:tr>
      <w:tr w14:paraId="4E8C5910">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011FFAAF">
            <w:pPr>
              <w:tabs>
                <w:tab w:val="right" w:pos="840"/>
              </w:tabs>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D</w:t>
            </w:r>
            <w:r>
              <w:rPr>
                <w:rFonts w:hint="default" w:ascii="Times New Roman" w:hAnsi="Times New Roman" w:cs="Times New Roman"/>
                <w:bCs/>
                <w:i/>
                <w:szCs w:val="24"/>
                <w:vertAlign w:val="subscript"/>
              </w:rPr>
              <w:t>I</w:t>
            </w:r>
          </w:p>
        </w:tc>
        <w:tc>
          <w:tcPr>
            <w:tcW w:w="0" w:type="auto"/>
            <w:tcBorders>
              <w:top w:val="nil"/>
              <w:left w:val="nil"/>
              <w:bottom w:val="nil"/>
              <w:right w:val="nil"/>
            </w:tcBorders>
            <w:vAlign w:val="center"/>
          </w:tcPr>
          <w:p w14:paraId="2ACBC4C5">
            <w:pPr>
              <w:tabs>
                <w:tab w:val="right" w:pos="840"/>
              </w:tabs>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——内衬管管道内径；</w:t>
            </w:r>
          </w:p>
        </w:tc>
      </w:tr>
      <w:tr w14:paraId="33DDB32C">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533BC10B">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H</w:t>
            </w:r>
          </w:p>
        </w:tc>
        <w:tc>
          <w:tcPr>
            <w:tcW w:w="0" w:type="auto"/>
            <w:tcBorders>
              <w:top w:val="nil"/>
              <w:left w:val="nil"/>
              <w:bottom w:val="nil"/>
              <w:right w:val="nil"/>
            </w:tcBorders>
            <w:vAlign w:val="center"/>
          </w:tcPr>
          <w:p w14:paraId="2B1FEABA">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——管道敷设深度；</w:t>
            </w:r>
          </w:p>
        </w:tc>
      </w:tr>
      <w:tr w14:paraId="36F463D3">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462B3CC0">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H</w:t>
            </w:r>
            <w:r>
              <w:rPr>
                <w:rFonts w:hint="default" w:ascii="Times New Roman" w:hAnsi="Times New Roman" w:cs="Times New Roman"/>
                <w:bCs/>
                <w:i/>
                <w:szCs w:val="24"/>
                <w:vertAlign w:val="subscript"/>
              </w:rPr>
              <w:t>S</w:t>
            </w:r>
          </w:p>
        </w:tc>
        <w:tc>
          <w:tcPr>
            <w:tcW w:w="0" w:type="auto"/>
            <w:tcBorders>
              <w:top w:val="nil"/>
              <w:left w:val="nil"/>
              <w:bottom w:val="nil"/>
              <w:right w:val="nil"/>
            </w:tcBorders>
            <w:vAlign w:val="center"/>
          </w:tcPr>
          <w:p w14:paraId="32D9DDCB">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——管顶覆土厚度；</w:t>
            </w:r>
          </w:p>
        </w:tc>
      </w:tr>
      <w:tr w14:paraId="709E00BA">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10769234">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H</w:t>
            </w:r>
            <w:r>
              <w:rPr>
                <w:rFonts w:hint="default" w:ascii="Times New Roman" w:hAnsi="Times New Roman" w:cs="Times New Roman"/>
                <w:bCs/>
                <w:i/>
                <w:szCs w:val="24"/>
                <w:vertAlign w:val="subscript"/>
              </w:rPr>
              <w:t>w</w:t>
            </w:r>
          </w:p>
        </w:tc>
        <w:tc>
          <w:tcPr>
            <w:tcW w:w="0" w:type="auto"/>
            <w:tcBorders>
              <w:top w:val="nil"/>
              <w:left w:val="nil"/>
              <w:bottom w:val="nil"/>
              <w:right w:val="nil"/>
            </w:tcBorders>
            <w:vAlign w:val="center"/>
          </w:tcPr>
          <w:p w14:paraId="40D91300">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——管顶以上地下水位高度；</w:t>
            </w:r>
          </w:p>
        </w:tc>
      </w:tr>
      <w:tr w14:paraId="574E1AFE">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56C0566C">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h</w:t>
            </w:r>
          </w:p>
        </w:tc>
        <w:tc>
          <w:tcPr>
            <w:tcW w:w="0" w:type="auto"/>
            <w:tcBorders>
              <w:top w:val="nil"/>
              <w:left w:val="nil"/>
              <w:bottom w:val="nil"/>
              <w:right w:val="nil"/>
            </w:tcBorders>
            <w:vAlign w:val="center"/>
          </w:tcPr>
          <w:p w14:paraId="769D6E2A">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——带状型材高度；</w:t>
            </w:r>
          </w:p>
        </w:tc>
      </w:tr>
      <w:tr w14:paraId="576C3599">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4790568F">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I</w:t>
            </w:r>
          </w:p>
        </w:tc>
        <w:tc>
          <w:tcPr>
            <w:tcW w:w="0" w:type="auto"/>
            <w:tcBorders>
              <w:top w:val="nil"/>
              <w:left w:val="nil"/>
              <w:bottom w:val="nil"/>
              <w:right w:val="nil"/>
            </w:tcBorders>
            <w:vAlign w:val="center"/>
          </w:tcPr>
          <w:p w14:paraId="2CCE311F">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——内衬管单位长度管壁惯性矩；</w:t>
            </w:r>
          </w:p>
        </w:tc>
      </w:tr>
      <w:tr w14:paraId="5AE7CAC5">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42141856">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L</w:t>
            </w:r>
          </w:p>
        </w:tc>
        <w:tc>
          <w:tcPr>
            <w:tcW w:w="0" w:type="auto"/>
            <w:tcBorders>
              <w:top w:val="nil"/>
              <w:left w:val="nil"/>
              <w:bottom w:val="nil"/>
              <w:right w:val="nil"/>
            </w:tcBorders>
            <w:vAlign w:val="center"/>
          </w:tcPr>
          <w:p w14:paraId="12A4ECCC">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——工作坑长度；</w:t>
            </w:r>
          </w:p>
        </w:tc>
      </w:tr>
      <w:tr w14:paraId="4A85C1C2">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0F0507FC">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R</w:t>
            </w:r>
          </w:p>
        </w:tc>
        <w:tc>
          <w:tcPr>
            <w:tcW w:w="0" w:type="auto"/>
            <w:tcBorders>
              <w:top w:val="nil"/>
              <w:left w:val="nil"/>
              <w:bottom w:val="nil"/>
              <w:right w:val="nil"/>
            </w:tcBorders>
            <w:vAlign w:val="center"/>
          </w:tcPr>
          <w:p w14:paraId="3878B7DA">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——管材许用弯曲半径；</w:t>
            </w:r>
          </w:p>
        </w:tc>
      </w:tr>
      <w:tr w14:paraId="40DEC11A">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5DE1F8CA">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SDR</w:t>
            </w:r>
          </w:p>
        </w:tc>
        <w:tc>
          <w:tcPr>
            <w:tcW w:w="0" w:type="auto"/>
            <w:tcBorders>
              <w:top w:val="nil"/>
              <w:left w:val="nil"/>
              <w:bottom w:val="nil"/>
              <w:right w:val="nil"/>
            </w:tcBorders>
            <w:vAlign w:val="center"/>
          </w:tcPr>
          <w:p w14:paraId="3FE9AEA2">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——管道的标准尺寸比（外径/壁厚）；</w:t>
            </w:r>
          </w:p>
        </w:tc>
      </w:tr>
      <w:tr w14:paraId="73014070">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2B6CF122">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t</w:t>
            </w:r>
          </w:p>
        </w:tc>
        <w:tc>
          <w:tcPr>
            <w:tcW w:w="0" w:type="auto"/>
            <w:tcBorders>
              <w:top w:val="nil"/>
              <w:left w:val="nil"/>
              <w:bottom w:val="nil"/>
              <w:right w:val="nil"/>
            </w:tcBorders>
            <w:vAlign w:val="center"/>
          </w:tcPr>
          <w:p w14:paraId="62B4AD24">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——内衬管壁厚；</w:t>
            </w:r>
          </w:p>
        </w:tc>
      </w:tr>
      <w:tr w14:paraId="2BF4484A">
        <w:tblPrEx>
          <w:tblCellMar>
            <w:top w:w="0" w:type="dxa"/>
            <w:left w:w="28" w:type="dxa"/>
            <w:bottom w:w="0" w:type="dxa"/>
            <w:right w:w="28" w:type="dxa"/>
          </w:tblCellMar>
        </w:tblPrEx>
        <w:trPr>
          <w:trHeight w:val="424" w:hRule="exact"/>
        </w:trPr>
        <w:tc>
          <w:tcPr>
            <w:tcW w:w="0" w:type="auto"/>
            <w:tcBorders>
              <w:top w:val="nil"/>
              <w:left w:val="nil"/>
              <w:bottom w:val="nil"/>
              <w:right w:val="nil"/>
            </w:tcBorders>
            <w:vAlign w:val="center"/>
          </w:tcPr>
          <w:p w14:paraId="20BB818A">
            <w:pPr>
              <w:widowControl/>
              <w:rPr>
                <w:rFonts w:hint="default" w:ascii="Times New Roman" w:hAnsi="Times New Roman" w:cs="Times New Roman"/>
                <w:bCs/>
                <w:szCs w:val="24"/>
              </w:rPr>
            </w:pPr>
            <w:r>
              <w:rPr>
                <w:rFonts w:hint="default" w:ascii="Times New Roman" w:hAnsi="Times New Roman" w:cs="Times New Roman"/>
                <w:bCs/>
                <w:position w:val="-8"/>
                <w:sz w:val="32"/>
                <w:szCs w:val="32"/>
              </w:rPr>
              <w:object>
                <v:shape id="_x0000_i1026" o:spt="75" type="#_x0000_t75" style="height:14.35pt;width:8.2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5" r:id="rId15">
                  <o:LockedField>false</o:LockedField>
                </o:OLEObject>
              </w:object>
            </w:r>
          </w:p>
          <w:p w14:paraId="52014154">
            <w:pPr>
              <w:autoSpaceDE w:val="0"/>
              <w:autoSpaceDN w:val="0"/>
              <w:adjustRightInd w:val="0"/>
              <w:rPr>
                <w:rFonts w:hint="default" w:ascii="Times New Roman" w:hAnsi="Times New Roman" w:cs="Times New Roman"/>
                <w:bCs/>
                <w:i/>
                <w:szCs w:val="24"/>
              </w:rPr>
            </w:pPr>
          </w:p>
        </w:tc>
        <w:tc>
          <w:tcPr>
            <w:tcW w:w="0" w:type="auto"/>
            <w:tcBorders>
              <w:top w:val="nil"/>
              <w:left w:val="nil"/>
              <w:bottom w:val="nil"/>
              <w:right w:val="nil"/>
            </w:tcBorders>
            <w:vAlign w:val="center"/>
          </w:tcPr>
          <w:p w14:paraId="0F5CB032">
            <w:pPr>
              <w:widowControl/>
              <w:rPr>
                <w:rFonts w:hint="default" w:ascii="Times New Roman" w:hAnsi="Times New Roman" w:cs="Times New Roman"/>
                <w:bCs/>
                <w:szCs w:val="24"/>
              </w:rPr>
            </w:pPr>
            <w:r>
              <w:rPr>
                <w:rFonts w:hint="default" w:ascii="Times New Roman" w:hAnsi="Times New Roman" w:cs="Times New Roman"/>
                <w:bCs/>
                <w:szCs w:val="24"/>
              </w:rPr>
              <w:t>——带状型材内表面至带状型材中性轴的距离；</w:t>
            </w:r>
          </w:p>
        </w:tc>
      </w:tr>
      <w:tr w14:paraId="771C6705">
        <w:tblPrEx>
          <w:tblCellMar>
            <w:top w:w="0" w:type="dxa"/>
            <w:left w:w="28" w:type="dxa"/>
            <w:bottom w:w="0" w:type="dxa"/>
            <w:right w:w="28" w:type="dxa"/>
          </w:tblCellMar>
        </w:tblPrEx>
        <w:trPr>
          <w:trHeight w:val="424" w:hRule="exact"/>
        </w:trPr>
        <w:tc>
          <w:tcPr>
            <w:tcW w:w="0" w:type="auto"/>
            <w:tcBorders>
              <w:top w:val="nil"/>
              <w:left w:val="nil"/>
              <w:bottom w:val="nil"/>
              <w:right w:val="nil"/>
            </w:tcBorders>
          </w:tcPr>
          <w:p w14:paraId="002FC205">
            <w:pPr>
              <w:widowControl/>
              <w:rPr>
                <w:rFonts w:hint="default" w:ascii="Times New Roman" w:hAnsi="Times New Roman" w:cs="Times New Roman"/>
                <w:bCs/>
                <w:position w:val="-8"/>
                <w:szCs w:val="24"/>
              </w:rPr>
            </w:pPr>
            <w:r>
              <w:rPr>
                <w:rFonts w:hint="default" w:ascii="Times New Roman" w:hAnsi="Times New Roman" w:cs="Times New Roman"/>
                <w:bCs/>
                <w:position w:val="-8"/>
                <w:szCs w:val="24"/>
              </w:rPr>
              <w:t>φ</w:t>
            </w:r>
          </w:p>
        </w:tc>
        <w:tc>
          <w:tcPr>
            <w:tcW w:w="0" w:type="auto"/>
            <w:tcBorders>
              <w:top w:val="nil"/>
              <w:left w:val="nil"/>
              <w:bottom w:val="nil"/>
              <w:right w:val="nil"/>
            </w:tcBorders>
          </w:tcPr>
          <w:p w14:paraId="76F199B2">
            <w:pPr>
              <w:widowControl/>
              <w:rPr>
                <w:rFonts w:hint="default" w:ascii="Times New Roman" w:hAnsi="Times New Roman" w:cs="Times New Roman"/>
                <w:bCs/>
                <w:position w:val="-8"/>
                <w:szCs w:val="24"/>
              </w:rPr>
            </w:pPr>
            <w:r>
              <w:rPr>
                <w:rFonts w:hint="default" w:ascii="Times New Roman" w:hAnsi="Times New Roman" w:cs="Times New Roman"/>
                <w:bCs/>
                <w:position w:val="-8"/>
                <w:szCs w:val="24"/>
              </w:rPr>
              <w:t>——未注浆角度。</w:t>
            </w:r>
          </w:p>
        </w:tc>
      </w:tr>
    </w:tbl>
    <w:p w14:paraId="076412EA">
      <w:pPr>
        <w:rPr>
          <w:rFonts w:hint="default" w:ascii="Times New Roman" w:hAnsi="Times New Roman" w:cs="Times New Roman"/>
        </w:rPr>
      </w:pPr>
      <w:r>
        <w:rPr>
          <w:rFonts w:hint="default" w:ascii="Times New Roman" w:hAnsi="Times New Roman" w:cs="Times New Roman"/>
        </w:rPr>
        <w:t>2.2.2  系数和因子</w:t>
      </w:r>
    </w:p>
    <w:tbl>
      <w:tblPr>
        <w:tblStyle w:val="13"/>
        <w:tblW w:w="0" w:type="auto"/>
        <w:tblInd w:w="0" w:type="dxa"/>
        <w:tblLayout w:type="autofit"/>
        <w:tblCellMar>
          <w:top w:w="0" w:type="dxa"/>
          <w:left w:w="28" w:type="dxa"/>
          <w:bottom w:w="0" w:type="dxa"/>
          <w:right w:w="28" w:type="dxa"/>
        </w:tblCellMar>
      </w:tblPr>
      <w:tblGrid>
        <w:gridCol w:w="369"/>
        <w:gridCol w:w="3656"/>
      </w:tblGrid>
      <w:tr w14:paraId="752A58C6">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422FA509">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B´</w:t>
            </w:r>
          </w:p>
        </w:tc>
        <w:tc>
          <w:tcPr>
            <w:tcW w:w="0" w:type="auto"/>
            <w:tcBorders>
              <w:top w:val="nil"/>
              <w:left w:val="nil"/>
              <w:bottom w:val="nil"/>
              <w:right w:val="nil"/>
            </w:tcBorders>
            <w:vAlign w:val="center"/>
          </w:tcPr>
          <w:p w14:paraId="3D90C0C4">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——弹性支撑系数；</w:t>
            </w:r>
          </w:p>
        </w:tc>
      </w:tr>
      <w:tr w14:paraId="38688132">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77BE24AF">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C</w:t>
            </w:r>
          </w:p>
        </w:tc>
        <w:tc>
          <w:tcPr>
            <w:tcW w:w="0" w:type="auto"/>
            <w:tcBorders>
              <w:top w:val="nil"/>
              <w:left w:val="nil"/>
              <w:bottom w:val="nil"/>
              <w:right w:val="nil"/>
            </w:tcBorders>
            <w:vAlign w:val="center"/>
          </w:tcPr>
          <w:p w14:paraId="17C2D962">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——椭圆度折减系数；</w:t>
            </w:r>
          </w:p>
        </w:tc>
      </w:tr>
      <w:tr w14:paraId="7313265E">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63A44F79">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EI</w:t>
            </w:r>
          </w:p>
        </w:tc>
        <w:tc>
          <w:tcPr>
            <w:tcW w:w="0" w:type="auto"/>
            <w:tcBorders>
              <w:top w:val="nil"/>
              <w:left w:val="nil"/>
              <w:bottom w:val="nil"/>
              <w:right w:val="nil"/>
            </w:tcBorders>
            <w:vAlign w:val="center"/>
          </w:tcPr>
          <w:p w14:paraId="1B82FD9E">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——刚度系数；</w:t>
            </w:r>
          </w:p>
        </w:tc>
      </w:tr>
      <w:tr w14:paraId="4A17804F">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2D160A72">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E</w:t>
            </w:r>
            <w:r>
              <w:rPr>
                <w:rFonts w:hint="default" w:ascii="Times New Roman" w:hAnsi="Times New Roman" w:cs="Times New Roman"/>
                <w:bCs/>
                <w:i/>
                <w:szCs w:val="24"/>
                <w:vertAlign w:val="subscript"/>
              </w:rPr>
              <w:t>L</w:t>
            </w:r>
            <w:r>
              <w:rPr>
                <w:rFonts w:hint="default" w:ascii="Times New Roman" w:hAnsi="Times New Roman" w:cs="Times New Roman"/>
                <w:bCs/>
                <w:i/>
                <w:szCs w:val="24"/>
              </w:rPr>
              <w:t>I</w:t>
            </w:r>
          </w:p>
        </w:tc>
        <w:tc>
          <w:tcPr>
            <w:tcW w:w="0" w:type="auto"/>
            <w:tcBorders>
              <w:top w:val="nil"/>
              <w:left w:val="nil"/>
              <w:bottom w:val="nil"/>
              <w:right w:val="nil"/>
            </w:tcBorders>
            <w:vAlign w:val="center"/>
          </w:tcPr>
          <w:p w14:paraId="467D8221">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——螺旋缠绕内衬管的刚度系数；</w:t>
            </w:r>
          </w:p>
        </w:tc>
      </w:tr>
      <w:tr w14:paraId="333A04CB">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21116FCF">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K</w:t>
            </w:r>
          </w:p>
        </w:tc>
        <w:tc>
          <w:tcPr>
            <w:tcW w:w="0" w:type="auto"/>
            <w:tcBorders>
              <w:top w:val="nil"/>
              <w:left w:val="nil"/>
              <w:bottom w:val="nil"/>
              <w:right w:val="nil"/>
            </w:tcBorders>
            <w:vAlign w:val="center"/>
          </w:tcPr>
          <w:p w14:paraId="73138AF7">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——圆周支持率；</w:t>
            </w:r>
          </w:p>
        </w:tc>
      </w:tr>
      <w:tr w14:paraId="0482864B">
        <w:tblPrEx>
          <w:tblCellMar>
            <w:top w:w="0" w:type="dxa"/>
            <w:left w:w="28" w:type="dxa"/>
            <w:bottom w:w="0" w:type="dxa"/>
            <w:right w:w="28" w:type="dxa"/>
          </w:tblCellMar>
        </w:tblPrEx>
        <w:trPr>
          <w:trHeight w:val="526" w:hRule="exact"/>
        </w:trPr>
        <w:tc>
          <w:tcPr>
            <w:tcW w:w="0" w:type="auto"/>
            <w:tcBorders>
              <w:top w:val="nil"/>
              <w:left w:val="nil"/>
              <w:bottom w:val="nil"/>
              <w:right w:val="nil"/>
            </w:tcBorders>
          </w:tcPr>
          <w:p w14:paraId="4BE52D83">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K</w:t>
            </w:r>
            <w:r>
              <w:rPr>
                <w:rFonts w:hint="default" w:ascii="Times New Roman" w:hAnsi="Times New Roman" w:cs="Times New Roman"/>
                <w:bCs/>
                <w:i/>
                <w:szCs w:val="24"/>
                <w:vertAlign w:val="subscript"/>
              </w:rPr>
              <w:t>1</w:t>
            </w:r>
          </w:p>
        </w:tc>
        <w:tc>
          <w:tcPr>
            <w:tcW w:w="0" w:type="auto"/>
            <w:tcBorders>
              <w:top w:val="nil"/>
              <w:left w:val="nil"/>
              <w:bottom w:val="nil"/>
              <w:right w:val="nil"/>
            </w:tcBorders>
          </w:tcPr>
          <w:p w14:paraId="483C129A">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w:t>
            </w:r>
            <w:r>
              <w:rPr>
                <w:rFonts w:hint="default" w:ascii="Times New Roman" w:hAnsi="Times New Roman" w:cs="Times New Roman"/>
                <w:bCs/>
                <w:iCs/>
                <w:szCs w:val="24"/>
              </w:rPr>
              <w:t>与未注浆角度φ相关的系数；</w:t>
            </w:r>
          </w:p>
        </w:tc>
      </w:tr>
      <w:tr w14:paraId="3BAC1A92">
        <w:tblPrEx>
          <w:tblCellMar>
            <w:top w:w="0" w:type="dxa"/>
            <w:left w:w="28" w:type="dxa"/>
            <w:bottom w:w="0" w:type="dxa"/>
            <w:right w:w="28" w:type="dxa"/>
          </w:tblCellMar>
        </w:tblPrEx>
        <w:trPr>
          <w:trHeight w:val="496" w:hRule="exact"/>
        </w:trPr>
        <w:tc>
          <w:tcPr>
            <w:tcW w:w="0" w:type="auto"/>
            <w:tcBorders>
              <w:top w:val="nil"/>
              <w:left w:val="nil"/>
              <w:bottom w:val="nil"/>
              <w:right w:val="nil"/>
            </w:tcBorders>
            <w:vAlign w:val="center"/>
          </w:tcPr>
          <w:p w14:paraId="14A67DD6">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N</w:t>
            </w:r>
          </w:p>
        </w:tc>
        <w:tc>
          <w:tcPr>
            <w:tcW w:w="0" w:type="auto"/>
            <w:tcBorders>
              <w:top w:val="nil"/>
              <w:left w:val="nil"/>
              <w:bottom w:val="nil"/>
              <w:right w:val="nil"/>
            </w:tcBorders>
            <w:vAlign w:val="center"/>
          </w:tcPr>
          <w:p w14:paraId="74E520ED">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——安全系数；</w:t>
            </w:r>
          </w:p>
        </w:tc>
      </w:tr>
      <w:tr w14:paraId="534DF050">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425F6C73">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n</w:t>
            </w:r>
          </w:p>
        </w:tc>
        <w:tc>
          <w:tcPr>
            <w:tcW w:w="0" w:type="auto"/>
            <w:tcBorders>
              <w:top w:val="nil"/>
              <w:left w:val="nil"/>
              <w:bottom w:val="nil"/>
              <w:right w:val="nil"/>
            </w:tcBorders>
            <w:vAlign w:val="center"/>
          </w:tcPr>
          <w:p w14:paraId="07DEFE6E">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——粗糙系数；</w:t>
            </w:r>
          </w:p>
        </w:tc>
      </w:tr>
      <w:tr w14:paraId="6FA8FFEE">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3F5423EE">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n</w:t>
            </w:r>
            <w:r>
              <w:rPr>
                <w:rFonts w:hint="default" w:ascii="Times New Roman" w:hAnsi="Times New Roman" w:cs="Times New Roman"/>
                <w:bCs/>
                <w:i/>
                <w:szCs w:val="24"/>
                <w:vertAlign w:val="subscript"/>
              </w:rPr>
              <w:t>e</w:t>
            </w:r>
          </w:p>
        </w:tc>
        <w:tc>
          <w:tcPr>
            <w:tcW w:w="0" w:type="auto"/>
            <w:tcBorders>
              <w:top w:val="nil"/>
              <w:left w:val="nil"/>
              <w:bottom w:val="nil"/>
              <w:right w:val="nil"/>
            </w:tcBorders>
            <w:vAlign w:val="center"/>
          </w:tcPr>
          <w:p w14:paraId="7C3422B0">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——原有管道的粗糙系数；</w:t>
            </w:r>
          </w:p>
        </w:tc>
      </w:tr>
      <w:tr w14:paraId="68635905">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68D2120B">
            <w:pPr>
              <w:autoSpaceDE w:val="0"/>
              <w:autoSpaceDN w:val="0"/>
              <w:adjustRightInd w:val="0"/>
              <w:rPr>
                <w:rFonts w:hint="default" w:ascii="Times New Roman" w:hAnsi="Times New Roman" w:eastAsia="宋体" w:cs="Times New Roman"/>
                <w:bCs/>
                <w:i/>
                <w:szCs w:val="24"/>
                <w:lang w:val="en-US" w:eastAsia="zh-CN"/>
              </w:rPr>
            </w:pPr>
            <w:r>
              <w:rPr>
                <w:rFonts w:hint="default" w:ascii="Times New Roman" w:hAnsi="Times New Roman" w:cs="Times New Roman"/>
                <w:bCs/>
                <w:i/>
                <w:szCs w:val="24"/>
              </w:rPr>
              <w:t>n</w:t>
            </w:r>
            <w:r>
              <w:rPr>
                <w:rFonts w:hint="default" w:ascii="Times New Roman" w:hAnsi="Times New Roman" w:cs="Times New Roman"/>
                <w:bCs/>
                <w:i/>
                <w:szCs w:val="24"/>
                <w:vertAlign w:val="subscript"/>
                <w:lang w:val="en-US" w:eastAsia="zh-CN"/>
              </w:rPr>
              <w:t>l</w:t>
            </w:r>
          </w:p>
        </w:tc>
        <w:tc>
          <w:tcPr>
            <w:tcW w:w="0" w:type="auto"/>
            <w:tcBorders>
              <w:top w:val="nil"/>
              <w:left w:val="nil"/>
              <w:bottom w:val="nil"/>
              <w:right w:val="nil"/>
            </w:tcBorders>
            <w:vAlign w:val="center"/>
          </w:tcPr>
          <w:p w14:paraId="4397D8EA">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——内衬管的粗糙系数；</w:t>
            </w:r>
          </w:p>
        </w:tc>
      </w:tr>
      <w:tr w14:paraId="33DB7EAA">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4376744A">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q</w:t>
            </w:r>
          </w:p>
        </w:tc>
        <w:tc>
          <w:tcPr>
            <w:tcW w:w="0" w:type="auto"/>
            <w:tcBorders>
              <w:top w:val="nil"/>
              <w:left w:val="nil"/>
              <w:bottom w:val="nil"/>
              <w:right w:val="nil"/>
            </w:tcBorders>
            <w:vAlign w:val="center"/>
          </w:tcPr>
          <w:p w14:paraId="13D1A139">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——原有管道的椭圆度；</w:t>
            </w:r>
          </w:p>
        </w:tc>
      </w:tr>
      <w:tr w14:paraId="2FF2B190">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2C7CB4FD">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R</w:t>
            </w:r>
            <w:r>
              <w:rPr>
                <w:rFonts w:hint="default" w:ascii="Times New Roman" w:hAnsi="Times New Roman" w:cs="Times New Roman"/>
                <w:bCs/>
                <w:i/>
                <w:szCs w:val="24"/>
                <w:vertAlign w:val="subscript"/>
              </w:rPr>
              <w:t>w</w:t>
            </w:r>
          </w:p>
        </w:tc>
        <w:tc>
          <w:tcPr>
            <w:tcW w:w="0" w:type="auto"/>
            <w:tcBorders>
              <w:top w:val="nil"/>
              <w:left w:val="nil"/>
              <w:bottom w:val="nil"/>
              <w:right w:val="nil"/>
            </w:tcBorders>
            <w:vAlign w:val="center"/>
          </w:tcPr>
          <w:p w14:paraId="3EE9E8FE">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——水浮力系数；</w:t>
            </w:r>
          </w:p>
        </w:tc>
      </w:tr>
      <w:tr w14:paraId="4819B766">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35CC77CF">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S</w:t>
            </w:r>
          </w:p>
        </w:tc>
        <w:tc>
          <w:tcPr>
            <w:tcW w:w="0" w:type="auto"/>
            <w:tcBorders>
              <w:top w:val="nil"/>
              <w:left w:val="nil"/>
              <w:bottom w:val="nil"/>
              <w:right w:val="nil"/>
            </w:tcBorders>
            <w:vAlign w:val="center"/>
          </w:tcPr>
          <w:p w14:paraId="6DE4EF5C">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——管道坡度；</w:t>
            </w:r>
          </w:p>
        </w:tc>
      </w:tr>
      <w:tr w14:paraId="085626A9">
        <w:tblPrEx>
          <w:tblCellMar>
            <w:top w:w="0" w:type="dxa"/>
            <w:left w:w="28" w:type="dxa"/>
            <w:bottom w:w="0" w:type="dxa"/>
            <w:right w:w="28" w:type="dxa"/>
          </w:tblCellMar>
        </w:tblPrEx>
        <w:trPr>
          <w:trHeight w:val="526" w:hRule="exact"/>
        </w:trPr>
        <w:tc>
          <w:tcPr>
            <w:tcW w:w="0" w:type="auto"/>
            <w:tcBorders>
              <w:top w:val="nil"/>
              <w:left w:val="nil"/>
              <w:bottom w:val="nil"/>
              <w:right w:val="nil"/>
            </w:tcBorders>
            <w:vAlign w:val="center"/>
          </w:tcPr>
          <w:p w14:paraId="0E105410">
            <w:pPr>
              <w:autoSpaceDE w:val="0"/>
              <w:autoSpaceDN w:val="0"/>
              <w:adjustRightInd w:val="0"/>
              <w:rPr>
                <w:rFonts w:hint="default" w:ascii="Times New Roman" w:hAnsi="Times New Roman" w:cs="Times New Roman"/>
                <w:bCs/>
                <w:i/>
                <w:szCs w:val="24"/>
              </w:rPr>
            </w:pPr>
            <w:r>
              <w:rPr>
                <w:rFonts w:hint="default" w:ascii="Times New Roman" w:hAnsi="Times New Roman" w:cs="Times New Roman"/>
                <w:bCs/>
                <w:i/>
                <w:szCs w:val="24"/>
              </w:rPr>
              <w:t>μ</w:t>
            </w:r>
          </w:p>
        </w:tc>
        <w:tc>
          <w:tcPr>
            <w:tcW w:w="0" w:type="auto"/>
            <w:tcBorders>
              <w:top w:val="nil"/>
              <w:left w:val="nil"/>
              <w:bottom w:val="nil"/>
              <w:right w:val="nil"/>
            </w:tcBorders>
            <w:vAlign w:val="center"/>
          </w:tcPr>
          <w:p w14:paraId="36D0457A">
            <w:pPr>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——泊松比。</w:t>
            </w:r>
          </w:p>
        </w:tc>
      </w:tr>
    </w:tbl>
    <w:p w14:paraId="549C49B8">
      <w:pPr>
        <w:rPr>
          <w:rFonts w:hint="default" w:ascii="Times New Roman" w:hAnsi="Times New Roman" w:cs="Times New Roman"/>
        </w:rPr>
      </w:pPr>
      <w:r>
        <w:rPr>
          <w:rFonts w:hint="default" w:ascii="Times New Roman" w:hAnsi="Times New Roman" w:cs="Times New Roman"/>
        </w:rPr>
        <w:t>2.2.3  荷载和压力</w:t>
      </w:r>
    </w:p>
    <w:tbl>
      <w:tblPr>
        <w:tblStyle w:val="13"/>
        <w:tblW w:w="0" w:type="auto"/>
        <w:tblInd w:w="0" w:type="dxa"/>
        <w:tblLayout w:type="autofit"/>
        <w:tblCellMar>
          <w:top w:w="0" w:type="dxa"/>
          <w:left w:w="28" w:type="dxa"/>
          <w:bottom w:w="0" w:type="dxa"/>
          <w:right w:w="28" w:type="dxa"/>
        </w:tblCellMar>
      </w:tblPr>
      <w:tblGrid>
        <w:gridCol w:w="368"/>
        <w:gridCol w:w="3176"/>
      </w:tblGrid>
      <w:tr w14:paraId="6325CE28">
        <w:trPr>
          <w:trHeight w:val="490" w:hRule="exact"/>
        </w:trPr>
        <w:tc>
          <w:tcPr>
            <w:tcW w:w="0" w:type="auto"/>
            <w:tcBorders>
              <w:top w:val="nil"/>
              <w:left w:val="nil"/>
              <w:bottom w:val="nil"/>
              <w:right w:val="nil"/>
            </w:tcBorders>
            <w:vAlign w:val="center"/>
          </w:tcPr>
          <w:p w14:paraId="6CBC99DB">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szCs w:val="24"/>
              </w:rPr>
              <w:t>P</w:t>
            </w:r>
          </w:p>
        </w:tc>
        <w:tc>
          <w:tcPr>
            <w:tcW w:w="0" w:type="auto"/>
            <w:tcBorders>
              <w:top w:val="nil"/>
              <w:left w:val="nil"/>
              <w:bottom w:val="nil"/>
              <w:right w:val="nil"/>
            </w:tcBorders>
            <w:vAlign w:val="center"/>
          </w:tcPr>
          <w:p w14:paraId="54DA1F9E">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——内衬管管底地下水压力；</w:t>
            </w:r>
          </w:p>
        </w:tc>
      </w:tr>
      <w:tr w14:paraId="2D77F52D">
        <w:tblPrEx>
          <w:tblCellMar>
            <w:top w:w="0" w:type="dxa"/>
            <w:left w:w="28" w:type="dxa"/>
            <w:bottom w:w="0" w:type="dxa"/>
            <w:right w:w="28" w:type="dxa"/>
          </w:tblCellMar>
        </w:tblPrEx>
        <w:trPr>
          <w:trHeight w:val="490" w:hRule="exact"/>
        </w:trPr>
        <w:tc>
          <w:tcPr>
            <w:tcW w:w="0" w:type="auto"/>
            <w:tcBorders>
              <w:top w:val="nil"/>
              <w:left w:val="nil"/>
              <w:bottom w:val="nil"/>
              <w:right w:val="nil"/>
            </w:tcBorders>
            <w:vAlign w:val="center"/>
          </w:tcPr>
          <w:p w14:paraId="0982E2E4">
            <w:pPr>
              <w:kinsoku w:val="0"/>
              <w:overflowPunct w:val="0"/>
              <w:autoSpaceDE w:val="0"/>
              <w:autoSpaceDN w:val="0"/>
              <w:adjustRightInd w:val="0"/>
              <w:ind w:right="43"/>
              <w:rPr>
                <w:rFonts w:hint="default" w:ascii="Times New Roman" w:hAnsi="Times New Roman" w:cs="Times New Roman"/>
                <w:bCs/>
                <w:i/>
                <w:szCs w:val="24"/>
                <w:vertAlign w:val="subscript"/>
              </w:rPr>
            </w:pPr>
            <w:r>
              <w:rPr>
                <w:rFonts w:hint="default" w:ascii="Times New Roman" w:hAnsi="Times New Roman" w:cs="Times New Roman"/>
                <w:bCs/>
                <w:i/>
                <w:szCs w:val="24"/>
              </w:rPr>
              <w:t>p</w:t>
            </w:r>
            <w:r>
              <w:rPr>
                <w:rFonts w:hint="default" w:ascii="Times New Roman" w:hAnsi="Times New Roman" w:cs="Times New Roman"/>
                <w:bCs/>
                <w:i/>
                <w:szCs w:val="24"/>
                <w:vertAlign w:val="subscript"/>
              </w:rPr>
              <w:t>t</w:t>
            </w:r>
          </w:p>
        </w:tc>
        <w:tc>
          <w:tcPr>
            <w:tcW w:w="0" w:type="auto"/>
            <w:tcBorders>
              <w:top w:val="nil"/>
              <w:left w:val="nil"/>
              <w:bottom w:val="nil"/>
              <w:right w:val="nil"/>
            </w:tcBorders>
            <w:vAlign w:val="center"/>
          </w:tcPr>
          <w:p w14:paraId="70B50788">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——管道总的外部压力；</w:t>
            </w:r>
          </w:p>
        </w:tc>
      </w:tr>
      <w:tr w14:paraId="295144B1">
        <w:tblPrEx>
          <w:tblCellMar>
            <w:top w:w="0" w:type="dxa"/>
            <w:left w:w="28" w:type="dxa"/>
            <w:bottom w:w="0" w:type="dxa"/>
            <w:right w:w="28" w:type="dxa"/>
          </w:tblCellMar>
        </w:tblPrEx>
        <w:trPr>
          <w:trHeight w:val="490" w:hRule="exact"/>
        </w:trPr>
        <w:tc>
          <w:tcPr>
            <w:tcW w:w="0" w:type="auto"/>
            <w:tcBorders>
              <w:top w:val="nil"/>
              <w:left w:val="nil"/>
              <w:bottom w:val="nil"/>
              <w:right w:val="nil"/>
            </w:tcBorders>
            <w:vAlign w:val="center"/>
          </w:tcPr>
          <w:p w14:paraId="2AA39139">
            <w:pPr>
              <w:kinsoku w:val="0"/>
              <w:overflowPunct w:val="0"/>
              <w:autoSpaceDE w:val="0"/>
              <w:autoSpaceDN w:val="0"/>
              <w:adjustRightInd w:val="0"/>
              <w:ind w:right="48"/>
              <w:rPr>
                <w:rFonts w:hint="default" w:ascii="Times New Roman" w:hAnsi="Times New Roman" w:cs="Times New Roman"/>
                <w:bCs/>
                <w:i/>
                <w:w w:val="95"/>
                <w:szCs w:val="24"/>
                <w:vertAlign w:val="subscript"/>
              </w:rPr>
            </w:pPr>
            <w:r>
              <w:rPr>
                <w:rFonts w:hint="default" w:ascii="Times New Roman" w:hAnsi="Times New Roman" w:cs="Times New Roman"/>
                <w:bCs/>
                <w:i/>
                <w:w w:val="95"/>
                <w:szCs w:val="24"/>
              </w:rPr>
              <w:t>W</w:t>
            </w:r>
            <w:r>
              <w:rPr>
                <w:rFonts w:hint="default" w:ascii="Times New Roman" w:hAnsi="Times New Roman" w:cs="Times New Roman"/>
                <w:bCs/>
                <w:i/>
                <w:w w:val="95"/>
                <w:szCs w:val="24"/>
                <w:vertAlign w:val="subscript"/>
              </w:rPr>
              <w:t>S</w:t>
            </w:r>
          </w:p>
        </w:tc>
        <w:tc>
          <w:tcPr>
            <w:tcW w:w="0" w:type="auto"/>
            <w:tcBorders>
              <w:top w:val="nil"/>
              <w:left w:val="nil"/>
              <w:bottom w:val="nil"/>
              <w:right w:val="nil"/>
            </w:tcBorders>
            <w:vAlign w:val="center"/>
          </w:tcPr>
          <w:p w14:paraId="22539DDE">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——活荷载。</w:t>
            </w:r>
          </w:p>
        </w:tc>
      </w:tr>
    </w:tbl>
    <w:p w14:paraId="1E0A47F8">
      <w:pPr>
        <w:rPr>
          <w:rFonts w:hint="default" w:ascii="Times New Roman" w:hAnsi="Times New Roman" w:cs="Times New Roman"/>
        </w:rPr>
      </w:pPr>
      <w:r>
        <w:rPr>
          <w:rFonts w:hint="default" w:ascii="Times New Roman" w:hAnsi="Times New Roman" w:cs="Times New Roman"/>
        </w:rPr>
        <w:t>2.2.4  模量和强度</w:t>
      </w:r>
    </w:p>
    <w:tbl>
      <w:tblPr>
        <w:tblStyle w:val="13"/>
        <w:tblW w:w="0" w:type="auto"/>
        <w:tblInd w:w="0" w:type="dxa"/>
        <w:tblLayout w:type="autofit"/>
        <w:tblCellMar>
          <w:top w:w="0" w:type="dxa"/>
          <w:left w:w="28" w:type="dxa"/>
          <w:bottom w:w="0" w:type="dxa"/>
          <w:right w:w="28" w:type="dxa"/>
        </w:tblCellMar>
      </w:tblPr>
      <w:tblGrid>
        <w:gridCol w:w="332"/>
        <w:gridCol w:w="3176"/>
      </w:tblGrid>
      <w:tr w14:paraId="43215F28">
        <w:tblPrEx>
          <w:tblCellMar>
            <w:top w:w="0" w:type="dxa"/>
            <w:left w:w="28" w:type="dxa"/>
            <w:bottom w:w="0" w:type="dxa"/>
            <w:right w:w="28" w:type="dxa"/>
          </w:tblCellMar>
        </w:tblPrEx>
        <w:trPr>
          <w:trHeight w:val="412" w:hRule="exact"/>
        </w:trPr>
        <w:tc>
          <w:tcPr>
            <w:tcW w:w="0" w:type="auto"/>
            <w:tcBorders>
              <w:top w:val="nil"/>
              <w:left w:val="nil"/>
              <w:bottom w:val="nil"/>
              <w:right w:val="nil"/>
            </w:tcBorders>
            <w:vAlign w:val="center"/>
          </w:tcPr>
          <w:p w14:paraId="4A0E14AC">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szCs w:val="24"/>
              </w:rPr>
              <w:t>E</w:t>
            </w:r>
          </w:p>
        </w:tc>
        <w:tc>
          <w:tcPr>
            <w:tcW w:w="0" w:type="auto"/>
            <w:tcBorders>
              <w:top w:val="nil"/>
              <w:left w:val="nil"/>
              <w:bottom w:val="nil"/>
              <w:right w:val="nil"/>
            </w:tcBorders>
            <w:vAlign w:val="center"/>
          </w:tcPr>
          <w:p w14:paraId="01A25CE4">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——内衬管初始弹性模量；</w:t>
            </w:r>
          </w:p>
        </w:tc>
      </w:tr>
      <w:tr w14:paraId="4EB222B5">
        <w:tblPrEx>
          <w:tblCellMar>
            <w:top w:w="0" w:type="dxa"/>
            <w:left w:w="28" w:type="dxa"/>
            <w:bottom w:w="0" w:type="dxa"/>
            <w:right w:w="28" w:type="dxa"/>
          </w:tblCellMar>
        </w:tblPrEx>
        <w:trPr>
          <w:trHeight w:val="412" w:hRule="exact"/>
        </w:trPr>
        <w:tc>
          <w:tcPr>
            <w:tcW w:w="0" w:type="auto"/>
            <w:tcBorders>
              <w:top w:val="nil"/>
              <w:left w:val="nil"/>
              <w:bottom w:val="nil"/>
              <w:right w:val="nil"/>
            </w:tcBorders>
            <w:vAlign w:val="center"/>
          </w:tcPr>
          <w:p w14:paraId="35009949">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w w:val="95"/>
                <w:szCs w:val="24"/>
              </w:rPr>
              <w:t>E</w:t>
            </w:r>
            <w:r>
              <w:rPr>
                <w:rFonts w:hint="default" w:ascii="Times New Roman" w:hAnsi="Times New Roman" w:cs="Times New Roman"/>
                <w:bCs/>
                <w:w w:val="95"/>
                <w:szCs w:val="24"/>
                <w:vertAlign w:val="subscript"/>
              </w:rPr>
              <w:t>L</w:t>
            </w:r>
          </w:p>
        </w:tc>
        <w:tc>
          <w:tcPr>
            <w:tcW w:w="0" w:type="auto"/>
            <w:tcBorders>
              <w:top w:val="nil"/>
              <w:left w:val="nil"/>
              <w:bottom w:val="nil"/>
              <w:right w:val="nil"/>
            </w:tcBorders>
            <w:vAlign w:val="center"/>
          </w:tcPr>
          <w:p w14:paraId="73AA4FDE">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——内衬管长期弹性模量；</w:t>
            </w:r>
          </w:p>
        </w:tc>
      </w:tr>
      <w:tr w14:paraId="4FBB8E97">
        <w:tblPrEx>
          <w:tblCellMar>
            <w:top w:w="0" w:type="dxa"/>
            <w:left w:w="28" w:type="dxa"/>
            <w:bottom w:w="0" w:type="dxa"/>
            <w:right w:w="28" w:type="dxa"/>
          </w:tblCellMar>
        </w:tblPrEx>
        <w:trPr>
          <w:trHeight w:val="412" w:hRule="exact"/>
        </w:trPr>
        <w:tc>
          <w:tcPr>
            <w:tcW w:w="0" w:type="auto"/>
            <w:tcBorders>
              <w:top w:val="nil"/>
              <w:left w:val="nil"/>
              <w:bottom w:val="nil"/>
              <w:right w:val="nil"/>
            </w:tcBorders>
            <w:vAlign w:val="center"/>
          </w:tcPr>
          <w:p w14:paraId="47B0942F">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w w:val="95"/>
                <w:szCs w:val="24"/>
              </w:rPr>
              <w:t>E</w:t>
            </w:r>
            <w:r>
              <w:rPr>
                <w:rFonts w:hint="default" w:ascii="Times New Roman" w:hAnsi="Times New Roman" w:cs="Times New Roman"/>
                <w:bCs/>
                <w:w w:val="95"/>
                <w:szCs w:val="24"/>
                <w:vertAlign w:val="subscript"/>
              </w:rPr>
              <w:t>d</w:t>
            </w:r>
          </w:p>
        </w:tc>
        <w:tc>
          <w:tcPr>
            <w:tcW w:w="0" w:type="auto"/>
            <w:tcBorders>
              <w:top w:val="nil"/>
              <w:left w:val="nil"/>
              <w:bottom w:val="nil"/>
              <w:right w:val="nil"/>
            </w:tcBorders>
            <w:vAlign w:val="center"/>
          </w:tcPr>
          <w:p w14:paraId="1324B1F5">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——管侧土体综合变形模量；</w:t>
            </w:r>
          </w:p>
        </w:tc>
      </w:tr>
      <w:tr w14:paraId="5027125E">
        <w:tblPrEx>
          <w:tblCellMar>
            <w:top w:w="0" w:type="dxa"/>
            <w:left w:w="28" w:type="dxa"/>
            <w:bottom w:w="0" w:type="dxa"/>
            <w:right w:w="28" w:type="dxa"/>
          </w:tblCellMar>
        </w:tblPrEx>
        <w:trPr>
          <w:trHeight w:val="412" w:hRule="exact"/>
        </w:trPr>
        <w:tc>
          <w:tcPr>
            <w:tcW w:w="0" w:type="auto"/>
            <w:tcBorders>
              <w:top w:val="nil"/>
              <w:left w:val="nil"/>
              <w:bottom w:val="nil"/>
              <w:right w:val="nil"/>
            </w:tcBorders>
            <w:vAlign w:val="center"/>
          </w:tcPr>
          <w:p w14:paraId="6BB99105">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w w:val="95"/>
                <w:szCs w:val="24"/>
              </w:rPr>
              <w:t>σ</w:t>
            </w:r>
            <w:r>
              <w:rPr>
                <w:rFonts w:hint="default" w:ascii="Times New Roman" w:hAnsi="Times New Roman" w:cs="Times New Roman"/>
                <w:bCs/>
                <w:i/>
                <w:w w:val="95"/>
                <w:szCs w:val="24"/>
                <w:vertAlign w:val="subscript"/>
              </w:rPr>
              <w:t>L</w:t>
            </w:r>
          </w:p>
        </w:tc>
        <w:tc>
          <w:tcPr>
            <w:tcW w:w="0" w:type="auto"/>
            <w:tcBorders>
              <w:top w:val="nil"/>
              <w:left w:val="nil"/>
              <w:bottom w:val="nil"/>
              <w:right w:val="nil"/>
            </w:tcBorders>
            <w:vAlign w:val="center"/>
          </w:tcPr>
          <w:p w14:paraId="011A25A5">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——内衬管长期弯曲强度；</w:t>
            </w:r>
          </w:p>
        </w:tc>
      </w:tr>
    </w:tbl>
    <w:p w14:paraId="2FF29203">
      <w:pPr>
        <w:rPr>
          <w:rFonts w:hint="default" w:ascii="Times New Roman" w:hAnsi="Times New Roman" w:cs="Times New Roman"/>
        </w:rPr>
      </w:pPr>
      <w:r>
        <w:rPr>
          <w:rFonts w:hint="default" w:ascii="Times New Roman" w:hAnsi="Times New Roman" w:cs="Times New Roman"/>
        </w:rPr>
        <w:t>2.2.5  其他符号</w:t>
      </w:r>
    </w:p>
    <w:tbl>
      <w:tblPr>
        <w:tblStyle w:val="13"/>
        <w:tblW w:w="0" w:type="auto"/>
        <w:tblInd w:w="0" w:type="dxa"/>
        <w:tblLayout w:type="autofit"/>
        <w:tblCellMar>
          <w:top w:w="0" w:type="dxa"/>
          <w:left w:w="28" w:type="dxa"/>
          <w:bottom w:w="0" w:type="dxa"/>
          <w:right w:w="28" w:type="dxa"/>
        </w:tblCellMar>
      </w:tblPr>
      <w:tblGrid>
        <w:gridCol w:w="368"/>
        <w:gridCol w:w="4376"/>
      </w:tblGrid>
      <w:tr w14:paraId="569FBDA5">
        <w:tblPrEx>
          <w:tblCellMar>
            <w:top w:w="0" w:type="dxa"/>
            <w:left w:w="28" w:type="dxa"/>
            <w:bottom w:w="0" w:type="dxa"/>
            <w:right w:w="28" w:type="dxa"/>
          </w:tblCellMar>
        </w:tblPrEx>
        <w:trPr>
          <w:trHeight w:val="376" w:hRule="exact"/>
        </w:trPr>
        <w:tc>
          <w:tcPr>
            <w:tcW w:w="0" w:type="auto"/>
            <w:tcBorders>
              <w:top w:val="nil"/>
              <w:left w:val="nil"/>
              <w:bottom w:val="nil"/>
              <w:right w:val="nil"/>
            </w:tcBorders>
            <w:vAlign w:val="center"/>
          </w:tcPr>
          <w:p w14:paraId="0B67908A">
            <w:pPr>
              <w:kinsoku w:val="0"/>
              <w:overflowPunct w:val="0"/>
              <w:autoSpaceDE w:val="0"/>
              <w:autoSpaceDN w:val="0"/>
              <w:adjustRightInd w:val="0"/>
              <w:ind w:right="46"/>
              <w:rPr>
                <w:rFonts w:hint="default" w:ascii="Times New Roman" w:hAnsi="Times New Roman" w:cs="Times New Roman"/>
                <w:bCs/>
                <w:i/>
                <w:w w:val="95"/>
                <w:szCs w:val="24"/>
              </w:rPr>
            </w:pPr>
            <w:r>
              <w:rPr>
                <w:rFonts w:hint="default" w:ascii="Times New Roman" w:hAnsi="Times New Roman" w:cs="Times New Roman"/>
                <w:bCs/>
                <w:i/>
                <w:w w:val="95"/>
                <w:szCs w:val="24"/>
              </w:rPr>
              <w:t>Q</w:t>
            </w:r>
          </w:p>
        </w:tc>
        <w:tc>
          <w:tcPr>
            <w:tcW w:w="0" w:type="auto"/>
            <w:tcBorders>
              <w:top w:val="nil"/>
              <w:left w:val="nil"/>
              <w:bottom w:val="nil"/>
              <w:right w:val="nil"/>
            </w:tcBorders>
            <w:vAlign w:val="center"/>
          </w:tcPr>
          <w:p w14:paraId="08CC80FF">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——流量；</w:t>
            </w:r>
          </w:p>
        </w:tc>
      </w:tr>
      <w:tr w14:paraId="423CC79A">
        <w:tblPrEx>
          <w:tblCellMar>
            <w:top w:w="0" w:type="dxa"/>
            <w:left w:w="28" w:type="dxa"/>
            <w:bottom w:w="0" w:type="dxa"/>
            <w:right w:w="28" w:type="dxa"/>
          </w:tblCellMar>
        </w:tblPrEx>
        <w:trPr>
          <w:trHeight w:val="376" w:hRule="exact"/>
        </w:trPr>
        <w:tc>
          <w:tcPr>
            <w:tcW w:w="0" w:type="auto"/>
            <w:tcBorders>
              <w:top w:val="nil"/>
              <w:left w:val="nil"/>
              <w:bottom w:val="nil"/>
              <w:right w:val="nil"/>
            </w:tcBorders>
            <w:vAlign w:val="center"/>
          </w:tcPr>
          <w:p w14:paraId="029633B9">
            <w:pPr>
              <w:kinsoku w:val="0"/>
              <w:overflowPunct w:val="0"/>
              <w:autoSpaceDE w:val="0"/>
              <w:autoSpaceDN w:val="0"/>
              <w:adjustRightInd w:val="0"/>
              <w:ind w:right="46"/>
              <w:rPr>
                <w:rFonts w:hint="default" w:ascii="Times New Roman" w:hAnsi="Times New Roman" w:cs="Times New Roman"/>
                <w:bCs/>
                <w:i/>
                <w:w w:val="95"/>
                <w:szCs w:val="24"/>
              </w:rPr>
            </w:pPr>
            <w:r>
              <w:rPr>
                <w:rFonts w:hint="default" w:ascii="Times New Roman" w:hAnsi="Times New Roman" w:cs="Times New Roman"/>
                <w:bCs/>
                <w:i/>
                <w:w w:val="95"/>
                <w:szCs w:val="24"/>
              </w:rPr>
              <w:t>B</w:t>
            </w:r>
          </w:p>
        </w:tc>
        <w:tc>
          <w:tcPr>
            <w:tcW w:w="0" w:type="auto"/>
            <w:tcBorders>
              <w:top w:val="nil"/>
              <w:left w:val="nil"/>
              <w:bottom w:val="nil"/>
              <w:right w:val="nil"/>
            </w:tcBorders>
            <w:vAlign w:val="center"/>
          </w:tcPr>
          <w:p w14:paraId="65233798">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——管道修复后与修复前的过流能力比；</w:t>
            </w:r>
          </w:p>
        </w:tc>
      </w:tr>
      <w:tr w14:paraId="77F352C5">
        <w:tblPrEx>
          <w:tblCellMar>
            <w:top w:w="0" w:type="dxa"/>
            <w:left w:w="28" w:type="dxa"/>
            <w:bottom w:w="0" w:type="dxa"/>
            <w:right w:w="28" w:type="dxa"/>
          </w:tblCellMar>
        </w:tblPrEx>
        <w:trPr>
          <w:trHeight w:val="376" w:hRule="exact"/>
        </w:trPr>
        <w:tc>
          <w:tcPr>
            <w:tcW w:w="0" w:type="auto"/>
            <w:tcBorders>
              <w:top w:val="nil"/>
              <w:left w:val="nil"/>
              <w:bottom w:val="nil"/>
              <w:right w:val="nil"/>
            </w:tcBorders>
            <w:vAlign w:val="center"/>
          </w:tcPr>
          <w:p w14:paraId="7587E697">
            <w:pPr>
              <w:kinsoku w:val="0"/>
              <w:overflowPunct w:val="0"/>
              <w:autoSpaceDE w:val="0"/>
              <w:autoSpaceDN w:val="0"/>
              <w:adjustRightInd w:val="0"/>
              <w:ind w:right="46"/>
              <w:rPr>
                <w:rFonts w:hint="default" w:ascii="Times New Roman" w:hAnsi="Times New Roman" w:cs="Times New Roman"/>
                <w:bCs/>
                <w:i/>
                <w:w w:val="95"/>
                <w:szCs w:val="24"/>
              </w:rPr>
            </w:pPr>
            <w:r>
              <w:rPr>
                <w:rFonts w:hint="default" w:ascii="Times New Roman" w:hAnsi="Times New Roman" w:cs="Times New Roman"/>
                <w:bCs/>
                <w:i/>
                <w:w w:val="95"/>
                <w:szCs w:val="24"/>
              </w:rPr>
              <w:t>Qe</w:t>
            </w:r>
          </w:p>
        </w:tc>
        <w:tc>
          <w:tcPr>
            <w:tcW w:w="0" w:type="auto"/>
            <w:tcBorders>
              <w:top w:val="nil"/>
              <w:left w:val="nil"/>
              <w:bottom w:val="nil"/>
              <w:right w:val="nil"/>
            </w:tcBorders>
            <w:vAlign w:val="center"/>
          </w:tcPr>
          <w:p w14:paraId="24361EEB">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——允许渗水量；</w:t>
            </w:r>
          </w:p>
        </w:tc>
      </w:tr>
      <w:tr w14:paraId="08749540">
        <w:tblPrEx>
          <w:tblCellMar>
            <w:top w:w="0" w:type="dxa"/>
            <w:left w:w="28" w:type="dxa"/>
            <w:bottom w:w="0" w:type="dxa"/>
            <w:right w:w="28" w:type="dxa"/>
          </w:tblCellMar>
        </w:tblPrEx>
        <w:trPr>
          <w:trHeight w:val="376" w:hRule="exact"/>
        </w:trPr>
        <w:tc>
          <w:tcPr>
            <w:tcW w:w="0" w:type="auto"/>
            <w:tcBorders>
              <w:top w:val="nil"/>
              <w:left w:val="nil"/>
              <w:bottom w:val="nil"/>
              <w:right w:val="nil"/>
            </w:tcBorders>
            <w:vAlign w:val="center"/>
          </w:tcPr>
          <w:p w14:paraId="5F275BF1">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w w:val="95"/>
                <w:szCs w:val="24"/>
              </w:rPr>
              <w:t>Ve</w:t>
            </w:r>
          </w:p>
        </w:tc>
        <w:tc>
          <w:tcPr>
            <w:tcW w:w="0" w:type="auto"/>
            <w:tcBorders>
              <w:top w:val="nil"/>
              <w:left w:val="nil"/>
              <w:bottom w:val="nil"/>
              <w:right w:val="nil"/>
            </w:tcBorders>
            <w:vAlign w:val="center"/>
          </w:tcPr>
          <w:p w14:paraId="743638F4">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——渗漏速率；</w:t>
            </w:r>
          </w:p>
        </w:tc>
      </w:tr>
      <w:tr w14:paraId="098E8746">
        <w:tblPrEx>
          <w:tblCellMar>
            <w:top w:w="0" w:type="dxa"/>
            <w:left w:w="28" w:type="dxa"/>
            <w:bottom w:w="0" w:type="dxa"/>
            <w:right w:w="28" w:type="dxa"/>
          </w:tblCellMar>
        </w:tblPrEx>
        <w:trPr>
          <w:trHeight w:val="376" w:hRule="exact"/>
        </w:trPr>
        <w:tc>
          <w:tcPr>
            <w:tcW w:w="0" w:type="auto"/>
            <w:tcBorders>
              <w:top w:val="nil"/>
              <w:left w:val="nil"/>
              <w:bottom w:val="nil"/>
              <w:right w:val="nil"/>
            </w:tcBorders>
            <w:vAlign w:val="center"/>
          </w:tcPr>
          <w:p w14:paraId="522E6E7B">
            <w:pPr>
              <w:kinsoku w:val="0"/>
              <w:overflowPunct w:val="0"/>
              <w:autoSpaceDE w:val="0"/>
              <w:autoSpaceDN w:val="0"/>
              <w:adjustRightInd w:val="0"/>
              <w:ind w:right="46"/>
              <w:rPr>
                <w:rFonts w:hint="default" w:ascii="Times New Roman" w:hAnsi="Times New Roman" w:cs="Times New Roman"/>
                <w:bCs/>
                <w:i/>
                <w:szCs w:val="24"/>
              </w:rPr>
            </w:pPr>
            <w:r>
              <w:rPr>
                <w:rFonts w:hint="default" w:ascii="Times New Roman" w:hAnsi="Times New Roman" w:cs="Times New Roman"/>
                <w:bCs/>
                <w:i/>
                <w:szCs w:val="24"/>
              </w:rPr>
              <w:t>γ</w:t>
            </w:r>
          </w:p>
        </w:tc>
        <w:tc>
          <w:tcPr>
            <w:tcW w:w="0" w:type="auto"/>
            <w:tcBorders>
              <w:top w:val="nil"/>
              <w:left w:val="nil"/>
              <w:bottom w:val="nil"/>
              <w:right w:val="nil"/>
            </w:tcBorders>
            <w:vAlign w:val="center"/>
          </w:tcPr>
          <w:p w14:paraId="35CD4921">
            <w:pPr>
              <w:kinsoku w:val="0"/>
              <w:overflowPunct w:val="0"/>
              <w:autoSpaceDE w:val="0"/>
              <w:autoSpaceDN w:val="0"/>
              <w:adjustRightInd w:val="0"/>
              <w:rPr>
                <w:rFonts w:hint="default" w:ascii="Times New Roman" w:hAnsi="Times New Roman" w:cs="Times New Roman"/>
                <w:bCs/>
                <w:szCs w:val="24"/>
              </w:rPr>
            </w:pPr>
            <w:r>
              <w:rPr>
                <w:rFonts w:hint="default" w:ascii="Times New Roman" w:hAnsi="Times New Roman" w:cs="Times New Roman"/>
                <w:bCs/>
                <w:szCs w:val="24"/>
              </w:rPr>
              <w:t>——土体重度；</w:t>
            </w:r>
          </w:p>
        </w:tc>
      </w:tr>
    </w:tbl>
    <w:p w14:paraId="5F7097EF">
      <w:pPr>
        <w:spacing w:line="360" w:lineRule="auto"/>
        <w:ind w:firstLine="560" w:firstLineChars="200"/>
        <w:rPr>
          <w:rFonts w:hint="default" w:ascii="Times New Roman" w:hAnsi="Times New Roman" w:cs="Times New Roman"/>
          <w:color w:val="auto"/>
          <w:kern w:val="2"/>
          <w:sz w:val="28"/>
          <w:szCs w:val="28"/>
        </w:rPr>
      </w:pPr>
    </w:p>
    <w:p w14:paraId="53B04A0C">
      <w:pPr>
        <w:spacing w:line="360" w:lineRule="auto"/>
        <w:ind w:firstLine="560" w:firstLineChars="200"/>
        <w:rPr>
          <w:rFonts w:hint="default" w:ascii="Times New Roman" w:hAnsi="Times New Roman" w:cs="Times New Roman"/>
          <w:color w:val="auto"/>
          <w:kern w:val="2"/>
          <w:sz w:val="28"/>
          <w:szCs w:val="28"/>
        </w:rPr>
        <w:sectPr>
          <w:pgSz w:w="11906" w:h="16838"/>
          <w:pgMar w:top="1440" w:right="1800" w:bottom="1440" w:left="1800" w:header="851" w:footer="992" w:gutter="0"/>
          <w:pgNumType w:fmt="decimal"/>
          <w:cols w:space="425" w:num="1"/>
          <w:docGrid w:type="lines" w:linePitch="312" w:charSpace="0"/>
        </w:sectPr>
      </w:pPr>
    </w:p>
    <w:p w14:paraId="73E575D9">
      <w:pPr>
        <w:spacing w:line="360" w:lineRule="auto"/>
        <w:jc w:val="center"/>
        <w:outlineLvl w:val="0"/>
        <w:rPr>
          <w:rFonts w:hint="default" w:ascii="Times New Roman" w:hAnsi="Times New Roman" w:cs="Times New Roman"/>
          <w:b/>
          <w:bCs/>
          <w:color w:val="auto"/>
          <w:kern w:val="2"/>
          <w:sz w:val="32"/>
          <w:szCs w:val="32"/>
          <w:highlight w:val="none"/>
        </w:rPr>
      </w:pPr>
      <w:bookmarkStart w:id="32" w:name="_Toc11832"/>
      <w:r>
        <w:rPr>
          <w:rFonts w:hint="default" w:ascii="Times New Roman" w:hAnsi="Times New Roman" w:cs="Times New Roman"/>
          <w:b/>
          <w:bCs/>
          <w:color w:val="auto"/>
          <w:kern w:val="2"/>
          <w:sz w:val="32"/>
          <w:szCs w:val="32"/>
          <w:highlight w:val="none"/>
        </w:rPr>
        <w:t>3 基本规定</w:t>
      </w:r>
      <w:bookmarkEnd w:id="32"/>
    </w:p>
    <w:p w14:paraId="7B06C37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b/>
          <w:bCs/>
          <w:sz w:val="24"/>
          <w:szCs w:val="24"/>
          <w:highlight w:val="none"/>
        </w:rPr>
        <w:t>3.0.1</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cs="Times New Roman"/>
          <w:sz w:val="24"/>
          <w:szCs w:val="24"/>
          <w:highlight w:val="none"/>
          <w:lang w:val="en-US" w:eastAsia="zh-CN"/>
        </w:rPr>
        <w:t>埋设于城镇交通繁忙、环境敏感、施工空间受限等地区的排水管道和检查井修复工程宜优先选用非开挖修复技术。</w:t>
      </w:r>
    </w:p>
    <w:p w14:paraId="547CCBB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val="en-US" w:eastAsia="zh-CN"/>
        </w:rPr>
      </w:pPr>
      <w:r>
        <w:rPr>
          <w:rFonts w:hint="default" w:ascii="Times New Roman" w:hAnsi="Times New Roman" w:eastAsia="楷体" w:cs="Times New Roman"/>
          <w:kern w:val="2"/>
          <w:szCs w:val="24"/>
          <w:highlight w:val="none"/>
          <w:u w:val="single"/>
        </w:rPr>
        <w:t>【条文说明】非开挖</w:t>
      </w:r>
      <w:r>
        <w:rPr>
          <w:rFonts w:hint="default" w:ascii="Times New Roman" w:hAnsi="Times New Roman" w:eastAsia="楷体" w:cs="Times New Roman"/>
          <w:kern w:val="2"/>
          <w:szCs w:val="24"/>
          <w:highlight w:val="none"/>
          <w:u w:val="single"/>
          <w:lang w:val="en-US" w:eastAsia="zh-CN"/>
        </w:rPr>
        <w:t>修复</w:t>
      </w:r>
      <w:r>
        <w:rPr>
          <w:rFonts w:hint="default" w:ascii="Times New Roman" w:hAnsi="Times New Roman" w:eastAsia="楷体" w:cs="Times New Roman"/>
          <w:kern w:val="2"/>
          <w:szCs w:val="24"/>
          <w:highlight w:val="none"/>
          <w:u w:val="single"/>
        </w:rPr>
        <w:t>技术可用于现有几乎所有管材类型的排水管道，</w:t>
      </w:r>
      <w:r>
        <w:rPr>
          <w:rFonts w:hint="default" w:ascii="Times New Roman" w:hAnsi="Times New Roman" w:eastAsia="楷体" w:cs="Times New Roman"/>
          <w:kern w:val="2"/>
          <w:szCs w:val="24"/>
          <w:highlight w:val="none"/>
          <w:u w:val="single"/>
          <w:lang w:val="en-US" w:eastAsia="zh-CN"/>
        </w:rPr>
        <w:t>虽然</w:t>
      </w:r>
      <w:r>
        <w:rPr>
          <w:rFonts w:hint="default" w:ascii="Times New Roman" w:hAnsi="Times New Roman" w:eastAsia="楷体" w:cs="Times New Roman"/>
          <w:kern w:val="2"/>
          <w:szCs w:val="24"/>
          <w:highlight w:val="none"/>
          <w:u w:val="single"/>
        </w:rPr>
        <w:t>该类技术</w:t>
      </w:r>
      <w:r>
        <w:rPr>
          <w:rFonts w:hint="default" w:ascii="Times New Roman" w:hAnsi="Times New Roman" w:eastAsia="楷体" w:cs="Times New Roman"/>
          <w:kern w:val="2"/>
          <w:szCs w:val="24"/>
          <w:highlight w:val="none"/>
          <w:u w:val="single"/>
          <w:lang w:eastAsia="zh-CN"/>
        </w:rPr>
        <w:t>在</w:t>
      </w:r>
      <w:r>
        <w:rPr>
          <w:rFonts w:hint="default" w:ascii="Times New Roman" w:hAnsi="Times New Roman" w:eastAsia="楷体" w:cs="Times New Roman"/>
          <w:kern w:val="2"/>
          <w:szCs w:val="24"/>
          <w:highlight w:val="none"/>
          <w:u w:val="single"/>
        </w:rPr>
        <w:t>工程造价比传统</w:t>
      </w:r>
      <w:r>
        <w:rPr>
          <w:rFonts w:hint="default" w:ascii="Times New Roman" w:hAnsi="Times New Roman" w:eastAsia="楷体" w:cs="Times New Roman"/>
          <w:kern w:val="2"/>
          <w:szCs w:val="24"/>
          <w:highlight w:val="none"/>
          <w:u w:val="single"/>
          <w:lang w:val="en-US" w:eastAsia="zh-CN"/>
        </w:rPr>
        <w:t>的开挖修复方</w:t>
      </w:r>
      <w:r>
        <w:rPr>
          <w:rFonts w:hint="default" w:ascii="Times New Roman" w:hAnsi="Times New Roman" w:eastAsia="楷体" w:cs="Times New Roman"/>
          <w:kern w:val="2"/>
          <w:szCs w:val="24"/>
          <w:highlight w:val="none"/>
          <w:u w:val="single"/>
        </w:rPr>
        <w:t>法稍高，</w:t>
      </w:r>
      <w:r>
        <w:rPr>
          <w:rFonts w:hint="default" w:ascii="Times New Roman" w:hAnsi="Times New Roman" w:eastAsia="楷体" w:cs="Times New Roman"/>
          <w:kern w:val="2"/>
          <w:szCs w:val="24"/>
          <w:highlight w:val="none"/>
          <w:u w:val="single"/>
          <w:lang w:val="en-US" w:eastAsia="zh-CN"/>
        </w:rPr>
        <w:t>但</w:t>
      </w:r>
      <w:r>
        <w:rPr>
          <w:rFonts w:hint="default" w:ascii="Times New Roman" w:hAnsi="Times New Roman" w:eastAsia="楷体" w:cs="Times New Roman"/>
          <w:kern w:val="2"/>
          <w:szCs w:val="24"/>
          <w:highlight w:val="none"/>
          <w:u w:val="single"/>
        </w:rPr>
        <w:t>对于交通繁忙、环境敏感</w:t>
      </w:r>
      <w:r>
        <w:rPr>
          <w:rFonts w:hint="default" w:ascii="Times New Roman" w:hAnsi="Times New Roman" w:eastAsia="楷体" w:cs="Times New Roman"/>
          <w:kern w:val="2"/>
          <w:szCs w:val="24"/>
          <w:highlight w:val="none"/>
          <w:u w:val="single"/>
          <w:lang w:eastAsia="zh-CN"/>
        </w:rPr>
        <w:t>、</w:t>
      </w:r>
      <w:r>
        <w:rPr>
          <w:rFonts w:hint="default" w:ascii="Times New Roman" w:hAnsi="Times New Roman" w:eastAsia="楷体" w:cs="Times New Roman"/>
          <w:kern w:val="2"/>
          <w:szCs w:val="24"/>
          <w:highlight w:val="none"/>
          <w:u w:val="single"/>
          <w:lang w:val="en-US" w:eastAsia="zh-CN"/>
        </w:rPr>
        <w:t>施工空间受限</w:t>
      </w:r>
      <w:r>
        <w:rPr>
          <w:rFonts w:hint="default" w:ascii="Times New Roman" w:hAnsi="Times New Roman" w:eastAsia="楷体" w:cs="Times New Roman"/>
          <w:kern w:val="2"/>
          <w:szCs w:val="24"/>
          <w:highlight w:val="none"/>
          <w:u w:val="single"/>
        </w:rPr>
        <w:t>等不适合进行开挖修复地区应优先选用非开挖修复</w:t>
      </w:r>
      <w:r>
        <w:rPr>
          <w:rFonts w:hint="default" w:ascii="Times New Roman" w:hAnsi="Times New Roman" w:eastAsia="楷体" w:cs="Times New Roman"/>
          <w:kern w:val="2"/>
          <w:szCs w:val="24"/>
          <w:highlight w:val="none"/>
          <w:u w:val="single"/>
          <w:lang w:val="en-US" w:eastAsia="zh-CN"/>
        </w:rPr>
        <w:t>技术</w:t>
      </w:r>
      <w:r>
        <w:rPr>
          <w:rFonts w:hint="default" w:ascii="Times New Roman" w:hAnsi="Times New Roman" w:eastAsia="楷体" w:cs="Times New Roman"/>
          <w:kern w:val="2"/>
          <w:szCs w:val="24"/>
          <w:highlight w:val="none"/>
          <w:u w:val="single"/>
        </w:rPr>
        <w:t>；在工程造价合理的条件下，对城镇排水管道修复也建议优先选用非开挖</w:t>
      </w:r>
      <w:r>
        <w:rPr>
          <w:rFonts w:hint="default" w:ascii="Times New Roman" w:hAnsi="Times New Roman" w:eastAsia="楷体" w:cs="Times New Roman"/>
          <w:kern w:val="2"/>
          <w:szCs w:val="24"/>
          <w:highlight w:val="none"/>
          <w:u w:val="single"/>
          <w:lang w:val="en-US" w:eastAsia="zh-CN"/>
        </w:rPr>
        <w:t>修复</w:t>
      </w:r>
      <w:r>
        <w:rPr>
          <w:rFonts w:hint="default" w:ascii="Times New Roman" w:hAnsi="Times New Roman" w:eastAsia="楷体" w:cs="Times New Roman"/>
          <w:kern w:val="2"/>
          <w:szCs w:val="24"/>
          <w:highlight w:val="none"/>
          <w:u w:val="single"/>
        </w:rPr>
        <w:t>技术。</w:t>
      </w:r>
    </w:p>
    <w:p w14:paraId="3F2A48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b/>
          <w:bCs/>
          <w:sz w:val="24"/>
          <w:szCs w:val="24"/>
          <w:highlight w:val="none"/>
        </w:rPr>
        <w:t>3.0.2</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cs="Times New Roman"/>
          <w:sz w:val="24"/>
          <w:szCs w:val="24"/>
          <w:highlight w:val="none"/>
          <w:lang w:val="en-US" w:eastAsia="zh-CN"/>
        </w:rPr>
        <w:t>非开挖修复工程应根据管道和检查井的检测评估报告进行设计，并制订修复方法。</w:t>
      </w:r>
    </w:p>
    <w:p w14:paraId="10FC73D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Times New Roman"/>
          <w:kern w:val="2"/>
          <w:szCs w:val="24"/>
          <w:highlight w:val="none"/>
          <w:u w:val="single"/>
          <w:lang w:val="en-US" w:eastAsia="zh-CN"/>
        </w:rPr>
      </w:pPr>
      <w:r>
        <w:rPr>
          <w:rFonts w:hint="default" w:ascii="Times New Roman" w:hAnsi="Times New Roman" w:eastAsia="楷体" w:cs="Times New Roman"/>
          <w:kern w:val="2"/>
          <w:szCs w:val="24"/>
          <w:highlight w:val="none"/>
          <w:u w:val="single"/>
          <w:lang w:val="en-US" w:eastAsia="zh-CN"/>
        </w:rPr>
        <w:t>【条文说明】排水管道的检测和评估是管道非开挖修复的基础性资料。检测和评估需符合《城镇排水管道检测与评估技术规程》CJJ181及《排水检查井非开挖修复工程技术规程》T/CECS1333的规定。</w:t>
      </w:r>
    </w:p>
    <w:p w14:paraId="32AEA52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b/>
          <w:bCs/>
          <w:sz w:val="24"/>
          <w:szCs w:val="24"/>
          <w:highlight w:val="none"/>
          <w:lang w:val="en-US" w:eastAsia="zh-CN"/>
        </w:rPr>
        <w:t>3.0.3</w:t>
      </w:r>
      <w:r>
        <w:rPr>
          <w:rFonts w:hint="default" w:ascii="Times New Roman" w:hAnsi="Times New Roman" w:cs="Times New Roman"/>
          <w:sz w:val="24"/>
          <w:szCs w:val="24"/>
          <w:highlight w:val="none"/>
          <w:lang w:val="en-US" w:eastAsia="zh-CN"/>
        </w:rPr>
        <w:t xml:space="preserve">  管道结构性修复更新后的使用期限不得低于50年；利用原有管道结构进行半结构性修复的管道，其设计使用年限应按原有管道结构的剩余设计使用期限确定，且不应低于10年，对于混凝土管道，修复后的最长设计使用年限不宜超过30年。</w:t>
      </w:r>
    </w:p>
    <w:p w14:paraId="389F9A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Times New Roman"/>
          <w:kern w:val="2"/>
          <w:szCs w:val="24"/>
          <w:highlight w:val="none"/>
          <w:u w:val="single"/>
          <w:lang w:val="en-US" w:eastAsia="zh-CN"/>
        </w:rPr>
      </w:pPr>
      <w:r>
        <w:rPr>
          <w:rFonts w:hint="default" w:ascii="Times New Roman" w:hAnsi="Times New Roman" w:eastAsia="楷体" w:cs="Times New Roman"/>
          <w:kern w:val="2"/>
          <w:szCs w:val="24"/>
          <w:highlight w:val="none"/>
          <w:u w:val="single"/>
          <w:lang w:val="en-US" w:eastAsia="zh-CN"/>
        </w:rPr>
        <w:t>【条文说明】要求管道结构性修复更新后使用寿命不得低于50年是与工程结构可靠度统一标准一致；如果原有管道的剩余结构强度无法满足对半结构性修复内衬管在使用期限内进行有效的支撑，应按结构性修复设计内衬管。</w:t>
      </w:r>
    </w:p>
    <w:p w14:paraId="45672A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b/>
          <w:bCs/>
          <w:sz w:val="24"/>
          <w:szCs w:val="24"/>
          <w:highlight w:val="none"/>
        </w:rPr>
        <w:t>3.0.</w:t>
      </w:r>
      <w:r>
        <w:rPr>
          <w:rFonts w:hint="default" w:ascii="Times New Roman" w:hAnsi="Times New Roman" w:cs="Times New Roman"/>
          <w:b/>
          <w:bCs/>
          <w:sz w:val="24"/>
          <w:szCs w:val="24"/>
          <w:highlight w:val="none"/>
          <w:lang w:val="en-US" w:eastAsia="zh-CN"/>
        </w:rPr>
        <w:t>4</w:t>
      </w:r>
      <w:r>
        <w:rPr>
          <w:rFonts w:hint="default" w:ascii="Times New Roman" w:hAnsi="Times New Roman" w:cs="Times New Roman"/>
          <w:sz w:val="24"/>
          <w:szCs w:val="24"/>
          <w:highlight w:val="none"/>
          <w:lang w:val="en-US" w:eastAsia="zh-CN"/>
        </w:rPr>
        <w:t xml:space="preserve">  非开挖修复工程所用的材料应符合国家现行相关标准的规定并满足设计要求，管材、管件、构（配）件等材料应具有质量合格证书、性能检测报告和使用说明书等。</w:t>
      </w:r>
    </w:p>
    <w:p w14:paraId="1B1487E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Times New Roman"/>
          <w:kern w:val="2"/>
          <w:szCs w:val="24"/>
          <w:highlight w:val="none"/>
          <w:u w:val="single"/>
          <w:lang w:val="en-US" w:eastAsia="zh-CN"/>
        </w:rPr>
      </w:pPr>
      <w:r>
        <w:rPr>
          <w:rFonts w:hint="default" w:ascii="Times New Roman" w:hAnsi="Times New Roman" w:eastAsia="楷体" w:cs="Times New Roman"/>
          <w:kern w:val="2"/>
          <w:szCs w:val="24"/>
          <w:highlight w:val="none"/>
          <w:u w:val="single"/>
          <w:lang w:val="en-US" w:eastAsia="zh-CN"/>
        </w:rPr>
        <w:t>【条文说明】管道非开挖修复工程材料的性能是确保工程质量的重要因素，因此要求所用材料应具有相应的产品质量合格证书、性能检验报告和使用说明书。</w:t>
      </w:r>
    </w:p>
    <w:p w14:paraId="29F432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Cs w:val="24"/>
          <w:highlight w:val="none"/>
        </w:rPr>
      </w:pPr>
      <w:r>
        <w:rPr>
          <w:rFonts w:hint="default" w:ascii="Times New Roman" w:hAnsi="Times New Roman" w:cs="Times New Roman"/>
          <w:b/>
          <w:bCs/>
          <w:sz w:val="24"/>
          <w:szCs w:val="24"/>
          <w:highlight w:val="none"/>
          <w:lang w:val="en-US" w:eastAsia="zh-CN"/>
        </w:rPr>
        <w:t>3.0.5</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Cs w:val="24"/>
          <w:highlight w:val="none"/>
        </w:rPr>
        <w:t>管道修复完成后，应对</w:t>
      </w:r>
      <w:r>
        <w:rPr>
          <w:rFonts w:hint="default" w:ascii="Times New Roman" w:hAnsi="Times New Roman" w:cs="Times New Roman"/>
          <w:szCs w:val="24"/>
          <w:highlight w:val="none"/>
          <w:lang w:val="en-US" w:eastAsia="zh-CN"/>
        </w:rPr>
        <w:t>管道</w:t>
      </w:r>
      <w:r>
        <w:rPr>
          <w:rFonts w:hint="default" w:ascii="Times New Roman" w:hAnsi="Times New Roman" w:cs="Times New Roman"/>
          <w:szCs w:val="24"/>
          <w:highlight w:val="none"/>
        </w:rPr>
        <w:t>与检查井的接口处进行处理。</w:t>
      </w:r>
    </w:p>
    <w:p w14:paraId="58493D8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Cs w:val="24"/>
          <w:highlight w:val="none"/>
          <w:lang w:val="en-US" w:eastAsia="zh-CN"/>
        </w:rPr>
      </w:pPr>
      <w:r>
        <w:rPr>
          <w:rFonts w:hint="default" w:ascii="Times New Roman" w:hAnsi="Times New Roman" w:eastAsia="楷体" w:cs="Times New Roman"/>
          <w:kern w:val="2"/>
          <w:szCs w:val="24"/>
          <w:highlight w:val="none"/>
          <w:u w:val="single"/>
          <w:lang w:val="en-US" w:eastAsia="zh-CN"/>
        </w:rPr>
        <w:t>【条文说明】管道修复完后，检查井处的内衬管端口与原有管道之间应进行处理，以确保地下水不从检查井进入原有管道与内衬管间的环状空隙，同时应防止检查井处内衬管与原有管道脱离，对于不同的施工方法其处理措施不同。</w:t>
      </w:r>
    </w:p>
    <w:p w14:paraId="7D3AD56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3.0.</w:t>
      </w:r>
      <w:r>
        <w:rPr>
          <w:rFonts w:hint="default" w:ascii="Times New Roman" w:hAnsi="Times New Roman" w:cs="Times New Roman"/>
          <w:b/>
          <w:bCs/>
          <w:sz w:val="24"/>
          <w:szCs w:val="24"/>
          <w:highlight w:val="none"/>
          <w:lang w:val="en-US" w:eastAsia="zh-CN"/>
        </w:rPr>
        <w:t>6</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非开挖修复工程所产生的污</w:t>
      </w:r>
      <w:r>
        <w:rPr>
          <w:rFonts w:hint="default" w:ascii="Times New Roman" w:hAnsi="Times New Roman" w:cs="Times New Roman"/>
          <w:sz w:val="24"/>
          <w:szCs w:val="24"/>
          <w:highlight w:val="none"/>
          <w:lang w:val="en-US" w:eastAsia="zh-CN"/>
        </w:rPr>
        <w:t>染</w:t>
      </w:r>
      <w:r>
        <w:rPr>
          <w:rFonts w:hint="default" w:ascii="Times New Roman" w:hAnsi="Times New Roman" w:cs="Times New Roman"/>
          <w:sz w:val="24"/>
          <w:szCs w:val="24"/>
          <w:highlight w:val="none"/>
        </w:rPr>
        <w:t>物、废弃物</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lang w:val="en-US" w:eastAsia="zh-CN"/>
        </w:rPr>
        <w:t>处理与处置，</w:t>
      </w:r>
      <w:r>
        <w:rPr>
          <w:rFonts w:hint="default" w:ascii="Times New Roman" w:hAnsi="Times New Roman" w:cs="Times New Roman"/>
          <w:sz w:val="24"/>
          <w:szCs w:val="24"/>
          <w:highlight w:val="none"/>
        </w:rPr>
        <w:t>噪声及振动</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lang w:val="en-US" w:eastAsia="zh-CN"/>
        </w:rPr>
        <w:t>影响与控制</w:t>
      </w:r>
      <w:r>
        <w:rPr>
          <w:rFonts w:hint="default" w:ascii="Times New Roman" w:hAnsi="Times New Roman" w:cs="Times New Roman"/>
          <w:sz w:val="24"/>
          <w:szCs w:val="24"/>
          <w:highlight w:val="none"/>
        </w:rPr>
        <w:t>应符合国家</w:t>
      </w:r>
      <w:r>
        <w:rPr>
          <w:rFonts w:hint="default" w:ascii="Times New Roman" w:hAnsi="Times New Roman" w:cs="Times New Roman"/>
          <w:sz w:val="24"/>
          <w:szCs w:val="24"/>
          <w:highlight w:val="none"/>
          <w:lang w:val="en-US" w:eastAsia="zh-CN"/>
        </w:rPr>
        <w:t>和四川省</w:t>
      </w:r>
      <w:r>
        <w:rPr>
          <w:rFonts w:hint="default" w:ascii="Times New Roman" w:hAnsi="Times New Roman" w:cs="Times New Roman"/>
          <w:sz w:val="24"/>
          <w:szCs w:val="24"/>
          <w:highlight w:val="none"/>
        </w:rPr>
        <w:t>有关环境保护的</w:t>
      </w:r>
      <w:r>
        <w:rPr>
          <w:rFonts w:hint="default" w:ascii="Times New Roman" w:hAnsi="Times New Roman" w:cs="Times New Roman"/>
          <w:sz w:val="24"/>
          <w:szCs w:val="24"/>
          <w:highlight w:val="none"/>
          <w:lang w:val="en-US" w:eastAsia="zh-CN"/>
        </w:rPr>
        <w:t>有关</w:t>
      </w:r>
      <w:r>
        <w:rPr>
          <w:rFonts w:hint="default" w:ascii="Times New Roman" w:hAnsi="Times New Roman" w:cs="Times New Roman"/>
          <w:sz w:val="24"/>
          <w:szCs w:val="24"/>
          <w:highlight w:val="none"/>
        </w:rPr>
        <w:t>规定。</w:t>
      </w:r>
    </w:p>
    <w:p w14:paraId="42049F3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cs="Times New Roman"/>
          <w:b/>
          <w:bCs/>
          <w:sz w:val="24"/>
          <w:szCs w:val="24"/>
          <w:highlight w:val="none"/>
        </w:rPr>
        <w:t>3.0.</w:t>
      </w:r>
      <w:r>
        <w:rPr>
          <w:rFonts w:hint="default" w:ascii="Times New Roman" w:hAnsi="Times New Roman" w:cs="Times New Roman"/>
          <w:b/>
          <w:bCs/>
          <w:sz w:val="24"/>
          <w:szCs w:val="24"/>
          <w:highlight w:val="none"/>
          <w:lang w:val="en-US" w:eastAsia="zh-CN"/>
        </w:rPr>
        <w:t>7</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非开挖修复工程应在验收合格后投入使用。</w:t>
      </w:r>
    </w:p>
    <w:p w14:paraId="5E6A5DF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highlight w:val="none"/>
        </w:rPr>
      </w:pPr>
      <w:r>
        <w:rPr>
          <w:rFonts w:hint="default" w:ascii="Times New Roman" w:hAnsi="Times New Roman" w:eastAsia="楷体" w:cs="Times New Roman"/>
          <w:kern w:val="2"/>
          <w:szCs w:val="24"/>
          <w:highlight w:val="none"/>
          <w:u w:val="single"/>
          <w:lang w:val="en-US" w:eastAsia="zh-CN"/>
        </w:rPr>
        <w:t>【条文说明】当采用分段修复时，修复质检合格后该段可临时投入使用。</w:t>
      </w:r>
    </w:p>
    <w:p w14:paraId="5A5C60F4">
      <w:pPr>
        <w:spacing w:line="360" w:lineRule="auto"/>
        <w:ind w:firstLine="560" w:firstLineChars="200"/>
        <w:rPr>
          <w:rFonts w:hint="default" w:ascii="Times New Roman" w:hAnsi="Times New Roman" w:cs="Times New Roman"/>
          <w:color w:val="auto"/>
          <w:sz w:val="28"/>
          <w:szCs w:val="28"/>
        </w:rPr>
      </w:pPr>
    </w:p>
    <w:p w14:paraId="3AADB249">
      <w:pPr>
        <w:spacing w:line="360" w:lineRule="auto"/>
        <w:ind w:firstLine="560" w:firstLineChars="200"/>
        <w:rPr>
          <w:rFonts w:hint="default" w:ascii="Times New Roman" w:hAnsi="Times New Roman" w:cs="Times New Roman"/>
          <w:color w:val="auto"/>
          <w:sz w:val="28"/>
          <w:szCs w:val="28"/>
        </w:rPr>
      </w:pPr>
    </w:p>
    <w:p w14:paraId="275B83BE">
      <w:pPr>
        <w:spacing w:line="360" w:lineRule="auto"/>
        <w:ind w:firstLine="560" w:firstLineChars="200"/>
        <w:rPr>
          <w:rFonts w:hint="default" w:ascii="Times New Roman" w:hAnsi="Times New Roman" w:cs="Times New Roman"/>
          <w:color w:val="auto"/>
          <w:sz w:val="28"/>
          <w:szCs w:val="28"/>
        </w:rPr>
        <w:sectPr>
          <w:pgSz w:w="11906" w:h="16838"/>
          <w:pgMar w:top="1440" w:right="1800" w:bottom="1440" w:left="1800" w:header="851" w:footer="992" w:gutter="0"/>
          <w:pgNumType w:fmt="decimal"/>
          <w:cols w:space="425" w:num="1"/>
          <w:docGrid w:type="lines" w:linePitch="312" w:charSpace="0"/>
        </w:sectPr>
      </w:pPr>
    </w:p>
    <w:p w14:paraId="48683E94">
      <w:pPr>
        <w:jc w:val="center"/>
        <w:outlineLvl w:val="0"/>
        <w:rPr>
          <w:rFonts w:hint="default" w:ascii="Times New Roman" w:hAnsi="Times New Roman" w:cs="Times New Roman"/>
          <w:b/>
          <w:bCs/>
          <w:kern w:val="2"/>
          <w:sz w:val="32"/>
          <w:szCs w:val="32"/>
        </w:rPr>
      </w:pPr>
      <w:bookmarkStart w:id="33" w:name="_Toc22523"/>
      <w:r>
        <w:rPr>
          <w:rFonts w:hint="default" w:ascii="Times New Roman" w:hAnsi="Times New Roman" w:cs="Times New Roman"/>
          <w:b/>
          <w:bCs/>
          <w:kern w:val="2"/>
          <w:sz w:val="32"/>
          <w:szCs w:val="32"/>
        </w:rPr>
        <w:t>4 材料选择</w:t>
      </w:r>
      <w:bookmarkEnd w:id="33"/>
    </w:p>
    <w:p w14:paraId="05499051">
      <w:pPr>
        <w:pStyle w:val="3"/>
        <w:bidi w:val="0"/>
        <w:rPr>
          <w:rFonts w:hint="default" w:ascii="Times New Roman" w:hAnsi="Times New Roman" w:cs="Times New Roman"/>
        </w:rPr>
      </w:pPr>
      <w:bookmarkStart w:id="34" w:name="_Toc6352"/>
      <w:r>
        <w:rPr>
          <w:rFonts w:hint="default" w:ascii="Times New Roman" w:hAnsi="Times New Roman" w:cs="Times New Roman"/>
        </w:rPr>
        <w:t>4.1</w:t>
      </w:r>
      <w:bookmarkStart w:id="35" w:name="_Toc140155153"/>
      <w:bookmarkStart w:id="36" w:name="_Toc103607146"/>
      <w:bookmarkStart w:id="37" w:name="_Toc103607920"/>
      <w:bookmarkStart w:id="38" w:name="_Toc140147510"/>
      <w:bookmarkStart w:id="39" w:name="_Toc12926"/>
      <w:bookmarkStart w:id="40" w:name="_Toc140181972"/>
      <w:bookmarkStart w:id="41" w:name="_Toc104458214"/>
      <w:bookmarkStart w:id="42" w:name="_Toc9330"/>
      <w:bookmarkStart w:id="43" w:name="_Toc138075555"/>
      <w:bookmarkStart w:id="44" w:name="_Toc22794"/>
      <w:bookmarkStart w:id="45" w:name="_Toc139989301"/>
      <w:bookmarkStart w:id="46" w:name="_Toc138061392"/>
      <w:r>
        <w:rPr>
          <w:rFonts w:hint="default" w:ascii="Times New Roman" w:hAnsi="Times New Roman" w:cs="Times New Roman"/>
        </w:rPr>
        <w:t>一般规定</w:t>
      </w:r>
      <w:bookmarkEnd w:id="34"/>
      <w:bookmarkEnd w:id="35"/>
      <w:bookmarkEnd w:id="36"/>
      <w:bookmarkEnd w:id="37"/>
      <w:bookmarkEnd w:id="38"/>
      <w:bookmarkEnd w:id="39"/>
      <w:bookmarkEnd w:id="40"/>
      <w:bookmarkEnd w:id="41"/>
      <w:bookmarkEnd w:id="42"/>
      <w:bookmarkEnd w:id="43"/>
      <w:bookmarkEnd w:id="44"/>
      <w:bookmarkEnd w:id="45"/>
      <w:bookmarkEnd w:id="46"/>
    </w:p>
    <w:p w14:paraId="4A4BA159">
      <w:pPr>
        <w:rPr>
          <w:rFonts w:hint="default" w:ascii="Times New Roman" w:hAnsi="Times New Roman" w:cs="Times New Roman"/>
          <w:szCs w:val="24"/>
        </w:rPr>
      </w:pPr>
      <w:r>
        <w:rPr>
          <w:rFonts w:hint="default" w:ascii="Times New Roman" w:hAnsi="Times New Roman" w:cs="Times New Roman"/>
          <w:szCs w:val="24"/>
        </w:rPr>
        <w:t xml:space="preserve">4.1.1 </w:t>
      </w:r>
      <w:bookmarkStart w:id="47" w:name="_Toc9973"/>
      <w:r>
        <w:rPr>
          <w:rFonts w:hint="default" w:ascii="Times New Roman" w:hAnsi="Times New Roman" w:cs="Times New Roman"/>
          <w:szCs w:val="24"/>
        </w:rPr>
        <w:t xml:space="preserve"> 管道非开挖修复工程所用管材及型材应有清晰的标识。</w:t>
      </w:r>
      <w:bookmarkEnd w:id="47"/>
    </w:p>
    <w:p w14:paraId="1715492A">
      <w:pPr>
        <w:rPr>
          <w:rFonts w:hint="default" w:ascii="Times New Roman" w:hAnsi="Times New Roman" w:cs="Times New Roman"/>
          <w:szCs w:val="24"/>
        </w:rPr>
      </w:pPr>
      <w:r>
        <w:rPr>
          <w:rFonts w:hint="default" w:ascii="Times New Roman" w:hAnsi="Times New Roman" w:eastAsia="楷体" w:cs="Times New Roman"/>
          <w:kern w:val="2"/>
          <w:szCs w:val="24"/>
          <w:u w:val="single"/>
        </w:rPr>
        <w:t>【条文说明】 标识一般包括生产商的名称或商标、产品编号、产地、生产设备、生产日期、型号、材料等级和生产产品所依据的规范名称等详细信息。</w:t>
      </w:r>
    </w:p>
    <w:p w14:paraId="54EE84E1">
      <w:pPr>
        <w:rPr>
          <w:rFonts w:hint="default" w:ascii="Times New Roman" w:hAnsi="Times New Roman" w:cs="Times New Roman"/>
          <w:szCs w:val="24"/>
        </w:rPr>
      </w:pPr>
      <w:bookmarkStart w:id="48" w:name="_Toc19156"/>
      <w:r>
        <w:rPr>
          <w:rFonts w:hint="default" w:ascii="Times New Roman" w:hAnsi="Times New Roman" w:cs="Times New Roman"/>
          <w:szCs w:val="24"/>
        </w:rPr>
        <w:t>4.1.2  在同一个修复管段内应使用相同型号、同一生产厂家的管材或型材。</w:t>
      </w:r>
      <w:bookmarkEnd w:id="48"/>
    </w:p>
    <w:p w14:paraId="23B6528D">
      <w:pPr>
        <w:rPr>
          <w:rFonts w:hint="default" w:ascii="Times New Roman" w:hAnsi="Times New Roman" w:cs="Times New Roman"/>
          <w:szCs w:val="24"/>
        </w:rPr>
      </w:pPr>
      <w:bookmarkStart w:id="49" w:name="_Toc4165"/>
      <w:r>
        <w:rPr>
          <w:rFonts w:hint="default" w:ascii="Times New Roman" w:hAnsi="Times New Roman" w:cs="Times New Roman"/>
          <w:szCs w:val="24"/>
        </w:rPr>
        <w:t>4.1.3  材料的运输和储存应符合下列规定：</w:t>
      </w:r>
    </w:p>
    <w:p w14:paraId="25882516">
      <w:pPr>
        <w:ind w:firstLine="480" w:firstLineChars="200"/>
        <w:rPr>
          <w:rFonts w:hint="default" w:ascii="Times New Roman" w:hAnsi="Times New Roman" w:cs="Times New Roman"/>
          <w:szCs w:val="24"/>
        </w:rPr>
      </w:pPr>
      <w:r>
        <w:rPr>
          <w:rFonts w:hint="default" w:ascii="Times New Roman" w:hAnsi="Times New Roman" w:cs="Times New Roman"/>
          <w:szCs w:val="24"/>
        </w:rPr>
        <w:t xml:space="preserve">1  内衬管或型材的储存和运输应符合现行行业标准《埋地塑料排水管道工程技术规范》CJJ 143的有关规定； </w:t>
      </w:r>
    </w:p>
    <w:p w14:paraId="73037197">
      <w:pPr>
        <w:ind w:firstLine="480" w:firstLineChars="200"/>
        <w:rPr>
          <w:rFonts w:hint="default" w:ascii="Times New Roman" w:hAnsi="Times New Roman" w:cs="Times New Roman"/>
          <w:szCs w:val="24"/>
        </w:rPr>
      </w:pPr>
      <w:r>
        <w:rPr>
          <w:rFonts w:hint="default" w:ascii="Times New Roman" w:hAnsi="Times New Roman" w:cs="Times New Roman"/>
          <w:szCs w:val="24"/>
        </w:rPr>
        <w:t xml:space="preserve">2  螺旋缠绕内衬法使用PVC-U带状型材应连续地缠绕在卷筒上储存和运输； </w:t>
      </w:r>
    </w:p>
    <w:p w14:paraId="1F2B78AD">
      <w:pPr>
        <w:ind w:firstLine="480" w:firstLineChars="200"/>
        <w:rPr>
          <w:rFonts w:hint="default" w:ascii="Times New Roman" w:hAnsi="Times New Roman" w:cs="Times New Roman"/>
          <w:szCs w:val="24"/>
        </w:rPr>
      </w:pPr>
      <w:r>
        <w:rPr>
          <w:rFonts w:hint="default" w:ascii="Times New Roman" w:hAnsi="Times New Roman" w:cs="Times New Roman"/>
          <w:szCs w:val="24"/>
        </w:rPr>
        <w:t>3  紫外光原位固化法修复材料应避光运输，存储温度应≤20℃，运输过程中应防震、防挤压，热水原位固化法修复材料应在运输过程中保证管材对温度的要求。</w:t>
      </w:r>
      <w:bookmarkEnd w:id="49"/>
    </w:p>
    <w:p w14:paraId="28DB0046">
      <w:pPr>
        <w:rPr>
          <w:rFonts w:hint="default" w:ascii="Times New Roman" w:hAnsi="Times New Roman" w:cs="Times New Roman"/>
          <w:szCs w:val="24"/>
        </w:rPr>
      </w:pPr>
      <w:r>
        <w:rPr>
          <w:rFonts w:hint="default" w:ascii="Times New Roman" w:hAnsi="Times New Roman" w:cs="Times New Roman"/>
          <w:szCs w:val="24"/>
        </w:rPr>
        <w:t>4.1.</w:t>
      </w:r>
      <w:bookmarkStart w:id="50" w:name="_Toc5050"/>
      <w:r>
        <w:rPr>
          <w:rFonts w:hint="default" w:ascii="Times New Roman" w:hAnsi="Times New Roman" w:cs="Times New Roman"/>
          <w:szCs w:val="24"/>
        </w:rPr>
        <w:t>4  内衬管与原有管道间的环状空隙需进行注浆时，所用的注浆材料应符合下列规定：</w:t>
      </w:r>
      <w:bookmarkEnd w:id="50"/>
    </w:p>
    <w:p w14:paraId="1732A52F">
      <w:pPr>
        <w:ind w:firstLine="480" w:firstLineChars="200"/>
        <w:rPr>
          <w:rFonts w:hint="default" w:ascii="Times New Roman" w:hAnsi="Times New Roman" w:cs="Times New Roman"/>
          <w:szCs w:val="24"/>
        </w:rPr>
      </w:pPr>
      <w:r>
        <w:rPr>
          <w:rFonts w:hint="default" w:ascii="Times New Roman" w:hAnsi="Times New Roman" w:cs="Times New Roman"/>
          <w:szCs w:val="24"/>
        </w:rPr>
        <w:t>1  注浆材料应具有高流动性，可用于狭窄间隙填充；</w:t>
      </w:r>
    </w:p>
    <w:p w14:paraId="2684141E">
      <w:pPr>
        <w:ind w:firstLine="480" w:firstLineChars="200"/>
        <w:rPr>
          <w:rFonts w:hint="default" w:ascii="Times New Roman" w:hAnsi="Times New Roman" w:cs="Times New Roman"/>
          <w:szCs w:val="24"/>
        </w:rPr>
      </w:pPr>
      <w:r>
        <w:rPr>
          <w:rFonts w:hint="default" w:ascii="Times New Roman" w:hAnsi="Times New Roman" w:cs="Times New Roman"/>
          <w:szCs w:val="24"/>
        </w:rPr>
        <w:t>2  注浆材料应具有抗离析、微膨胀、抗开裂性能。</w:t>
      </w:r>
    </w:p>
    <w:p w14:paraId="16E4847F">
      <w:pPr>
        <w:pStyle w:val="3"/>
        <w:bidi w:val="0"/>
        <w:rPr>
          <w:rFonts w:hint="default" w:ascii="Times New Roman" w:hAnsi="Times New Roman" w:cs="Times New Roman"/>
        </w:rPr>
      </w:pPr>
      <w:bookmarkStart w:id="51" w:name="_Toc24489"/>
      <w:bookmarkStart w:id="52" w:name="_Toc27256"/>
      <w:bookmarkStart w:id="53" w:name="_Toc29439"/>
      <w:r>
        <w:rPr>
          <w:rFonts w:hint="default" w:ascii="Times New Roman" w:hAnsi="Times New Roman" w:cs="Times New Roman"/>
        </w:rPr>
        <w:t>4.2</w:t>
      </w:r>
      <w:bookmarkStart w:id="54" w:name="_Toc139976880"/>
      <w:bookmarkEnd w:id="54"/>
      <w:bookmarkStart w:id="55" w:name="_Toc139979316"/>
      <w:bookmarkEnd w:id="55"/>
      <w:bookmarkStart w:id="56" w:name="_Toc139989320"/>
      <w:bookmarkEnd w:id="56"/>
      <w:bookmarkStart w:id="57" w:name="_Toc139979319"/>
      <w:bookmarkEnd w:id="57"/>
      <w:bookmarkStart w:id="58" w:name="_Toc138062755"/>
      <w:bookmarkEnd w:id="58"/>
      <w:bookmarkStart w:id="59" w:name="_Toc138075560"/>
      <w:bookmarkEnd w:id="59"/>
      <w:bookmarkStart w:id="60" w:name="_Toc138062838"/>
      <w:bookmarkEnd w:id="60"/>
      <w:bookmarkStart w:id="61" w:name="_Toc139989316"/>
      <w:bookmarkEnd w:id="61"/>
      <w:bookmarkStart w:id="62" w:name="_Toc138061303"/>
      <w:bookmarkEnd w:id="62"/>
      <w:bookmarkStart w:id="63" w:name="_Toc139979315"/>
      <w:bookmarkEnd w:id="63"/>
      <w:bookmarkStart w:id="64" w:name="_Toc139977319"/>
      <w:bookmarkEnd w:id="64"/>
      <w:bookmarkStart w:id="65" w:name="_Toc139976882"/>
      <w:bookmarkEnd w:id="65"/>
      <w:bookmarkStart w:id="66" w:name="_Toc139979312"/>
      <w:bookmarkEnd w:id="66"/>
      <w:bookmarkStart w:id="67" w:name="_Toc139977316"/>
      <w:bookmarkEnd w:id="67"/>
      <w:bookmarkStart w:id="68" w:name="_Toc139977313"/>
      <w:bookmarkEnd w:id="68"/>
      <w:bookmarkStart w:id="69" w:name="_Toc139979314"/>
      <w:bookmarkEnd w:id="69"/>
      <w:bookmarkStart w:id="70" w:name="_Toc139979318"/>
      <w:bookmarkEnd w:id="70"/>
      <w:bookmarkStart w:id="71" w:name="_Toc139980227"/>
      <w:bookmarkEnd w:id="71"/>
      <w:bookmarkStart w:id="72" w:name="_Toc139979311"/>
      <w:bookmarkEnd w:id="72"/>
      <w:bookmarkStart w:id="73" w:name="_Toc139989323"/>
      <w:bookmarkEnd w:id="73"/>
      <w:bookmarkStart w:id="74" w:name="_Toc139977312"/>
      <w:bookmarkEnd w:id="74"/>
      <w:bookmarkStart w:id="75" w:name="_Toc139989321"/>
      <w:bookmarkEnd w:id="75"/>
      <w:bookmarkStart w:id="76" w:name="_Toc139989322"/>
      <w:bookmarkEnd w:id="76"/>
      <w:bookmarkStart w:id="77" w:name="_Toc139980228"/>
      <w:bookmarkEnd w:id="77"/>
      <w:bookmarkStart w:id="78" w:name="_Toc139976875"/>
      <w:bookmarkEnd w:id="78"/>
      <w:bookmarkStart w:id="79" w:name="_Toc139980231"/>
      <w:bookmarkEnd w:id="79"/>
      <w:bookmarkStart w:id="80" w:name="_Toc139980232"/>
      <w:bookmarkEnd w:id="80"/>
      <w:bookmarkStart w:id="81" w:name="_Toc138060731"/>
      <w:bookmarkEnd w:id="81"/>
      <w:bookmarkStart w:id="82" w:name="_Toc139977317"/>
      <w:bookmarkEnd w:id="82"/>
      <w:bookmarkStart w:id="83" w:name="_Toc139977314"/>
      <w:bookmarkEnd w:id="83"/>
      <w:bookmarkStart w:id="84" w:name="_Toc139980226"/>
      <w:bookmarkEnd w:id="84"/>
      <w:bookmarkStart w:id="85" w:name="_Toc139989324"/>
      <w:bookmarkEnd w:id="85"/>
      <w:bookmarkStart w:id="86" w:name="_Toc139976878"/>
      <w:bookmarkEnd w:id="86"/>
      <w:bookmarkStart w:id="87" w:name="_Toc139977318"/>
      <w:bookmarkEnd w:id="87"/>
      <w:bookmarkStart w:id="88" w:name="_Toc139977315"/>
      <w:bookmarkEnd w:id="88"/>
      <w:bookmarkStart w:id="89" w:name="_Toc138063000"/>
      <w:bookmarkEnd w:id="89"/>
      <w:bookmarkStart w:id="90" w:name="_Toc139989319"/>
      <w:bookmarkEnd w:id="90"/>
      <w:bookmarkStart w:id="91" w:name="_Toc139989325"/>
      <w:bookmarkEnd w:id="91"/>
      <w:bookmarkStart w:id="92" w:name="_Toc139977320"/>
      <w:bookmarkEnd w:id="92"/>
      <w:bookmarkStart w:id="93" w:name="_Toc139976879"/>
      <w:bookmarkEnd w:id="93"/>
      <w:bookmarkStart w:id="94" w:name="_Toc139979317"/>
      <w:bookmarkEnd w:id="94"/>
      <w:bookmarkStart w:id="95" w:name="_Toc139980229"/>
      <w:bookmarkEnd w:id="95"/>
      <w:bookmarkStart w:id="96" w:name="_Toc139989317"/>
      <w:bookmarkEnd w:id="96"/>
      <w:bookmarkStart w:id="97" w:name="_Toc138062666"/>
      <w:bookmarkEnd w:id="97"/>
      <w:bookmarkStart w:id="98" w:name="_Toc138061397"/>
      <w:bookmarkEnd w:id="98"/>
      <w:bookmarkStart w:id="99" w:name="_Toc139980230"/>
      <w:bookmarkEnd w:id="99"/>
      <w:bookmarkStart w:id="100" w:name="_Toc139980234"/>
      <w:bookmarkEnd w:id="100"/>
      <w:bookmarkStart w:id="101" w:name="_Toc139980235"/>
      <w:bookmarkEnd w:id="101"/>
      <w:bookmarkStart w:id="102" w:name="_Toc139976881"/>
      <w:bookmarkEnd w:id="102"/>
      <w:bookmarkStart w:id="103" w:name="_Toc139977321"/>
      <w:bookmarkEnd w:id="103"/>
      <w:bookmarkStart w:id="104" w:name="_Toc139976877"/>
      <w:bookmarkEnd w:id="104"/>
      <w:bookmarkStart w:id="105" w:name="_Toc139976876"/>
      <w:bookmarkEnd w:id="105"/>
      <w:bookmarkStart w:id="106" w:name="_Toc139980233"/>
      <w:bookmarkEnd w:id="106"/>
      <w:bookmarkStart w:id="107" w:name="_Toc139979313"/>
      <w:bookmarkEnd w:id="107"/>
      <w:bookmarkStart w:id="108" w:name="_Toc139989318"/>
      <w:bookmarkEnd w:id="108"/>
      <w:bookmarkStart w:id="109" w:name="_Toc139976874"/>
      <w:bookmarkEnd w:id="109"/>
      <w:bookmarkStart w:id="110" w:name="_Toc139979310"/>
      <w:bookmarkEnd w:id="110"/>
      <w:bookmarkStart w:id="111" w:name="_Toc139976873"/>
      <w:bookmarkEnd w:id="111"/>
      <w:bookmarkStart w:id="112" w:name="_Toc140147514"/>
      <w:bookmarkStart w:id="113" w:name="_Toc139989326"/>
      <w:bookmarkStart w:id="114" w:name="_Toc140155157"/>
      <w:bookmarkStart w:id="115" w:name="_Toc140181976"/>
      <w:r>
        <w:rPr>
          <w:rFonts w:hint="default" w:ascii="Times New Roman" w:hAnsi="Times New Roman" w:cs="Times New Roman"/>
        </w:rPr>
        <w:t>原位固化法</w:t>
      </w:r>
      <w:bookmarkEnd w:id="51"/>
      <w:bookmarkEnd w:id="112"/>
      <w:bookmarkEnd w:id="113"/>
      <w:bookmarkEnd w:id="114"/>
      <w:bookmarkEnd w:id="115"/>
    </w:p>
    <w:p w14:paraId="3BA9DD3B">
      <w:pPr>
        <w:rPr>
          <w:rFonts w:hint="default" w:ascii="Times New Roman" w:hAnsi="Times New Roman" w:cs="Times New Roman"/>
        </w:rPr>
      </w:pPr>
      <w:r>
        <w:rPr>
          <w:rFonts w:hint="default" w:ascii="Times New Roman" w:hAnsi="Times New Roman" w:cs="Times New Roman"/>
        </w:rPr>
        <w:t>4.2.1  原位固化法（CIPP）采用的原材料应包括树脂和干软管。</w:t>
      </w:r>
    </w:p>
    <w:p w14:paraId="5162B8CD">
      <w:pPr>
        <w:rPr>
          <w:rFonts w:hint="default" w:ascii="Times New Roman" w:hAnsi="Times New Roman" w:cs="Times New Roman"/>
        </w:rPr>
      </w:pPr>
      <w:r>
        <w:rPr>
          <w:rFonts w:hint="default" w:ascii="Times New Roman" w:hAnsi="Times New Roman" w:cs="Times New Roman"/>
        </w:rPr>
        <w:t>4.2.2  原位固化法（CIPP）使用的树脂应符合下列规定：</w:t>
      </w:r>
    </w:p>
    <w:p w14:paraId="0E6944A9">
      <w:pPr>
        <w:ind w:firstLine="480" w:firstLineChars="200"/>
        <w:rPr>
          <w:rFonts w:hint="default" w:ascii="Times New Roman" w:hAnsi="Times New Roman" w:cs="Times New Roman"/>
        </w:rPr>
      </w:pPr>
      <w:r>
        <w:rPr>
          <w:rFonts w:hint="default" w:ascii="Times New Roman" w:hAnsi="Times New Roman" w:cs="Times New Roman"/>
        </w:rPr>
        <w:t>1  树脂可采用不饱和聚酯树脂（UP）、环氧树脂（EP）或乙烯基酯树脂（VE），其中不饱和聚酯树脂设计不得采用邻苯型UPR，必须采用间苯型UPR；</w:t>
      </w:r>
    </w:p>
    <w:p w14:paraId="3BD76E7E">
      <w:pPr>
        <w:ind w:firstLine="480" w:firstLineChars="200"/>
        <w:rPr>
          <w:rFonts w:hint="default" w:ascii="Times New Roman" w:hAnsi="Times New Roman" w:cs="Times New Roman"/>
        </w:rPr>
      </w:pPr>
      <w:r>
        <w:rPr>
          <w:rFonts w:hint="default" w:ascii="Times New Roman" w:hAnsi="Times New Roman" w:cs="Times New Roman"/>
        </w:rPr>
        <w:t>2  树脂应具有良好的浸润性及触变性能，并应长期耐腐蚀、耐磨损；</w:t>
      </w:r>
    </w:p>
    <w:p w14:paraId="6ADABA7C">
      <w:pPr>
        <w:ind w:firstLine="480" w:firstLineChars="200"/>
        <w:rPr>
          <w:rFonts w:hint="default" w:ascii="Times New Roman" w:hAnsi="Times New Roman" w:cs="Times New Roman"/>
        </w:rPr>
      </w:pPr>
      <w:r>
        <w:rPr>
          <w:rFonts w:hint="default" w:ascii="Times New Roman" w:hAnsi="Times New Roman" w:cs="Times New Roman"/>
        </w:rPr>
        <w:t>3  树脂的材料应根据管道水质条件确定，宜按表4.2.2-1选用；</w:t>
      </w:r>
    </w:p>
    <w:p w14:paraId="2795A3A7">
      <w:pPr>
        <w:ind w:firstLine="482" w:firstLineChars="200"/>
        <w:jc w:val="center"/>
        <w:rPr>
          <w:rFonts w:hint="default" w:ascii="Times New Roman" w:hAnsi="Times New Roman" w:cs="Times New Roman"/>
          <w:b/>
          <w:bCs/>
        </w:rPr>
      </w:pPr>
      <w:r>
        <w:rPr>
          <w:rFonts w:hint="default" w:ascii="Times New Roman" w:hAnsi="Times New Roman" w:cs="Times New Roman"/>
          <w:b/>
          <w:bCs/>
        </w:rPr>
        <w:t>表 4.2.2-1  管道水质对应树脂类型表</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16"/>
        <w:gridCol w:w="4506"/>
      </w:tblGrid>
      <w:tr w14:paraId="1575B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30403E8">
            <w:pPr>
              <w:jc w:val="center"/>
              <w:rPr>
                <w:rFonts w:hint="default" w:ascii="Times New Roman" w:hAnsi="Times New Roman" w:cs="Times New Roman"/>
                <w:sz w:val="21"/>
              </w:rPr>
            </w:pPr>
            <w:r>
              <w:rPr>
                <w:rFonts w:hint="default" w:ascii="Times New Roman" w:hAnsi="Times New Roman" w:cs="Times New Roman"/>
                <w:sz w:val="21"/>
              </w:rPr>
              <w:t>管道水质条件</w:t>
            </w:r>
          </w:p>
        </w:tc>
        <w:tc>
          <w:tcPr>
            <w:tcW w:w="0" w:type="auto"/>
            <w:vAlign w:val="center"/>
          </w:tcPr>
          <w:p w14:paraId="2C7AD283">
            <w:pPr>
              <w:jc w:val="center"/>
              <w:rPr>
                <w:rFonts w:hint="default" w:ascii="Times New Roman" w:hAnsi="Times New Roman" w:cs="Times New Roman"/>
                <w:sz w:val="21"/>
              </w:rPr>
            </w:pPr>
            <w:r>
              <w:rPr>
                <w:rFonts w:hint="default" w:ascii="Times New Roman" w:hAnsi="Times New Roman" w:cs="Times New Roman"/>
                <w:sz w:val="21"/>
              </w:rPr>
              <w:t>选用树脂类型</w:t>
            </w:r>
          </w:p>
        </w:tc>
      </w:tr>
      <w:tr w14:paraId="2DF0A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0" w:type="auto"/>
            <w:vAlign w:val="center"/>
          </w:tcPr>
          <w:p w14:paraId="462BEB7F">
            <w:pPr>
              <w:jc w:val="center"/>
              <w:rPr>
                <w:rFonts w:hint="default" w:ascii="Times New Roman" w:hAnsi="Times New Roman" w:cs="Times New Roman"/>
                <w:sz w:val="21"/>
              </w:rPr>
            </w:pPr>
            <w:r>
              <w:rPr>
                <w:rFonts w:hint="default" w:ascii="Times New Roman" w:hAnsi="Times New Roman" w:cs="Times New Roman"/>
                <w:sz w:val="21"/>
              </w:rPr>
              <w:t>雨水，城镇生活污水</w:t>
            </w:r>
          </w:p>
        </w:tc>
        <w:tc>
          <w:tcPr>
            <w:tcW w:w="0" w:type="auto"/>
            <w:vAlign w:val="center"/>
          </w:tcPr>
          <w:p w14:paraId="7C72674D">
            <w:pPr>
              <w:jc w:val="center"/>
              <w:rPr>
                <w:rFonts w:hint="default" w:ascii="Times New Roman" w:hAnsi="Times New Roman" w:cs="Times New Roman"/>
                <w:sz w:val="21"/>
              </w:rPr>
            </w:pPr>
            <w:r>
              <w:rPr>
                <w:rFonts w:hint="default" w:ascii="Times New Roman" w:hAnsi="Times New Roman" w:cs="Times New Roman"/>
                <w:sz w:val="21"/>
              </w:rPr>
              <w:t>不饱和聚酯树脂（UP）、环氧树脂（EP）或乙烯基酯树脂（VE）</w:t>
            </w:r>
          </w:p>
        </w:tc>
      </w:tr>
      <w:tr w14:paraId="00AF3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vAlign w:val="center"/>
          </w:tcPr>
          <w:p w14:paraId="4FEDDFCF">
            <w:pPr>
              <w:jc w:val="center"/>
              <w:rPr>
                <w:rFonts w:hint="default" w:ascii="Times New Roman" w:hAnsi="Times New Roman" w:cs="Times New Roman"/>
                <w:sz w:val="21"/>
              </w:rPr>
            </w:pPr>
            <w:r>
              <w:rPr>
                <w:rFonts w:hint="default" w:ascii="Times New Roman" w:hAnsi="Times New Roman" w:cs="Times New Roman"/>
                <w:sz w:val="21"/>
              </w:rPr>
              <w:t>pH≥8腐蚀性废水，或含有甲醇、甲苯类有机溶剂的废水，或温度高于40℃的废水</w:t>
            </w:r>
          </w:p>
        </w:tc>
        <w:tc>
          <w:tcPr>
            <w:tcW w:w="0" w:type="auto"/>
            <w:vAlign w:val="center"/>
          </w:tcPr>
          <w:p w14:paraId="5327AE2A">
            <w:pPr>
              <w:jc w:val="center"/>
              <w:rPr>
                <w:rFonts w:hint="default" w:ascii="Times New Roman" w:hAnsi="Times New Roman" w:cs="Times New Roman"/>
                <w:sz w:val="21"/>
              </w:rPr>
            </w:pPr>
            <w:r>
              <w:rPr>
                <w:rFonts w:hint="default" w:ascii="Times New Roman" w:hAnsi="Times New Roman" w:cs="Times New Roman"/>
                <w:sz w:val="21"/>
              </w:rPr>
              <w:t>环氧树脂（EP）、乙烯基酯树脂（VE）（树脂供应商应出具可用于该用途的适用报告）</w:t>
            </w:r>
          </w:p>
        </w:tc>
      </w:tr>
    </w:tbl>
    <w:p w14:paraId="31BAE62D">
      <w:pPr>
        <w:ind w:firstLine="480" w:firstLineChars="200"/>
        <w:rPr>
          <w:rFonts w:hint="default" w:ascii="Times New Roman" w:hAnsi="Times New Roman" w:cs="Times New Roman"/>
        </w:rPr>
      </w:pPr>
      <w:r>
        <w:rPr>
          <w:rFonts w:hint="default" w:ascii="Times New Roman" w:hAnsi="Times New Roman" w:cs="Times New Roman"/>
        </w:rPr>
        <w:t>4  原位固化法树脂浇铸体性能要求应符合表4.2.2-2规定；</w:t>
      </w:r>
    </w:p>
    <w:p w14:paraId="596C41B2">
      <w:pPr>
        <w:ind w:firstLine="482" w:firstLineChars="200"/>
        <w:jc w:val="center"/>
        <w:rPr>
          <w:rFonts w:hint="default" w:ascii="Times New Roman" w:hAnsi="Times New Roman" w:cs="Times New Roman"/>
          <w:b/>
          <w:bCs/>
        </w:rPr>
      </w:pPr>
      <w:r>
        <w:rPr>
          <w:rFonts w:hint="default" w:ascii="Times New Roman" w:hAnsi="Times New Roman" w:cs="Times New Roman"/>
          <w:b/>
          <w:bCs/>
        </w:rPr>
        <w:t>表 4.2.2-2  原位固化法树脂浇铸体性能要求</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409"/>
        <w:gridCol w:w="1170"/>
        <w:gridCol w:w="1348"/>
        <w:gridCol w:w="3134"/>
      </w:tblGrid>
      <w:tr w14:paraId="7212D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0" w:type="auto"/>
            <w:vAlign w:val="center"/>
          </w:tcPr>
          <w:p w14:paraId="3132E6DE">
            <w:pPr>
              <w:jc w:val="center"/>
              <w:rPr>
                <w:rFonts w:hint="default" w:ascii="Times New Roman" w:hAnsi="Times New Roman" w:cs="Times New Roman"/>
                <w:sz w:val="21"/>
              </w:rPr>
            </w:pPr>
            <w:r>
              <w:rPr>
                <w:rFonts w:hint="default" w:ascii="Times New Roman" w:hAnsi="Times New Roman" w:cs="Times New Roman"/>
                <w:sz w:val="21"/>
              </w:rPr>
              <w:t>纯树脂性能</w:t>
            </w:r>
          </w:p>
        </w:tc>
        <w:tc>
          <w:tcPr>
            <w:tcW w:w="0" w:type="auto"/>
            <w:vAlign w:val="center"/>
          </w:tcPr>
          <w:p w14:paraId="7163FCD3">
            <w:pPr>
              <w:jc w:val="center"/>
              <w:rPr>
                <w:rFonts w:hint="default" w:ascii="Times New Roman" w:hAnsi="Times New Roman" w:cs="Times New Roman"/>
                <w:sz w:val="21"/>
              </w:rPr>
            </w:pPr>
            <w:r>
              <w:rPr>
                <w:rFonts w:hint="default" w:ascii="Times New Roman" w:hAnsi="Times New Roman" w:cs="Times New Roman"/>
                <w:sz w:val="21"/>
              </w:rPr>
              <w:t>不饱和聚酯树脂（UP）</w:t>
            </w:r>
          </w:p>
        </w:tc>
        <w:tc>
          <w:tcPr>
            <w:tcW w:w="0" w:type="auto"/>
            <w:vAlign w:val="center"/>
          </w:tcPr>
          <w:p w14:paraId="4B1A6A27">
            <w:pPr>
              <w:jc w:val="center"/>
              <w:rPr>
                <w:rFonts w:hint="default" w:ascii="Times New Roman" w:hAnsi="Times New Roman" w:cs="Times New Roman"/>
                <w:sz w:val="21"/>
              </w:rPr>
            </w:pPr>
            <w:r>
              <w:rPr>
                <w:rFonts w:hint="default" w:ascii="Times New Roman" w:hAnsi="Times New Roman" w:cs="Times New Roman"/>
                <w:sz w:val="21"/>
              </w:rPr>
              <w:t>环氧树脂（EP）</w:t>
            </w:r>
          </w:p>
        </w:tc>
        <w:tc>
          <w:tcPr>
            <w:tcW w:w="0" w:type="auto"/>
            <w:vAlign w:val="center"/>
          </w:tcPr>
          <w:p w14:paraId="02222EC4">
            <w:pPr>
              <w:jc w:val="center"/>
              <w:rPr>
                <w:rFonts w:hint="default" w:ascii="Times New Roman" w:hAnsi="Times New Roman" w:cs="Times New Roman"/>
                <w:sz w:val="21"/>
              </w:rPr>
            </w:pPr>
            <w:r>
              <w:rPr>
                <w:rFonts w:hint="default" w:ascii="Times New Roman" w:hAnsi="Times New Roman" w:cs="Times New Roman"/>
                <w:sz w:val="21"/>
              </w:rPr>
              <w:t>乙烯基酯树脂（VE）</w:t>
            </w:r>
          </w:p>
        </w:tc>
        <w:tc>
          <w:tcPr>
            <w:tcW w:w="0" w:type="auto"/>
            <w:vAlign w:val="center"/>
          </w:tcPr>
          <w:p w14:paraId="470C795C">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6053F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26E0641">
            <w:pPr>
              <w:jc w:val="center"/>
              <w:rPr>
                <w:rFonts w:hint="default" w:ascii="Times New Roman" w:hAnsi="Times New Roman" w:cs="Times New Roman"/>
                <w:sz w:val="21"/>
              </w:rPr>
            </w:pPr>
            <w:r>
              <w:rPr>
                <w:rFonts w:hint="default" w:ascii="Times New Roman" w:hAnsi="Times New Roman" w:cs="Times New Roman"/>
                <w:sz w:val="21"/>
              </w:rPr>
              <w:t>弯曲模量（MPa）</w:t>
            </w:r>
          </w:p>
        </w:tc>
        <w:tc>
          <w:tcPr>
            <w:tcW w:w="0" w:type="auto"/>
            <w:vAlign w:val="center"/>
          </w:tcPr>
          <w:p w14:paraId="18D880CE">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Align w:val="center"/>
          </w:tcPr>
          <w:p w14:paraId="7521F2C5">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Align w:val="center"/>
          </w:tcPr>
          <w:p w14:paraId="1445AEC2">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Merge w:val="restart"/>
            <w:vAlign w:val="center"/>
          </w:tcPr>
          <w:p w14:paraId="340ED6A8">
            <w:pPr>
              <w:jc w:val="center"/>
              <w:rPr>
                <w:rFonts w:hint="default" w:ascii="Times New Roman" w:hAnsi="Times New Roman" w:cs="Times New Roman"/>
                <w:sz w:val="21"/>
              </w:rPr>
            </w:pPr>
            <w:r>
              <w:rPr>
                <w:rFonts w:hint="default" w:ascii="Times New Roman" w:hAnsi="Times New Roman" w:cs="Times New Roman"/>
                <w:sz w:val="21"/>
              </w:rPr>
              <w:t>《树脂浇铸体性能试验方法》GB/T 2567</w:t>
            </w:r>
          </w:p>
        </w:tc>
      </w:tr>
      <w:tr w14:paraId="4BBE8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40757739">
            <w:pPr>
              <w:jc w:val="center"/>
              <w:rPr>
                <w:rFonts w:hint="default" w:ascii="Times New Roman" w:hAnsi="Times New Roman" w:cs="Times New Roman"/>
                <w:sz w:val="21"/>
              </w:rPr>
            </w:pPr>
            <w:r>
              <w:rPr>
                <w:rFonts w:hint="default" w:ascii="Times New Roman" w:hAnsi="Times New Roman" w:cs="Times New Roman"/>
                <w:sz w:val="21"/>
              </w:rPr>
              <w:t>弯曲强度（MPa）</w:t>
            </w:r>
          </w:p>
        </w:tc>
        <w:tc>
          <w:tcPr>
            <w:tcW w:w="0" w:type="auto"/>
            <w:vAlign w:val="center"/>
          </w:tcPr>
          <w:p w14:paraId="3B7CAA2E">
            <w:pPr>
              <w:jc w:val="center"/>
              <w:rPr>
                <w:rFonts w:hint="default" w:ascii="Times New Roman" w:hAnsi="Times New Roman" w:cs="Times New Roman"/>
                <w:sz w:val="21"/>
              </w:rPr>
            </w:pPr>
            <w:r>
              <w:rPr>
                <w:rFonts w:hint="default" w:ascii="Times New Roman" w:hAnsi="Times New Roman" w:cs="Times New Roman"/>
                <w:sz w:val="21"/>
              </w:rPr>
              <w:t>≥120</w:t>
            </w:r>
          </w:p>
        </w:tc>
        <w:tc>
          <w:tcPr>
            <w:tcW w:w="0" w:type="auto"/>
            <w:vAlign w:val="center"/>
          </w:tcPr>
          <w:p w14:paraId="2C62AB1C">
            <w:pPr>
              <w:jc w:val="center"/>
              <w:rPr>
                <w:rFonts w:hint="default" w:ascii="Times New Roman" w:hAnsi="Times New Roman" w:cs="Times New Roman"/>
                <w:sz w:val="21"/>
              </w:rPr>
            </w:pPr>
            <w:r>
              <w:rPr>
                <w:rFonts w:hint="default" w:ascii="Times New Roman" w:hAnsi="Times New Roman" w:cs="Times New Roman"/>
                <w:sz w:val="21"/>
              </w:rPr>
              <w:t>≥120</w:t>
            </w:r>
          </w:p>
        </w:tc>
        <w:tc>
          <w:tcPr>
            <w:tcW w:w="0" w:type="auto"/>
            <w:vAlign w:val="center"/>
          </w:tcPr>
          <w:p w14:paraId="11C2CBB1">
            <w:pPr>
              <w:jc w:val="center"/>
              <w:rPr>
                <w:rFonts w:hint="default" w:ascii="Times New Roman" w:hAnsi="Times New Roman" w:cs="Times New Roman"/>
                <w:sz w:val="21"/>
              </w:rPr>
            </w:pPr>
            <w:r>
              <w:rPr>
                <w:rFonts w:hint="default" w:ascii="Times New Roman" w:hAnsi="Times New Roman" w:cs="Times New Roman"/>
                <w:sz w:val="21"/>
              </w:rPr>
              <w:t>≥120</w:t>
            </w:r>
          </w:p>
        </w:tc>
        <w:tc>
          <w:tcPr>
            <w:tcW w:w="0" w:type="auto"/>
            <w:vMerge w:val="continue"/>
            <w:vAlign w:val="center"/>
          </w:tcPr>
          <w:p w14:paraId="34661E5B">
            <w:pPr>
              <w:ind w:firstLine="420" w:firstLineChars="200"/>
              <w:jc w:val="center"/>
              <w:rPr>
                <w:rFonts w:hint="default" w:ascii="Times New Roman" w:hAnsi="Times New Roman" w:cs="Times New Roman"/>
                <w:sz w:val="21"/>
              </w:rPr>
            </w:pPr>
          </w:p>
        </w:tc>
      </w:tr>
      <w:tr w14:paraId="0A387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74FF4A14">
            <w:pPr>
              <w:jc w:val="center"/>
              <w:rPr>
                <w:rFonts w:hint="default" w:ascii="Times New Roman" w:hAnsi="Times New Roman" w:cs="Times New Roman"/>
                <w:sz w:val="21"/>
              </w:rPr>
            </w:pPr>
            <w:r>
              <w:rPr>
                <w:rFonts w:hint="default" w:ascii="Times New Roman" w:hAnsi="Times New Roman" w:cs="Times New Roman"/>
                <w:sz w:val="21"/>
              </w:rPr>
              <w:t>拉伸模量（MPa）</w:t>
            </w:r>
          </w:p>
        </w:tc>
        <w:tc>
          <w:tcPr>
            <w:tcW w:w="0" w:type="auto"/>
            <w:vAlign w:val="center"/>
          </w:tcPr>
          <w:p w14:paraId="7DB5DA93">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Align w:val="center"/>
          </w:tcPr>
          <w:p w14:paraId="00D83F4E">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Align w:val="center"/>
          </w:tcPr>
          <w:p w14:paraId="662BCBCA">
            <w:pPr>
              <w:jc w:val="center"/>
              <w:rPr>
                <w:rFonts w:hint="default" w:ascii="Times New Roman" w:hAnsi="Times New Roman" w:cs="Times New Roman"/>
                <w:sz w:val="21"/>
              </w:rPr>
            </w:pPr>
            <w:r>
              <w:rPr>
                <w:rFonts w:hint="default" w:ascii="Times New Roman" w:hAnsi="Times New Roman" w:cs="Times New Roman"/>
                <w:sz w:val="21"/>
              </w:rPr>
              <w:t>≥3000</w:t>
            </w:r>
          </w:p>
        </w:tc>
        <w:tc>
          <w:tcPr>
            <w:tcW w:w="0" w:type="auto"/>
            <w:vMerge w:val="continue"/>
            <w:vAlign w:val="center"/>
          </w:tcPr>
          <w:p w14:paraId="4E261062">
            <w:pPr>
              <w:ind w:firstLine="420" w:firstLineChars="200"/>
              <w:jc w:val="center"/>
              <w:rPr>
                <w:rFonts w:hint="default" w:ascii="Times New Roman" w:hAnsi="Times New Roman" w:cs="Times New Roman"/>
                <w:sz w:val="21"/>
              </w:rPr>
            </w:pPr>
          </w:p>
        </w:tc>
      </w:tr>
      <w:tr w14:paraId="326AC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04CFA983">
            <w:pPr>
              <w:jc w:val="center"/>
              <w:rPr>
                <w:rFonts w:hint="default" w:ascii="Times New Roman" w:hAnsi="Times New Roman" w:cs="Times New Roman"/>
                <w:sz w:val="21"/>
              </w:rPr>
            </w:pPr>
            <w:r>
              <w:rPr>
                <w:rFonts w:hint="default" w:ascii="Times New Roman" w:hAnsi="Times New Roman" w:cs="Times New Roman"/>
                <w:sz w:val="21"/>
              </w:rPr>
              <w:t>拉伸强度（MPa）</w:t>
            </w:r>
          </w:p>
        </w:tc>
        <w:tc>
          <w:tcPr>
            <w:tcW w:w="0" w:type="auto"/>
            <w:vAlign w:val="center"/>
          </w:tcPr>
          <w:p w14:paraId="4B1B8DF8">
            <w:pPr>
              <w:jc w:val="center"/>
              <w:rPr>
                <w:rFonts w:hint="default" w:ascii="Times New Roman" w:hAnsi="Times New Roman" w:cs="Times New Roman"/>
                <w:sz w:val="21"/>
              </w:rPr>
            </w:pPr>
            <w:r>
              <w:rPr>
                <w:rFonts w:hint="default" w:ascii="Times New Roman" w:hAnsi="Times New Roman" w:cs="Times New Roman"/>
                <w:sz w:val="21"/>
              </w:rPr>
              <w:t>≥60</w:t>
            </w:r>
          </w:p>
        </w:tc>
        <w:tc>
          <w:tcPr>
            <w:tcW w:w="0" w:type="auto"/>
            <w:vAlign w:val="center"/>
          </w:tcPr>
          <w:p w14:paraId="495BBDCA">
            <w:pPr>
              <w:jc w:val="center"/>
              <w:rPr>
                <w:rFonts w:hint="default" w:ascii="Times New Roman" w:hAnsi="Times New Roman" w:cs="Times New Roman"/>
                <w:sz w:val="21"/>
              </w:rPr>
            </w:pPr>
            <w:r>
              <w:rPr>
                <w:rFonts w:hint="default" w:ascii="Times New Roman" w:hAnsi="Times New Roman" w:cs="Times New Roman"/>
                <w:sz w:val="21"/>
              </w:rPr>
              <w:t>≥80</w:t>
            </w:r>
          </w:p>
        </w:tc>
        <w:tc>
          <w:tcPr>
            <w:tcW w:w="0" w:type="auto"/>
            <w:vAlign w:val="center"/>
          </w:tcPr>
          <w:p w14:paraId="50145AEE">
            <w:pPr>
              <w:jc w:val="center"/>
              <w:rPr>
                <w:rFonts w:hint="default" w:ascii="Times New Roman" w:hAnsi="Times New Roman" w:cs="Times New Roman"/>
                <w:sz w:val="21"/>
              </w:rPr>
            </w:pPr>
            <w:r>
              <w:rPr>
                <w:rFonts w:hint="default" w:ascii="Times New Roman" w:hAnsi="Times New Roman" w:cs="Times New Roman"/>
                <w:sz w:val="21"/>
              </w:rPr>
              <w:t>≥80</w:t>
            </w:r>
          </w:p>
        </w:tc>
        <w:tc>
          <w:tcPr>
            <w:tcW w:w="0" w:type="auto"/>
            <w:vMerge w:val="continue"/>
            <w:vAlign w:val="center"/>
          </w:tcPr>
          <w:p w14:paraId="32C3F152">
            <w:pPr>
              <w:ind w:firstLine="420" w:firstLineChars="200"/>
              <w:jc w:val="center"/>
              <w:rPr>
                <w:rFonts w:hint="default" w:ascii="Times New Roman" w:hAnsi="Times New Roman" w:cs="Times New Roman"/>
                <w:sz w:val="21"/>
              </w:rPr>
            </w:pPr>
          </w:p>
        </w:tc>
      </w:tr>
      <w:tr w14:paraId="11E07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78D0419B">
            <w:pPr>
              <w:jc w:val="center"/>
              <w:rPr>
                <w:rFonts w:hint="default" w:ascii="Times New Roman" w:hAnsi="Times New Roman" w:cs="Times New Roman"/>
                <w:sz w:val="21"/>
              </w:rPr>
            </w:pPr>
            <w:r>
              <w:rPr>
                <w:rFonts w:hint="default" w:ascii="Times New Roman" w:hAnsi="Times New Roman" w:cs="Times New Roman"/>
                <w:sz w:val="21"/>
              </w:rPr>
              <w:t>拉伸断裂延伸率（%）</w:t>
            </w:r>
          </w:p>
        </w:tc>
        <w:tc>
          <w:tcPr>
            <w:tcW w:w="0" w:type="auto"/>
            <w:vAlign w:val="center"/>
          </w:tcPr>
          <w:p w14:paraId="76D0EF57">
            <w:pPr>
              <w:jc w:val="center"/>
              <w:rPr>
                <w:rFonts w:hint="default" w:ascii="Times New Roman" w:hAnsi="Times New Roman" w:cs="Times New Roman"/>
                <w:sz w:val="21"/>
              </w:rPr>
            </w:pPr>
            <w:r>
              <w:rPr>
                <w:rFonts w:hint="default" w:ascii="Times New Roman" w:hAnsi="Times New Roman" w:cs="Times New Roman"/>
                <w:sz w:val="21"/>
              </w:rPr>
              <w:t>≥2.5</w:t>
            </w:r>
          </w:p>
        </w:tc>
        <w:tc>
          <w:tcPr>
            <w:tcW w:w="0" w:type="auto"/>
            <w:vAlign w:val="center"/>
          </w:tcPr>
          <w:p w14:paraId="1B411D0A">
            <w:pPr>
              <w:jc w:val="center"/>
              <w:rPr>
                <w:rFonts w:hint="default" w:ascii="Times New Roman" w:hAnsi="Times New Roman" w:cs="Times New Roman"/>
                <w:sz w:val="21"/>
              </w:rPr>
            </w:pPr>
            <w:r>
              <w:rPr>
                <w:rFonts w:hint="default" w:ascii="Times New Roman" w:hAnsi="Times New Roman" w:cs="Times New Roman"/>
                <w:sz w:val="21"/>
              </w:rPr>
              <w:t>≥4</w:t>
            </w:r>
          </w:p>
        </w:tc>
        <w:tc>
          <w:tcPr>
            <w:tcW w:w="0" w:type="auto"/>
            <w:vAlign w:val="center"/>
          </w:tcPr>
          <w:p w14:paraId="797F50C7">
            <w:pPr>
              <w:jc w:val="center"/>
              <w:rPr>
                <w:rFonts w:hint="default" w:ascii="Times New Roman" w:hAnsi="Times New Roman" w:cs="Times New Roman"/>
                <w:sz w:val="21"/>
              </w:rPr>
            </w:pPr>
            <w:r>
              <w:rPr>
                <w:rFonts w:hint="default" w:ascii="Times New Roman" w:hAnsi="Times New Roman" w:cs="Times New Roman"/>
                <w:sz w:val="21"/>
              </w:rPr>
              <w:t>≥4</w:t>
            </w:r>
          </w:p>
        </w:tc>
        <w:tc>
          <w:tcPr>
            <w:tcW w:w="0" w:type="auto"/>
            <w:vMerge w:val="continue"/>
            <w:vAlign w:val="center"/>
          </w:tcPr>
          <w:p w14:paraId="16883760">
            <w:pPr>
              <w:ind w:firstLine="420" w:firstLineChars="200"/>
              <w:jc w:val="center"/>
              <w:rPr>
                <w:rFonts w:hint="default" w:ascii="Times New Roman" w:hAnsi="Times New Roman" w:cs="Times New Roman"/>
                <w:sz w:val="21"/>
              </w:rPr>
            </w:pPr>
          </w:p>
        </w:tc>
      </w:tr>
      <w:tr w14:paraId="14496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0" w:type="auto"/>
            <w:vAlign w:val="center"/>
          </w:tcPr>
          <w:p w14:paraId="62AFC351">
            <w:pPr>
              <w:jc w:val="center"/>
              <w:rPr>
                <w:rFonts w:hint="default" w:ascii="Times New Roman" w:hAnsi="Times New Roman" w:cs="Times New Roman"/>
                <w:sz w:val="21"/>
              </w:rPr>
            </w:pPr>
            <w:r>
              <w:rPr>
                <w:rFonts w:hint="default" w:ascii="Times New Roman" w:hAnsi="Times New Roman" w:cs="Times New Roman"/>
                <w:sz w:val="21"/>
              </w:rPr>
              <w:t>热变形温度（℃）</w:t>
            </w:r>
          </w:p>
        </w:tc>
        <w:tc>
          <w:tcPr>
            <w:tcW w:w="0" w:type="auto"/>
            <w:vAlign w:val="center"/>
          </w:tcPr>
          <w:p w14:paraId="358BFA0A">
            <w:pPr>
              <w:jc w:val="center"/>
              <w:rPr>
                <w:rFonts w:hint="default" w:ascii="Times New Roman" w:hAnsi="Times New Roman" w:cs="Times New Roman"/>
                <w:sz w:val="21"/>
              </w:rPr>
            </w:pPr>
            <w:r>
              <w:rPr>
                <w:rFonts w:hint="default" w:ascii="Times New Roman" w:hAnsi="Times New Roman" w:cs="Times New Roman"/>
                <w:sz w:val="21"/>
              </w:rPr>
              <w:t>≥88</w:t>
            </w:r>
          </w:p>
        </w:tc>
        <w:tc>
          <w:tcPr>
            <w:tcW w:w="0" w:type="auto"/>
            <w:vAlign w:val="center"/>
          </w:tcPr>
          <w:p w14:paraId="5681C94E">
            <w:pPr>
              <w:jc w:val="center"/>
              <w:rPr>
                <w:rFonts w:hint="default" w:ascii="Times New Roman" w:hAnsi="Times New Roman" w:cs="Times New Roman"/>
                <w:sz w:val="21"/>
              </w:rPr>
            </w:pPr>
            <w:r>
              <w:rPr>
                <w:rFonts w:hint="default" w:ascii="Times New Roman" w:hAnsi="Times New Roman" w:cs="Times New Roman"/>
                <w:sz w:val="21"/>
              </w:rPr>
              <w:t>≥85</w:t>
            </w:r>
          </w:p>
        </w:tc>
        <w:tc>
          <w:tcPr>
            <w:tcW w:w="0" w:type="auto"/>
            <w:vAlign w:val="center"/>
          </w:tcPr>
          <w:p w14:paraId="144B3B8E">
            <w:pPr>
              <w:jc w:val="center"/>
              <w:rPr>
                <w:rFonts w:hint="default" w:ascii="Times New Roman" w:hAnsi="Times New Roman" w:cs="Times New Roman"/>
                <w:sz w:val="21"/>
              </w:rPr>
            </w:pPr>
            <w:r>
              <w:rPr>
                <w:rFonts w:hint="default" w:ascii="Times New Roman" w:hAnsi="Times New Roman" w:cs="Times New Roman"/>
                <w:sz w:val="21"/>
              </w:rPr>
              <w:t>≥93</w:t>
            </w:r>
          </w:p>
        </w:tc>
        <w:tc>
          <w:tcPr>
            <w:tcW w:w="0" w:type="auto"/>
            <w:vAlign w:val="center"/>
          </w:tcPr>
          <w:p w14:paraId="51DB40E6">
            <w:pPr>
              <w:jc w:val="center"/>
              <w:rPr>
                <w:rFonts w:hint="default" w:ascii="Times New Roman" w:hAnsi="Times New Roman" w:cs="Times New Roman"/>
                <w:sz w:val="21"/>
              </w:rPr>
            </w:pPr>
            <w:r>
              <w:rPr>
                <w:rFonts w:hint="default" w:ascii="Times New Roman" w:hAnsi="Times New Roman" w:cs="Times New Roman"/>
                <w:sz w:val="21"/>
              </w:rPr>
              <w:t>《塑料 负荷变形温度的测定  第2部分：塑料和硬橡胶》GB/T 1634.2中的A法</w:t>
            </w:r>
          </w:p>
        </w:tc>
      </w:tr>
    </w:tbl>
    <w:p w14:paraId="37CCA30A">
      <w:pPr>
        <w:ind w:firstLine="480" w:firstLineChars="200"/>
        <w:rPr>
          <w:rFonts w:hint="default" w:ascii="Times New Roman" w:hAnsi="Times New Roman" w:cs="Times New Roman"/>
        </w:rPr>
      </w:pPr>
      <w:r>
        <w:rPr>
          <w:rFonts w:hint="default" w:ascii="Times New Roman" w:hAnsi="Times New Roman" w:cs="Times New Roman"/>
        </w:rPr>
        <w:t>5  树脂储藏环境、储藏温度和储藏时间应根据树脂本身的稳定性和固化体系来确定，树脂和添加剂混合后应及时进行浸渍。</w:t>
      </w:r>
    </w:p>
    <w:p w14:paraId="5361CC48">
      <w:pPr>
        <w:rPr>
          <w:rFonts w:hint="default" w:ascii="Times New Roman" w:hAnsi="Times New Roman" w:cs="Times New Roman"/>
        </w:rPr>
      </w:pPr>
      <w:r>
        <w:rPr>
          <w:rFonts w:hint="default" w:ascii="Times New Roman" w:hAnsi="Times New Roman" w:eastAsia="楷体" w:cs="Times New Roman"/>
          <w:kern w:val="2"/>
          <w:szCs w:val="24"/>
          <w:u w:val="single"/>
        </w:rPr>
        <w:t>【条文说明】本条规定了原位固化法使用的树脂系统要求，本款与ASTM D5813-04（Reapproved 2012）Standard Specification for Cured-In-Place Thermosetting Resin Sewer Piping Systems是一致的，此标准采用测试条件为23±2℃浸泡1年后弯曲弹性模量的保留率不小于80%为耐，本规程建议根据已有的加速测试原理和复合材料行为的时间-温度转化规律，按照现行国家标准《玻璃纤维增强热固性塑料耐化学介质性能试验方法》GB/T 3857加温至60℃，28d期龄的弯曲强度保留率与弯曲模量保留率的平均值大于70%，同时样品外观无劣化视为耐，否则为不耐。</w:t>
      </w:r>
    </w:p>
    <w:p w14:paraId="01F8B981">
      <w:pPr>
        <w:rPr>
          <w:rFonts w:hint="default" w:ascii="Times New Roman" w:hAnsi="Times New Roman" w:cs="Times New Roman"/>
        </w:rPr>
      </w:pPr>
      <w:r>
        <w:rPr>
          <w:rFonts w:hint="default" w:ascii="Times New Roman" w:hAnsi="Times New Roman" w:cs="Times New Roman"/>
        </w:rPr>
        <w:t>4.2.3  干软管应符合下列规定：</w:t>
      </w:r>
    </w:p>
    <w:p w14:paraId="7C292784">
      <w:pPr>
        <w:ind w:firstLine="480" w:firstLineChars="200"/>
        <w:rPr>
          <w:rFonts w:hint="default" w:ascii="Times New Roman" w:hAnsi="Times New Roman" w:cs="Times New Roman"/>
        </w:rPr>
      </w:pPr>
      <w:r>
        <w:rPr>
          <w:rFonts w:hint="default" w:ascii="Times New Roman" w:hAnsi="Times New Roman" w:cs="Times New Roman"/>
        </w:rPr>
        <w:t>1  干软管可由单层、多层玻璃纤维织物或聚酯纤维毡或同等性能的材料组成，可采用折叠法、缝合法制作，并应与所用树脂兼容，且应能承受施工的拉力、压力和固化温度；</w:t>
      </w:r>
    </w:p>
    <w:p w14:paraId="729B5050">
      <w:pPr>
        <w:ind w:firstLine="480" w:firstLineChars="200"/>
        <w:rPr>
          <w:rFonts w:hint="default" w:ascii="Times New Roman" w:hAnsi="Times New Roman" w:cs="Times New Roman"/>
        </w:rPr>
      </w:pPr>
      <w:r>
        <w:rPr>
          <w:rFonts w:hint="default" w:ascii="Times New Roman" w:hAnsi="Times New Roman" w:cs="Times New Roman"/>
        </w:rPr>
        <w:t>2  干软管的外表面应包覆一层与所采用的树脂不发生反应的非渗透性塑料膜；</w:t>
      </w:r>
    </w:p>
    <w:p w14:paraId="21705C10">
      <w:pPr>
        <w:ind w:firstLine="480" w:firstLineChars="200"/>
        <w:rPr>
          <w:rFonts w:hint="default" w:ascii="Times New Roman" w:hAnsi="Times New Roman" w:cs="Times New Roman"/>
        </w:rPr>
      </w:pPr>
      <w:r>
        <w:rPr>
          <w:rFonts w:hint="default" w:ascii="Times New Roman" w:hAnsi="Times New Roman" w:cs="Times New Roman"/>
        </w:rPr>
        <w:t>3  折叠法制作的干软管各层纤维毡或同等性能材料的接缝应错开；</w:t>
      </w:r>
    </w:p>
    <w:p w14:paraId="129046C8">
      <w:pPr>
        <w:ind w:firstLine="480" w:firstLineChars="200"/>
        <w:rPr>
          <w:rFonts w:hint="default" w:ascii="Times New Roman" w:hAnsi="Times New Roman" w:cs="Times New Roman"/>
        </w:rPr>
      </w:pPr>
      <w:r>
        <w:rPr>
          <w:rFonts w:hint="default" w:ascii="Times New Roman" w:hAnsi="Times New Roman" w:cs="Times New Roman"/>
        </w:rPr>
        <w:t>4  干软管的拉伸、弯曲性能应满足安装压力和树脂固化温度的要求，并适用于管道变径、弯曲等非规则部位的修复；</w:t>
      </w:r>
    </w:p>
    <w:p w14:paraId="02BE3EA3">
      <w:pPr>
        <w:ind w:firstLine="480" w:firstLineChars="200"/>
        <w:rPr>
          <w:rFonts w:hint="default" w:ascii="Times New Roman" w:hAnsi="Times New Roman" w:cs="Times New Roman"/>
        </w:rPr>
      </w:pPr>
      <w:r>
        <w:rPr>
          <w:rFonts w:hint="default" w:ascii="Times New Roman" w:hAnsi="Times New Roman" w:cs="Times New Roman"/>
        </w:rPr>
        <w:t>5  干软管应在抽成真空状态下充分浸渍树脂，碾胶时应控制干斑、气泡、厚度不匀、褶皱等缺陷的出现；</w:t>
      </w:r>
    </w:p>
    <w:p w14:paraId="3D5E6794">
      <w:pPr>
        <w:ind w:firstLine="480" w:firstLineChars="200"/>
        <w:rPr>
          <w:rFonts w:hint="default" w:ascii="Times New Roman" w:hAnsi="Times New Roman" w:cs="Times New Roman"/>
        </w:rPr>
      </w:pPr>
      <w:r>
        <w:rPr>
          <w:rFonts w:hint="default" w:ascii="Times New Roman" w:hAnsi="Times New Roman" w:cs="Times New Roman"/>
        </w:rPr>
        <w:t>6  干软管的轴向拉伸率不得大于2%；</w:t>
      </w:r>
    </w:p>
    <w:p w14:paraId="7D3D9D56">
      <w:pPr>
        <w:ind w:firstLine="480" w:firstLineChars="200"/>
        <w:rPr>
          <w:rFonts w:hint="default" w:ascii="Times New Roman" w:hAnsi="Times New Roman" w:cs="Times New Roman"/>
        </w:rPr>
      </w:pPr>
      <w:r>
        <w:rPr>
          <w:rFonts w:hint="default" w:ascii="Times New Roman" w:hAnsi="Times New Roman" w:cs="Times New Roman"/>
        </w:rPr>
        <w:t>7  玻璃纤维增强的纤维软管应至少包含两层夹层，软管的内表面应为聚酯毡层加苯乙烯内膜组成，外表面应为单层或多层抗苯乙烯或不透光的薄膜；</w:t>
      </w:r>
    </w:p>
    <w:p w14:paraId="5D67167B">
      <w:pPr>
        <w:ind w:firstLine="480" w:firstLineChars="200"/>
        <w:rPr>
          <w:rFonts w:hint="default" w:ascii="Times New Roman" w:hAnsi="Times New Roman" w:cs="Times New Roman"/>
        </w:rPr>
      </w:pPr>
      <w:r>
        <w:rPr>
          <w:rFonts w:hint="default" w:ascii="Times New Roman" w:hAnsi="Times New Roman" w:cs="Times New Roman"/>
        </w:rPr>
        <w:t>8  干软管制作厚度应确保固化后管壁大于等于内衬管材的设计厚度；</w:t>
      </w:r>
    </w:p>
    <w:p w14:paraId="26BBB18B">
      <w:pPr>
        <w:ind w:firstLine="480" w:firstLineChars="200"/>
        <w:rPr>
          <w:rFonts w:hint="default" w:ascii="Times New Roman" w:hAnsi="Times New Roman" w:cs="Times New Roman"/>
        </w:rPr>
      </w:pPr>
      <w:r>
        <w:rPr>
          <w:rFonts w:hint="default" w:ascii="Times New Roman" w:hAnsi="Times New Roman" w:cs="Times New Roman"/>
        </w:rPr>
        <w:t>9  干软管的长度应大于待修复管道的长度，软管直径的大小应保证在固化后能与原有管道的内壁紧贴在一起，同时不得因直径过大而在管道内部产生影响质量的隆起或褶皱。</w:t>
      </w:r>
    </w:p>
    <w:p w14:paraId="56452FF5">
      <w:pPr>
        <w:rPr>
          <w:rFonts w:hint="default" w:ascii="Times New Roman" w:hAnsi="Times New Roman" w:cs="Times New Roman"/>
        </w:rPr>
      </w:pPr>
      <w:r>
        <w:rPr>
          <w:rFonts w:hint="default" w:ascii="Times New Roman" w:hAnsi="Times New Roman" w:cs="Times New Roman"/>
        </w:rPr>
        <w:t>4.2.4  紫外光固化内衬的内膜应表面光滑，并且完整、无破损，具有良好的抗渗及防腐性能，可以采用下列材料：</w:t>
      </w:r>
    </w:p>
    <w:p w14:paraId="374DB514">
      <w:pPr>
        <w:ind w:firstLine="480" w:firstLineChars="200"/>
        <w:rPr>
          <w:rFonts w:hint="default" w:ascii="Times New Roman" w:hAnsi="Times New Roman" w:cs="Times New Roman"/>
        </w:rPr>
      </w:pPr>
      <w:r>
        <w:rPr>
          <w:rFonts w:hint="default" w:ascii="Times New Roman" w:hAnsi="Times New Roman" w:cs="Times New Roman"/>
        </w:rPr>
        <w:t>1  聚乙烯（PE）；</w:t>
      </w:r>
    </w:p>
    <w:p w14:paraId="3B288965">
      <w:pPr>
        <w:ind w:firstLine="480" w:firstLineChars="200"/>
        <w:rPr>
          <w:rFonts w:hint="default" w:ascii="Times New Roman" w:hAnsi="Times New Roman" w:cs="Times New Roman"/>
        </w:rPr>
      </w:pPr>
      <w:r>
        <w:rPr>
          <w:rFonts w:hint="default" w:ascii="Times New Roman" w:hAnsi="Times New Roman" w:cs="Times New Roman"/>
        </w:rPr>
        <w:t>2  聚丙烯（PP）；</w:t>
      </w:r>
    </w:p>
    <w:p w14:paraId="1D2BCC53">
      <w:pPr>
        <w:ind w:firstLine="480" w:firstLineChars="200"/>
        <w:rPr>
          <w:rFonts w:hint="default" w:ascii="Times New Roman" w:hAnsi="Times New Roman" w:cs="Times New Roman"/>
        </w:rPr>
      </w:pPr>
      <w:r>
        <w:rPr>
          <w:rFonts w:hint="default" w:ascii="Times New Roman" w:hAnsi="Times New Roman" w:cs="Times New Roman"/>
        </w:rPr>
        <w:t>3  聚氨酯（PUR）；</w:t>
      </w:r>
    </w:p>
    <w:p w14:paraId="344A3D75">
      <w:pPr>
        <w:ind w:firstLine="480" w:firstLineChars="200"/>
        <w:rPr>
          <w:rFonts w:hint="default" w:ascii="Times New Roman" w:hAnsi="Times New Roman" w:cs="Times New Roman"/>
        </w:rPr>
      </w:pPr>
      <w:r>
        <w:rPr>
          <w:rFonts w:hint="default" w:ascii="Times New Roman" w:hAnsi="Times New Roman" w:cs="Times New Roman"/>
        </w:rPr>
        <w:t>4  聚酰胺（PA）；</w:t>
      </w:r>
    </w:p>
    <w:p w14:paraId="1F2478EA">
      <w:pPr>
        <w:ind w:firstLine="480" w:firstLineChars="200"/>
        <w:rPr>
          <w:rFonts w:hint="default" w:ascii="Times New Roman" w:hAnsi="Times New Roman" w:cs="Times New Roman"/>
        </w:rPr>
      </w:pPr>
      <w:r>
        <w:rPr>
          <w:rFonts w:hint="default" w:ascii="Times New Roman" w:hAnsi="Times New Roman" w:cs="Times New Roman"/>
        </w:rPr>
        <w:t>5  聚氯乙烯（PVC）；</w:t>
      </w:r>
    </w:p>
    <w:p w14:paraId="553F6074">
      <w:pPr>
        <w:ind w:firstLine="480" w:firstLineChars="200"/>
        <w:rPr>
          <w:rFonts w:hint="default" w:ascii="Times New Roman" w:hAnsi="Times New Roman" w:cs="Times New Roman"/>
        </w:rPr>
      </w:pPr>
      <w:r>
        <w:rPr>
          <w:rFonts w:hint="default" w:ascii="Times New Roman" w:hAnsi="Times New Roman" w:cs="Times New Roman"/>
        </w:rPr>
        <w:t>6  紫外光固化内衬采用的临时内膜主要技术参数应符合表4.2.4的要求。</w:t>
      </w:r>
    </w:p>
    <w:p w14:paraId="333047A8">
      <w:pPr>
        <w:ind w:firstLine="482" w:firstLineChars="200"/>
        <w:jc w:val="center"/>
        <w:rPr>
          <w:rFonts w:hint="default" w:ascii="Times New Roman" w:hAnsi="Times New Roman" w:cs="Times New Roman"/>
          <w:b/>
          <w:bCs/>
        </w:rPr>
      </w:pPr>
    </w:p>
    <w:p w14:paraId="46BB9D94">
      <w:pPr>
        <w:ind w:firstLine="482" w:firstLineChars="200"/>
        <w:jc w:val="center"/>
        <w:rPr>
          <w:rFonts w:hint="default" w:ascii="Times New Roman" w:hAnsi="Times New Roman" w:cs="Times New Roman"/>
          <w:b/>
          <w:bCs/>
        </w:rPr>
      </w:pPr>
      <w:r>
        <w:rPr>
          <w:rFonts w:hint="default" w:ascii="Times New Roman" w:hAnsi="Times New Roman" w:cs="Times New Roman"/>
          <w:b/>
          <w:bCs/>
        </w:rPr>
        <w:t>表4.2.4 紫外光固化内衬临时内膜主要技术参数</w:t>
      </w:r>
    </w:p>
    <w:tbl>
      <w:tblPr>
        <w:tblStyle w:val="13"/>
        <w:tblW w:w="7777" w:type="dxa"/>
        <w:tblInd w:w="269"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3950"/>
        <w:gridCol w:w="3827"/>
      </w:tblGrid>
      <w:tr w14:paraId="6106DAC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1" w:hRule="atLeast"/>
        </w:trPr>
        <w:tc>
          <w:tcPr>
            <w:tcW w:w="3950" w:type="dxa"/>
            <w:vAlign w:val="center"/>
          </w:tcPr>
          <w:p w14:paraId="793D4C4A">
            <w:pPr>
              <w:pStyle w:val="39"/>
              <w:rPr>
                <w:rFonts w:hint="default" w:ascii="Times New Roman" w:hAnsi="Times New Roman" w:cs="Times New Roman"/>
              </w:rPr>
            </w:pPr>
            <w:r>
              <w:rPr>
                <w:rFonts w:hint="default" w:ascii="Times New Roman" w:hAnsi="Times New Roman" w:cs="Times New Roman"/>
              </w:rPr>
              <w:t>项目</w:t>
            </w:r>
          </w:p>
        </w:tc>
        <w:tc>
          <w:tcPr>
            <w:tcW w:w="3827" w:type="dxa"/>
            <w:vAlign w:val="center"/>
          </w:tcPr>
          <w:p w14:paraId="3FA4A347">
            <w:pPr>
              <w:pStyle w:val="39"/>
              <w:rPr>
                <w:rFonts w:hint="default" w:ascii="Times New Roman" w:hAnsi="Times New Roman" w:cs="Times New Roman"/>
              </w:rPr>
            </w:pPr>
            <w:r>
              <w:rPr>
                <w:rFonts w:hint="default" w:ascii="Times New Roman" w:hAnsi="Times New Roman" w:cs="Times New Roman"/>
              </w:rPr>
              <w:t>数值</w:t>
            </w:r>
          </w:p>
        </w:tc>
      </w:tr>
      <w:tr w14:paraId="0CEC449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20" w:hRule="atLeast"/>
        </w:trPr>
        <w:tc>
          <w:tcPr>
            <w:tcW w:w="3950" w:type="dxa"/>
            <w:vAlign w:val="center"/>
          </w:tcPr>
          <w:p w14:paraId="5F04C31C">
            <w:pPr>
              <w:pStyle w:val="39"/>
              <w:rPr>
                <w:rFonts w:hint="default" w:ascii="Times New Roman" w:hAnsi="Times New Roman" w:cs="Times New Roman"/>
              </w:rPr>
            </w:pPr>
            <w:r>
              <w:rPr>
                <w:rFonts w:hint="default" w:ascii="Times New Roman" w:hAnsi="Times New Roman" w:cs="Times New Roman"/>
              </w:rPr>
              <w:t>耐温（℃）</w:t>
            </w:r>
          </w:p>
        </w:tc>
        <w:tc>
          <w:tcPr>
            <w:tcW w:w="3827" w:type="dxa"/>
            <w:vAlign w:val="center"/>
          </w:tcPr>
          <w:p w14:paraId="54BE04CD">
            <w:pPr>
              <w:pStyle w:val="39"/>
              <w:rPr>
                <w:rFonts w:hint="default" w:ascii="Times New Roman" w:hAnsi="Times New Roman" w:cs="Times New Roman"/>
              </w:rPr>
            </w:pPr>
            <w:r>
              <w:rPr>
                <w:rFonts w:hint="default" w:ascii="Times New Roman" w:hAnsi="Times New Roman" w:cs="Times New Roman"/>
              </w:rPr>
              <w:t>-40~85</w:t>
            </w:r>
          </w:p>
        </w:tc>
      </w:tr>
      <w:tr w14:paraId="5B3F0DD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11" w:hRule="atLeast"/>
        </w:trPr>
        <w:tc>
          <w:tcPr>
            <w:tcW w:w="3950" w:type="dxa"/>
            <w:vAlign w:val="center"/>
          </w:tcPr>
          <w:p w14:paraId="5F0F3196">
            <w:pPr>
              <w:pStyle w:val="39"/>
              <w:rPr>
                <w:rFonts w:hint="default" w:ascii="Times New Roman" w:hAnsi="Times New Roman" w:cs="Times New Roman"/>
              </w:rPr>
            </w:pPr>
            <w:r>
              <w:rPr>
                <w:rFonts w:hint="default" w:ascii="Times New Roman" w:hAnsi="Times New Roman" w:cs="Times New Roman"/>
              </w:rPr>
              <w:t>拉伸强度（MPa）</w:t>
            </w:r>
          </w:p>
        </w:tc>
        <w:tc>
          <w:tcPr>
            <w:tcW w:w="3827" w:type="dxa"/>
            <w:vAlign w:val="center"/>
          </w:tcPr>
          <w:p w14:paraId="64EE2932">
            <w:pPr>
              <w:pStyle w:val="39"/>
              <w:rPr>
                <w:rFonts w:hint="default" w:ascii="Times New Roman" w:hAnsi="Times New Roman" w:cs="Times New Roman"/>
              </w:rPr>
            </w:pPr>
            <w:r>
              <w:rPr>
                <w:rFonts w:hint="default" w:ascii="Times New Roman" w:hAnsi="Times New Roman" w:cs="Times New Roman"/>
              </w:rPr>
              <w:t>＞55</w:t>
            </w:r>
          </w:p>
        </w:tc>
      </w:tr>
      <w:tr w14:paraId="4C1F27B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11" w:hRule="atLeast"/>
        </w:trPr>
        <w:tc>
          <w:tcPr>
            <w:tcW w:w="3950" w:type="dxa"/>
            <w:vAlign w:val="center"/>
          </w:tcPr>
          <w:p w14:paraId="23E55BE1">
            <w:pPr>
              <w:pStyle w:val="39"/>
              <w:rPr>
                <w:rFonts w:hint="default" w:ascii="Times New Roman" w:hAnsi="Times New Roman" w:cs="Times New Roman"/>
              </w:rPr>
            </w:pPr>
            <w:r>
              <w:rPr>
                <w:rFonts w:hint="default" w:ascii="Times New Roman" w:hAnsi="Times New Roman" w:cs="Times New Roman"/>
              </w:rPr>
              <w:t>延伸率（%）</w:t>
            </w:r>
          </w:p>
        </w:tc>
        <w:tc>
          <w:tcPr>
            <w:tcW w:w="3827" w:type="dxa"/>
            <w:vAlign w:val="center"/>
          </w:tcPr>
          <w:p w14:paraId="31029BC8">
            <w:pPr>
              <w:pStyle w:val="39"/>
              <w:rPr>
                <w:rFonts w:hint="default" w:ascii="Times New Roman" w:hAnsi="Times New Roman" w:cs="Times New Roman"/>
              </w:rPr>
            </w:pPr>
            <w:r>
              <w:rPr>
                <w:rFonts w:hint="default" w:ascii="Times New Roman" w:hAnsi="Times New Roman" w:cs="Times New Roman"/>
              </w:rPr>
              <w:t>8~30</w:t>
            </w:r>
          </w:p>
        </w:tc>
      </w:tr>
      <w:tr w14:paraId="658AF1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11" w:hRule="atLeast"/>
        </w:trPr>
        <w:tc>
          <w:tcPr>
            <w:tcW w:w="3950" w:type="dxa"/>
            <w:vAlign w:val="center"/>
          </w:tcPr>
          <w:p w14:paraId="6A22A787">
            <w:pPr>
              <w:pStyle w:val="39"/>
              <w:rPr>
                <w:rFonts w:hint="default" w:ascii="Times New Roman" w:hAnsi="Times New Roman" w:cs="Times New Roman"/>
              </w:rPr>
            </w:pPr>
            <w:r>
              <w:rPr>
                <w:rFonts w:hint="default" w:ascii="Times New Roman" w:hAnsi="Times New Roman" w:cs="Times New Roman"/>
              </w:rPr>
              <w:t>厚度（mm）</w:t>
            </w:r>
          </w:p>
        </w:tc>
        <w:tc>
          <w:tcPr>
            <w:tcW w:w="3827" w:type="dxa"/>
            <w:vAlign w:val="center"/>
          </w:tcPr>
          <w:p w14:paraId="4E81D310">
            <w:pPr>
              <w:pStyle w:val="39"/>
              <w:rPr>
                <w:rFonts w:hint="default" w:ascii="Times New Roman" w:hAnsi="Times New Roman" w:cs="Times New Roman"/>
              </w:rPr>
            </w:pPr>
            <w:r>
              <w:rPr>
                <w:rFonts w:hint="default" w:ascii="Times New Roman" w:hAnsi="Times New Roman" w:cs="Times New Roman"/>
              </w:rPr>
              <w:t>100~300</w:t>
            </w:r>
          </w:p>
        </w:tc>
      </w:tr>
    </w:tbl>
    <w:p w14:paraId="1968F8DA">
      <w:pPr>
        <w:rPr>
          <w:rFonts w:hint="default" w:ascii="Times New Roman" w:hAnsi="Times New Roman" w:cs="Times New Roman"/>
        </w:rPr>
      </w:pPr>
      <w:r>
        <w:rPr>
          <w:rFonts w:hint="default" w:ascii="Times New Roman" w:hAnsi="Times New Roman" w:cs="Times New Roman"/>
        </w:rPr>
        <w:t>4.2.5  湿软管应厚度均匀，表面无破损、无较大面积褶皱、无气泡。湿软管应存储在避光和生产厂商要求的温度环境中，运输过程中应记录湿软管暴露的温度和时间。</w:t>
      </w:r>
    </w:p>
    <w:p w14:paraId="3498632C">
      <w:pPr>
        <w:rPr>
          <w:rFonts w:hint="default" w:ascii="Times New Roman" w:hAnsi="Times New Roman" w:cs="Times New Roman"/>
        </w:rPr>
      </w:pPr>
      <w:r>
        <w:rPr>
          <w:rFonts w:hint="default" w:ascii="Times New Roman" w:hAnsi="Times New Roman" w:eastAsia="楷体" w:cs="Times New Roman"/>
          <w:kern w:val="2"/>
          <w:szCs w:val="24"/>
          <w:u w:val="single"/>
        </w:rPr>
        <w:t>【条文说明】原位固化法修复材料对温度比较敏感，为了避免天气较热情况下软管提前固化，一般软管应保存在不高于20℃的环境温度中，紫外光固化材料还应避光。</w:t>
      </w:r>
    </w:p>
    <w:p w14:paraId="529A02A3">
      <w:pPr>
        <w:rPr>
          <w:rFonts w:hint="default" w:ascii="Times New Roman" w:hAnsi="Times New Roman" w:cs="Times New Roman"/>
        </w:rPr>
      </w:pPr>
      <w:r>
        <w:rPr>
          <w:rFonts w:hint="default" w:ascii="Times New Roman" w:hAnsi="Times New Roman" w:cs="Times New Roman"/>
        </w:rPr>
        <w:t xml:space="preserve">4.2.6  </w:t>
      </w:r>
      <w:bookmarkStart w:id="116" w:name="_Toc138060738"/>
      <w:bookmarkEnd w:id="116"/>
      <w:r>
        <w:rPr>
          <w:rFonts w:hint="default" w:ascii="Times New Roman" w:hAnsi="Times New Roman" w:cs="Times New Roman"/>
        </w:rPr>
        <w:t>原位固化法内衬管短期力学性能应符合表4.2.6的规定。</w:t>
      </w:r>
    </w:p>
    <w:p w14:paraId="1C88FF8A">
      <w:pPr>
        <w:ind w:firstLine="482" w:firstLineChars="200"/>
        <w:jc w:val="center"/>
        <w:rPr>
          <w:rFonts w:hint="default" w:ascii="Times New Roman" w:hAnsi="Times New Roman" w:cs="Times New Roman"/>
          <w:b/>
          <w:bCs/>
        </w:rPr>
      </w:pPr>
      <w:r>
        <w:rPr>
          <w:rFonts w:hint="default" w:ascii="Times New Roman" w:hAnsi="Times New Roman" w:cs="Times New Roman"/>
          <w:b/>
          <w:bCs/>
        </w:rPr>
        <w:t>表 4.2.6  原位固化法内衬管的短期力学性能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149"/>
        <w:gridCol w:w="915"/>
        <w:gridCol w:w="884"/>
        <w:gridCol w:w="2409"/>
        <w:gridCol w:w="3063"/>
      </w:tblGrid>
      <w:tr w14:paraId="5DCD3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5" w:hRule="atLeast"/>
          <w:jc w:val="center"/>
        </w:trPr>
        <w:tc>
          <w:tcPr>
            <w:tcW w:w="0" w:type="auto"/>
            <w:vMerge w:val="restart"/>
            <w:vAlign w:val="center"/>
          </w:tcPr>
          <w:p w14:paraId="73284F64">
            <w:pPr>
              <w:jc w:val="center"/>
              <w:rPr>
                <w:rFonts w:hint="default" w:ascii="Times New Roman" w:hAnsi="Times New Roman" w:cs="Times New Roman"/>
                <w:sz w:val="21"/>
              </w:rPr>
            </w:pPr>
            <w:r>
              <w:rPr>
                <w:rFonts w:hint="default" w:ascii="Times New Roman" w:hAnsi="Times New Roman" w:cs="Times New Roman"/>
                <w:sz w:val="21"/>
              </w:rPr>
              <w:t>项目</w:t>
            </w:r>
          </w:p>
        </w:tc>
        <w:tc>
          <w:tcPr>
            <w:tcW w:w="0" w:type="auto"/>
            <w:gridSpan w:val="2"/>
            <w:vAlign w:val="center"/>
          </w:tcPr>
          <w:p w14:paraId="18B1321F">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0" w:type="auto"/>
            <w:gridSpan w:val="2"/>
            <w:vAlign w:val="center"/>
          </w:tcPr>
          <w:p w14:paraId="79FFDA63">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65244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07" w:hRule="atLeast"/>
          <w:jc w:val="center"/>
        </w:trPr>
        <w:tc>
          <w:tcPr>
            <w:tcW w:w="0" w:type="auto"/>
            <w:vMerge w:val="continue"/>
            <w:vAlign w:val="center"/>
          </w:tcPr>
          <w:p w14:paraId="38B2A1A4">
            <w:pPr>
              <w:jc w:val="center"/>
              <w:rPr>
                <w:rFonts w:hint="default" w:ascii="Times New Roman" w:hAnsi="Times New Roman" w:cs="Times New Roman"/>
                <w:sz w:val="21"/>
              </w:rPr>
            </w:pPr>
          </w:p>
        </w:tc>
        <w:tc>
          <w:tcPr>
            <w:tcW w:w="0" w:type="auto"/>
            <w:vAlign w:val="center"/>
          </w:tcPr>
          <w:p w14:paraId="636B39CB">
            <w:pPr>
              <w:jc w:val="center"/>
              <w:rPr>
                <w:rFonts w:hint="default" w:ascii="Times New Roman" w:hAnsi="Times New Roman" w:cs="Times New Roman"/>
                <w:sz w:val="21"/>
              </w:rPr>
            </w:pPr>
            <w:r>
              <w:rPr>
                <w:rFonts w:hint="default" w:ascii="Times New Roman" w:hAnsi="Times New Roman" w:cs="Times New Roman"/>
                <w:sz w:val="21"/>
              </w:rPr>
              <w:t>不含玻璃纤维内衬管</w:t>
            </w:r>
          </w:p>
        </w:tc>
        <w:tc>
          <w:tcPr>
            <w:tcW w:w="0" w:type="auto"/>
            <w:vAlign w:val="center"/>
          </w:tcPr>
          <w:p w14:paraId="6B86045D">
            <w:pPr>
              <w:jc w:val="center"/>
              <w:rPr>
                <w:rFonts w:hint="default" w:ascii="Times New Roman" w:hAnsi="Times New Roman" w:cs="Times New Roman"/>
                <w:sz w:val="21"/>
              </w:rPr>
            </w:pPr>
            <w:r>
              <w:rPr>
                <w:rFonts w:hint="default" w:ascii="Times New Roman" w:hAnsi="Times New Roman" w:cs="Times New Roman"/>
                <w:sz w:val="21"/>
              </w:rPr>
              <w:t>玻璃纤维内衬管</w:t>
            </w:r>
          </w:p>
        </w:tc>
        <w:tc>
          <w:tcPr>
            <w:tcW w:w="0" w:type="auto"/>
            <w:vAlign w:val="center"/>
          </w:tcPr>
          <w:p w14:paraId="55CDBC5D">
            <w:pPr>
              <w:jc w:val="center"/>
              <w:rPr>
                <w:rFonts w:hint="default" w:ascii="Times New Roman" w:hAnsi="Times New Roman" w:cs="Times New Roman"/>
                <w:sz w:val="21"/>
              </w:rPr>
            </w:pPr>
            <w:r>
              <w:rPr>
                <w:rFonts w:hint="default" w:ascii="Times New Roman" w:hAnsi="Times New Roman" w:cs="Times New Roman"/>
                <w:sz w:val="21"/>
              </w:rPr>
              <w:t>不含玻璃纤维内衬管</w:t>
            </w:r>
          </w:p>
        </w:tc>
        <w:tc>
          <w:tcPr>
            <w:tcW w:w="0" w:type="auto"/>
            <w:vAlign w:val="center"/>
          </w:tcPr>
          <w:p w14:paraId="5C8E5218">
            <w:pPr>
              <w:jc w:val="center"/>
              <w:rPr>
                <w:rFonts w:hint="default" w:ascii="Times New Roman" w:hAnsi="Times New Roman" w:cs="Times New Roman"/>
                <w:sz w:val="21"/>
              </w:rPr>
            </w:pPr>
            <w:r>
              <w:rPr>
                <w:rFonts w:hint="default" w:ascii="Times New Roman" w:hAnsi="Times New Roman" w:cs="Times New Roman"/>
                <w:sz w:val="21"/>
              </w:rPr>
              <w:t>玻璃纤维内衬管</w:t>
            </w:r>
          </w:p>
        </w:tc>
      </w:tr>
      <w:tr w14:paraId="7977B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0" w:type="auto"/>
            <w:vAlign w:val="center"/>
          </w:tcPr>
          <w:p w14:paraId="00B08FE8">
            <w:pPr>
              <w:jc w:val="center"/>
              <w:rPr>
                <w:rFonts w:hint="default" w:ascii="Times New Roman" w:hAnsi="Times New Roman" w:cs="Times New Roman"/>
                <w:sz w:val="21"/>
              </w:rPr>
            </w:pPr>
            <w:r>
              <w:rPr>
                <w:rFonts w:hint="default" w:ascii="Times New Roman" w:hAnsi="Times New Roman" w:cs="Times New Roman"/>
                <w:sz w:val="21"/>
              </w:rPr>
              <w:t>抗弯强度（MPa）</w:t>
            </w:r>
          </w:p>
        </w:tc>
        <w:tc>
          <w:tcPr>
            <w:tcW w:w="0" w:type="auto"/>
            <w:vAlign w:val="center"/>
          </w:tcPr>
          <w:p w14:paraId="77A5E646">
            <w:pPr>
              <w:jc w:val="center"/>
              <w:rPr>
                <w:rFonts w:hint="default" w:ascii="Times New Roman" w:hAnsi="Times New Roman" w:cs="Times New Roman"/>
                <w:sz w:val="21"/>
              </w:rPr>
            </w:pPr>
            <w:r>
              <w:rPr>
                <w:rFonts w:hint="default" w:ascii="Times New Roman" w:hAnsi="Times New Roman" w:cs="Times New Roman"/>
                <w:sz w:val="21"/>
              </w:rPr>
              <w:t>＞31</w:t>
            </w:r>
          </w:p>
        </w:tc>
        <w:tc>
          <w:tcPr>
            <w:tcW w:w="0" w:type="auto"/>
            <w:vAlign w:val="center"/>
          </w:tcPr>
          <w:p w14:paraId="0DF9CD9A">
            <w:pPr>
              <w:jc w:val="center"/>
              <w:rPr>
                <w:rFonts w:hint="default" w:ascii="Times New Roman" w:hAnsi="Times New Roman" w:cs="Times New Roman"/>
                <w:sz w:val="21"/>
              </w:rPr>
            </w:pPr>
            <w:r>
              <w:rPr>
                <w:rFonts w:hint="default" w:ascii="Times New Roman" w:hAnsi="Times New Roman" w:cs="Times New Roman"/>
                <w:sz w:val="21"/>
              </w:rPr>
              <w:t>＞125</w:t>
            </w:r>
          </w:p>
        </w:tc>
        <w:tc>
          <w:tcPr>
            <w:tcW w:w="0" w:type="auto"/>
            <w:vAlign w:val="center"/>
          </w:tcPr>
          <w:p w14:paraId="006C4445">
            <w:pPr>
              <w:jc w:val="center"/>
              <w:rPr>
                <w:rFonts w:hint="default" w:ascii="Times New Roman" w:hAnsi="Times New Roman" w:cs="Times New Roman"/>
                <w:sz w:val="21"/>
              </w:rPr>
            </w:pPr>
            <w:r>
              <w:rPr>
                <w:rFonts w:hint="default" w:ascii="Times New Roman" w:hAnsi="Times New Roman" w:cs="Times New Roman"/>
                <w:sz w:val="21"/>
              </w:rPr>
              <w:t>《塑料 弯曲性能的测定》GB/T 9341</w:t>
            </w:r>
          </w:p>
        </w:tc>
        <w:tc>
          <w:tcPr>
            <w:tcW w:w="0" w:type="auto"/>
            <w:vAlign w:val="center"/>
          </w:tcPr>
          <w:p w14:paraId="61BAECB2">
            <w:pPr>
              <w:jc w:val="center"/>
              <w:rPr>
                <w:rFonts w:hint="default" w:ascii="Times New Roman" w:hAnsi="Times New Roman" w:cs="Times New Roman"/>
                <w:sz w:val="21"/>
              </w:rPr>
            </w:pPr>
            <w:r>
              <w:rPr>
                <w:rFonts w:hint="default" w:ascii="Times New Roman" w:hAnsi="Times New Roman" w:cs="Times New Roman"/>
                <w:sz w:val="21"/>
              </w:rPr>
              <w:t>《纤维增强塑料弯曲性能试验方法》GB/T 1449</w:t>
            </w:r>
          </w:p>
        </w:tc>
      </w:tr>
      <w:tr w14:paraId="777C3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0" w:type="auto"/>
            <w:vAlign w:val="center"/>
          </w:tcPr>
          <w:p w14:paraId="557CE3EE">
            <w:pPr>
              <w:jc w:val="center"/>
              <w:rPr>
                <w:rFonts w:hint="default" w:ascii="Times New Roman" w:hAnsi="Times New Roman" w:cs="Times New Roman"/>
                <w:sz w:val="21"/>
              </w:rPr>
            </w:pPr>
            <w:r>
              <w:rPr>
                <w:rFonts w:hint="default" w:ascii="Times New Roman" w:hAnsi="Times New Roman" w:cs="Times New Roman"/>
                <w:sz w:val="21"/>
              </w:rPr>
              <w:t>弯曲模量（MPa）</w:t>
            </w:r>
          </w:p>
        </w:tc>
        <w:tc>
          <w:tcPr>
            <w:tcW w:w="0" w:type="auto"/>
            <w:vAlign w:val="center"/>
          </w:tcPr>
          <w:p w14:paraId="5A30FF56">
            <w:pPr>
              <w:jc w:val="center"/>
              <w:rPr>
                <w:rFonts w:hint="default" w:ascii="Times New Roman" w:hAnsi="Times New Roman" w:cs="Times New Roman"/>
                <w:sz w:val="21"/>
              </w:rPr>
            </w:pPr>
            <w:r>
              <w:rPr>
                <w:rFonts w:hint="default" w:ascii="Times New Roman" w:hAnsi="Times New Roman" w:cs="Times New Roman"/>
                <w:sz w:val="21"/>
              </w:rPr>
              <w:t>＞2000</w:t>
            </w:r>
          </w:p>
        </w:tc>
        <w:tc>
          <w:tcPr>
            <w:tcW w:w="0" w:type="auto"/>
            <w:vAlign w:val="center"/>
          </w:tcPr>
          <w:p w14:paraId="0E2DC85E">
            <w:pPr>
              <w:jc w:val="center"/>
              <w:rPr>
                <w:rFonts w:hint="default" w:ascii="Times New Roman" w:hAnsi="Times New Roman" w:cs="Times New Roman"/>
                <w:sz w:val="21"/>
              </w:rPr>
            </w:pPr>
            <w:r>
              <w:rPr>
                <w:rFonts w:hint="default" w:ascii="Times New Roman" w:hAnsi="Times New Roman" w:cs="Times New Roman"/>
                <w:sz w:val="21"/>
              </w:rPr>
              <w:t>＞10000</w:t>
            </w:r>
          </w:p>
        </w:tc>
        <w:tc>
          <w:tcPr>
            <w:tcW w:w="0" w:type="auto"/>
            <w:vAlign w:val="center"/>
          </w:tcPr>
          <w:p w14:paraId="58D12353">
            <w:pPr>
              <w:jc w:val="center"/>
              <w:rPr>
                <w:rFonts w:hint="default" w:ascii="Times New Roman" w:hAnsi="Times New Roman" w:cs="Times New Roman"/>
                <w:sz w:val="21"/>
              </w:rPr>
            </w:pPr>
            <w:r>
              <w:rPr>
                <w:rFonts w:hint="default" w:ascii="Times New Roman" w:hAnsi="Times New Roman" w:cs="Times New Roman"/>
                <w:sz w:val="21"/>
              </w:rPr>
              <w:t>《塑料 弯曲性能的测定》GB/T 9341</w:t>
            </w:r>
          </w:p>
        </w:tc>
        <w:tc>
          <w:tcPr>
            <w:tcW w:w="0" w:type="auto"/>
            <w:vAlign w:val="center"/>
          </w:tcPr>
          <w:p w14:paraId="495F3782">
            <w:pPr>
              <w:jc w:val="center"/>
              <w:rPr>
                <w:rFonts w:hint="default" w:ascii="Times New Roman" w:hAnsi="Times New Roman" w:cs="Times New Roman"/>
                <w:sz w:val="21"/>
              </w:rPr>
            </w:pPr>
            <w:r>
              <w:rPr>
                <w:rFonts w:hint="default" w:ascii="Times New Roman" w:hAnsi="Times New Roman" w:cs="Times New Roman"/>
                <w:sz w:val="21"/>
              </w:rPr>
              <w:t>《纤维增强塑料弯曲性能试验方法》GB/T 1449</w:t>
            </w:r>
          </w:p>
        </w:tc>
      </w:tr>
      <w:tr w14:paraId="3A4D3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61" w:hRule="atLeast"/>
          <w:jc w:val="center"/>
        </w:trPr>
        <w:tc>
          <w:tcPr>
            <w:tcW w:w="0" w:type="auto"/>
            <w:vAlign w:val="center"/>
          </w:tcPr>
          <w:p w14:paraId="10A967AF">
            <w:pPr>
              <w:jc w:val="center"/>
              <w:rPr>
                <w:rFonts w:hint="default" w:ascii="Times New Roman" w:hAnsi="Times New Roman" w:cs="Times New Roman"/>
                <w:sz w:val="21"/>
              </w:rPr>
            </w:pPr>
            <w:r>
              <w:rPr>
                <w:rFonts w:hint="default" w:ascii="Times New Roman" w:hAnsi="Times New Roman" w:cs="Times New Roman"/>
                <w:sz w:val="21"/>
              </w:rPr>
              <w:t>抗拉强度（MPa）</w:t>
            </w:r>
          </w:p>
        </w:tc>
        <w:tc>
          <w:tcPr>
            <w:tcW w:w="0" w:type="auto"/>
            <w:vAlign w:val="center"/>
          </w:tcPr>
          <w:p w14:paraId="67B2B424">
            <w:pPr>
              <w:jc w:val="center"/>
              <w:rPr>
                <w:rFonts w:hint="default" w:ascii="Times New Roman" w:hAnsi="Times New Roman" w:cs="Times New Roman"/>
                <w:sz w:val="21"/>
              </w:rPr>
            </w:pPr>
            <w:r>
              <w:rPr>
                <w:rFonts w:hint="default" w:ascii="Times New Roman" w:hAnsi="Times New Roman" w:cs="Times New Roman"/>
                <w:sz w:val="21"/>
              </w:rPr>
              <w:t>＞21</w:t>
            </w:r>
          </w:p>
        </w:tc>
        <w:tc>
          <w:tcPr>
            <w:tcW w:w="0" w:type="auto"/>
            <w:vAlign w:val="center"/>
          </w:tcPr>
          <w:p w14:paraId="7097DCDD">
            <w:pPr>
              <w:jc w:val="center"/>
              <w:rPr>
                <w:rFonts w:hint="default" w:ascii="Times New Roman" w:hAnsi="Times New Roman" w:cs="Times New Roman"/>
                <w:sz w:val="21"/>
              </w:rPr>
            </w:pPr>
            <w:r>
              <w:rPr>
                <w:rFonts w:hint="default" w:ascii="Times New Roman" w:hAnsi="Times New Roman" w:cs="Times New Roman"/>
                <w:sz w:val="21"/>
              </w:rPr>
              <w:t>＞80</w:t>
            </w:r>
          </w:p>
        </w:tc>
        <w:tc>
          <w:tcPr>
            <w:tcW w:w="0" w:type="auto"/>
            <w:vAlign w:val="center"/>
          </w:tcPr>
          <w:p w14:paraId="187988F8">
            <w:pPr>
              <w:jc w:val="center"/>
              <w:rPr>
                <w:rFonts w:hint="default" w:ascii="Times New Roman" w:hAnsi="Times New Roman" w:cs="Times New Roman"/>
                <w:sz w:val="21"/>
              </w:rPr>
            </w:pPr>
            <w:r>
              <w:rPr>
                <w:rFonts w:hint="default" w:ascii="Times New Roman" w:hAnsi="Times New Roman" w:cs="Times New Roman"/>
                <w:sz w:val="21"/>
              </w:rPr>
              <w:t>《塑料 拉伸性能的测定 第2部分：模塑和挤塑塑料的试验条件》GB/T 1040.2</w:t>
            </w:r>
          </w:p>
        </w:tc>
        <w:tc>
          <w:tcPr>
            <w:tcW w:w="0" w:type="auto"/>
            <w:vAlign w:val="center"/>
          </w:tcPr>
          <w:p w14:paraId="0C80C50D">
            <w:pPr>
              <w:jc w:val="center"/>
              <w:rPr>
                <w:rFonts w:hint="default" w:ascii="Times New Roman" w:hAnsi="Times New Roman" w:cs="Times New Roman"/>
                <w:sz w:val="21"/>
              </w:rPr>
            </w:pPr>
            <w:r>
              <w:rPr>
                <w:rFonts w:hint="default" w:ascii="Times New Roman" w:hAnsi="Times New Roman" w:cs="Times New Roman"/>
                <w:sz w:val="21"/>
              </w:rPr>
              <w:t>《塑料 拉伸性能的测定 第4部分：各向同性和正交各向异性纤维增强复合材料的试验条件》GB/T 1040.4</w:t>
            </w:r>
          </w:p>
        </w:tc>
      </w:tr>
    </w:tbl>
    <w:p w14:paraId="12DC23E2">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【条文说明】不含玻璃纤维的内衬管道短期力学性能与《城镇排水管道非开挖修复更新工程技术规程》CJJ/T 210-2014保持一致。含玻璃纤维的内衬管道材料随着技术的发展各项性能均有提高，实际工程中使用的材料和市场供应的材料性能也均远大于《城镇排水管道非开挖修复更新工程技术规程》CJJ/T 210-2014的规定，根据调研和相关文献资料，为保证工程质量，对材料性能要求进行了适当提高。</w:t>
      </w:r>
    </w:p>
    <w:p w14:paraId="7AF228F3">
      <w:pPr>
        <w:rPr>
          <w:rFonts w:hint="default" w:ascii="Times New Roman" w:hAnsi="Times New Roman" w:cs="Times New Roman"/>
        </w:rPr>
      </w:pPr>
      <w:r>
        <w:rPr>
          <w:rFonts w:hint="default" w:ascii="Times New Roman" w:hAnsi="Times New Roman" w:cs="Times New Roman"/>
        </w:rPr>
        <w:t>4.2.7  内衬管的耐化学腐蚀性检验可按现行国家标准《塑料  耐液体化学试剂性能的测定》GB/T 11547执行，并应符合下列规定：</w:t>
      </w:r>
    </w:p>
    <w:p w14:paraId="3719EEA9">
      <w:pPr>
        <w:ind w:firstLine="480" w:firstLineChars="200"/>
        <w:rPr>
          <w:rFonts w:hint="default" w:ascii="Times New Roman" w:hAnsi="Times New Roman" w:cs="Times New Roman"/>
        </w:rPr>
      </w:pPr>
      <w:r>
        <w:rPr>
          <w:rFonts w:hint="default" w:ascii="Times New Roman" w:hAnsi="Times New Roman" w:cs="Times New Roman"/>
        </w:rPr>
        <w:t>1  耐化学性的检测浸泡时间宜为28d，试验温度应为23℃±2℃；</w:t>
      </w:r>
    </w:p>
    <w:p w14:paraId="7C8BE223">
      <w:pPr>
        <w:ind w:firstLine="480" w:firstLineChars="200"/>
        <w:rPr>
          <w:rFonts w:hint="default" w:ascii="Times New Roman" w:hAnsi="Times New Roman" w:cs="Times New Roman"/>
        </w:rPr>
      </w:pPr>
      <w:r>
        <w:rPr>
          <w:rFonts w:hint="default" w:ascii="Times New Roman" w:hAnsi="Times New Roman" w:cs="Times New Roman"/>
        </w:rPr>
        <w:t>2  浸泡典型介质应按表4.2.7选取；</w:t>
      </w:r>
    </w:p>
    <w:p w14:paraId="18797017">
      <w:pPr>
        <w:ind w:firstLine="482" w:firstLineChars="200"/>
        <w:jc w:val="center"/>
        <w:rPr>
          <w:rFonts w:hint="default" w:ascii="Times New Roman" w:hAnsi="Times New Roman" w:cs="Times New Roman"/>
          <w:b/>
          <w:bCs/>
        </w:rPr>
      </w:pPr>
      <w:r>
        <w:rPr>
          <w:rFonts w:hint="default" w:ascii="Times New Roman" w:hAnsi="Times New Roman" w:cs="Times New Roman"/>
          <w:b/>
          <w:bCs/>
        </w:rPr>
        <w:t>表4.2.7  浸泡典型介质</w:t>
      </w:r>
    </w:p>
    <w:tbl>
      <w:tblPr>
        <w:tblStyle w:val="13"/>
        <w:tblW w:w="8788" w:type="dxa"/>
        <w:tblInd w:w="269"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984"/>
        <w:gridCol w:w="1276"/>
        <w:gridCol w:w="1276"/>
        <w:gridCol w:w="1843"/>
        <w:gridCol w:w="2409"/>
      </w:tblGrid>
      <w:tr w14:paraId="5D782A4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01" w:hRule="atLeast"/>
        </w:trPr>
        <w:tc>
          <w:tcPr>
            <w:tcW w:w="1984" w:type="dxa"/>
            <w:vAlign w:val="center"/>
          </w:tcPr>
          <w:p w14:paraId="608C7198">
            <w:pPr>
              <w:pStyle w:val="39"/>
              <w:rPr>
                <w:rFonts w:hint="default" w:ascii="Times New Roman" w:hAnsi="Times New Roman" w:cs="Times New Roman"/>
              </w:rPr>
            </w:pPr>
            <w:r>
              <w:rPr>
                <w:rFonts w:hint="default" w:ascii="Times New Roman" w:hAnsi="Times New Roman" w:cs="Times New Roman"/>
              </w:rPr>
              <w:t>化合物溶液名称</w:t>
            </w:r>
          </w:p>
        </w:tc>
        <w:tc>
          <w:tcPr>
            <w:tcW w:w="1276" w:type="dxa"/>
            <w:vAlign w:val="center"/>
          </w:tcPr>
          <w:p w14:paraId="06EEC7B0">
            <w:pPr>
              <w:pStyle w:val="39"/>
              <w:rPr>
                <w:rFonts w:hint="default" w:ascii="Times New Roman" w:hAnsi="Times New Roman" w:cs="Times New Roman"/>
              </w:rPr>
            </w:pPr>
            <w:r>
              <w:rPr>
                <w:rFonts w:hint="default" w:ascii="Times New Roman" w:hAnsi="Times New Roman" w:cs="Times New Roman"/>
              </w:rPr>
              <w:t>浓度（%）</w:t>
            </w:r>
          </w:p>
        </w:tc>
        <w:tc>
          <w:tcPr>
            <w:tcW w:w="1276" w:type="dxa"/>
            <w:vAlign w:val="center"/>
          </w:tcPr>
          <w:p w14:paraId="116F5AE5">
            <w:pPr>
              <w:pStyle w:val="39"/>
              <w:rPr>
                <w:rFonts w:hint="default" w:ascii="Times New Roman" w:hAnsi="Times New Roman" w:cs="Times New Roman"/>
              </w:rPr>
            </w:pPr>
            <w:r>
              <w:rPr>
                <w:rFonts w:hint="default" w:ascii="Times New Roman" w:hAnsi="Times New Roman" w:cs="Times New Roman"/>
              </w:rPr>
              <w:t>酸碱度pH</w:t>
            </w:r>
          </w:p>
        </w:tc>
        <w:tc>
          <w:tcPr>
            <w:tcW w:w="1843" w:type="dxa"/>
            <w:vAlign w:val="center"/>
          </w:tcPr>
          <w:p w14:paraId="77FEC041">
            <w:pPr>
              <w:pStyle w:val="39"/>
              <w:rPr>
                <w:rFonts w:hint="default" w:ascii="Times New Roman" w:hAnsi="Times New Roman" w:cs="Times New Roman"/>
              </w:rPr>
            </w:pPr>
            <w:r>
              <w:rPr>
                <w:rFonts w:hint="default" w:ascii="Times New Roman" w:hAnsi="Times New Roman" w:cs="Times New Roman"/>
              </w:rPr>
              <w:t>不饱和聚酯树脂</w:t>
            </w:r>
          </w:p>
        </w:tc>
        <w:tc>
          <w:tcPr>
            <w:tcW w:w="2409" w:type="dxa"/>
            <w:vAlign w:val="center"/>
          </w:tcPr>
          <w:p w14:paraId="03227F3E">
            <w:pPr>
              <w:pStyle w:val="39"/>
              <w:rPr>
                <w:rFonts w:hint="default" w:ascii="Times New Roman" w:hAnsi="Times New Roman" w:cs="Times New Roman"/>
              </w:rPr>
            </w:pPr>
            <w:r>
              <w:rPr>
                <w:rFonts w:hint="default" w:ascii="Times New Roman" w:hAnsi="Times New Roman" w:cs="Times New Roman"/>
              </w:rPr>
              <w:t>乙烯基酯树脂/环氧树脂</w:t>
            </w:r>
          </w:p>
        </w:tc>
      </w:tr>
      <w:tr w14:paraId="0B94049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20" w:hRule="atLeast"/>
        </w:trPr>
        <w:tc>
          <w:tcPr>
            <w:tcW w:w="1984" w:type="dxa"/>
            <w:vAlign w:val="center"/>
          </w:tcPr>
          <w:p w14:paraId="65FB3EA3">
            <w:pPr>
              <w:pStyle w:val="39"/>
              <w:rPr>
                <w:rFonts w:hint="default" w:ascii="Times New Roman" w:hAnsi="Times New Roman" w:cs="Times New Roman"/>
              </w:rPr>
            </w:pPr>
            <w:r>
              <w:rPr>
                <w:rFonts w:hint="default" w:ascii="Times New Roman" w:hAnsi="Times New Roman" w:cs="Times New Roman"/>
              </w:rPr>
              <w:t>硫酸</w:t>
            </w:r>
          </w:p>
        </w:tc>
        <w:tc>
          <w:tcPr>
            <w:tcW w:w="1276" w:type="dxa"/>
            <w:vAlign w:val="center"/>
          </w:tcPr>
          <w:p w14:paraId="729ED751">
            <w:pPr>
              <w:pStyle w:val="39"/>
              <w:rPr>
                <w:rFonts w:hint="default" w:ascii="Times New Roman" w:hAnsi="Times New Roman" w:cs="Times New Roman"/>
              </w:rPr>
            </w:pPr>
            <w:r>
              <w:rPr>
                <w:rFonts w:hint="default" w:ascii="Times New Roman" w:hAnsi="Times New Roman" w:cs="Times New Roman"/>
              </w:rPr>
              <w:t>5.0</w:t>
            </w:r>
          </w:p>
        </w:tc>
        <w:tc>
          <w:tcPr>
            <w:tcW w:w="1276" w:type="dxa"/>
            <w:vAlign w:val="center"/>
          </w:tcPr>
          <w:p w14:paraId="52B7320A">
            <w:pPr>
              <w:pStyle w:val="39"/>
              <w:rPr>
                <w:rFonts w:hint="default" w:ascii="Times New Roman" w:hAnsi="Times New Roman" w:cs="Times New Roman"/>
              </w:rPr>
            </w:pPr>
            <w:r>
              <w:rPr>
                <w:rFonts w:hint="default" w:ascii="Times New Roman" w:hAnsi="Times New Roman" w:cs="Times New Roman"/>
              </w:rPr>
              <w:t>1</w:t>
            </w:r>
          </w:p>
        </w:tc>
        <w:tc>
          <w:tcPr>
            <w:tcW w:w="1843" w:type="dxa"/>
            <w:vAlign w:val="center"/>
          </w:tcPr>
          <w:p w14:paraId="59078DF6">
            <w:pPr>
              <w:pStyle w:val="39"/>
              <w:rPr>
                <w:rFonts w:hint="default" w:ascii="Times New Roman" w:hAnsi="Times New Roman" w:cs="Times New Roman"/>
              </w:rPr>
            </w:pPr>
            <w:r>
              <w:rPr>
                <w:rFonts w:hint="default" w:ascii="Times New Roman" w:hAnsi="Times New Roman" w:cs="Times New Roman"/>
              </w:rPr>
              <w:t>选测</w:t>
            </w:r>
          </w:p>
        </w:tc>
        <w:tc>
          <w:tcPr>
            <w:tcW w:w="2409" w:type="dxa"/>
            <w:vAlign w:val="center"/>
          </w:tcPr>
          <w:p w14:paraId="11DDF887">
            <w:pPr>
              <w:pStyle w:val="39"/>
              <w:rPr>
                <w:rFonts w:hint="default" w:ascii="Times New Roman" w:hAnsi="Times New Roman" w:cs="Times New Roman"/>
              </w:rPr>
            </w:pPr>
            <w:r>
              <w:rPr>
                <w:rFonts w:hint="default" w:ascii="Times New Roman" w:hAnsi="Times New Roman" w:cs="Times New Roman"/>
              </w:rPr>
              <w:t>选测</w:t>
            </w:r>
          </w:p>
        </w:tc>
      </w:tr>
      <w:tr w14:paraId="4E20EAD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11" w:hRule="atLeast"/>
        </w:trPr>
        <w:tc>
          <w:tcPr>
            <w:tcW w:w="1984" w:type="dxa"/>
            <w:vAlign w:val="center"/>
          </w:tcPr>
          <w:p w14:paraId="4880315A">
            <w:pPr>
              <w:pStyle w:val="39"/>
              <w:rPr>
                <w:rFonts w:hint="default" w:ascii="Times New Roman" w:hAnsi="Times New Roman" w:cs="Times New Roman"/>
              </w:rPr>
            </w:pPr>
            <w:r>
              <w:rPr>
                <w:rFonts w:hint="default" w:ascii="Times New Roman" w:hAnsi="Times New Roman" w:cs="Times New Roman"/>
              </w:rPr>
              <w:t>氢氧化钠</w:t>
            </w:r>
          </w:p>
        </w:tc>
        <w:tc>
          <w:tcPr>
            <w:tcW w:w="1276" w:type="dxa"/>
            <w:vAlign w:val="center"/>
          </w:tcPr>
          <w:p w14:paraId="78F21B24">
            <w:pPr>
              <w:pStyle w:val="39"/>
              <w:rPr>
                <w:rFonts w:hint="default" w:ascii="Times New Roman" w:hAnsi="Times New Roman" w:cs="Times New Roman"/>
              </w:rPr>
            </w:pPr>
            <w:r>
              <w:rPr>
                <w:rFonts w:hint="default" w:ascii="Times New Roman" w:hAnsi="Times New Roman" w:cs="Times New Roman"/>
              </w:rPr>
              <w:t>5.0</w:t>
            </w:r>
          </w:p>
        </w:tc>
        <w:tc>
          <w:tcPr>
            <w:tcW w:w="1276" w:type="dxa"/>
            <w:vAlign w:val="center"/>
          </w:tcPr>
          <w:p w14:paraId="7B081EEC">
            <w:pPr>
              <w:pStyle w:val="39"/>
              <w:rPr>
                <w:rFonts w:hint="default" w:ascii="Times New Roman" w:hAnsi="Times New Roman" w:cs="Times New Roman"/>
              </w:rPr>
            </w:pPr>
            <w:r>
              <w:rPr>
                <w:rFonts w:hint="default" w:ascii="Times New Roman" w:hAnsi="Times New Roman" w:cs="Times New Roman"/>
              </w:rPr>
              <w:t>10</w:t>
            </w:r>
          </w:p>
        </w:tc>
        <w:tc>
          <w:tcPr>
            <w:tcW w:w="1843" w:type="dxa"/>
            <w:vAlign w:val="center"/>
          </w:tcPr>
          <w:p w14:paraId="019744D7">
            <w:pPr>
              <w:pStyle w:val="39"/>
              <w:rPr>
                <w:rFonts w:hint="default" w:ascii="Times New Roman" w:hAnsi="Times New Roman" w:cs="Times New Roman"/>
              </w:rPr>
            </w:pPr>
            <w:r>
              <w:rPr>
                <w:rFonts w:hint="default" w:ascii="Times New Roman" w:hAnsi="Times New Roman" w:cs="Times New Roman"/>
              </w:rPr>
              <w:t>选测</w:t>
            </w:r>
          </w:p>
        </w:tc>
        <w:tc>
          <w:tcPr>
            <w:tcW w:w="2409" w:type="dxa"/>
            <w:vAlign w:val="center"/>
          </w:tcPr>
          <w:p w14:paraId="23389E62">
            <w:pPr>
              <w:pStyle w:val="39"/>
              <w:rPr>
                <w:rFonts w:hint="default" w:ascii="Times New Roman" w:hAnsi="Times New Roman" w:cs="Times New Roman"/>
              </w:rPr>
            </w:pPr>
            <w:r>
              <w:rPr>
                <w:rFonts w:hint="default" w:ascii="Times New Roman" w:hAnsi="Times New Roman" w:cs="Times New Roman"/>
              </w:rPr>
              <w:t>选测</w:t>
            </w:r>
          </w:p>
        </w:tc>
      </w:tr>
    </w:tbl>
    <w:p w14:paraId="3C20FD6C">
      <w:pPr>
        <w:pStyle w:val="40"/>
        <w:ind w:firstLine="360" w:firstLineChars="200"/>
        <w:jc w:val="left"/>
        <w:rPr>
          <w:rFonts w:hint="default" w:ascii="Times New Roman" w:hAnsi="Times New Roman" w:cs="Times New Roman"/>
          <w:b w:val="0"/>
          <w:bCs/>
          <w:sz w:val="18"/>
          <w:szCs w:val="18"/>
        </w:rPr>
      </w:pPr>
      <w:r>
        <w:rPr>
          <w:rFonts w:hint="default" w:ascii="Times New Roman" w:hAnsi="Times New Roman" w:cs="Times New Roman"/>
          <w:b w:val="0"/>
          <w:bCs/>
          <w:sz w:val="18"/>
          <w:szCs w:val="18"/>
        </w:rPr>
        <w:t>注：化合物溶液的浓度为质量分数。</w:t>
      </w:r>
    </w:p>
    <w:p w14:paraId="44D5D943">
      <w:pPr>
        <w:ind w:firstLine="480" w:firstLineChars="200"/>
        <w:rPr>
          <w:rFonts w:hint="default" w:ascii="Times New Roman" w:hAnsi="Times New Roman" w:cs="Times New Roman"/>
        </w:rPr>
      </w:pPr>
      <w:r>
        <w:rPr>
          <w:rFonts w:hint="default" w:ascii="Times New Roman" w:hAnsi="Times New Roman" w:cs="Times New Roman"/>
        </w:rPr>
        <w:t>3  试件浸泡完成后，应按本规程4.2.6条规定检测试样的弯曲强度和弯曲模量，检测结果不应小于内衬管初始弯曲强度和弯曲模量的80%。</w:t>
      </w:r>
    </w:p>
    <w:p w14:paraId="0DBA78AE">
      <w:pPr>
        <w:pStyle w:val="3"/>
        <w:bidi w:val="0"/>
        <w:rPr>
          <w:rFonts w:hint="default" w:ascii="Times New Roman" w:hAnsi="Times New Roman" w:cs="Times New Roman"/>
        </w:rPr>
      </w:pPr>
      <w:bookmarkStart w:id="117" w:name="_Toc25604"/>
      <w:r>
        <w:rPr>
          <w:rFonts w:hint="default" w:ascii="Times New Roman" w:hAnsi="Times New Roman" w:cs="Times New Roman"/>
        </w:rPr>
        <w:t>4.3</w:t>
      </w:r>
      <w:bookmarkStart w:id="118" w:name="_Toc139980238"/>
      <w:bookmarkEnd w:id="118"/>
      <w:bookmarkStart w:id="119" w:name="_bookmark13"/>
      <w:bookmarkEnd w:id="119"/>
      <w:bookmarkStart w:id="120" w:name="_Toc139977324"/>
      <w:bookmarkEnd w:id="120"/>
      <w:bookmarkStart w:id="121" w:name="_Toc139980237"/>
      <w:bookmarkEnd w:id="121"/>
      <w:bookmarkStart w:id="122" w:name="_Toc139976885"/>
      <w:bookmarkEnd w:id="122"/>
      <w:bookmarkStart w:id="123" w:name="_Toc139979322"/>
      <w:bookmarkEnd w:id="123"/>
      <w:bookmarkStart w:id="124" w:name="_Toc139979321"/>
      <w:bookmarkEnd w:id="124"/>
      <w:bookmarkStart w:id="125" w:name="_Toc139989327"/>
      <w:bookmarkEnd w:id="125"/>
      <w:bookmarkStart w:id="126" w:name="_Toc139977323"/>
      <w:bookmarkEnd w:id="126"/>
      <w:bookmarkStart w:id="127" w:name="_Toc139976884"/>
      <w:bookmarkEnd w:id="127"/>
      <w:bookmarkStart w:id="128" w:name="_Toc139989328"/>
      <w:bookmarkEnd w:id="128"/>
      <w:bookmarkStart w:id="129" w:name="_Toc140181977"/>
      <w:bookmarkStart w:id="130" w:name="_Toc140147515"/>
      <w:bookmarkStart w:id="131" w:name="_Toc6387"/>
      <w:bookmarkStart w:id="132" w:name="_Toc6136"/>
      <w:bookmarkStart w:id="133" w:name="_Toc140155158"/>
      <w:bookmarkStart w:id="134" w:name="_Toc138061399"/>
      <w:bookmarkStart w:id="135" w:name="_Toc138075562"/>
      <w:bookmarkStart w:id="136" w:name="_Toc139989329"/>
      <w:bookmarkStart w:id="137" w:name="_Toc104458219"/>
      <w:r>
        <w:rPr>
          <w:rFonts w:hint="default" w:ascii="Times New Roman" w:hAnsi="Times New Roman" w:cs="Times New Roman"/>
        </w:rPr>
        <w:t>管片内衬法</w:t>
      </w:r>
      <w:bookmarkEnd w:id="117"/>
      <w:bookmarkEnd w:id="129"/>
      <w:bookmarkEnd w:id="130"/>
      <w:bookmarkEnd w:id="131"/>
      <w:bookmarkEnd w:id="132"/>
      <w:bookmarkEnd w:id="133"/>
      <w:bookmarkEnd w:id="134"/>
      <w:bookmarkEnd w:id="135"/>
      <w:bookmarkEnd w:id="136"/>
      <w:bookmarkEnd w:id="137"/>
    </w:p>
    <w:p w14:paraId="5A20620F">
      <w:pPr>
        <w:rPr>
          <w:rFonts w:hint="default" w:ascii="Times New Roman" w:hAnsi="Times New Roman" w:cs="Times New Roman"/>
        </w:rPr>
      </w:pPr>
      <w:r>
        <w:rPr>
          <w:rFonts w:hint="default" w:ascii="Times New Roman" w:hAnsi="Times New Roman" w:cs="Times New Roman"/>
        </w:rPr>
        <w:t>4.3.1  管片内衬法所用片状型材主要由硬聚氯乙烯（PVC-U）等材料制成。管片材料厚度应均匀，具有耐久性及抗腐蚀性；表面应光滑、无裂纹、无破损。</w:t>
      </w:r>
    </w:p>
    <w:p w14:paraId="680E956D">
      <w:pPr>
        <w:rPr>
          <w:rFonts w:hint="default" w:ascii="Times New Roman" w:hAnsi="Times New Roman" w:cs="Times New Roman"/>
        </w:rPr>
      </w:pPr>
      <w:r>
        <w:rPr>
          <w:rFonts w:hint="default" w:ascii="Times New Roman" w:hAnsi="Times New Roman" w:cs="Times New Roman"/>
        </w:rPr>
        <w:t>4.3.2  PVC-U片状型材性能要求应符合表4.3.2的规定。</w:t>
      </w:r>
    </w:p>
    <w:p w14:paraId="0149EE27">
      <w:pPr>
        <w:ind w:firstLine="482" w:firstLineChars="200"/>
        <w:jc w:val="center"/>
        <w:rPr>
          <w:rFonts w:hint="default" w:ascii="Times New Roman" w:hAnsi="Times New Roman" w:cs="Times New Roman"/>
          <w:b/>
          <w:bCs/>
        </w:rPr>
      </w:pPr>
      <w:r>
        <w:rPr>
          <w:rFonts w:hint="default" w:ascii="Times New Roman" w:hAnsi="Times New Roman" w:cs="Times New Roman"/>
          <w:b/>
          <w:bCs/>
        </w:rPr>
        <w:t>表4.3.2  管片材料性能要求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005"/>
        <w:gridCol w:w="1320"/>
        <w:gridCol w:w="4619"/>
      </w:tblGrid>
      <w:tr w14:paraId="67D8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Align w:val="center"/>
          </w:tcPr>
          <w:p w14:paraId="07BD8D75">
            <w:pPr>
              <w:rPr>
                <w:rFonts w:hint="default" w:ascii="Times New Roman" w:hAnsi="Times New Roman" w:cs="Times New Roman"/>
                <w:sz w:val="21"/>
              </w:rPr>
            </w:pPr>
            <w:r>
              <w:rPr>
                <w:rFonts w:hint="default" w:ascii="Times New Roman" w:hAnsi="Times New Roman" w:cs="Times New Roman"/>
                <w:sz w:val="21"/>
              </w:rPr>
              <w:t>检测项目</w:t>
            </w:r>
          </w:p>
        </w:tc>
        <w:tc>
          <w:tcPr>
            <w:tcW w:w="1005" w:type="dxa"/>
            <w:vAlign w:val="center"/>
          </w:tcPr>
          <w:p w14:paraId="2979CB74">
            <w:pPr>
              <w:rPr>
                <w:rFonts w:hint="default" w:ascii="Times New Roman" w:hAnsi="Times New Roman" w:cs="Times New Roman"/>
                <w:sz w:val="21"/>
              </w:rPr>
            </w:pPr>
            <w:r>
              <w:rPr>
                <w:rFonts w:hint="default" w:ascii="Times New Roman" w:hAnsi="Times New Roman" w:cs="Times New Roman"/>
                <w:sz w:val="21"/>
              </w:rPr>
              <w:t>单位</w:t>
            </w:r>
          </w:p>
        </w:tc>
        <w:tc>
          <w:tcPr>
            <w:tcW w:w="1320" w:type="dxa"/>
            <w:vAlign w:val="center"/>
          </w:tcPr>
          <w:p w14:paraId="5EB68BF0">
            <w:pPr>
              <w:rPr>
                <w:rFonts w:hint="default" w:ascii="Times New Roman" w:hAnsi="Times New Roman" w:cs="Times New Roman"/>
                <w:sz w:val="21"/>
              </w:rPr>
            </w:pPr>
            <w:r>
              <w:rPr>
                <w:rFonts w:hint="default" w:ascii="Times New Roman" w:hAnsi="Times New Roman" w:cs="Times New Roman"/>
                <w:sz w:val="21"/>
              </w:rPr>
              <w:t>技术指标</w:t>
            </w:r>
          </w:p>
        </w:tc>
        <w:tc>
          <w:tcPr>
            <w:tcW w:w="4619" w:type="dxa"/>
            <w:vAlign w:val="center"/>
          </w:tcPr>
          <w:p w14:paraId="5332AC34">
            <w:pPr>
              <w:rPr>
                <w:rFonts w:hint="default" w:ascii="Times New Roman" w:hAnsi="Times New Roman" w:cs="Times New Roman"/>
                <w:sz w:val="21"/>
              </w:rPr>
            </w:pPr>
            <w:r>
              <w:rPr>
                <w:rFonts w:hint="default" w:ascii="Times New Roman" w:hAnsi="Times New Roman" w:cs="Times New Roman"/>
                <w:sz w:val="21"/>
              </w:rPr>
              <w:t>测试方法</w:t>
            </w:r>
          </w:p>
        </w:tc>
      </w:tr>
      <w:tr w14:paraId="215F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Align w:val="center"/>
          </w:tcPr>
          <w:p w14:paraId="3F6E40F3">
            <w:pPr>
              <w:rPr>
                <w:rFonts w:hint="default" w:ascii="Times New Roman" w:hAnsi="Times New Roman" w:cs="Times New Roman"/>
                <w:sz w:val="21"/>
              </w:rPr>
            </w:pPr>
            <w:r>
              <w:rPr>
                <w:rFonts w:hint="default" w:ascii="Times New Roman" w:hAnsi="Times New Roman" w:cs="Times New Roman"/>
                <w:sz w:val="21"/>
              </w:rPr>
              <w:t>纵向拉伸强度</w:t>
            </w:r>
          </w:p>
        </w:tc>
        <w:tc>
          <w:tcPr>
            <w:tcW w:w="1005" w:type="dxa"/>
            <w:vAlign w:val="center"/>
          </w:tcPr>
          <w:p w14:paraId="4A2F8E22">
            <w:pPr>
              <w:rPr>
                <w:rFonts w:hint="default" w:ascii="Times New Roman" w:hAnsi="Times New Roman" w:cs="Times New Roman"/>
                <w:sz w:val="21"/>
              </w:rPr>
            </w:pPr>
            <w:r>
              <w:rPr>
                <w:rFonts w:hint="default" w:ascii="Times New Roman" w:hAnsi="Times New Roman" w:cs="Times New Roman"/>
                <w:sz w:val="21"/>
              </w:rPr>
              <w:t>MPa</w:t>
            </w:r>
          </w:p>
        </w:tc>
        <w:tc>
          <w:tcPr>
            <w:tcW w:w="1320" w:type="dxa"/>
            <w:vAlign w:val="center"/>
          </w:tcPr>
          <w:p w14:paraId="5B6FEB6A">
            <w:pPr>
              <w:rPr>
                <w:rFonts w:hint="default" w:ascii="Times New Roman" w:hAnsi="Times New Roman" w:cs="Times New Roman"/>
                <w:sz w:val="21"/>
              </w:rPr>
            </w:pPr>
            <w:r>
              <w:rPr>
                <w:rFonts w:hint="default" w:ascii="Times New Roman" w:hAnsi="Times New Roman" w:cs="Times New Roman"/>
                <w:sz w:val="21"/>
              </w:rPr>
              <w:t>＞44.4</w:t>
            </w:r>
          </w:p>
        </w:tc>
        <w:tc>
          <w:tcPr>
            <w:tcW w:w="4619" w:type="dxa"/>
            <w:vAlign w:val="center"/>
          </w:tcPr>
          <w:p w14:paraId="70D5C488">
            <w:pPr>
              <w:rPr>
                <w:rFonts w:hint="default" w:ascii="Times New Roman" w:hAnsi="Times New Roman" w:cs="Times New Roman"/>
                <w:sz w:val="21"/>
              </w:rPr>
            </w:pPr>
            <w:r>
              <w:rPr>
                <w:rFonts w:hint="default" w:ascii="Times New Roman" w:hAnsi="Times New Roman" w:cs="Times New Roman"/>
                <w:sz w:val="21"/>
              </w:rPr>
              <w:t>现行国家标准《塑料  拉伸性能的测定  第2部分：模塑和挤塑塑料的试验条件》GB/T 1040.2</w:t>
            </w:r>
          </w:p>
        </w:tc>
      </w:tr>
      <w:tr w14:paraId="38FD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Align w:val="center"/>
          </w:tcPr>
          <w:p w14:paraId="28B007F9">
            <w:pPr>
              <w:rPr>
                <w:rFonts w:hint="default" w:ascii="Times New Roman" w:hAnsi="Times New Roman" w:cs="Times New Roman"/>
                <w:sz w:val="21"/>
              </w:rPr>
            </w:pPr>
            <w:r>
              <w:rPr>
                <w:rFonts w:hint="default" w:ascii="Times New Roman" w:hAnsi="Times New Roman" w:cs="Times New Roman"/>
                <w:sz w:val="21"/>
              </w:rPr>
              <w:t>纵向弯曲强度</w:t>
            </w:r>
          </w:p>
        </w:tc>
        <w:tc>
          <w:tcPr>
            <w:tcW w:w="1005" w:type="dxa"/>
            <w:vAlign w:val="center"/>
          </w:tcPr>
          <w:p w14:paraId="042EA8A3">
            <w:pPr>
              <w:rPr>
                <w:rFonts w:hint="default" w:ascii="Times New Roman" w:hAnsi="Times New Roman" w:cs="Times New Roman"/>
                <w:sz w:val="21"/>
              </w:rPr>
            </w:pPr>
            <w:r>
              <w:rPr>
                <w:rFonts w:hint="default" w:ascii="Times New Roman" w:hAnsi="Times New Roman" w:cs="Times New Roman"/>
                <w:sz w:val="21"/>
              </w:rPr>
              <w:t>MPa</w:t>
            </w:r>
          </w:p>
        </w:tc>
        <w:tc>
          <w:tcPr>
            <w:tcW w:w="1320" w:type="dxa"/>
            <w:vAlign w:val="center"/>
          </w:tcPr>
          <w:p w14:paraId="0D082C24">
            <w:pPr>
              <w:rPr>
                <w:rFonts w:hint="default" w:ascii="Times New Roman" w:hAnsi="Times New Roman" w:cs="Times New Roman"/>
                <w:sz w:val="21"/>
              </w:rPr>
            </w:pPr>
            <w:r>
              <w:rPr>
                <w:rFonts w:hint="default" w:ascii="Times New Roman" w:hAnsi="Times New Roman" w:cs="Times New Roman"/>
                <w:sz w:val="21"/>
              </w:rPr>
              <w:t>＞75.0</w:t>
            </w:r>
          </w:p>
        </w:tc>
        <w:tc>
          <w:tcPr>
            <w:tcW w:w="4619" w:type="dxa"/>
            <w:vAlign w:val="center"/>
          </w:tcPr>
          <w:p w14:paraId="0D921A07">
            <w:pPr>
              <w:rPr>
                <w:rFonts w:hint="default" w:ascii="Times New Roman" w:hAnsi="Times New Roman" w:cs="Times New Roman"/>
                <w:sz w:val="21"/>
              </w:rPr>
            </w:pPr>
            <w:r>
              <w:rPr>
                <w:rFonts w:hint="default" w:ascii="Times New Roman" w:hAnsi="Times New Roman" w:cs="Times New Roman"/>
                <w:sz w:val="21"/>
              </w:rPr>
              <w:t>现行国家标准《塑料  弯曲性能的测定》GB/T9341</w:t>
            </w:r>
          </w:p>
        </w:tc>
      </w:tr>
      <w:tr w14:paraId="6D0C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Align w:val="center"/>
          </w:tcPr>
          <w:p w14:paraId="4A08A23C">
            <w:pPr>
              <w:rPr>
                <w:rFonts w:hint="default" w:ascii="Times New Roman" w:hAnsi="Times New Roman" w:cs="Times New Roman"/>
                <w:sz w:val="21"/>
              </w:rPr>
            </w:pPr>
            <w:r>
              <w:rPr>
                <w:rFonts w:hint="default" w:ascii="Times New Roman" w:hAnsi="Times New Roman" w:cs="Times New Roman"/>
                <w:sz w:val="21"/>
              </w:rPr>
              <w:t>热塑性塑料维卡软化温度</w:t>
            </w:r>
          </w:p>
        </w:tc>
        <w:tc>
          <w:tcPr>
            <w:tcW w:w="1005" w:type="dxa"/>
            <w:vAlign w:val="center"/>
          </w:tcPr>
          <w:p w14:paraId="0208A88D">
            <w:pPr>
              <w:rPr>
                <w:rFonts w:hint="default" w:ascii="Times New Roman" w:hAnsi="Times New Roman" w:cs="Times New Roman"/>
                <w:sz w:val="21"/>
              </w:rPr>
            </w:pPr>
            <w:r>
              <w:rPr>
                <w:rFonts w:hint="default" w:ascii="Times New Roman" w:hAnsi="Times New Roman" w:cs="Times New Roman"/>
                <w:sz w:val="21"/>
              </w:rPr>
              <w:t>℃</w:t>
            </w:r>
          </w:p>
        </w:tc>
        <w:tc>
          <w:tcPr>
            <w:tcW w:w="1320" w:type="dxa"/>
            <w:vAlign w:val="center"/>
          </w:tcPr>
          <w:p w14:paraId="58FF236D">
            <w:pPr>
              <w:rPr>
                <w:rFonts w:hint="default" w:ascii="Times New Roman" w:hAnsi="Times New Roman" w:cs="Times New Roman"/>
                <w:sz w:val="21"/>
              </w:rPr>
            </w:pPr>
            <w:r>
              <w:rPr>
                <w:rFonts w:hint="default" w:ascii="Times New Roman" w:hAnsi="Times New Roman" w:cs="Times New Roman"/>
                <w:sz w:val="21"/>
              </w:rPr>
              <w:t>＞75.4</w:t>
            </w:r>
          </w:p>
        </w:tc>
        <w:tc>
          <w:tcPr>
            <w:tcW w:w="4619" w:type="dxa"/>
            <w:vAlign w:val="center"/>
          </w:tcPr>
          <w:p w14:paraId="3C481DA6">
            <w:pPr>
              <w:rPr>
                <w:rFonts w:hint="default" w:ascii="Times New Roman" w:hAnsi="Times New Roman" w:cs="Times New Roman"/>
                <w:sz w:val="21"/>
              </w:rPr>
            </w:pPr>
            <w:r>
              <w:rPr>
                <w:rFonts w:hint="default" w:ascii="Times New Roman" w:hAnsi="Times New Roman" w:cs="Times New Roman"/>
                <w:sz w:val="21"/>
              </w:rPr>
              <w:t>现行国家标准《热塑性塑料维卡软化温度(VST)的测定》GB/T1633</w:t>
            </w:r>
          </w:p>
        </w:tc>
      </w:tr>
    </w:tbl>
    <w:p w14:paraId="628E5B15">
      <w:pPr>
        <w:rPr>
          <w:rFonts w:hint="default" w:ascii="Times New Roman" w:hAnsi="Times New Roman" w:cs="Times New Roman"/>
        </w:rPr>
      </w:pPr>
      <w:r>
        <w:rPr>
          <w:rFonts w:hint="default" w:ascii="Times New Roman" w:hAnsi="Times New Roman" w:cs="Times New Roman"/>
        </w:rPr>
        <w:t>4.3.3  填充砂浆应具有在水中不易分离、水平方向流动性好的特性，可用于狭窄的间隙填充。填充砂浆的配比应符合表4.3.3的规定。</w:t>
      </w:r>
    </w:p>
    <w:p w14:paraId="6695FF3E">
      <w:pPr>
        <w:ind w:firstLine="482" w:firstLineChars="200"/>
        <w:jc w:val="center"/>
        <w:rPr>
          <w:rFonts w:hint="default" w:ascii="Times New Roman" w:hAnsi="Times New Roman" w:cs="Times New Roman"/>
          <w:b/>
          <w:bCs/>
        </w:rPr>
      </w:pPr>
      <w:r>
        <w:rPr>
          <w:rFonts w:hint="default" w:ascii="Times New Roman" w:hAnsi="Times New Roman" w:cs="Times New Roman"/>
          <w:b/>
          <w:bCs/>
        </w:rPr>
        <w:t>表 4.3.3  填充砂浆的配比</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219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Pr>
          <w:p w14:paraId="6C755672">
            <w:pPr>
              <w:jc w:val="center"/>
              <w:rPr>
                <w:rFonts w:hint="default" w:ascii="Times New Roman" w:hAnsi="Times New Roman" w:cs="Times New Roman"/>
                <w:sz w:val="21"/>
              </w:rPr>
            </w:pPr>
            <w:r>
              <w:rPr>
                <w:rFonts w:hint="default" w:ascii="Times New Roman" w:hAnsi="Times New Roman" w:cs="Times New Roman"/>
                <w:sz w:val="21"/>
              </w:rPr>
              <w:t>水料比（%）</w:t>
            </w:r>
          </w:p>
        </w:tc>
        <w:tc>
          <w:tcPr>
            <w:tcW w:w="4261" w:type="dxa"/>
            <w:gridSpan w:val="2"/>
          </w:tcPr>
          <w:p w14:paraId="4F89024C">
            <w:pPr>
              <w:jc w:val="center"/>
              <w:rPr>
                <w:rFonts w:hint="default" w:ascii="Times New Roman" w:hAnsi="Times New Roman" w:cs="Times New Roman"/>
                <w:sz w:val="21"/>
              </w:rPr>
            </w:pPr>
            <w:r>
              <w:rPr>
                <w:rFonts w:hint="default" w:ascii="Times New Roman" w:hAnsi="Times New Roman" w:cs="Times New Roman"/>
                <w:sz w:val="21"/>
              </w:rPr>
              <w:t>每单位体积重量（kg）</w:t>
            </w:r>
          </w:p>
        </w:tc>
        <w:tc>
          <w:tcPr>
            <w:tcW w:w="2131" w:type="dxa"/>
            <w:vMerge w:val="restart"/>
          </w:tcPr>
          <w:p w14:paraId="6CD9CBCE">
            <w:pPr>
              <w:jc w:val="center"/>
              <w:rPr>
                <w:rFonts w:hint="default" w:ascii="Times New Roman" w:hAnsi="Times New Roman" w:cs="Times New Roman"/>
                <w:sz w:val="21"/>
              </w:rPr>
            </w:pPr>
            <w:r>
              <w:rPr>
                <w:rFonts w:hint="default" w:ascii="Times New Roman" w:hAnsi="Times New Roman" w:cs="Times New Roman"/>
                <w:sz w:val="21"/>
              </w:rPr>
              <w:t>备注</w:t>
            </w:r>
          </w:p>
        </w:tc>
      </w:tr>
      <w:tr w14:paraId="0FB6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6B284BA7">
            <w:pPr>
              <w:jc w:val="center"/>
              <w:rPr>
                <w:rFonts w:hint="default" w:ascii="Times New Roman" w:hAnsi="Times New Roman" w:cs="Times New Roman"/>
                <w:sz w:val="21"/>
              </w:rPr>
            </w:pPr>
          </w:p>
        </w:tc>
        <w:tc>
          <w:tcPr>
            <w:tcW w:w="2130" w:type="dxa"/>
          </w:tcPr>
          <w:p w14:paraId="5E62011F">
            <w:pPr>
              <w:jc w:val="center"/>
              <w:rPr>
                <w:rFonts w:hint="default" w:ascii="Times New Roman" w:hAnsi="Times New Roman" w:cs="Times New Roman"/>
                <w:sz w:val="21"/>
              </w:rPr>
            </w:pPr>
            <w:r>
              <w:rPr>
                <w:rFonts w:hint="default" w:ascii="Times New Roman" w:hAnsi="Times New Roman" w:cs="Times New Roman"/>
                <w:sz w:val="21"/>
              </w:rPr>
              <w:t>预混砂浆</w:t>
            </w:r>
          </w:p>
        </w:tc>
        <w:tc>
          <w:tcPr>
            <w:tcW w:w="2131" w:type="dxa"/>
          </w:tcPr>
          <w:p w14:paraId="5296E0BF">
            <w:pPr>
              <w:jc w:val="center"/>
              <w:rPr>
                <w:rFonts w:hint="default" w:ascii="Times New Roman" w:hAnsi="Times New Roman" w:cs="Times New Roman"/>
                <w:sz w:val="21"/>
              </w:rPr>
            </w:pPr>
            <w:r>
              <w:rPr>
                <w:rFonts w:hint="default" w:ascii="Times New Roman" w:hAnsi="Times New Roman" w:cs="Times New Roman"/>
                <w:sz w:val="21"/>
              </w:rPr>
              <w:t>水</w:t>
            </w:r>
          </w:p>
        </w:tc>
        <w:tc>
          <w:tcPr>
            <w:tcW w:w="2131" w:type="dxa"/>
            <w:vMerge w:val="continue"/>
          </w:tcPr>
          <w:p w14:paraId="44E3A274">
            <w:pPr>
              <w:jc w:val="center"/>
              <w:rPr>
                <w:rFonts w:hint="default" w:ascii="Times New Roman" w:hAnsi="Times New Roman" w:cs="Times New Roman"/>
                <w:sz w:val="21"/>
              </w:rPr>
            </w:pPr>
          </w:p>
        </w:tc>
      </w:tr>
      <w:tr w14:paraId="5504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F6A54D4">
            <w:pPr>
              <w:jc w:val="center"/>
              <w:rPr>
                <w:rFonts w:hint="default" w:ascii="Times New Roman" w:hAnsi="Times New Roman" w:cs="Times New Roman"/>
                <w:sz w:val="21"/>
              </w:rPr>
            </w:pPr>
            <w:r>
              <w:rPr>
                <w:rFonts w:hint="default" w:ascii="Times New Roman" w:hAnsi="Times New Roman" w:cs="Times New Roman"/>
                <w:sz w:val="21"/>
              </w:rPr>
              <w:t>21.2</w:t>
            </w:r>
          </w:p>
        </w:tc>
        <w:tc>
          <w:tcPr>
            <w:tcW w:w="2130" w:type="dxa"/>
          </w:tcPr>
          <w:p w14:paraId="41A47337">
            <w:pPr>
              <w:jc w:val="center"/>
              <w:rPr>
                <w:rFonts w:hint="default" w:ascii="Times New Roman" w:hAnsi="Times New Roman" w:cs="Times New Roman"/>
                <w:sz w:val="21"/>
              </w:rPr>
            </w:pPr>
            <w:r>
              <w:rPr>
                <w:rFonts w:hint="default" w:ascii="Times New Roman" w:hAnsi="Times New Roman" w:cs="Times New Roman"/>
                <w:sz w:val="21"/>
              </w:rPr>
              <w:t>1722</w:t>
            </w:r>
          </w:p>
        </w:tc>
        <w:tc>
          <w:tcPr>
            <w:tcW w:w="2131" w:type="dxa"/>
          </w:tcPr>
          <w:p w14:paraId="2824D028">
            <w:pPr>
              <w:jc w:val="center"/>
              <w:rPr>
                <w:rFonts w:hint="default" w:ascii="Times New Roman" w:hAnsi="Times New Roman" w:cs="Times New Roman"/>
                <w:sz w:val="21"/>
              </w:rPr>
            </w:pPr>
            <w:r>
              <w:rPr>
                <w:rFonts w:hint="default" w:ascii="Times New Roman" w:hAnsi="Times New Roman" w:cs="Times New Roman"/>
                <w:sz w:val="21"/>
              </w:rPr>
              <w:t>365</w:t>
            </w:r>
          </w:p>
        </w:tc>
        <w:tc>
          <w:tcPr>
            <w:tcW w:w="2131" w:type="dxa"/>
          </w:tcPr>
          <w:p w14:paraId="46F2359E">
            <w:pPr>
              <w:jc w:val="center"/>
              <w:rPr>
                <w:rFonts w:hint="default" w:ascii="Times New Roman" w:hAnsi="Times New Roman" w:cs="Times New Roman"/>
                <w:sz w:val="21"/>
              </w:rPr>
            </w:pPr>
            <w:r>
              <w:rPr>
                <w:rFonts w:hint="default" w:ascii="Times New Roman" w:hAnsi="Times New Roman" w:cs="Times New Roman"/>
                <w:sz w:val="21"/>
              </w:rPr>
              <w:t>砂浆每袋25kg</w:t>
            </w:r>
          </w:p>
        </w:tc>
      </w:tr>
    </w:tbl>
    <w:p w14:paraId="4193E71F">
      <w:pPr>
        <w:rPr>
          <w:rFonts w:hint="default" w:ascii="Times New Roman" w:hAnsi="Times New Roman" w:cs="Times New Roman"/>
        </w:rPr>
      </w:pPr>
      <w:r>
        <w:rPr>
          <w:rFonts w:hint="default" w:ascii="Times New Roman" w:hAnsi="Times New Roman" w:cs="Times New Roman"/>
        </w:rPr>
        <w:t>4.3.4 填充砂浆的抗压强度、流动度应符合表4.3.4的规定。</w:t>
      </w:r>
    </w:p>
    <w:p w14:paraId="6214D4DC">
      <w:pPr>
        <w:ind w:firstLine="482" w:firstLineChars="200"/>
        <w:jc w:val="center"/>
        <w:rPr>
          <w:rFonts w:hint="default" w:ascii="Times New Roman" w:hAnsi="Times New Roman" w:cs="Times New Roman"/>
          <w:b/>
          <w:bCs/>
        </w:rPr>
      </w:pPr>
      <w:r>
        <w:rPr>
          <w:rFonts w:hint="default" w:ascii="Times New Roman" w:hAnsi="Times New Roman" w:cs="Times New Roman"/>
          <w:b/>
          <w:bCs/>
        </w:rPr>
        <w:t>表 4.3.4 填充砂浆的基本要求</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661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5B4CA43">
            <w:pPr>
              <w:jc w:val="center"/>
              <w:rPr>
                <w:rFonts w:hint="default" w:ascii="Times New Roman" w:hAnsi="Times New Roman" w:cs="Times New Roman"/>
                <w:sz w:val="21"/>
              </w:rPr>
            </w:pPr>
            <w:r>
              <w:rPr>
                <w:rFonts w:hint="default" w:ascii="Times New Roman" w:hAnsi="Times New Roman" w:cs="Times New Roman"/>
                <w:sz w:val="21"/>
              </w:rPr>
              <w:t>检测项目</w:t>
            </w:r>
          </w:p>
        </w:tc>
        <w:tc>
          <w:tcPr>
            <w:tcW w:w="2130" w:type="dxa"/>
            <w:vAlign w:val="center"/>
          </w:tcPr>
          <w:p w14:paraId="1686DE81">
            <w:pPr>
              <w:jc w:val="center"/>
              <w:rPr>
                <w:rFonts w:hint="default" w:ascii="Times New Roman" w:hAnsi="Times New Roman" w:cs="Times New Roman"/>
                <w:sz w:val="21"/>
              </w:rPr>
            </w:pPr>
            <w:r>
              <w:rPr>
                <w:rFonts w:hint="default" w:ascii="Times New Roman" w:hAnsi="Times New Roman" w:cs="Times New Roman"/>
                <w:sz w:val="21"/>
              </w:rPr>
              <w:t>单位</w:t>
            </w:r>
          </w:p>
        </w:tc>
        <w:tc>
          <w:tcPr>
            <w:tcW w:w="2131" w:type="dxa"/>
            <w:vAlign w:val="center"/>
          </w:tcPr>
          <w:p w14:paraId="27984BFB">
            <w:pPr>
              <w:jc w:val="center"/>
              <w:rPr>
                <w:rFonts w:hint="default" w:ascii="Times New Roman" w:hAnsi="Times New Roman" w:cs="Times New Roman"/>
                <w:sz w:val="21"/>
              </w:rPr>
            </w:pPr>
            <w:r>
              <w:rPr>
                <w:rFonts w:hint="default" w:ascii="Times New Roman" w:hAnsi="Times New Roman" w:cs="Times New Roman"/>
                <w:sz w:val="21"/>
              </w:rPr>
              <w:t>技术指标</w:t>
            </w:r>
          </w:p>
        </w:tc>
        <w:tc>
          <w:tcPr>
            <w:tcW w:w="2131" w:type="dxa"/>
            <w:vAlign w:val="center"/>
          </w:tcPr>
          <w:p w14:paraId="0AEF32D6">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702C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78A16727">
            <w:pPr>
              <w:jc w:val="center"/>
              <w:rPr>
                <w:rFonts w:hint="default" w:ascii="Times New Roman" w:hAnsi="Times New Roman" w:cs="Times New Roman"/>
                <w:sz w:val="21"/>
              </w:rPr>
            </w:pPr>
            <w:r>
              <w:rPr>
                <w:rFonts w:hint="default" w:ascii="Times New Roman" w:hAnsi="Times New Roman" w:cs="Times New Roman"/>
                <w:sz w:val="21"/>
              </w:rPr>
              <w:t>抗压强度</w:t>
            </w:r>
          </w:p>
        </w:tc>
        <w:tc>
          <w:tcPr>
            <w:tcW w:w="2130" w:type="dxa"/>
            <w:vAlign w:val="center"/>
          </w:tcPr>
          <w:p w14:paraId="129CFABA">
            <w:pPr>
              <w:jc w:val="center"/>
              <w:rPr>
                <w:rFonts w:hint="default" w:ascii="Times New Roman" w:hAnsi="Times New Roman" w:cs="Times New Roman"/>
                <w:sz w:val="21"/>
              </w:rPr>
            </w:pPr>
            <w:r>
              <w:rPr>
                <w:rFonts w:hint="default" w:ascii="Times New Roman" w:hAnsi="Times New Roman" w:cs="Times New Roman"/>
                <w:sz w:val="21"/>
              </w:rPr>
              <w:t>MPa</w:t>
            </w:r>
          </w:p>
        </w:tc>
        <w:tc>
          <w:tcPr>
            <w:tcW w:w="2131" w:type="dxa"/>
            <w:vAlign w:val="center"/>
          </w:tcPr>
          <w:p w14:paraId="3B6483A6">
            <w:pPr>
              <w:jc w:val="center"/>
              <w:rPr>
                <w:rFonts w:hint="default" w:ascii="Times New Roman" w:hAnsi="Times New Roman" w:cs="Times New Roman"/>
                <w:sz w:val="21"/>
              </w:rPr>
            </w:pPr>
            <w:r>
              <w:rPr>
                <w:rFonts w:hint="default" w:ascii="Times New Roman" w:hAnsi="Times New Roman" w:cs="Times New Roman"/>
                <w:sz w:val="21"/>
              </w:rPr>
              <w:t>≥30</w:t>
            </w:r>
          </w:p>
        </w:tc>
        <w:tc>
          <w:tcPr>
            <w:tcW w:w="2131" w:type="dxa"/>
            <w:vMerge w:val="restart"/>
            <w:vAlign w:val="center"/>
          </w:tcPr>
          <w:p w14:paraId="444C49C0">
            <w:pPr>
              <w:jc w:val="center"/>
              <w:rPr>
                <w:rFonts w:hint="default" w:ascii="Times New Roman" w:hAnsi="Times New Roman" w:cs="Times New Roman"/>
                <w:sz w:val="21"/>
              </w:rPr>
            </w:pPr>
            <w:r>
              <w:rPr>
                <w:rFonts w:hint="default" w:ascii="Times New Roman" w:hAnsi="Times New Roman" w:cs="Times New Roman"/>
                <w:sz w:val="21"/>
              </w:rPr>
              <w:t>现行国家标准《水泥基灌浆材料应用技术规范》GB/T 50448</w:t>
            </w:r>
          </w:p>
        </w:tc>
      </w:tr>
      <w:tr w14:paraId="1DC9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20D5E212">
            <w:pPr>
              <w:jc w:val="center"/>
              <w:rPr>
                <w:rFonts w:hint="default" w:ascii="Times New Roman" w:hAnsi="Times New Roman" w:cs="Times New Roman"/>
                <w:sz w:val="21"/>
              </w:rPr>
            </w:pPr>
            <w:r>
              <w:rPr>
                <w:rFonts w:hint="default" w:ascii="Times New Roman" w:hAnsi="Times New Roman" w:cs="Times New Roman"/>
                <w:sz w:val="21"/>
              </w:rPr>
              <w:t>截锥流动度，30min</w:t>
            </w:r>
          </w:p>
        </w:tc>
        <w:tc>
          <w:tcPr>
            <w:tcW w:w="2130" w:type="dxa"/>
            <w:vAlign w:val="center"/>
          </w:tcPr>
          <w:p w14:paraId="587DDC82">
            <w:pPr>
              <w:jc w:val="center"/>
              <w:rPr>
                <w:rFonts w:hint="default" w:ascii="Times New Roman" w:hAnsi="Times New Roman" w:cs="Times New Roman"/>
                <w:sz w:val="21"/>
              </w:rPr>
            </w:pPr>
            <w:r>
              <w:rPr>
                <w:rFonts w:hint="default" w:ascii="Times New Roman" w:hAnsi="Times New Roman" w:cs="Times New Roman"/>
                <w:sz w:val="21"/>
              </w:rPr>
              <w:t>mm</w:t>
            </w:r>
          </w:p>
        </w:tc>
        <w:tc>
          <w:tcPr>
            <w:tcW w:w="2131" w:type="dxa"/>
            <w:vAlign w:val="center"/>
          </w:tcPr>
          <w:p w14:paraId="65E5FD08">
            <w:pPr>
              <w:jc w:val="center"/>
              <w:rPr>
                <w:rFonts w:hint="default" w:ascii="Times New Roman" w:hAnsi="Times New Roman" w:cs="Times New Roman"/>
                <w:sz w:val="21"/>
              </w:rPr>
            </w:pPr>
            <w:r>
              <w:rPr>
                <w:rFonts w:hint="default" w:ascii="Times New Roman" w:hAnsi="Times New Roman" w:cs="Times New Roman"/>
                <w:sz w:val="21"/>
              </w:rPr>
              <w:t>≥300±30</w:t>
            </w:r>
          </w:p>
        </w:tc>
        <w:tc>
          <w:tcPr>
            <w:tcW w:w="2131" w:type="dxa"/>
            <w:vMerge w:val="continue"/>
            <w:vAlign w:val="center"/>
          </w:tcPr>
          <w:p w14:paraId="59267BE4">
            <w:pPr>
              <w:rPr>
                <w:rFonts w:hint="default" w:ascii="Times New Roman" w:hAnsi="Times New Roman" w:cs="Times New Roman"/>
                <w:sz w:val="21"/>
              </w:rPr>
            </w:pPr>
          </w:p>
        </w:tc>
      </w:tr>
    </w:tbl>
    <w:p w14:paraId="2764CD7F">
      <w:pPr>
        <w:pStyle w:val="3"/>
        <w:bidi w:val="0"/>
        <w:rPr>
          <w:rFonts w:hint="default" w:ascii="Times New Roman" w:hAnsi="Times New Roman" w:eastAsia="宋体" w:cs="Times New Roman"/>
        </w:rPr>
      </w:pPr>
      <w:bookmarkStart w:id="138" w:name="_Toc11630"/>
      <w:r>
        <w:rPr>
          <w:rFonts w:hint="default" w:ascii="Times New Roman" w:hAnsi="Times New Roman" w:eastAsia="宋体" w:cs="Times New Roman"/>
        </w:rPr>
        <w:t>4.4</w:t>
      </w:r>
      <w:bookmarkStart w:id="139" w:name="_Toc139989334"/>
      <w:bookmarkStart w:id="140" w:name="_Toc140147516"/>
      <w:bookmarkStart w:id="141" w:name="_Toc140181978"/>
      <w:bookmarkStart w:id="142" w:name="_Toc140155159"/>
      <w:r>
        <w:rPr>
          <w:rFonts w:hint="default" w:ascii="Times New Roman" w:hAnsi="Times New Roman" w:eastAsia="宋体" w:cs="Times New Roman"/>
        </w:rPr>
        <w:t>短管内衬法</w:t>
      </w:r>
      <w:bookmarkEnd w:id="138"/>
      <w:bookmarkEnd w:id="139"/>
      <w:bookmarkEnd w:id="140"/>
      <w:bookmarkEnd w:id="141"/>
      <w:bookmarkEnd w:id="142"/>
    </w:p>
    <w:p w14:paraId="501CEDD2">
      <w:pPr>
        <w:rPr>
          <w:rFonts w:hint="default" w:ascii="Times New Roman" w:hAnsi="Times New Roman" w:cs="Times New Roman"/>
        </w:rPr>
      </w:pPr>
      <w:r>
        <w:rPr>
          <w:rFonts w:hint="default" w:ascii="Times New Roman" w:hAnsi="Times New Roman" w:cs="Times New Roman"/>
        </w:rPr>
        <w:t>4.4.1  短管内衬法内衬管可采用聚乙烯（PE）管、聚乙烯（PE）缠绕结构壁管\玻璃钢夹砂管、钢管等管材，并应符合下列规定：</w:t>
      </w:r>
    </w:p>
    <w:p w14:paraId="771F121C">
      <w:pPr>
        <w:ind w:firstLine="480" w:firstLineChars="200"/>
        <w:rPr>
          <w:rFonts w:hint="default" w:ascii="Times New Roman" w:hAnsi="Times New Roman" w:cs="Times New Roman"/>
        </w:rPr>
      </w:pPr>
      <w:r>
        <w:rPr>
          <w:rFonts w:hint="default" w:ascii="Times New Roman" w:hAnsi="Times New Roman" w:cs="Times New Roman"/>
        </w:rPr>
        <w:t>1  内衬管长度应满足可从井室进入管道的要求；</w:t>
      </w:r>
    </w:p>
    <w:p w14:paraId="2B8C4AAA">
      <w:pPr>
        <w:ind w:firstLine="480" w:firstLineChars="200"/>
        <w:rPr>
          <w:rFonts w:hint="default" w:ascii="Times New Roman" w:hAnsi="Times New Roman" w:cs="Times New Roman"/>
        </w:rPr>
      </w:pPr>
      <w:r>
        <w:rPr>
          <w:rFonts w:hint="default" w:ascii="Times New Roman" w:hAnsi="Times New Roman" w:cs="Times New Roman"/>
        </w:rPr>
        <w:t>2  当采用承插式连接短管时，内衬管连接应采用防水密封橡胶圈，橡胶圈宜采用遇水膨胀密封材料。橡胶圈性能应符合现行国家标准《橡胶圈封件 给、排水管及污水管道用接口密封圈 材料规范》GB/T 21873和《高分子防水材料 第3部分：遇水膨胀橡胶》GB/T 18173.3 的有关规定的规定；</w:t>
      </w:r>
    </w:p>
    <w:p w14:paraId="0DBA0E87">
      <w:pPr>
        <w:ind w:firstLine="480" w:firstLineChars="200"/>
        <w:rPr>
          <w:rFonts w:hint="default" w:ascii="Times New Roman" w:hAnsi="Times New Roman" w:cs="Times New Roman"/>
        </w:rPr>
      </w:pPr>
      <w:r>
        <w:rPr>
          <w:rFonts w:hint="default" w:ascii="Times New Roman" w:hAnsi="Times New Roman" w:cs="Times New Roman"/>
        </w:rPr>
        <w:t>3  当采用聚乙烯（PE）管时，其管材性能应符合现行国家标准《给水用聚乙烯（PE）管道系统 第2部分：管材》GB/T 13663.2的规定；</w:t>
      </w:r>
    </w:p>
    <w:p w14:paraId="0D8EFB1C">
      <w:pPr>
        <w:ind w:firstLine="480" w:firstLineChars="200"/>
        <w:rPr>
          <w:rFonts w:hint="default" w:ascii="Times New Roman" w:hAnsi="Times New Roman" w:cs="Times New Roman"/>
        </w:rPr>
      </w:pPr>
      <w:r>
        <w:rPr>
          <w:rFonts w:hint="default" w:ascii="Times New Roman" w:hAnsi="Times New Roman" w:cs="Times New Roman"/>
        </w:rPr>
        <w:t>4  当采用聚乙烯（PE）缠绕结构壁管时，其管材性能应符合现行国家标准《埋地用聚乙烯（PE）结构壁管道系统 第2部分：聚乙烯缠绕结构壁管材》GB/T 19472.2的规定；</w:t>
      </w:r>
    </w:p>
    <w:p w14:paraId="1BE45635">
      <w:pPr>
        <w:ind w:firstLine="480" w:firstLineChars="200"/>
        <w:rPr>
          <w:rFonts w:hint="default" w:ascii="Times New Roman" w:hAnsi="Times New Roman" w:cs="Times New Roman"/>
        </w:rPr>
      </w:pPr>
      <w:r>
        <w:rPr>
          <w:rFonts w:hint="default" w:ascii="Times New Roman" w:hAnsi="Times New Roman" w:cs="Times New Roman"/>
        </w:rPr>
        <w:t>5  当采用玻璃钢夹砂管时，其管材性能应符合现行国家标准《玻璃钢纤维增强塑料夹砂管》GB/T 21238和行业标准《玻璃钢纤维增强塑料连续缠绕夹砂管》JC/T 2538的规定；</w:t>
      </w:r>
    </w:p>
    <w:p w14:paraId="09B0E293">
      <w:pPr>
        <w:ind w:firstLine="480" w:firstLineChars="200"/>
        <w:rPr>
          <w:rFonts w:hint="default" w:ascii="Times New Roman" w:hAnsi="Times New Roman" w:cs="Times New Roman"/>
        </w:rPr>
      </w:pPr>
      <w:r>
        <w:rPr>
          <w:rFonts w:hint="default" w:ascii="Times New Roman" w:hAnsi="Times New Roman" w:cs="Times New Roman"/>
        </w:rPr>
        <w:t>6  当采用钢管时，钢管的管材强度等级不应低于Q235，其质量应符合现行国家标准《碳素结构钢》GB/T 700的要求。</w:t>
      </w:r>
    </w:p>
    <w:p w14:paraId="441320F7">
      <w:pPr>
        <w:rPr>
          <w:rFonts w:hint="default" w:ascii="Times New Roman" w:hAnsi="Times New Roman" w:cs="Times New Roman"/>
        </w:rPr>
      </w:pPr>
      <w:r>
        <w:rPr>
          <w:rFonts w:hint="default" w:ascii="Times New Roman" w:hAnsi="Times New Roman" w:eastAsia="楷体" w:cs="Times New Roman"/>
          <w:kern w:val="2"/>
          <w:szCs w:val="24"/>
          <w:u w:val="single"/>
        </w:rPr>
        <w:t>【条文说明】根据四川省实际应用情况，内衬管通常采用钢套管，可采用工厂预制管长500mm钢套管，管径略小于原有管道（缩径不大于10%，如d400可采用4mm厚d390钢管）；钢套管顶进完成后应进行加工一层内衬或套进一条防强酸、防强碱、耐腐蚀的其他管道。</w:t>
      </w:r>
    </w:p>
    <w:p w14:paraId="3926FEDA">
      <w:pPr>
        <w:pStyle w:val="3"/>
        <w:bidi w:val="0"/>
        <w:rPr>
          <w:rFonts w:hint="default" w:ascii="Times New Roman" w:hAnsi="Times New Roman" w:eastAsia="宋体" w:cs="Times New Roman"/>
        </w:rPr>
      </w:pPr>
      <w:bookmarkStart w:id="143" w:name="_Toc14000"/>
      <w:bookmarkStart w:id="144" w:name="_Toc18808"/>
      <w:bookmarkStart w:id="145" w:name="_Toc7382"/>
      <w:bookmarkStart w:id="146" w:name="_Toc138075564"/>
      <w:bookmarkStart w:id="147" w:name="_Toc13202"/>
      <w:bookmarkStart w:id="148" w:name="_Toc138061401"/>
      <w:bookmarkStart w:id="149" w:name="_Toc103607153"/>
      <w:bookmarkStart w:id="150" w:name="_Toc103607927"/>
      <w:bookmarkStart w:id="151" w:name="_Toc104458221"/>
      <w:bookmarkStart w:id="152" w:name="_Toc13088"/>
      <w:bookmarkStart w:id="153" w:name="_Toc27179"/>
      <w:r>
        <w:rPr>
          <w:rFonts w:hint="default" w:ascii="Times New Roman" w:hAnsi="Times New Roman" w:eastAsia="宋体" w:cs="Times New Roman"/>
        </w:rPr>
        <w:t>4.5</w:t>
      </w:r>
      <w:bookmarkEnd w:id="143"/>
      <w:bookmarkEnd w:id="144"/>
      <w:bookmarkEnd w:id="145"/>
      <w:bookmarkEnd w:id="146"/>
      <w:bookmarkEnd w:id="147"/>
      <w:bookmarkEnd w:id="148"/>
      <w:bookmarkEnd w:id="149"/>
      <w:bookmarkEnd w:id="150"/>
      <w:bookmarkEnd w:id="151"/>
      <w:bookmarkEnd w:id="152"/>
      <w:bookmarkStart w:id="154" w:name="_Toc139989336"/>
      <w:bookmarkEnd w:id="154"/>
      <w:bookmarkStart w:id="155" w:name="_Toc139979325"/>
      <w:bookmarkEnd w:id="155"/>
      <w:bookmarkStart w:id="156" w:name="_Toc139989335"/>
      <w:bookmarkEnd w:id="156"/>
      <w:bookmarkStart w:id="157" w:name="_Toc139980245"/>
      <w:bookmarkEnd w:id="157"/>
      <w:bookmarkStart w:id="158" w:name="_Toc139977330"/>
      <w:bookmarkEnd w:id="158"/>
      <w:bookmarkStart w:id="159" w:name="_Toc139976891"/>
      <w:bookmarkEnd w:id="159"/>
      <w:bookmarkStart w:id="160" w:name="_Toc139979324"/>
      <w:bookmarkEnd w:id="160"/>
      <w:bookmarkStart w:id="161" w:name="_Toc139980246"/>
      <w:bookmarkEnd w:id="161"/>
      <w:bookmarkStart w:id="162" w:name="_Toc139989337"/>
      <w:bookmarkStart w:id="163" w:name="_Toc140181979"/>
      <w:bookmarkStart w:id="164" w:name="_Toc140147517"/>
      <w:bookmarkStart w:id="165" w:name="_Toc140155160"/>
      <w:r>
        <w:rPr>
          <w:rFonts w:hint="default" w:ascii="Times New Roman" w:hAnsi="Times New Roman" w:eastAsia="宋体" w:cs="Times New Roman"/>
        </w:rPr>
        <w:t>机械制螺旋缠绕法</w:t>
      </w:r>
      <w:bookmarkEnd w:id="153"/>
      <w:bookmarkEnd w:id="162"/>
      <w:bookmarkEnd w:id="163"/>
      <w:bookmarkEnd w:id="164"/>
      <w:bookmarkEnd w:id="165"/>
    </w:p>
    <w:p w14:paraId="6F76D693">
      <w:pPr>
        <w:rPr>
          <w:rFonts w:hint="default" w:ascii="Times New Roman" w:hAnsi="Times New Roman" w:cs="Times New Roman"/>
        </w:rPr>
      </w:pPr>
      <w:r>
        <w:rPr>
          <w:rFonts w:hint="default" w:ascii="Times New Roman" w:hAnsi="Times New Roman" w:cs="Times New Roman"/>
        </w:rPr>
        <w:t>4.5.1  机械制螺旋缠绕法宜采用硬聚氯乙烯（PVC-U）带状型材或不锈钢带增强硬聚氯乙烯（PVC-U）复合带状型材。</w:t>
      </w:r>
    </w:p>
    <w:p w14:paraId="1348E88E">
      <w:pPr>
        <w:rPr>
          <w:rFonts w:hint="default" w:ascii="Times New Roman" w:hAnsi="Times New Roman" w:cs="Times New Roman"/>
        </w:rPr>
      </w:pPr>
      <w:r>
        <w:rPr>
          <w:rFonts w:hint="default" w:ascii="Times New Roman" w:hAnsi="Times New Roman" w:cs="Times New Roman"/>
        </w:rPr>
        <w:t>4.5.2  机械制螺旋缠绕法带状型材质量应满足下列要求：</w:t>
      </w:r>
    </w:p>
    <w:p w14:paraId="1C9D3319">
      <w:pPr>
        <w:ind w:firstLine="480" w:firstLineChars="200"/>
        <w:rPr>
          <w:rFonts w:hint="default" w:ascii="Times New Roman" w:hAnsi="Times New Roman" w:cs="Times New Roman"/>
        </w:rPr>
      </w:pPr>
      <w:bookmarkStart w:id="166" w:name="_Hlk199254456"/>
      <w:r>
        <w:rPr>
          <w:rFonts w:hint="default" w:ascii="Times New Roman" w:hAnsi="Times New Roman" w:cs="Times New Roman"/>
        </w:rPr>
        <w:t>1  型材内表面应光滑、平整、无裂口、凹陷和其他影响型材性能的表面缺陷，外表面应布设T型加强肋，内表面应喷码，喷码内容应至少包括实时米数、产品规格；</w:t>
      </w:r>
    </w:p>
    <w:p w14:paraId="3FB8E7B1">
      <w:pPr>
        <w:ind w:firstLine="480" w:firstLineChars="200"/>
        <w:rPr>
          <w:rFonts w:hint="default" w:ascii="Times New Roman" w:hAnsi="Times New Roman" w:cs="Times New Roman"/>
        </w:rPr>
      </w:pPr>
      <w:r>
        <w:rPr>
          <w:rFonts w:hint="default" w:ascii="Times New Roman" w:hAnsi="Times New Roman" w:cs="Times New Roman"/>
        </w:rPr>
        <w:t>2  型材中不应含有可见杂质；</w:t>
      </w:r>
    </w:p>
    <w:p w14:paraId="1F88E792">
      <w:pPr>
        <w:ind w:firstLine="480" w:firstLineChars="200"/>
        <w:rPr>
          <w:rFonts w:hint="default" w:ascii="Times New Roman" w:hAnsi="Times New Roman" w:cs="Times New Roman"/>
        </w:rPr>
      </w:pPr>
      <w:r>
        <w:rPr>
          <w:rFonts w:hint="default" w:ascii="Times New Roman" w:hAnsi="Times New Roman" w:cs="Times New Roman"/>
        </w:rPr>
        <w:t>3  型材的最小内层壁厚不应小于1.5 mm；</w:t>
      </w:r>
    </w:p>
    <w:p w14:paraId="4321825B">
      <w:pPr>
        <w:ind w:firstLine="480" w:firstLineChars="200"/>
        <w:rPr>
          <w:rFonts w:hint="default" w:ascii="Times New Roman" w:hAnsi="Times New Roman" w:cs="Times New Roman"/>
        </w:rPr>
      </w:pPr>
      <w:r>
        <w:rPr>
          <w:rFonts w:hint="default" w:ascii="Times New Roman" w:hAnsi="Times New Roman" w:cs="Times New Roman"/>
        </w:rPr>
        <w:t>4  每卷型材的长度不宜小于2000 m；</w:t>
      </w:r>
    </w:p>
    <w:p w14:paraId="1A1B1ECF">
      <w:pPr>
        <w:ind w:firstLine="480" w:firstLineChars="200"/>
        <w:rPr>
          <w:rFonts w:hint="default" w:ascii="Times New Roman" w:hAnsi="Times New Roman" w:cs="Times New Roman"/>
        </w:rPr>
      </w:pPr>
      <w:r>
        <w:rPr>
          <w:rFonts w:hint="default" w:ascii="Times New Roman" w:hAnsi="Times New Roman" w:cs="Times New Roman"/>
        </w:rPr>
        <w:t>5  密封材料应与型材粘结牢固；</w:t>
      </w:r>
    </w:p>
    <w:p w14:paraId="1A3647C2">
      <w:pPr>
        <w:ind w:firstLine="480" w:firstLineChars="200"/>
        <w:rPr>
          <w:rFonts w:hint="default" w:ascii="Times New Roman" w:hAnsi="Times New Roman" w:cs="Times New Roman"/>
        </w:rPr>
      </w:pPr>
      <w:r>
        <w:rPr>
          <w:rFonts w:hint="default" w:ascii="Times New Roman" w:hAnsi="Times New Roman" w:cs="Times New Roman"/>
        </w:rPr>
        <w:t>6  不锈钢带表面应无裂纹、麻面、凸泡、脱皮；</w:t>
      </w:r>
    </w:p>
    <w:p w14:paraId="45042F81">
      <w:pPr>
        <w:ind w:firstLine="480" w:firstLineChars="200"/>
        <w:rPr>
          <w:rFonts w:hint="default" w:ascii="Times New Roman" w:hAnsi="Times New Roman" w:cs="Times New Roman"/>
        </w:rPr>
      </w:pPr>
      <w:r>
        <w:rPr>
          <w:rFonts w:hint="default" w:ascii="Times New Roman" w:hAnsi="Times New Roman" w:cs="Times New Roman"/>
        </w:rPr>
        <w:t>7  不锈钢带厚度应均匀，允许偏差为±0.05 mm。</w:t>
      </w:r>
    </w:p>
    <w:p w14:paraId="7A8BB00B">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【条文说明】型材外观可参考图</w:t>
      </w:r>
      <w:r>
        <w:rPr>
          <w:rFonts w:hint="default" w:ascii="Times New Roman" w:hAnsi="Times New Roman" w:eastAsia="楷体" w:cs="Times New Roman"/>
          <w:kern w:val="2"/>
          <w:szCs w:val="24"/>
          <w:u w:val="single"/>
          <w:lang w:val="en-US" w:eastAsia="zh-CN"/>
        </w:rPr>
        <w:t>4.5.2</w:t>
      </w:r>
      <w:r>
        <w:rPr>
          <w:rFonts w:hint="default" w:ascii="Times New Roman" w:hAnsi="Times New Roman" w:eastAsia="楷体" w:cs="Times New Roman"/>
          <w:kern w:val="2"/>
          <w:szCs w:val="24"/>
          <w:u w:val="single"/>
        </w:rPr>
        <w:t>。</w:t>
      </w:r>
    </w:p>
    <w:p w14:paraId="4E6B5A94">
      <w:pPr>
        <w:jc w:val="center"/>
        <w:rPr>
          <w:rFonts w:hint="default" w:ascii="Times New Roman" w:hAnsi="Times New Roman" w:eastAsia="楷体" w:cs="Times New Roman"/>
          <w:kern w:val="2"/>
          <w:szCs w:val="24"/>
          <w:u w:val="single"/>
        </w:rPr>
      </w:pPr>
    </w:p>
    <w:p w14:paraId="368DDB15">
      <w:pPr>
        <w:jc w:val="center"/>
        <w:rPr>
          <w:rFonts w:hint="default" w:ascii="Times New Roman" w:hAnsi="Times New Roman" w:eastAsia="楷体" w:cs="Times New Roman"/>
          <w:kern w:val="2"/>
          <w:szCs w:val="24"/>
          <w:u w:val="single"/>
        </w:rPr>
      </w:pPr>
      <w:r>
        <w:rPr>
          <w:rFonts w:hint="default" w:ascii="Times New Roman" w:hAnsi="Times New Roman" w:cs="Times New Roman"/>
          <w:sz w:val="18"/>
          <w:szCs w:val="18"/>
        </w:rPr>
        <w:drawing>
          <wp:inline distT="0" distB="0" distL="0" distR="0">
            <wp:extent cx="3059430" cy="1301750"/>
            <wp:effectExtent l="0" t="0" r="7620" b="12700"/>
            <wp:docPr id="1003610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308"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60000" cy="1302229"/>
                    </a:xfrm>
                    <a:prstGeom prst="rect">
                      <a:avLst/>
                    </a:prstGeom>
                    <a:noFill/>
                    <a:ln>
                      <a:noFill/>
                    </a:ln>
                  </pic:spPr>
                </pic:pic>
              </a:graphicData>
            </a:graphic>
          </wp:inline>
        </w:drawing>
      </w:r>
    </w:p>
    <w:p w14:paraId="34916BC0">
      <w:pPr>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（a）钢塑加强法型材断面示意图</w:t>
      </w:r>
    </w:p>
    <w:p w14:paraId="72EA9FB3">
      <w:pPr>
        <w:jc w:val="center"/>
        <w:rPr>
          <w:rFonts w:hint="default" w:ascii="Times New Roman" w:hAnsi="Times New Roman" w:eastAsia="楷体" w:cs="Times New Roman"/>
          <w:kern w:val="2"/>
          <w:szCs w:val="24"/>
          <w:u w:val="single"/>
        </w:rPr>
      </w:pPr>
    </w:p>
    <w:p w14:paraId="2799EF96">
      <w:pPr>
        <w:jc w:val="center"/>
        <w:rPr>
          <w:rFonts w:hint="default" w:ascii="Times New Roman" w:hAnsi="Times New Roman" w:eastAsia="楷体" w:cs="Times New Roman"/>
          <w:kern w:val="2"/>
          <w:szCs w:val="24"/>
          <w:u w:val="single"/>
        </w:rPr>
      </w:pPr>
      <w:r>
        <w:rPr>
          <w:rFonts w:hint="default" w:ascii="Times New Roman" w:hAnsi="Times New Roman" w:cs="Times New Roman"/>
          <w:sz w:val="18"/>
          <w:szCs w:val="18"/>
        </w:rPr>
        <w:drawing>
          <wp:inline distT="0" distB="0" distL="0" distR="0">
            <wp:extent cx="3563620" cy="1087120"/>
            <wp:effectExtent l="0" t="0" r="17780" b="17780"/>
            <wp:docPr id="12075636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63658"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64000" cy="1087635"/>
                    </a:xfrm>
                    <a:prstGeom prst="rect">
                      <a:avLst/>
                    </a:prstGeom>
                    <a:noFill/>
                    <a:ln>
                      <a:noFill/>
                    </a:ln>
                  </pic:spPr>
                </pic:pic>
              </a:graphicData>
            </a:graphic>
          </wp:inline>
        </w:drawing>
      </w:r>
    </w:p>
    <w:p w14:paraId="22DED6D6">
      <w:pPr>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（b）扩张法型材断面示意图</w:t>
      </w:r>
    </w:p>
    <w:p w14:paraId="00BD1D37">
      <w:pPr>
        <w:jc w:val="center"/>
        <w:rPr>
          <w:rFonts w:hint="default" w:ascii="Times New Roman" w:hAnsi="Times New Roman" w:eastAsia="楷体" w:cs="Times New Roman"/>
          <w:kern w:val="2"/>
          <w:szCs w:val="24"/>
          <w:u w:val="single"/>
        </w:rPr>
      </w:pPr>
    </w:p>
    <w:p w14:paraId="05E666DE">
      <w:pPr>
        <w:jc w:val="center"/>
        <w:rPr>
          <w:rFonts w:hint="default" w:ascii="Times New Roman" w:hAnsi="Times New Roman" w:eastAsia="楷体" w:cs="Times New Roman"/>
          <w:kern w:val="2"/>
          <w:szCs w:val="24"/>
          <w:u w:val="single"/>
        </w:rPr>
      </w:pPr>
      <w:r>
        <w:rPr>
          <w:rFonts w:hint="default" w:ascii="Times New Roman" w:hAnsi="Times New Roman" w:cs="Times New Roman"/>
          <w:sz w:val="18"/>
          <w:szCs w:val="18"/>
        </w:rPr>
        <w:drawing>
          <wp:inline distT="0" distB="0" distL="0" distR="0">
            <wp:extent cx="3599815" cy="1327150"/>
            <wp:effectExtent l="0" t="0" r="635" b="6350"/>
            <wp:docPr id="4185079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7970" name="图片 3"/>
                    <pic:cNvPicPr>
                      <a:picLocks noChangeAspect="1" noChangeArrowheads="1"/>
                    </pic:cNvPicPr>
                  </pic:nvPicPr>
                  <pic:blipFill>
                    <a:blip r:embed="rId19">
                      <a:extLst>
                        <a:ext uri="{28A0092B-C50C-407E-A947-70E740481C1C}">
                          <a14:useLocalDpi xmlns:a14="http://schemas.microsoft.com/office/drawing/2010/main" val="0"/>
                        </a:ext>
                      </a:extLst>
                    </a:blip>
                    <a:srcRect r="15392"/>
                    <a:stretch>
                      <a:fillRect/>
                    </a:stretch>
                  </pic:blipFill>
                  <pic:spPr>
                    <a:xfrm>
                      <a:off x="0" y="0"/>
                      <a:ext cx="3600000" cy="1327374"/>
                    </a:xfrm>
                    <a:prstGeom prst="rect">
                      <a:avLst/>
                    </a:prstGeom>
                    <a:noFill/>
                    <a:ln>
                      <a:noFill/>
                    </a:ln>
                  </pic:spPr>
                </pic:pic>
              </a:graphicData>
            </a:graphic>
          </wp:inline>
        </w:drawing>
      </w:r>
    </w:p>
    <w:p w14:paraId="7E261F5A">
      <w:pPr>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（c）机头行走法型材断面示意图</w:t>
      </w:r>
    </w:p>
    <w:p w14:paraId="6B28F14C">
      <w:pPr>
        <w:jc w:val="cente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图</w:t>
      </w:r>
      <w:r>
        <w:rPr>
          <w:rFonts w:hint="default" w:ascii="Times New Roman" w:hAnsi="Times New Roman" w:eastAsia="楷体" w:cs="Times New Roman"/>
          <w:kern w:val="2"/>
          <w:szCs w:val="24"/>
          <w:u w:val="single"/>
          <w:lang w:val="en-US" w:eastAsia="zh-CN"/>
        </w:rPr>
        <w:t>4.5.2</w:t>
      </w:r>
      <w:r>
        <w:rPr>
          <w:rFonts w:hint="default" w:ascii="Times New Roman" w:hAnsi="Times New Roman" w:eastAsia="楷体" w:cs="Times New Roman"/>
          <w:kern w:val="2"/>
          <w:szCs w:val="24"/>
          <w:u w:val="single"/>
        </w:rPr>
        <w:t xml:space="preserve">  型材断面示意</w:t>
      </w:r>
    </w:p>
    <w:p w14:paraId="3D31E93C">
      <w:pPr>
        <w:jc w:val="center"/>
        <w:rPr>
          <w:rFonts w:hint="default" w:ascii="Times New Roman" w:hAnsi="Times New Roman" w:cs="Times New Roman"/>
        </w:rPr>
      </w:pPr>
      <w:r>
        <w:rPr>
          <w:rFonts w:hint="default" w:ascii="Times New Roman" w:hAnsi="Times New Roman" w:eastAsia="楷体" w:cs="Times New Roman"/>
          <w:kern w:val="2"/>
          <w:szCs w:val="24"/>
          <w:u w:val="single"/>
        </w:rPr>
        <w:t>1—型材外表面T型肋；2—最小内层壁厚度；3—型材内表面；4—密封材料；5—不锈钢带</w:t>
      </w:r>
    </w:p>
    <w:bookmarkEnd w:id="166"/>
    <w:p w14:paraId="27D699EC">
      <w:pPr>
        <w:rPr>
          <w:rFonts w:hint="default" w:ascii="Times New Roman" w:hAnsi="Times New Roman" w:cs="Times New Roman"/>
        </w:rPr>
      </w:pPr>
      <w:r>
        <w:rPr>
          <w:rFonts w:hint="default" w:ascii="Times New Roman" w:hAnsi="Times New Roman" w:cs="Times New Roman"/>
        </w:rPr>
        <w:t>4.5.3  硬聚氯乙烯（PVC-U）带状型材性能应符合表4.5.3的规定。</w:t>
      </w:r>
    </w:p>
    <w:p w14:paraId="64E9598D">
      <w:pPr>
        <w:ind w:firstLine="482" w:firstLineChars="200"/>
        <w:jc w:val="center"/>
        <w:rPr>
          <w:rFonts w:hint="default" w:ascii="Times New Roman" w:hAnsi="Times New Roman" w:cs="Times New Roman"/>
          <w:b/>
          <w:bCs/>
        </w:rPr>
      </w:pPr>
      <w:r>
        <w:rPr>
          <w:rFonts w:hint="default" w:ascii="Times New Roman" w:hAnsi="Times New Roman" w:cs="Times New Roman"/>
          <w:b/>
          <w:bCs/>
        </w:rPr>
        <w:t>表4.5.3  硬聚氯乙烯（PVC-U）带状型材性能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223"/>
        <w:gridCol w:w="5862"/>
      </w:tblGrid>
      <w:tr w14:paraId="20557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522D257">
            <w:pPr>
              <w:jc w:val="center"/>
              <w:rPr>
                <w:rFonts w:hint="default" w:ascii="Times New Roman" w:hAnsi="Times New Roman" w:cs="Times New Roman"/>
                <w:sz w:val="21"/>
              </w:rPr>
            </w:pPr>
            <w:r>
              <w:rPr>
                <w:rFonts w:hint="default" w:ascii="Times New Roman" w:hAnsi="Times New Roman" w:cs="Times New Roman"/>
                <w:sz w:val="21"/>
              </w:rPr>
              <w:t>项目</w:t>
            </w:r>
          </w:p>
        </w:tc>
        <w:tc>
          <w:tcPr>
            <w:tcW w:w="1223" w:type="dxa"/>
            <w:vAlign w:val="center"/>
          </w:tcPr>
          <w:p w14:paraId="2959BD4E">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5862" w:type="dxa"/>
            <w:vAlign w:val="center"/>
          </w:tcPr>
          <w:p w14:paraId="6EEEC27D">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57A46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0" w:type="auto"/>
            <w:vAlign w:val="center"/>
          </w:tcPr>
          <w:p w14:paraId="7586F80F">
            <w:pPr>
              <w:jc w:val="center"/>
              <w:rPr>
                <w:rFonts w:hint="default" w:ascii="Times New Roman" w:hAnsi="Times New Roman" w:cs="Times New Roman"/>
                <w:sz w:val="21"/>
              </w:rPr>
            </w:pPr>
            <w:r>
              <w:rPr>
                <w:rFonts w:hint="default" w:ascii="Times New Roman" w:hAnsi="Times New Roman" w:cs="Times New Roman"/>
                <w:sz w:val="21"/>
              </w:rPr>
              <w:t>拉伸弹性模量（MPa）</w:t>
            </w:r>
          </w:p>
        </w:tc>
        <w:tc>
          <w:tcPr>
            <w:tcW w:w="1223" w:type="dxa"/>
            <w:vAlign w:val="center"/>
          </w:tcPr>
          <w:p w14:paraId="6C5CF0CC">
            <w:pPr>
              <w:jc w:val="center"/>
              <w:rPr>
                <w:rFonts w:hint="default" w:ascii="Times New Roman" w:hAnsi="Times New Roman" w:cs="Times New Roman"/>
                <w:sz w:val="21"/>
              </w:rPr>
            </w:pPr>
            <w:r>
              <w:rPr>
                <w:rFonts w:hint="default" w:ascii="Times New Roman" w:hAnsi="Times New Roman" w:cs="Times New Roman"/>
                <w:sz w:val="21"/>
              </w:rPr>
              <w:t>≥2000</w:t>
            </w:r>
          </w:p>
        </w:tc>
        <w:tc>
          <w:tcPr>
            <w:tcW w:w="5862" w:type="dxa"/>
            <w:vMerge w:val="restart"/>
            <w:vAlign w:val="center"/>
          </w:tcPr>
          <w:p w14:paraId="387FC80F">
            <w:pPr>
              <w:jc w:val="center"/>
              <w:rPr>
                <w:rFonts w:hint="default" w:ascii="Times New Roman" w:hAnsi="Times New Roman" w:cs="Times New Roman"/>
                <w:sz w:val="21"/>
              </w:rPr>
            </w:pPr>
            <w:r>
              <w:rPr>
                <w:rFonts w:hint="default" w:ascii="Times New Roman" w:hAnsi="Times New Roman" w:cs="Times New Roman"/>
                <w:sz w:val="21"/>
              </w:rPr>
              <w:t>《塑料 拉伸性能的测定 第2部分：模塑和挤塑塑料的试验条件》GB/T1040.2，测试速度为（10±2）mm/min</w:t>
            </w:r>
          </w:p>
        </w:tc>
      </w:tr>
      <w:tr w14:paraId="645BC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59ADF94">
            <w:pPr>
              <w:jc w:val="center"/>
              <w:rPr>
                <w:rFonts w:hint="default" w:ascii="Times New Roman" w:hAnsi="Times New Roman" w:cs="Times New Roman"/>
                <w:sz w:val="21"/>
              </w:rPr>
            </w:pPr>
            <w:r>
              <w:rPr>
                <w:rFonts w:hint="default" w:ascii="Times New Roman" w:hAnsi="Times New Roman" w:cs="Times New Roman"/>
                <w:sz w:val="21"/>
              </w:rPr>
              <w:t>拉伸强度（MPa）</w:t>
            </w:r>
          </w:p>
        </w:tc>
        <w:tc>
          <w:tcPr>
            <w:tcW w:w="1223" w:type="dxa"/>
            <w:vAlign w:val="center"/>
          </w:tcPr>
          <w:p w14:paraId="2ABC072F">
            <w:pPr>
              <w:jc w:val="center"/>
              <w:rPr>
                <w:rFonts w:hint="default" w:ascii="Times New Roman" w:hAnsi="Times New Roman" w:cs="Times New Roman"/>
                <w:sz w:val="21"/>
              </w:rPr>
            </w:pPr>
            <w:r>
              <w:rPr>
                <w:rFonts w:hint="default" w:ascii="Times New Roman" w:hAnsi="Times New Roman" w:cs="Times New Roman"/>
                <w:sz w:val="21"/>
              </w:rPr>
              <w:t>≥35</w:t>
            </w:r>
          </w:p>
        </w:tc>
        <w:tc>
          <w:tcPr>
            <w:tcW w:w="5862" w:type="dxa"/>
            <w:vMerge w:val="continue"/>
            <w:vAlign w:val="center"/>
          </w:tcPr>
          <w:p w14:paraId="4743A08E">
            <w:pPr>
              <w:ind w:firstLine="420" w:firstLineChars="200"/>
              <w:jc w:val="center"/>
              <w:rPr>
                <w:rFonts w:hint="default" w:ascii="Times New Roman" w:hAnsi="Times New Roman" w:cs="Times New Roman"/>
                <w:sz w:val="21"/>
              </w:rPr>
            </w:pPr>
          </w:p>
        </w:tc>
      </w:tr>
      <w:tr w14:paraId="03A4A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0" w:type="auto"/>
            <w:vAlign w:val="center"/>
          </w:tcPr>
          <w:p w14:paraId="7E5BC622">
            <w:pPr>
              <w:jc w:val="center"/>
              <w:rPr>
                <w:rFonts w:hint="default" w:ascii="Times New Roman" w:hAnsi="Times New Roman" w:cs="Times New Roman"/>
                <w:sz w:val="21"/>
              </w:rPr>
            </w:pPr>
            <w:r>
              <w:rPr>
                <w:rFonts w:hint="default" w:ascii="Times New Roman" w:hAnsi="Times New Roman" w:cs="Times New Roman"/>
                <w:sz w:val="21"/>
              </w:rPr>
              <w:t>断裂伸长率（%）</w:t>
            </w:r>
          </w:p>
        </w:tc>
        <w:tc>
          <w:tcPr>
            <w:tcW w:w="1223" w:type="dxa"/>
            <w:vAlign w:val="center"/>
          </w:tcPr>
          <w:p w14:paraId="40ABE859">
            <w:pPr>
              <w:jc w:val="center"/>
              <w:rPr>
                <w:rFonts w:hint="default" w:ascii="Times New Roman" w:hAnsi="Times New Roman" w:cs="Times New Roman"/>
                <w:sz w:val="21"/>
              </w:rPr>
            </w:pPr>
            <w:r>
              <w:rPr>
                <w:rFonts w:hint="default" w:ascii="Times New Roman" w:hAnsi="Times New Roman" w:cs="Times New Roman"/>
                <w:sz w:val="21"/>
              </w:rPr>
              <w:t>≥40</w:t>
            </w:r>
          </w:p>
        </w:tc>
        <w:tc>
          <w:tcPr>
            <w:tcW w:w="5862" w:type="dxa"/>
            <w:vAlign w:val="center"/>
          </w:tcPr>
          <w:p w14:paraId="5C59FBB6">
            <w:pPr>
              <w:jc w:val="center"/>
              <w:rPr>
                <w:rFonts w:hint="default" w:ascii="Times New Roman" w:hAnsi="Times New Roman" w:cs="Times New Roman"/>
                <w:sz w:val="21"/>
              </w:rPr>
            </w:pPr>
            <w:r>
              <w:rPr>
                <w:rFonts w:hint="default" w:ascii="Times New Roman" w:hAnsi="Times New Roman" w:cs="Times New Roman"/>
                <w:sz w:val="21"/>
              </w:rPr>
              <w:t>《热塑性塑料管材 拉伸性能测定 第2部分：硬聚氯乙烯（PVC-U）、氯化聚氯乙烯（PVC-C）和高抗冲聚氯乙烯（PVC-HI）管材》GB/T 8804.2，测试速度为（5±2）mm/min</w:t>
            </w:r>
          </w:p>
        </w:tc>
      </w:tr>
      <w:tr w14:paraId="4EC23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0" w:type="auto"/>
            <w:vAlign w:val="center"/>
          </w:tcPr>
          <w:p w14:paraId="7878EE05">
            <w:pPr>
              <w:jc w:val="center"/>
              <w:rPr>
                <w:rFonts w:hint="default" w:ascii="Times New Roman" w:hAnsi="Times New Roman" w:cs="Times New Roman"/>
                <w:sz w:val="21"/>
              </w:rPr>
            </w:pPr>
            <w:r>
              <w:rPr>
                <w:rFonts w:hint="default" w:ascii="Times New Roman" w:hAnsi="Times New Roman" w:cs="Times New Roman"/>
                <w:sz w:val="21"/>
              </w:rPr>
              <w:t>弯曲强度（MPa）</w:t>
            </w:r>
          </w:p>
        </w:tc>
        <w:tc>
          <w:tcPr>
            <w:tcW w:w="1223" w:type="dxa"/>
            <w:vAlign w:val="center"/>
          </w:tcPr>
          <w:p w14:paraId="5135721F">
            <w:pPr>
              <w:jc w:val="center"/>
              <w:rPr>
                <w:rFonts w:hint="default" w:ascii="Times New Roman" w:hAnsi="Times New Roman" w:cs="Times New Roman"/>
                <w:sz w:val="21"/>
              </w:rPr>
            </w:pPr>
            <w:r>
              <w:rPr>
                <w:rFonts w:hint="default" w:ascii="Times New Roman" w:hAnsi="Times New Roman" w:cs="Times New Roman"/>
                <w:sz w:val="21"/>
              </w:rPr>
              <w:t>≥58</w:t>
            </w:r>
          </w:p>
        </w:tc>
        <w:tc>
          <w:tcPr>
            <w:tcW w:w="5862" w:type="dxa"/>
            <w:vAlign w:val="center"/>
          </w:tcPr>
          <w:p w14:paraId="3734A440">
            <w:pPr>
              <w:jc w:val="center"/>
              <w:rPr>
                <w:rFonts w:hint="default" w:ascii="Times New Roman" w:hAnsi="Times New Roman" w:cs="Times New Roman"/>
                <w:sz w:val="21"/>
              </w:rPr>
            </w:pPr>
            <w:r>
              <w:rPr>
                <w:rFonts w:hint="default" w:ascii="Times New Roman" w:hAnsi="Times New Roman" w:cs="Times New Roman"/>
                <w:sz w:val="21"/>
              </w:rPr>
              <w:t>《塑料 弯曲性能的测定》GB/T 9341，测试速度为（1±0.2）mm/min</w:t>
            </w:r>
          </w:p>
        </w:tc>
      </w:tr>
    </w:tbl>
    <w:p w14:paraId="4E9012D7">
      <w:pPr>
        <w:rPr>
          <w:rFonts w:hint="default" w:ascii="Times New Roman" w:hAnsi="Times New Roman" w:cs="Times New Roman"/>
        </w:rPr>
      </w:pPr>
      <w:r>
        <w:rPr>
          <w:rFonts w:hint="default" w:ascii="Times New Roman" w:hAnsi="Times New Roman" w:cs="Times New Roman"/>
        </w:rPr>
        <w:t>4.5.4  不锈钢带材料性能应符合表4.5.4的规定。</w:t>
      </w:r>
    </w:p>
    <w:p w14:paraId="6F00FA5E">
      <w:pPr>
        <w:ind w:firstLine="482" w:firstLineChars="200"/>
        <w:jc w:val="center"/>
        <w:rPr>
          <w:rFonts w:hint="default" w:ascii="Times New Roman" w:hAnsi="Times New Roman" w:cs="Times New Roman"/>
          <w:b/>
          <w:bCs/>
        </w:rPr>
      </w:pPr>
      <w:r>
        <w:rPr>
          <w:rFonts w:hint="default" w:ascii="Times New Roman" w:hAnsi="Times New Roman" w:cs="Times New Roman"/>
          <w:b/>
          <w:bCs/>
        </w:rPr>
        <w:t>表4.5.4  不锈钢带材料性能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733"/>
        <w:gridCol w:w="5214"/>
      </w:tblGrid>
      <w:tr w14:paraId="2283B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0" w:type="auto"/>
            <w:vAlign w:val="center"/>
          </w:tcPr>
          <w:p w14:paraId="354EC878">
            <w:pPr>
              <w:jc w:val="center"/>
              <w:rPr>
                <w:rFonts w:hint="default" w:ascii="Times New Roman" w:hAnsi="Times New Roman" w:cs="Times New Roman"/>
                <w:sz w:val="21"/>
              </w:rPr>
            </w:pPr>
            <w:r>
              <w:rPr>
                <w:rFonts w:hint="default" w:ascii="Times New Roman" w:hAnsi="Times New Roman" w:cs="Times New Roman"/>
                <w:sz w:val="21"/>
              </w:rPr>
              <w:t>项目</w:t>
            </w:r>
          </w:p>
        </w:tc>
        <w:tc>
          <w:tcPr>
            <w:tcW w:w="0" w:type="auto"/>
            <w:vAlign w:val="center"/>
          </w:tcPr>
          <w:p w14:paraId="04262D4E">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0" w:type="auto"/>
            <w:vAlign w:val="center"/>
          </w:tcPr>
          <w:p w14:paraId="3050743B">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66F96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0" w:type="auto"/>
            <w:vAlign w:val="center"/>
          </w:tcPr>
          <w:p w14:paraId="10278A64">
            <w:pPr>
              <w:jc w:val="center"/>
              <w:rPr>
                <w:rFonts w:hint="default" w:ascii="Times New Roman" w:hAnsi="Times New Roman" w:cs="Times New Roman"/>
                <w:sz w:val="21"/>
              </w:rPr>
            </w:pPr>
            <w:r>
              <w:rPr>
                <w:rFonts w:hint="default" w:ascii="Times New Roman" w:hAnsi="Times New Roman" w:cs="Times New Roman"/>
                <w:sz w:val="21"/>
              </w:rPr>
              <w:t>弹性模量（GPa）</w:t>
            </w:r>
          </w:p>
        </w:tc>
        <w:tc>
          <w:tcPr>
            <w:tcW w:w="0" w:type="auto"/>
            <w:vAlign w:val="center"/>
          </w:tcPr>
          <w:p w14:paraId="3DB5781D">
            <w:pPr>
              <w:jc w:val="center"/>
              <w:rPr>
                <w:rFonts w:hint="default" w:ascii="Times New Roman" w:hAnsi="Times New Roman" w:cs="Times New Roman"/>
                <w:sz w:val="21"/>
              </w:rPr>
            </w:pPr>
            <w:r>
              <w:rPr>
                <w:rFonts w:hint="default" w:ascii="Times New Roman" w:hAnsi="Times New Roman" w:cs="Times New Roman"/>
                <w:sz w:val="21"/>
              </w:rPr>
              <w:t>≥193</w:t>
            </w:r>
          </w:p>
        </w:tc>
        <w:tc>
          <w:tcPr>
            <w:tcW w:w="0" w:type="auto"/>
            <w:vAlign w:val="center"/>
          </w:tcPr>
          <w:p w14:paraId="714206CA">
            <w:pPr>
              <w:jc w:val="center"/>
              <w:rPr>
                <w:rFonts w:hint="default" w:ascii="Times New Roman" w:hAnsi="Times New Roman" w:cs="Times New Roman"/>
                <w:sz w:val="21"/>
              </w:rPr>
            </w:pPr>
            <w:r>
              <w:rPr>
                <w:rFonts w:hint="default" w:ascii="Times New Roman" w:hAnsi="Times New Roman" w:cs="Times New Roman"/>
                <w:sz w:val="21"/>
              </w:rPr>
              <w:t>《金属材料 弹性模量和泊松比实验方法》GB/T 22315（静态法）</w:t>
            </w:r>
          </w:p>
        </w:tc>
      </w:tr>
      <w:tr w14:paraId="05E6D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vAlign w:val="center"/>
          </w:tcPr>
          <w:p w14:paraId="26D4C5C4">
            <w:pPr>
              <w:jc w:val="center"/>
              <w:rPr>
                <w:rFonts w:hint="default" w:ascii="Times New Roman" w:hAnsi="Times New Roman" w:cs="Times New Roman"/>
                <w:sz w:val="21"/>
              </w:rPr>
            </w:pPr>
            <w:r>
              <w:rPr>
                <w:rFonts w:hint="default" w:ascii="Times New Roman" w:hAnsi="Times New Roman" w:cs="Times New Roman"/>
                <w:sz w:val="21"/>
              </w:rPr>
              <w:t>材质</w:t>
            </w:r>
          </w:p>
        </w:tc>
        <w:tc>
          <w:tcPr>
            <w:tcW w:w="0" w:type="auto"/>
            <w:vAlign w:val="center"/>
          </w:tcPr>
          <w:p w14:paraId="5635EA09">
            <w:pPr>
              <w:jc w:val="center"/>
              <w:rPr>
                <w:rFonts w:hint="default" w:ascii="Times New Roman" w:hAnsi="Times New Roman" w:cs="Times New Roman"/>
                <w:sz w:val="21"/>
              </w:rPr>
            </w:pPr>
            <w:r>
              <w:rPr>
                <w:rFonts w:hint="default" w:ascii="Times New Roman" w:hAnsi="Times New Roman" w:cs="Times New Roman"/>
                <w:sz w:val="21"/>
              </w:rPr>
              <w:t>不锈钢，Ni含量＞1%</w:t>
            </w:r>
          </w:p>
        </w:tc>
        <w:tc>
          <w:tcPr>
            <w:tcW w:w="0" w:type="auto"/>
            <w:vAlign w:val="center"/>
          </w:tcPr>
          <w:p w14:paraId="37D64981">
            <w:pPr>
              <w:jc w:val="center"/>
              <w:rPr>
                <w:rFonts w:hint="default" w:ascii="Times New Roman" w:hAnsi="Times New Roman" w:cs="Times New Roman"/>
                <w:sz w:val="21"/>
              </w:rPr>
            </w:pPr>
            <w:r>
              <w:rPr>
                <w:rFonts w:hint="default" w:ascii="Times New Roman" w:hAnsi="Times New Roman" w:cs="Times New Roman"/>
                <w:sz w:val="21"/>
              </w:rPr>
              <w:t>《不锈钢 多元素含量的测定 电感耦合等离子体原子发射光谱法》YB/T 4396</w:t>
            </w:r>
          </w:p>
        </w:tc>
      </w:tr>
    </w:tbl>
    <w:p w14:paraId="1CCD0765">
      <w:pPr>
        <w:rPr>
          <w:rFonts w:hint="default" w:ascii="Times New Roman" w:hAnsi="Times New Roman" w:cs="Times New Roman"/>
        </w:rPr>
      </w:pPr>
      <w:bookmarkStart w:id="167" w:name="_Toc138060753"/>
      <w:bookmarkEnd w:id="167"/>
      <w:bookmarkStart w:id="168" w:name="_Toc138060775"/>
      <w:bookmarkEnd w:id="168"/>
      <w:bookmarkStart w:id="169" w:name="_Toc138060777"/>
      <w:bookmarkEnd w:id="169"/>
      <w:bookmarkStart w:id="170" w:name="_Toc138060754"/>
      <w:bookmarkEnd w:id="170"/>
      <w:bookmarkStart w:id="171" w:name="_Toc138060751"/>
      <w:bookmarkEnd w:id="171"/>
      <w:bookmarkStart w:id="172" w:name="_Toc138060776"/>
      <w:bookmarkEnd w:id="172"/>
      <w:bookmarkStart w:id="173" w:name="_Toc138060752"/>
      <w:bookmarkEnd w:id="173"/>
      <w:bookmarkStart w:id="174" w:name="_Toc138060774"/>
      <w:bookmarkEnd w:id="174"/>
      <w:r>
        <w:rPr>
          <w:rFonts w:hint="default" w:ascii="Times New Roman" w:hAnsi="Times New Roman" w:cs="Times New Roman"/>
        </w:rPr>
        <w:t xml:space="preserve">4.5.5  </w:t>
      </w:r>
      <w:bookmarkStart w:id="175" w:name="_Toc138060798"/>
      <w:bookmarkEnd w:id="175"/>
      <w:bookmarkStart w:id="176" w:name="_Toc138060805"/>
      <w:bookmarkEnd w:id="176"/>
      <w:bookmarkStart w:id="177" w:name="_Toc138060799"/>
      <w:bookmarkEnd w:id="177"/>
      <w:bookmarkStart w:id="178" w:name="_Toc138060811"/>
      <w:bookmarkEnd w:id="178"/>
      <w:bookmarkStart w:id="179" w:name="_Toc138060794"/>
      <w:bookmarkEnd w:id="179"/>
      <w:bookmarkStart w:id="180" w:name="_Toc138060793"/>
      <w:bookmarkEnd w:id="180"/>
      <w:bookmarkStart w:id="181" w:name="_Toc138060796"/>
      <w:bookmarkEnd w:id="181"/>
      <w:bookmarkStart w:id="182" w:name="_Toc138060806"/>
      <w:bookmarkEnd w:id="182"/>
      <w:bookmarkStart w:id="183" w:name="_Toc138060815"/>
      <w:bookmarkEnd w:id="183"/>
      <w:bookmarkStart w:id="184" w:name="_Toc138060797"/>
      <w:bookmarkEnd w:id="184"/>
      <w:bookmarkStart w:id="185" w:name="_Toc138060812"/>
      <w:bookmarkEnd w:id="185"/>
      <w:bookmarkStart w:id="186" w:name="_Toc138060791"/>
      <w:bookmarkEnd w:id="186"/>
      <w:bookmarkStart w:id="187" w:name="_Toc138060803"/>
      <w:bookmarkEnd w:id="187"/>
      <w:bookmarkStart w:id="188" w:name="_Toc138060800"/>
      <w:bookmarkEnd w:id="188"/>
      <w:bookmarkStart w:id="189" w:name="_Toc138060810"/>
      <w:bookmarkEnd w:id="189"/>
      <w:bookmarkStart w:id="190" w:name="_Toc138060807"/>
      <w:bookmarkEnd w:id="190"/>
      <w:bookmarkStart w:id="191" w:name="_Toc138060792"/>
      <w:bookmarkEnd w:id="191"/>
      <w:bookmarkStart w:id="192" w:name="_Toc138060813"/>
      <w:bookmarkEnd w:id="192"/>
      <w:bookmarkStart w:id="193" w:name="_Toc138060809"/>
      <w:bookmarkEnd w:id="193"/>
      <w:bookmarkStart w:id="194" w:name="_Toc138060801"/>
      <w:bookmarkEnd w:id="194"/>
      <w:bookmarkStart w:id="195" w:name="_Toc138060808"/>
      <w:bookmarkEnd w:id="195"/>
      <w:bookmarkStart w:id="196" w:name="_Toc138060795"/>
      <w:bookmarkEnd w:id="196"/>
      <w:bookmarkStart w:id="197" w:name="_Toc138060814"/>
      <w:bookmarkEnd w:id="197"/>
      <w:bookmarkStart w:id="198" w:name="_Toc138060790"/>
      <w:bookmarkEnd w:id="198"/>
      <w:bookmarkStart w:id="199" w:name="_Toc138060802"/>
      <w:bookmarkEnd w:id="199"/>
      <w:bookmarkStart w:id="200" w:name="_Toc138060804"/>
      <w:bookmarkEnd w:id="200"/>
      <w:r>
        <w:rPr>
          <w:rFonts w:hint="default" w:ascii="Times New Roman" w:hAnsi="Times New Roman" w:cs="Times New Roman"/>
        </w:rPr>
        <w:t>采用钢塑加强法工艺时，注浆材料中使用的水泥应符合现行国家标准《通用硅酸盐水泥》GB 175的有关规定。</w:t>
      </w:r>
    </w:p>
    <w:p w14:paraId="5620CC86">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【条文说明】对于钢塑加强法工艺，内衬管道为独立结构管设计，管道自身强度高，注浆的作用仅仅为填充环形间隙，因而对浆液的强度没有要求。</w:t>
      </w:r>
    </w:p>
    <w:p w14:paraId="157F4047">
      <w:pPr>
        <w:rPr>
          <w:rFonts w:hint="default" w:ascii="Times New Roman" w:hAnsi="Times New Roman" w:cs="Times New Roman"/>
        </w:rPr>
      </w:pPr>
      <w:r>
        <w:rPr>
          <w:rFonts w:hint="default" w:ascii="Times New Roman" w:hAnsi="Times New Roman" w:cs="Times New Roman"/>
        </w:rPr>
        <w:t>4.5.6  采用机头行走工艺时，注浆材料性能应符合表4.5.6的规定。</w:t>
      </w:r>
    </w:p>
    <w:p w14:paraId="6CE6E88E">
      <w:pPr>
        <w:ind w:firstLine="482" w:firstLineChars="200"/>
        <w:jc w:val="center"/>
        <w:rPr>
          <w:rFonts w:hint="default" w:ascii="Times New Roman" w:hAnsi="Times New Roman" w:cs="Times New Roman"/>
          <w:b/>
          <w:bCs/>
        </w:rPr>
      </w:pPr>
      <w:r>
        <w:rPr>
          <w:rFonts w:hint="default" w:ascii="Times New Roman" w:hAnsi="Times New Roman" w:cs="Times New Roman"/>
          <w:b/>
          <w:bCs/>
        </w:rPr>
        <w:t>表4.5.6  机头行走法注浆材料性能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786"/>
        <w:gridCol w:w="1559"/>
        <w:gridCol w:w="5012"/>
      </w:tblGrid>
      <w:tr w14:paraId="1AF2C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0" w:type="auto"/>
            <w:vAlign w:val="center"/>
          </w:tcPr>
          <w:p w14:paraId="042ADCCB">
            <w:pPr>
              <w:jc w:val="center"/>
              <w:rPr>
                <w:rFonts w:hint="default" w:ascii="Times New Roman" w:hAnsi="Times New Roman" w:cs="Times New Roman"/>
                <w:sz w:val="21"/>
              </w:rPr>
            </w:pPr>
            <w:r>
              <w:rPr>
                <w:rFonts w:hint="default" w:ascii="Times New Roman" w:hAnsi="Times New Roman" w:cs="Times New Roman"/>
                <w:sz w:val="21"/>
              </w:rPr>
              <w:t>项目</w:t>
            </w:r>
          </w:p>
        </w:tc>
        <w:tc>
          <w:tcPr>
            <w:tcW w:w="786" w:type="dxa"/>
          </w:tcPr>
          <w:p w14:paraId="18CF1066">
            <w:pPr>
              <w:jc w:val="center"/>
              <w:rPr>
                <w:rFonts w:hint="default" w:ascii="Times New Roman" w:hAnsi="Times New Roman" w:cs="Times New Roman"/>
                <w:sz w:val="21"/>
              </w:rPr>
            </w:pPr>
            <w:r>
              <w:rPr>
                <w:rFonts w:hint="default" w:ascii="Times New Roman" w:hAnsi="Times New Roman" w:cs="Times New Roman"/>
                <w:sz w:val="21"/>
              </w:rPr>
              <w:t>单位</w:t>
            </w:r>
          </w:p>
        </w:tc>
        <w:tc>
          <w:tcPr>
            <w:tcW w:w="1559" w:type="dxa"/>
            <w:vAlign w:val="center"/>
          </w:tcPr>
          <w:p w14:paraId="7B650466">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5012" w:type="dxa"/>
            <w:vAlign w:val="center"/>
          </w:tcPr>
          <w:p w14:paraId="6D66C725">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5BFF0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0" w:type="auto"/>
            <w:vAlign w:val="center"/>
          </w:tcPr>
          <w:p w14:paraId="6FC85934">
            <w:pPr>
              <w:jc w:val="center"/>
              <w:rPr>
                <w:rFonts w:hint="default" w:ascii="Times New Roman" w:hAnsi="Times New Roman" w:cs="Times New Roman"/>
                <w:sz w:val="21"/>
              </w:rPr>
            </w:pPr>
            <w:r>
              <w:rPr>
                <w:rFonts w:hint="default" w:ascii="Times New Roman" w:hAnsi="Times New Roman" w:cs="Times New Roman"/>
                <w:sz w:val="21"/>
              </w:rPr>
              <w:t>28d抗压强度</w:t>
            </w:r>
          </w:p>
        </w:tc>
        <w:tc>
          <w:tcPr>
            <w:tcW w:w="786" w:type="dxa"/>
          </w:tcPr>
          <w:p w14:paraId="69222085">
            <w:pPr>
              <w:jc w:val="center"/>
              <w:rPr>
                <w:rFonts w:hint="default" w:ascii="Times New Roman" w:hAnsi="Times New Roman" w:cs="Times New Roman"/>
                <w:sz w:val="21"/>
              </w:rPr>
            </w:pPr>
            <w:r>
              <w:rPr>
                <w:rFonts w:hint="default" w:ascii="Times New Roman" w:hAnsi="Times New Roman" w:cs="Times New Roman"/>
                <w:sz w:val="21"/>
              </w:rPr>
              <w:t>MPa</w:t>
            </w:r>
          </w:p>
        </w:tc>
        <w:tc>
          <w:tcPr>
            <w:tcW w:w="1559" w:type="dxa"/>
            <w:vAlign w:val="center"/>
          </w:tcPr>
          <w:p w14:paraId="7413226A">
            <w:pPr>
              <w:jc w:val="center"/>
              <w:rPr>
                <w:rFonts w:hint="default" w:ascii="Times New Roman" w:hAnsi="Times New Roman" w:cs="Times New Roman"/>
                <w:sz w:val="21"/>
              </w:rPr>
            </w:pPr>
            <w:r>
              <w:rPr>
                <w:rFonts w:hint="default" w:ascii="Times New Roman" w:hAnsi="Times New Roman" w:cs="Times New Roman"/>
                <w:sz w:val="21"/>
              </w:rPr>
              <w:t>＞30</w:t>
            </w:r>
          </w:p>
        </w:tc>
        <w:tc>
          <w:tcPr>
            <w:tcW w:w="5012" w:type="dxa"/>
            <w:vMerge w:val="restart"/>
            <w:vAlign w:val="center"/>
          </w:tcPr>
          <w:p w14:paraId="1D1C2689">
            <w:pPr>
              <w:jc w:val="center"/>
              <w:rPr>
                <w:rFonts w:hint="default" w:ascii="Times New Roman" w:hAnsi="Times New Roman" w:cs="Times New Roman"/>
                <w:sz w:val="21"/>
              </w:rPr>
            </w:pPr>
            <w:r>
              <w:rPr>
                <w:rFonts w:hint="default" w:ascii="Times New Roman" w:hAnsi="Times New Roman" w:cs="Times New Roman"/>
                <w:sz w:val="21"/>
              </w:rPr>
              <w:t>现行国家标准《水泥基灌浆材料应用技术规范》GB/T 50448</w:t>
            </w:r>
          </w:p>
        </w:tc>
      </w:tr>
      <w:tr w14:paraId="572D4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vAlign w:val="center"/>
          </w:tcPr>
          <w:p w14:paraId="62350601">
            <w:pPr>
              <w:jc w:val="center"/>
              <w:rPr>
                <w:rFonts w:hint="default" w:ascii="Times New Roman" w:hAnsi="Times New Roman" w:cs="Times New Roman"/>
                <w:sz w:val="21"/>
              </w:rPr>
            </w:pPr>
            <w:r>
              <w:rPr>
                <w:rFonts w:hint="default" w:ascii="Times New Roman" w:hAnsi="Times New Roman" w:cs="Times New Roman"/>
                <w:sz w:val="21"/>
              </w:rPr>
              <w:t>30min截锥流动度</w:t>
            </w:r>
          </w:p>
        </w:tc>
        <w:tc>
          <w:tcPr>
            <w:tcW w:w="786" w:type="dxa"/>
          </w:tcPr>
          <w:p w14:paraId="72E84340">
            <w:pPr>
              <w:jc w:val="center"/>
              <w:rPr>
                <w:rFonts w:hint="default" w:ascii="Times New Roman" w:hAnsi="Times New Roman" w:cs="Times New Roman"/>
                <w:sz w:val="21"/>
              </w:rPr>
            </w:pPr>
            <w:r>
              <w:rPr>
                <w:rFonts w:hint="default" w:ascii="Times New Roman" w:hAnsi="Times New Roman" w:cs="Times New Roman"/>
                <w:sz w:val="21"/>
              </w:rPr>
              <w:t>mm</w:t>
            </w:r>
          </w:p>
        </w:tc>
        <w:tc>
          <w:tcPr>
            <w:tcW w:w="1559" w:type="dxa"/>
            <w:vAlign w:val="center"/>
          </w:tcPr>
          <w:p w14:paraId="27344907">
            <w:pPr>
              <w:jc w:val="center"/>
              <w:rPr>
                <w:rFonts w:hint="default" w:ascii="Times New Roman" w:hAnsi="Times New Roman" w:cs="Times New Roman"/>
                <w:sz w:val="21"/>
              </w:rPr>
            </w:pPr>
            <w:r>
              <w:rPr>
                <w:rFonts w:hint="default" w:ascii="Times New Roman" w:hAnsi="Times New Roman" w:cs="Times New Roman"/>
                <w:sz w:val="21"/>
              </w:rPr>
              <w:t>≥310</w:t>
            </w:r>
          </w:p>
        </w:tc>
        <w:tc>
          <w:tcPr>
            <w:tcW w:w="5012" w:type="dxa"/>
            <w:vMerge w:val="continue"/>
            <w:vAlign w:val="center"/>
          </w:tcPr>
          <w:p w14:paraId="1BE26444">
            <w:pPr>
              <w:jc w:val="center"/>
              <w:rPr>
                <w:rFonts w:hint="default" w:ascii="Times New Roman" w:hAnsi="Times New Roman" w:cs="Times New Roman"/>
                <w:sz w:val="21"/>
              </w:rPr>
            </w:pPr>
          </w:p>
        </w:tc>
      </w:tr>
    </w:tbl>
    <w:p w14:paraId="0A65A774">
      <w:pPr>
        <w:pStyle w:val="3"/>
        <w:bidi w:val="0"/>
        <w:rPr>
          <w:rFonts w:hint="default" w:ascii="Times New Roman" w:hAnsi="Times New Roman" w:eastAsia="宋体" w:cs="Times New Roman"/>
        </w:rPr>
      </w:pPr>
      <w:bookmarkStart w:id="201" w:name="_Toc139977298"/>
      <w:bookmarkEnd w:id="201"/>
      <w:bookmarkStart w:id="202" w:name="_Toc139979296"/>
      <w:bookmarkEnd w:id="202"/>
      <w:bookmarkStart w:id="203" w:name="_Toc139976859"/>
      <w:bookmarkEnd w:id="203"/>
      <w:bookmarkStart w:id="204" w:name="_Toc139989302"/>
      <w:bookmarkEnd w:id="204"/>
      <w:bookmarkStart w:id="205" w:name="_Toc139980212"/>
      <w:bookmarkEnd w:id="205"/>
      <w:bookmarkStart w:id="206" w:name="_Toc21430"/>
      <w:r>
        <w:rPr>
          <w:rFonts w:hint="default" w:ascii="Times New Roman" w:hAnsi="Times New Roman" w:eastAsia="宋体" w:cs="Times New Roman"/>
        </w:rPr>
        <w:t>4.6</w:t>
      </w:r>
      <w:bookmarkEnd w:id="52"/>
      <w:bookmarkEnd w:id="53"/>
      <w:r>
        <w:rPr>
          <w:rFonts w:hint="default" w:ascii="Times New Roman" w:hAnsi="Times New Roman" w:eastAsia="宋体" w:cs="Times New Roman"/>
        </w:rPr>
        <w:t>水泥基材料喷筑法</w:t>
      </w:r>
      <w:bookmarkEnd w:id="206"/>
    </w:p>
    <w:p w14:paraId="6F36F3B6">
      <w:pPr>
        <w:rPr>
          <w:rFonts w:hint="default" w:ascii="Times New Roman" w:hAnsi="Times New Roman" w:cs="Times New Roman"/>
        </w:rPr>
      </w:pPr>
      <w:bookmarkStart w:id="207" w:name="_Hlk199254429"/>
      <w:r>
        <w:rPr>
          <w:rFonts w:hint="default" w:ascii="Times New Roman" w:hAnsi="Times New Roman" w:cs="Times New Roman"/>
        </w:rPr>
        <w:t>4.6.1  水泥基材料喷筑法所用水泥基材料应符合下列规定：</w:t>
      </w:r>
    </w:p>
    <w:p w14:paraId="5327B372">
      <w:pPr>
        <w:ind w:firstLine="480" w:firstLineChars="200"/>
        <w:rPr>
          <w:rFonts w:hint="default" w:ascii="Times New Roman" w:hAnsi="Times New Roman" w:cs="Times New Roman"/>
        </w:rPr>
      </w:pPr>
      <w:r>
        <w:rPr>
          <w:rFonts w:hint="default" w:ascii="Times New Roman" w:hAnsi="Times New Roman" w:cs="Times New Roman"/>
        </w:rPr>
        <w:t>1  主要胶凝材料应为水泥；</w:t>
      </w:r>
    </w:p>
    <w:p w14:paraId="351BF01C">
      <w:pPr>
        <w:ind w:firstLine="480" w:firstLineChars="200"/>
        <w:rPr>
          <w:rFonts w:hint="default" w:ascii="Times New Roman" w:hAnsi="Times New Roman" w:cs="Times New Roman"/>
        </w:rPr>
      </w:pPr>
      <w:r>
        <w:rPr>
          <w:rFonts w:hint="default" w:ascii="Times New Roman" w:hAnsi="Times New Roman" w:cs="Times New Roman"/>
        </w:rPr>
        <w:t>2  材料应为工厂化生产、统一包装的干混砂浆；</w:t>
      </w:r>
    </w:p>
    <w:p w14:paraId="0BD737E5">
      <w:pPr>
        <w:ind w:firstLine="480" w:firstLineChars="200"/>
        <w:rPr>
          <w:rFonts w:hint="default" w:ascii="Times New Roman" w:hAnsi="Times New Roman" w:cs="Times New Roman"/>
        </w:rPr>
      </w:pPr>
      <w:r>
        <w:rPr>
          <w:rFonts w:hint="default" w:ascii="Times New Roman" w:hAnsi="Times New Roman" w:cs="Times New Roman"/>
        </w:rPr>
        <w:t>3  材料在现场应只需加入适量的清水充分搅拌即可使用；</w:t>
      </w:r>
    </w:p>
    <w:p w14:paraId="5A87F7E0">
      <w:pPr>
        <w:ind w:firstLine="480" w:firstLineChars="200"/>
        <w:rPr>
          <w:rFonts w:hint="default" w:ascii="Times New Roman" w:hAnsi="Times New Roman" w:cs="Times New Roman"/>
        </w:rPr>
      </w:pPr>
      <w:r>
        <w:rPr>
          <w:rFonts w:hint="default" w:ascii="Times New Roman" w:hAnsi="Times New Roman" w:cs="Times New Roman"/>
        </w:rPr>
        <w:t>4  搅拌后的浆料应适宜泵送和喷筑；</w:t>
      </w:r>
    </w:p>
    <w:p w14:paraId="47FA5E21">
      <w:pPr>
        <w:ind w:firstLine="480" w:firstLineChars="200"/>
        <w:rPr>
          <w:rFonts w:hint="default" w:ascii="Times New Roman" w:hAnsi="Times New Roman" w:cs="Times New Roman"/>
        </w:rPr>
      </w:pPr>
      <w:r>
        <w:rPr>
          <w:rFonts w:hint="default" w:ascii="Times New Roman" w:hAnsi="Times New Roman" w:cs="Times New Roman"/>
        </w:rPr>
        <w:t>5  材料应能直接在潮湿表面使用而不影响内衬与基体的粘结。</w:t>
      </w:r>
    </w:p>
    <w:bookmarkEnd w:id="207"/>
    <w:p w14:paraId="238F9564">
      <w:pP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eastAsia="宋体" w:cs="Times New Roman"/>
          <w:kern w:val="0"/>
          <w:szCs w:val="21"/>
          <w:u w:val="none"/>
        </w:rPr>
        <w:t>.</w:t>
      </w:r>
      <w:r>
        <w:rPr>
          <w:rFonts w:hint="default" w:ascii="Times New Roman" w:hAnsi="Times New Roman" w:cs="Times New Roman"/>
        </w:rPr>
        <w:t>6</w:t>
      </w:r>
      <w:r>
        <w:rPr>
          <w:rFonts w:hint="default" w:ascii="Times New Roman" w:hAnsi="Times New Roman" w:eastAsia="宋体" w:cs="Times New Roman"/>
          <w:kern w:val="0"/>
          <w:szCs w:val="21"/>
          <w:u w:val="none"/>
        </w:rPr>
        <w:t>.2  排水设施结构性修复用水泥基材料性能应符合表</w:t>
      </w:r>
      <w:r>
        <w:rPr>
          <w:rFonts w:hint="default" w:ascii="Times New Roman" w:hAnsi="Times New Roman" w:cs="Times New Roman"/>
        </w:rPr>
        <w:t>4</w:t>
      </w:r>
      <w:r>
        <w:rPr>
          <w:rFonts w:hint="default" w:ascii="Times New Roman" w:hAnsi="Times New Roman" w:eastAsia="宋体" w:cs="Times New Roman"/>
          <w:kern w:val="0"/>
          <w:szCs w:val="21"/>
          <w:u w:val="none"/>
        </w:rPr>
        <w:t>.</w:t>
      </w:r>
      <w:r>
        <w:rPr>
          <w:rFonts w:hint="default" w:ascii="Times New Roman" w:hAnsi="Times New Roman" w:cs="Times New Roman"/>
        </w:rPr>
        <w:t>6</w:t>
      </w:r>
      <w:r>
        <w:rPr>
          <w:rFonts w:hint="default" w:ascii="Times New Roman" w:hAnsi="Times New Roman" w:eastAsia="宋体" w:cs="Times New Roman"/>
          <w:kern w:val="0"/>
          <w:szCs w:val="21"/>
          <w:u w:val="none"/>
        </w:rPr>
        <w:t>.2的规定。</w:t>
      </w:r>
    </w:p>
    <w:p w14:paraId="793A3F67">
      <w:pPr>
        <w:ind w:firstLine="482" w:firstLineChars="200"/>
        <w:jc w:val="center"/>
        <w:rPr>
          <w:rFonts w:hint="default" w:ascii="Times New Roman" w:hAnsi="Times New Roman" w:cs="Times New Roman"/>
          <w:bCs/>
        </w:rPr>
      </w:pPr>
      <w:r>
        <w:rPr>
          <w:rFonts w:hint="default" w:ascii="Times New Roman" w:hAnsi="Times New Roman" w:cs="Times New Roman"/>
          <w:b/>
          <w:bCs/>
        </w:rPr>
        <w:t>表4.6.2  排水设施结构性修复用水泥基材料性能</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920"/>
        <w:gridCol w:w="1428"/>
        <w:gridCol w:w="1660"/>
        <w:gridCol w:w="2845"/>
      </w:tblGrid>
      <w:tr w14:paraId="42107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14:paraId="1A37F85B">
            <w:pPr>
              <w:pStyle w:val="39"/>
              <w:rPr>
                <w:rFonts w:hint="default" w:ascii="Times New Roman" w:hAnsi="Times New Roman" w:cs="Times New Roman"/>
                <w:b/>
                <w:bCs w:val="0"/>
              </w:rPr>
            </w:pPr>
            <w:r>
              <w:rPr>
                <w:rFonts w:hint="default" w:ascii="Times New Roman" w:hAnsi="Times New Roman" w:cs="Times New Roman"/>
                <w:b/>
                <w:bCs w:val="0"/>
              </w:rPr>
              <w:t>项目</w:t>
            </w:r>
          </w:p>
        </w:tc>
        <w:tc>
          <w:tcPr>
            <w:tcW w:w="992" w:type="dxa"/>
            <w:vAlign w:val="center"/>
          </w:tcPr>
          <w:p w14:paraId="703F6D68">
            <w:pPr>
              <w:pStyle w:val="39"/>
              <w:rPr>
                <w:rFonts w:hint="default" w:ascii="Times New Roman" w:hAnsi="Times New Roman" w:cs="Times New Roman"/>
                <w:b/>
                <w:bCs w:val="0"/>
              </w:rPr>
            </w:pPr>
            <w:r>
              <w:rPr>
                <w:rFonts w:hint="default" w:ascii="Times New Roman" w:hAnsi="Times New Roman" w:cs="Times New Roman"/>
                <w:b/>
                <w:bCs w:val="0"/>
              </w:rPr>
              <w:t>单位</w:t>
            </w:r>
          </w:p>
        </w:tc>
        <w:tc>
          <w:tcPr>
            <w:tcW w:w="1560" w:type="dxa"/>
            <w:vAlign w:val="center"/>
          </w:tcPr>
          <w:p w14:paraId="4C553161">
            <w:pPr>
              <w:pStyle w:val="39"/>
              <w:rPr>
                <w:rFonts w:hint="default" w:ascii="Times New Roman" w:hAnsi="Times New Roman" w:cs="Times New Roman"/>
                <w:b/>
                <w:bCs w:val="0"/>
              </w:rPr>
            </w:pPr>
            <w:r>
              <w:rPr>
                <w:rFonts w:hint="default" w:ascii="Times New Roman" w:hAnsi="Times New Roman" w:cs="Times New Roman"/>
                <w:b/>
                <w:bCs w:val="0"/>
              </w:rPr>
              <w:t>龄期</w:t>
            </w:r>
          </w:p>
        </w:tc>
        <w:tc>
          <w:tcPr>
            <w:tcW w:w="1817" w:type="dxa"/>
            <w:vAlign w:val="center"/>
          </w:tcPr>
          <w:p w14:paraId="7B544727">
            <w:pPr>
              <w:pStyle w:val="39"/>
              <w:rPr>
                <w:rFonts w:hint="default" w:ascii="Times New Roman" w:hAnsi="Times New Roman" w:cs="Times New Roman"/>
                <w:b/>
                <w:bCs w:val="0"/>
              </w:rPr>
            </w:pPr>
            <w:r>
              <w:rPr>
                <w:rFonts w:hint="default" w:ascii="Times New Roman" w:hAnsi="Times New Roman" w:cs="Times New Roman"/>
                <w:b/>
                <w:bCs w:val="0"/>
              </w:rPr>
              <w:t>性能要求</w:t>
            </w:r>
          </w:p>
        </w:tc>
        <w:tc>
          <w:tcPr>
            <w:tcW w:w="3133" w:type="dxa"/>
            <w:vAlign w:val="center"/>
          </w:tcPr>
          <w:p w14:paraId="6B3A991A">
            <w:pPr>
              <w:pStyle w:val="39"/>
              <w:rPr>
                <w:rFonts w:hint="default" w:ascii="Times New Roman" w:hAnsi="Times New Roman" w:cs="Times New Roman"/>
                <w:b/>
                <w:bCs w:val="0"/>
              </w:rPr>
            </w:pPr>
            <w:r>
              <w:rPr>
                <w:rFonts w:hint="default" w:ascii="Times New Roman" w:hAnsi="Times New Roman" w:cs="Times New Roman"/>
                <w:b/>
                <w:bCs w:val="0"/>
              </w:rPr>
              <w:t>检验方法</w:t>
            </w:r>
          </w:p>
        </w:tc>
      </w:tr>
      <w:tr w14:paraId="261C8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restart"/>
            <w:vAlign w:val="center"/>
          </w:tcPr>
          <w:p w14:paraId="0CB40A43">
            <w:pPr>
              <w:pStyle w:val="39"/>
              <w:rPr>
                <w:rFonts w:hint="default" w:ascii="Times New Roman" w:hAnsi="Times New Roman" w:cs="Times New Roman"/>
              </w:rPr>
            </w:pPr>
            <w:r>
              <w:rPr>
                <w:rFonts w:hint="default" w:ascii="Times New Roman" w:hAnsi="Times New Roman" w:cs="Times New Roman"/>
              </w:rPr>
              <w:t>凝结时间</w:t>
            </w:r>
          </w:p>
        </w:tc>
        <w:tc>
          <w:tcPr>
            <w:tcW w:w="992" w:type="dxa"/>
            <w:vMerge w:val="restart"/>
            <w:vAlign w:val="center"/>
          </w:tcPr>
          <w:p w14:paraId="71FA6C53">
            <w:pPr>
              <w:pStyle w:val="39"/>
              <w:rPr>
                <w:rFonts w:hint="default" w:ascii="Times New Roman" w:hAnsi="Times New Roman" w:cs="Times New Roman"/>
              </w:rPr>
            </w:pPr>
            <w:r>
              <w:rPr>
                <w:rFonts w:hint="default" w:ascii="Times New Roman" w:hAnsi="Times New Roman" w:cs="Times New Roman"/>
              </w:rPr>
              <w:t>min</w:t>
            </w:r>
          </w:p>
        </w:tc>
        <w:tc>
          <w:tcPr>
            <w:tcW w:w="1560" w:type="dxa"/>
            <w:vAlign w:val="center"/>
          </w:tcPr>
          <w:p w14:paraId="2F1AB100">
            <w:pPr>
              <w:pStyle w:val="39"/>
              <w:rPr>
                <w:rFonts w:hint="default" w:ascii="Times New Roman" w:hAnsi="Times New Roman" w:cs="Times New Roman"/>
              </w:rPr>
            </w:pPr>
            <w:r>
              <w:rPr>
                <w:rFonts w:hint="default" w:ascii="Times New Roman" w:hAnsi="Times New Roman" w:cs="Times New Roman"/>
              </w:rPr>
              <w:t>初凝</w:t>
            </w:r>
          </w:p>
        </w:tc>
        <w:tc>
          <w:tcPr>
            <w:tcW w:w="1817" w:type="dxa"/>
            <w:vAlign w:val="center"/>
          </w:tcPr>
          <w:p w14:paraId="2E0528CA">
            <w:pPr>
              <w:pStyle w:val="39"/>
              <w:rPr>
                <w:rFonts w:hint="default" w:ascii="Times New Roman" w:hAnsi="Times New Roman" w:cs="Times New Roman"/>
              </w:rPr>
            </w:pPr>
            <w:r>
              <w:rPr>
                <w:rFonts w:hint="default" w:ascii="Times New Roman" w:hAnsi="Times New Roman" w:cs="Times New Roman"/>
              </w:rPr>
              <w:t>≤120</w:t>
            </w:r>
          </w:p>
        </w:tc>
        <w:tc>
          <w:tcPr>
            <w:tcW w:w="3133" w:type="dxa"/>
            <w:vMerge w:val="restart"/>
            <w:vAlign w:val="center"/>
          </w:tcPr>
          <w:p w14:paraId="16FA946B">
            <w:pPr>
              <w:pStyle w:val="39"/>
              <w:rPr>
                <w:rFonts w:hint="default" w:ascii="Times New Roman" w:hAnsi="Times New Roman" w:cs="Times New Roman"/>
              </w:rPr>
            </w:pPr>
            <w:r>
              <w:rPr>
                <w:rFonts w:hint="default" w:ascii="Times New Roman" w:hAnsi="Times New Roman" w:cs="Times New Roman"/>
              </w:rPr>
              <w:t>现行国家标准《水泥标准稠度用水量、凝结时间、安定性检验方法》GB/T 1346</w:t>
            </w:r>
          </w:p>
        </w:tc>
      </w:tr>
      <w:tr w14:paraId="3B3BF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continue"/>
            <w:vAlign w:val="center"/>
          </w:tcPr>
          <w:p w14:paraId="2F941B13">
            <w:pPr>
              <w:pStyle w:val="39"/>
              <w:rPr>
                <w:rFonts w:hint="default" w:ascii="Times New Roman" w:hAnsi="Times New Roman" w:cs="Times New Roman"/>
              </w:rPr>
            </w:pPr>
          </w:p>
        </w:tc>
        <w:tc>
          <w:tcPr>
            <w:tcW w:w="992" w:type="dxa"/>
            <w:vMerge w:val="continue"/>
            <w:vAlign w:val="center"/>
          </w:tcPr>
          <w:p w14:paraId="5FDF64D1">
            <w:pPr>
              <w:pStyle w:val="39"/>
              <w:rPr>
                <w:rFonts w:hint="default" w:ascii="Times New Roman" w:hAnsi="Times New Roman" w:cs="Times New Roman"/>
              </w:rPr>
            </w:pPr>
          </w:p>
        </w:tc>
        <w:tc>
          <w:tcPr>
            <w:tcW w:w="1560" w:type="dxa"/>
            <w:vAlign w:val="center"/>
          </w:tcPr>
          <w:p w14:paraId="182B999E">
            <w:pPr>
              <w:pStyle w:val="39"/>
              <w:rPr>
                <w:rFonts w:hint="default" w:ascii="Times New Roman" w:hAnsi="Times New Roman" w:cs="Times New Roman"/>
              </w:rPr>
            </w:pPr>
            <w:r>
              <w:rPr>
                <w:rFonts w:hint="default" w:ascii="Times New Roman" w:hAnsi="Times New Roman" w:cs="Times New Roman"/>
              </w:rPr>
              <w:t>终凝</w:t>
            </w:r>
          </w:p>
        </w:tc>
        <w:tc>
          <w:tcPr>
            <w:tcW w:w="1817" w:type="dxa"/>
            <w:vAlign w:val="center"/>
          </w:tcPr>
          <w:p w14:paraId="5BB10742">
            <w:pPr>
              <w:pStyle w:val="39"/>
              <w:rPr>
                <w:rFonts w:hint="default" w:ascii="Times New Roman" w:hAnsi="Times New Roman" w:cs="Times New Roman"/>
              </w:rPr>
            </w:pPr>
            <w:r>
              <w:rPr>
                <w:rFonts w:hint="default" w:ascii="Times New Roman" w:hAnsi="Times New Roman" w:cs="Times New Roman"/>
              </w:rPr>
              <w:t>≤360</w:t>
            </w:r>
          </w:p>
        </w:tc>
        <w:tc>
          <w:tcPr>
            <w:tcW w:w="3133" w:type="dxa"/>
            <w:vMerge w:val="continue"/>
            <w:vAlign w:val="center"/>
          </w:tcPr>
          <w:p w14:paraId="3170460B">
            <w:pPr>
              <w:pStyle w:val="39"/>
              <w:rPr>
                <w:rFonts w:hint="default" w:ascii="Times New Roman" w:hAnsi="Times New Roman" w:cs="Times New Roman"/>
              </w:rPr>
            </w:pPr>
          </w:p>
        </w:tc>
      </w:tr>
      <w:tr w14:paraId="16DAA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restart"/>
            <w:vAlign w:val="center"/>
          </w:tcPr>
          <w:p w14:paraId="0581B805">
            <w:pPr>
              <w:pStyle w:val="39"/>
              <w:rPr>
                <w:rFonts w:hint="default" w:ascii="Times New Roman" w:hAnsi="Times New Roman" w:cs="Times New Roman"/>
              </w:rPr>
            </w:pPr>
            <w:r>
              <w:rPr>
                <w:rFonts w:hint="default" w:ascii="Times New Roman" w:hAnsi="Times New Roman" w:cs="Times New Roman"/>
              </w:rPr>
              <w:t>抗压强度</w:t>
            </w:r>
          </w:p>
        </w:tc>
        <w:tc>
          <w:tcPr>
            <w:tcW w:w="992" w:type="dxa"/>
            <w:vMerge w:val="restart"/>
            <w:vAlign w:val="center"/>
          </w:tcPr>
          <w:p w14:paraId="5C7D582E">
            <w:pPr>
              <w:pStyle w:val="39"/>
              <w:rPr>
                <w:rFonts w:hint="default" w:ascii="Times New Roman" w:hAnsi="Times New Roman" w:cs="Times New Roman"/>
              </w:rPr>
            </w:pPr>
            <w:r>
              <w:rPr>
                <w:rFonts w:hint="default" w:ascii="Times New Roman" w:hAnsi="Times New Roman" w:cs="Times New Roman"/>
              </w:rPr>
              <w:t>MPa</w:t>
            </w:r>
          </w:p>
        </w:tc>
        <w:tc>
          <w:tcPr>
            <w:tcW w:w="1560" w:type="dxa"/>
            <w:vAlign w:val="center"/>
          </w:tcPr>
          <w:p w14:paraId="4FACB7AC">
            <w:pPr>
              <w:pStyle w:val="39"/>
              <w:rPr>
                <w:rFonts w:hint="default" w:ascii="Times New Roman" w:hAnsi="Times New Roman" w:cs="Times New Roman"/>
              </w:rPr>
            </w:pPr>
            <w:r>
              <w:rPr>
                <w:rFonts w:hint="default" w:ascii="Times New Roman" w:hAnsi="Times New Roman" w:cs="Times New Roman"/>
              </w:rPr>
              <w:t>24h</w:t>
            </w:r>
          </w:p>
        </w:tc>
        <w:tc>
          <w:tcPr>
            <w:tcW w:w="1817" w:type="dxa"/>
            <w:vAlign w:val="center"/>
          </w:tcPr>
          <w:p w14:paraId="300F2EF5">
            <w:pPr>
              <w:pStyle w:val="39"/>
              <w:rPr>
                <w:rFonts w:hint="default" w:ascii="Times New Roman" w:hAnsi="Times New Roman" w:cs="Times New Roman"/>
              </w:rPr>
            </w:pPr>
            <w:r>
              <w:rPr>
                <w:rFonts w:hint="default" w:ascii="Times New Roman" w:hAnsi="Times New Roman" w:cs="Times New Roman"/>
              </w:rPr>
              <w:t>≥25</w:t>
            </w:r>
          </w:p>
        </w:tc>
        <w:tc>
          <w:tcPr>
            <w:tcW w:w="3133" w:type="dxa"/>
            <w:vMerge w:val="restart"/>
            <w:vAlign w:val="center"/>
          </w:tcPr>
          <w:p w14:paraId="51892EF1">
            <w:pPr>
              <w:pStyle w:val="39"/>
              <w:rPr>
                <w:rFonts w:hint="default" w:ascii="Times New Roman" w:hAnsi="Times New Roman" w:cs="Times New Roman"/>
              </w:rPr>
            </w:pPr>
            <w:r>
              <w:rPr>
                <w:rFonts w:hint="default" w:ascii="Times New Roman" w:hAnsi="Times New Roman" w:cs="Times New Roman"/>
              </w:rPr>
              <w:t>现行国家标准《水泥胶砂强度检验方法（ISO法）》GB/T 17671</w:t>
            </w:r>
          </w:p>
        </w:tc>
      </w:tr>
      <w:tr w14:paraId="62872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continue"/>
            <w:vAlign w:val="center"/>
          </w:tcPr>
          <w:p w14:paraId="5D54B158">
            <w:pPr>
              <w:pStyle w:val="39"/>
              <w:rPr>
                <w:rFonts w:hint="default" w:ascii="Times New Roman" w:hAnsi="Times New Roman" w:cs="Times New Roman"/>
              </w:rPr>
            </w:pPr>
          </w:p>
        </w:tc>
        <w:tc>
          <w:tcPr>
            <w:tcW w:w="992" w:type="dxa"/>
            <w:vMerge w:val="continue"/>
            <w:vAlign w:val="center"/>
          </w:tcPr>
          <w:p w14:paraId="15246D24">
            <w:pPr>
              <w:pStyle w:val="39"/>
              <w:rPr>
                <w:rFonts w:hint="default" w:ascii="Times New Roman" w:hAnsi="Times New Roman" w:cs="Times New Roman"/>
              </w:rPr>
            </w:pPr>
          </w:p>
        </w:tc>
        <w:tc>
          <w:tcPr>
            <w:tcW w:w="1560" w:type="dxa"/>
            <w:vAlign w:val="center"/>
          </w:tcPr>
          <w:p w14:paraId="317BAE55">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70DBCBD1">
            <w:pPr>
              <w:pStyle w:val="39"/>
              <w:rPr>
                <w:rFonts w:hint="default" w:ascii="Times New Roman" w:hAnsi="Times New Roman" w:cs="Times New Roman"/>
              </w:rPr>
            </w:pPr>
            <w:r>
              <w:rPr>
                <w:rFonts w:hint="default" w:ascii="Times New Roman" w:hAnsi="Times New Roman" w:cs="Times New Roman"/>
              </w:rPr>
              <w:t>≥65</w:t>
            </w:r>
          </w:p>
        </w:tc>
        <w:tc>
          <w:tcPr>
            <w:tcW w:w="3133" w:type="dxa"/>
            <w:vMerge w:val="continue"/>
            <w:vAlign w:val="center"/>
          </w:tcPr>
          <w:p w14:paraId="3B270211">
            <w:pPr>
              <w:pStyle w:val="39"/>
              <w:rPr>
                <w:rFonts w:hint="default" w:ascii="Times New Roman" w:hAnsi="Times New Roman" w:cs="Times New Roman"/>
              </w:rPr>
            </w:pPr>
          </w:p>
        </w:tc>
      </w:tr>
      <w:tr w14:paraId="145B3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restart"/>
            <w:vAlign w:val="center"/>
          </w:tcPr>
          <w:p w14:paraId="7681F880">
            <w:pPr>
              <w:pStyle w:val="39"/>
              <w:rPr>
                <w:rFonts w:hint="default" w:ascii="Times New Roman" w:hAnsi="Times New Roman" w:cs="Times New Roman"/>
              </w:rPr>
            </w:pPr>
            <w:r>
              <w:rPr>
                <w:rFonts w:hint="default" w:ascii="Times New Roman" w:hAnsi="Times New Roman" w:cs="Times New Roman"/>
              </w:rPr>
              <w:t>抗折强度</w:t>
            </w:r>
          </w:p>
        </w:tc>
        <w:tc>
          <w:tcPr>
            <w:tcW w:w="992" w:type="dxa"/>
            <w:vMerge w:val="restart"/>
            <w:vAlign w:val="center"/>
          </w:tcPr>
          <w:p w14:paraId="73273444">
            <w:pPr>
              <w:pStyle w:val="39"/>
              <w:rPr>
                <w:rFonts w:hint="default" w:ascii="Times New Roman" w:hAnsi="Times New Roman" w:cs="Times New Roman"/>
              </w:rPr>
            </w:pPr>
            <w:r>
              <w:rPr>
                <w:rFonts w:hint="default" w:ascii="Times New Roman" w:hAnsi="Times New Roman" w:cs="Times New Roman"/>
              </w:rPr>
              <w:t>MPa</w:t>
            </w:r>
          </w:p>
        </w:tc>
        <w:tc>
          <w:tcPr>
            <w:tcW w:w="1560" w:type="dxa"/>
            <w:vAlign w:val="center"/>
          </w:tcPr>
          <w:p w14:paraId="420D18F4">
            <w:pPr>
              <w:pStyle w:val="39"/>
              <w:rPr>
                <w:rFonts w:hint="default" w:ascii="Times New Roman" w:hAnsi="Times New Roman" w:cs="Times New Roman"/>
              </w:rPr>
            </w:pPr>
            <w:r>
              <w:rPr>
                <w:rFonts w:hint="default" w:ascii="Times New Roman" w:hAnsi="Times New Roman" w:cs="Times New Roman"/>
              </w:rPr>
              <w:t>24h</w:t>
            </w:r>
          </w:p>
        </w:tc>
        <w:tc>
          <w:tcPr>
            <w:tcW w:w="1817" w:type="dxa"/>
            <w:vAlign w:val="center"/>
          </w:tcPr>
          <w:p w14:paraId="0B83130C">
            <w:pPr>
              <w:pStyle w:val="39"/>
              <w:rPr>
                <w:rFonts w:hint="default" w:ascii="Times New Roman" w:hAnsi="Times New Roman" w:cs="Times New Roman"/>
              </w:rPr>
            </w:pPr>
            <w:r>
              <w:rPr>
                <w:rFonts w:hint="default" w:ascii="Times New Roman" w:hAnsi="Times New Roman" w:cs="Times New Roman"/>
              </w:rPr>
              <w:t>≥3.5</w:t>
            </w:r>
          </w:p>
        </w:tc>
        <w:tc>
          <w:tcPr>
            <w:tcW w:w="3133" w:type="dxa"/>
            <w:vMerge w:val="continue"/>
            <w:vAlign w:val="center"/>
          </w:tcPr>
          <w:p w14:paraId="3E7E74FF">
            <w:pPr>
              <w:pStyle w:val="39"/>
              <w:rPr>
                <w:rFonts w:hint="default" w:ascii="Times New Roman" w:hAnsi="Times New Roman" w:cs="Times New Roman"/>
              </w:rPr>
            </w:pPr>
          </w:p>
        </w:tc>
      </w:tr>
      <w:tr w14:paraId="179D5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828" w:type="dxa"/>
            <w:vMerge w:val="continue"/>
            <w:vAlign w:val="center"/>
          </w:tcPr>
          <w:p w14:paraId="0AA5763C">
            <w:pPr>
              <w:pStyle w:val="39"/>
              <w:rPr>
                <w:rFonts w:hint="default" w:ascii="Times New Roman" w:hAnsi="Times New Roman" w:cs="Times New Roman"/>
              </w:rPr>
            </w:pPr>
          </w:p>
        </w:tc>
        <w:tc>
          <w:tcPr>
            <w:tcW w:w="992" w:type="dxa"/>
            <w:vMerge w:val="continue"/>
            <w:vAlign w:val="center"/>
          </w:tcPr>
          <w:p w14:paraId="08B5A41B">
            <w:pPr>
              <w:pStyle w:val="39"/>
              <w:rPr>
                <w:rFonts w:hint="default" w:ascii="Times New Roman" w:hAnsi="Times New Roman" w:cs="Times New Roman"/>
              </w:rPr>
            </w:pPr>
          </w:p>
        </w:tc>
        <w:tc>
          <w:tcPr>
            <w:tcW w:w="1560" w:type="dxa"/>
            <w:vAlign w:val="center"/>
          </w:tcPr>
          <w:p w14:paraId="3B655E26">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3AD9B671">
            <w:pPr>
              <w:pStyle w:val="39"/>
              <w:rPr>
                <w:rFonts w:hint="default" w:ascii="Times New Roman" w:hAnsi="Times New Roman" w:cs="Times New Roman"/>
              </w:rPr>
            </w:pPr>
            <w:r>
              <w:rPr>
                <w:rFonts w:hint="default" w:ascii="Times New Roman" w:hAnsi="Times New Roman" w:cs="Times New Roman"/>
              </w:rPr>
              <w:t>≥9.5</w:t>
            </w:r>
          </w:p>
        </w:tc>
        <w:tc>
          <w:tcPr>
            <w:tcW w:w="3133" w:type="dxa"/>
            <w:vMerge w:val="continue"/>
            <w:vAlign w:val="center"/>
          </w:tcPr>
          <w:p w14:paraId="4D38D056">
            <w:pPr>
              <w:pStyle w:val="39"/>
              <w:rPr>
                <w:rFonts w:hint="default" w:ascii="Times New Roman" w:hAnsi="Times New Roman" w:cs="Times New Roman"/>
              </w:rPr>
            </w:pPr>
          </w:p>
        </w:tc>
      </w:tr>
      <w:tr w14:paraId="73700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14:paraId="0949A8CE">
            <w:pPr>
              <w:pStyle w:val="39"/>
              <w:rPr>
                <w:rFonts w:hint="default" w:ascii="Times New Roman" w:hAnsi="Times New Roman" w:cs="Times New Roman"/>
              </w:rPr>
            </w:pPr>
            <w:r>
              <w:rPr>
                <w:rFonts w:hint="default" w:ascii="Times New Roman" w:hAnsi="Times New Roman" w:cs="Times New Roman"/>
              </w:rPr>
              <w:t>静压弹性模量</w:t>
            </w:r>
          </w:p>
        </w:tc>
        <w:tc>
          <w:tcPr>
            <w:tcW w:w="992" w:type="dxa"/>
            <w:vAlign w:val="center"/>
          </w:tcPr>
          <w:p w14:paraId="69DD9105">
            <w:pPr>
              <w:pStyle w:val="39"/>
              <w:rPr>
                <w:rFonts w:hint="default" w:ascii="Times New Roman" w:hAnsi="Times New Roman" w:cs="Times New Roman"/>
              </w:rPr>
            </w:pPr>
            <w:r>
              <w:rPr>
                <w:rFonts w:hint="default" w:ascii="Times New Roman" w:hAnsi="Times New Roman" w:cs="Times New Roman"/>
              </w:rPr>
              <w:t>GPa</w:t>
            </w:r>
          </w:p>
        </w:tc>
        <w:tc>
          <w:tcPr>
            <w:tcW w:w="1560" w:type="dxa"/>
            <w:vAlign w:val="center"/>
          </w:tcPr>
          <w:p w14:paraId="741150C5">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57547B3E">
            <w:pPr>
              <w:pStyle w:val="39"/>
              <w:rPr>
                <w:rFonts w:hint="default" w:ascii="Times New Roman" w:hAnsi="Times New Roman" w:cs="Times New Roman"/>
              </w:rPr>
            </w:pPr>
            <w:r>
              <w:rPr>
                <w:rFonts w:hint="default" w:ascii="Times New Roman" w:hAnsi="Times New Roman" w:cs="Times New Roman"/>
              </w:rPr>
              <w:t>≥30</w:t>
            </w:r>
          </w:p>
        </w:tc>
        <w:tc>
          <w:tcPr>
            <w:tcW w:w="3133" w:type="dxa"/>
            <w:vMerge w:val="restart"/>
            <w:vAlign w:val="center"/>
          </w:tcPr>
          <w:p w14:paraId="5F08E618">
            <w:pPr>
              <w:pStyle w:val="39"/>
              <w:rPr>
                <w:rFonts w:hint="default" w:ascii="Times New Roman" w:hAnsi="Times New Roman" w:cs="Times New Roman"/>
              </w:rPr>
            </w:pPr>
            <w:r>
              <w:rPr>
                <w:rFonts w:hint="default" w:ascii="Times New Roman" w:hAnsi="Times New Roman" w:cs="Times New Roman"/>
              </w:rPr>
              <w:t>现行行业标准《建筑砂浆基本性能试验方法标准》JGJ/T 70</w:t>
            </w:r>
          </w:p>
        </w:tc>
      </w:tr>
      <w:tr w14:paraId="4652E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14:paraId="2BF49290">
            <w:pPr>
              <w:pStyle w:val="39"/>
              <w:rPr>
                <w:rFonts w:hint="default" w:ascii="Times New Roman" w:hAnsi="Times New Roman" w:cs="Times New Roman"/>
              </w:rPr>
            </w:pPr>
            <w:r>
              <w:rPr>
                <w:rFonts w:hint="default" w:ascii="Times New Roman" w:hAnsi="Times New Roman" w:cs="Times New Roman"/>
              </w:rPr>
              <w:t>拉伸粘接强度</w:t>
            </w:r>
          </w:p>
        </w:tc>
        <w:tc>
          <w:tcPr>
            <w:tcW w:w="992" w:type="dxa"/>
            <w:vAlign w:val="center"/>
          </w:tcPr>
          <w:p w14:paraId="60A7572E">
            <w:pPr>
              <w:pStyle w:val="39"/>
              <w:rPr>
                <w:rFonts w:hint="default" w:ascii="Times New Roman" w:hAnsi="Times New Roman" w:cs="Times New Roman"/>
              </w:rPr>
            </w:pPr>
            <w:r>
              <w:rPr>
                <w:rFonts w:hint="default" w:ascii="Times New Roman" w:hAnsi="Times New Roman" w:cs="Times New Roman"/>
              </w:rPr>
              <w:t>MPa</w:t>
            </w:r>
          </w:p>
        </w:tc>
        <w:tc>
          <w:tcPr>
            <w:tcW w:w="1560" w:type="dxa"/>
            <w:vAlign w:val="center"/>
          </w:tcPr>
          <w:p w14:paraId="0EC87ABF">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3C19AE9B">
            <w:pPr>
              <w:pStyle w:val="39"/>
              <w:rPr>
                <w:rFonts w:hint="default" w:ascii="Times New Roman" w:hAnsi="Times New Roman" w:cs="Times New Roman"/>
              </w:rPr>
            </w:pPr>
            <w:r>
              <w:rPr>
                <w:rFonts w:hint="default" w:ascii="Times New Roman" w:hAnsi="Times New Roman" w:cs="Times New Roman"/>
              </w:rPr>
              <w:t>≥1.2</w:t>
            </w:r>
          </w:p>
        </w:tc>
        <w:tc>
          <w:tcPr>
            <w:tcW w:w="3133" w:type="dxa"/>
            <w:vMerge w:val="continue"/>
            <w:vAlign w:val="center"/>
          </w:tcPr>
          <w:p w14:paraId="404C3325">
            <w:pPr>
              <w:pStyle w:val="39"/>
              <w:rPr>
                <w:rFonts w:hint="default" w:ascii="Times New Roman" w:hAnsi="Times New Roman" w:cs="Times New Roman"/>
              </w:rPr>
            </w:pPr>
          </w:p>
        </w:tc>
      </w:tr>
      <w:tr w14:paraId="5393E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14:paraId="7661D646">
            <w:pPr>
              <w:pStyle w:val="39"/>
              <w:rPr>
                <w:rFonts w:hint="default" w:ascii="Times New Roman" w:hAnsi="Times New Roman" w:cs="Times New Roman"/>
              </w:rPr>
            </w:pPr>
            <w:r>
              <w:rPr>
                <w:rFonts w:hint="default" w:ascii="Times New Roman" w:hAnsi="Times New Roman" w:cs="Times New Roman"/>
              </w:rPr>
              <w:t>抗渗性能</w:t>
            </w:r>
          </w:p>
        </w:tc>
        <w:tc>
          <w:tcPr>
            <w:tcW w:w="992" w:type="dxa"/>
            <w:vAlign w:val="center"/>
          </w:tcPr>
          <w:p w14:paraId="22663018">
            <w:pPr>
              <w:pStyle w:val="39"/>
              <w:rPr>
                <w:rFonts w:hint="default" w:ascii="Times New Roman" w:hAnsi="Times New Roman" w:cs="Times New Roman"/>
              </w:rPr>
            </w:pPr>
            <w:r>
              <w:rPr>
                <w:rFonts w:hint="default" w:ascii="Times New Roman" w:hAnsi="Times New Roman" w:cs="Times New Roman"/>
              </w:rPr>
              <w:t>MPa</w:t>
            </w:r>
          </w:p>
        </w:tc>
        <w:tc>
          <w:tcPr>
            <w:tcW w:w="1560" w:type="dxa"/>
            <w:vAlign w:val="center"/>
          </w:tcPr>
          <w:p w14:paraId="454FDB84">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23A525C8">
            <w:pPr>
              <w:pStyle w:val="39"/>
              <w:rPr>
                <w:rFonts w:hint="default" w:ascii="Times New Roman" w:hAnsi="Times New Roman" w:cs="Times New Roman"/>
              </w:rPr>
            </w:pPr>
            <w:r>
              <w:rPr>
                <w:rFonts w:hint="default" w:ascii="Times New Roman" w:hAnsi="Times New Roman" w:cs="Times New Roman"/>
              </w:rPr>
              <w:t>≥1.5</w:t>
            </w:r>
          </w:p>
        </w:tc>
        <w:tc>
          <w:tcPr>
            <w:tcW w:w="3133" w:type="dxa"/>
            <w:vMerge w:val="continue"/>
            <w:vAlign w:val="center"/>
          </w:tcPr>
          <w:p w14:paraId="11A7206F">
            <w:pPr>
              <w:pStyle w:val="39"/>
              <w:rPr>
                <w:rFonts w:hint="default" w:ascii="Times New Roman" w:hAnsi="Times New Roman" w:cs="Times New Roman"/>
              </w:rPr>
            </w:pPr>
          </w:p>
        </w:tc>
      </w:tr>
      <w:tr w14:paraId="4854C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14:paraId="6D04B9C2">
            <w:pPr>
              <w:pStyle w:val="39"/>
              <w:rPr>
                <w:rFonts w:hint="default" w:ascii="Times New Roman" w:hAnsi="Times New Roman" w:cs="Times New Roman"/>
              </w:rPr>
            </w:pPr>
            <w:r>
              <w:rPr>
                <w:rFonts w:hint="default" w:ascii="Times New Roman" w:hAnsi="Times New Roman" w:cs="Times New Roman"/>
              </w:rPr>
              <w:t>收缩性</w:t>
            </w:r>
          </w:p>
        </w:tc>
        <w:tc>
          <w:tcPr>
            <w:tcW w:w="992" w:type="dxa"/>
            <w:vAlign w:val="center"/>
          </w:tcPr>
          <w:p w14:paraId="6957262F">
            <w:pPr>
              <w:pStyle w:val="39"/>
              <w:rPr>
                <w:rFonts w:hint="default" w:ascii="Times New Roman" w:hAnsi="Times New Roman" w:cs="Times New Roman"/>
              </w:rPr>
            </w:pPr>
            <w:r>
              <w:rPr>
                <w:rFonts w:hint="default" w:ascii="Times New Roman" w:hAnsi="Times New Roman" w:cs="Times New Roman"/>
              </w:rPr>
              <w:t>%</w:t>
            </w:r>
          </w:p>
        </w:tc>
        <w:tc>
          <w:tcPr>
            <w:tcW w:w="1560" w:type="dxa"/>
            <w:vAlign w:val="center"/>
          </w:tcPr>
          <w:p w14:paraId="4F60C9B1">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4F26655D">
            <w:pPr>
              <w:pStyle w:val="39"/>
              <w:rPr>
                <w:rFonts w:hint="default" w:ascii="Times New Roman" w:hAnsi="Times New Roman" w:cs="Times New Roman"/>
              </w:rPr>
            </w:pPr>
            <w:r>
              <w:rPr>
                <w:rFonts w:hint="default" w:ascii="Times New Roman" w:hAnsi="Times New Roman" w:cs="Times New Roman"/>
              </w:rPr>
              <w:t>≤0.1</w:t>
            </w:r>
          </w:p>
        </w:tc>
        <w:tc>
          <w:tcPr>
            <w:tcW w:w="3133" w:type="dxa"/>
            <w:vMerge w:val="continue"/>
            <w:vAlign w:val="center"/>
          </w:tcPr>
          <w:p w14:paraId="0F0B875E">
            <w:pPr>
              <w:pStyle w:val="39"/>
              <w:rPr>
                <w:rFonts w:hint="default" w:ascii="Times New Roman" w:hAnsi="Times New Roman" w:cs="Times New Roman"/>
              </w:rPr>
            </w:pPr>
          </w:p>
        </w:tc>
      </w:tr>
      <w:tr w14:paraId="6FBA1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vAlign w:val="center"/>
          </w:tcPr>
          <w:p w14:paraId="778245E9">
            <w:pPr>
              <w:pStyle w:val="39"/>
              <w:rPr>
                <w:rFonts w:hint="default" w:ascii="Times New Roman" w:hAnsi="Times New Roman" w:cs="Times New Roman"/>
              </w:rPr>
            </w:pPr>
            <w:r>
              <w:rPr>
                <w:rFonts w:hint="default" w:ascii="Times New Roman" w:hAnsi="Times New Roman" w:cs="Times New Roman"/>
              </w:rPr>
              <w:t>抗冻性（100次循环）</w:t>
            </w:r>
          </w:p>
        </w:tc>
        <w:tc>
          <w:tcPr>
            <w:tcW w:w="996" w:type="dxa"/>
            <w:vAlign w:val="center"/>
          </w:tcPr>
          <w:p w14:paraId="5BC0E332">
            <w:pPr>
              <w:pStyle w:val="39"/>
              <w:rPr>
                <w:rFonts w:hint="default" w:ascii="Times New Roman" w:hAnsi="Times New Roman" w:cs="Times New Roman"/>
              </w:rPr>
            </w:pPr>
            <w:r>
              <w:rPr>
                <w:rFonts w:hint="default" w:ascii="Times New Roman" w:hAnsi="Times New Roman" w:cs="Times New Roman"/>
              </w:rPr>
              <w:t>%</w:t>
            </w:r>
          </w:p>
        </w:tc>
        <w:tc>
          <w:tcPr>
            <w:tcW w:w="1560" w:type="dxa"/>
            <w:vAlign w:val="center"/>
          </w:tcPr>
          <w:p w14:paraId="11D8D035">
            <w:pPr>
              <w:pStyle w:val="39"/>
              <w:rPr>
                <w:rFonts w:hint="default" w:ascii="Times New Roman" w:hAnsi="Times New Roman" w:cs="Times New Roman"/>
              </w:rPr>
            </w:pPr>
            <w:r>
              <w:rPr>
                <w:rFonts w:hint="default" w:ascii="Times New Roman" w:hAnsi="Times New Roman" w:cs="Times New Roman"/>
              </w:rPr>
              <w:t>28d</w:t>
            </w:r>
          </w:p>
        </w:tc>
        <w:tc>
          <w:tcPr>
            <w:tcW w:w="1817" w:type="dxa"/>
            <w:vAlign w:val="center"/>
          </w:tcPr>
          <w:p w14:paraId="45B828F7">
            <w:pPr>
              <w:pStyle w:val="39"/>
              <w:rPr>
                <w:rFonts w:hint="default" w:ascii="Times New Roman" w:hAnsi="Times New Roman" w:cs="Times New Roman"/>
              </w:rPr>
            </w:pPr>
            <w:r>
              <w:rPr>
                <w:rFonts w:hint="default" w:ascii="Times New Roman" w:hAnsi="Times New Roman" w:cs="Times New Roman"/>
              </w:rPr>
              <w:t>强度损失≤5</w:t>
            </w:r>
          </w:p>
        </w:tc>
        <w:tc>
          <w:tcPr>
            <w:tcW w:w="3133" w:type="dxa"/>
            <w:vMerge w:val="continue"/>
            <w:vAlign w:val="center"/>
          </w:tcPr>
          <w:p w14:paraId="45086FE9">
            <w:pPr>
              <w:pStyle w:val="39"/>
              <w:rPr>
                <w:rFonts w:hint="default" w:ascii="Times New Roman" w:hAnsi="Times New Roman" w:cs="Times New Roman"/>
              </w:rPr>
            </w:pPr>
          </w:p>
        </w:tc>
      </w:tr>
      <w:tr w14:paraId="35817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restart"/>
            <w:vAlign w:val="center"/>
          </w:tcPr>
          <w:p w14:paraId="504C2B6B">
            <w:pPr>
              <w:pStyle w:val="39"/>
              <w:rPr>
                <w:rFonts w:hint="default" w:ascii="Times New Roman" w:hAnsi="Times New Roman" w:cs="Times New Roman"/>
              </w:rPr>
            </w:pPr>
            <w:r>
              <w:rPr>
                <w:rFonts w:hint="default" w:ascii="Times New Roman" w:hAnsi="Times New Roman" w:cs="Times New Roman"/>
              </w:rPr>
              <w:t>耐酸性</w:t>
            </w:r>
          </w:p>
        </w:tc>
        <w:tc>
          <w:tcPr>
            <w:tcW w:w="2552" w:type="dxa"/>
            <w:gridSpan w:val="2"/>
            <w:vAlign w:val="center"/>
          </w:tcPr>
          <w:p w14:paraId="152A8383">
            <w:pPr>
              <w:pStyle w:val="39"/>
              <w:rPr>
                <w:rFonts w:hint="default" w:ascii="Times New Roman" w:hAnsi="Times New Roman" w:cs="Times New Roman"/>
              </w:rPr>
            </w:pPr>
            <w:r>
              <w:rPr>
                <w:rFonts w:hint="default" w:ascii="Times New Roman" w:hAnsi="Times New Roman" w:cs="Times New Roman"/>
              </w:rPr>
              <w:t>5%硫酸液腐蚀24h</w:t>
            </w:r>
          </w:p>
        </w:tc>
        <w:tc>
          <w:tcPr>
            <w:tcW w:w="1817" w:type="dxa"/>
            <w:vMerge w:val="restart"/>
            <w:vAlign w:val="center"/>
          </w:tcPr>
          <w:p w14:paraId="1B03F1B0">
            <w:pPr>
              <w:pStyle w:val="39"/>
              <w:rPr>
                <w:rFonts w:hint="default" w:ascii="Times New Roman" w:hAnsi="Times New Roman" w:cs="Times New Roman"/>
              </w:rPr>
            </w:pPr>
            <w:r>
              <w:rPr>
                <w:rFonts w:hint="default" w:ascii="Times New Roman" w:hAnsi="Times New Roman" w:cs="Times New Roman"/>
              </w:rPr>
              <w:t>无剥落、无裂纹</w:t>
            </w:r>
          </w:p>
        </w:tc>
        <w:tc>
          <w:tcPr>
            <w:tcW w:w="3133" w:type="dxa"/>
            <w:vMerge w:val="restart"/>
            <w:vAlign w:val="center"/>
          </w:tcPr>
          <w:p w14:paraId="015BB027">
            <w:pPr>
              <w:pStyle w:val="39"/>
              <w:rPr>
                <w:rFonts w:hint="default" w:ascii="Times New Roman" w:hAnsi="Times New Roman" w:cs="Times New Roman"/>
              </w:rPr>
            </w:pPr>
            <w:r>
              <w:rPr>
                <w:rFonts w:hint="default" w:ascii="Times New Roman" w:hAnsi="Times New Roman" w:cs="Times New Roman"/>
              </w:rPr>
              <w:t>现行行业标准《水性聚氨酯地坪》JC/T 2327</w:t>
            </w:r>
          </w:p>
        </w:tc>
      </w:tr>
      <w:tr w14:paraId="7ECF6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continue"/>
            <w:vAlign w:val="center"/>
          </w:tcPr>
          <w:p w14:paraId="430C9F24">
            <w:pPr>
              <w:pStyle w:val="39"/>
              <w:rPr>
                <w:rFonts w:hint="default" w:ascii="Times New Roman" w:hAnsi="Times New Roman" w:cs="Times New Roman"/>
              </w:rPr>
            </w:pPr>
          </w:p>
        </w:tc>
        <w:tc>
          <w:tcPr>
            <w:tcW w:w="2552" w:type="dxa"/>
            <w:gridSpan w:val="2"/>
            <w:vAlign w:val="center"/>
          </w:tcPr>
          <w:p w14:paraId="564203B7">
            <w:pPr>
              <w:pStyle w:val="39"/>
              <w:rPr>
                <w:rFonts w:hint="default" w:ascii="Times New Roman" w:hAnsi="Times New Roman" w:cs="Times New Roman"/>
              </w:rPr>
            </w:pPr>
            <w:r>
              <w:rPr>
                <w:rFonts w:hint="default" w:ascii="Times New Roman" w:hAnsi="Times New Roman" w:cs="Times New Roman"/>
              </w:rPr>
              <w:t>10%柠檬酸；10%乳酸；10%醋酸腐蚀48h</w:t>
            </w:r>
          </w:p>
        </w:tc>
        <w:tc>
          <w:tcPr>
            <w:tcW w:w="1817" w:type="dxa"/>
            <w:vMerge w:val="continue"/>
            <w:vAlign w:val="center"/>
          </w:tcPr>
          <w:p w14:paraId="3D9562F1">
            <w:pPr>
              <w:pStyle w:val="39"/>
              <w:rPr>
                <w:rFonts w:hint="default" w:ascii="Times New Roman" w:hAnsi="Times New Roman" w:cs="Times New Roman"/>
              </w:rPr>
            </w:pPr>
          </w:p>
        </w:tc>
        <w:tc>
          <w:tcPr>
            <w:tcW w:w="3133" w:type="dxa"/>
            <w:vMerge w:val="continue"/>
            <w:vAlign w:val="center"/>
          </w:tcPr>
          <w:p w14:paraId="27017AC3">
            <w:pPr>
              <w:pStyle w:val="39"/>
              <w:rPr>
                <w:rFonts w:hint="default" w:ascii="Times New Roman" w:hAnsi="Times New Roman" w:cs="Times New Roman"/>
              </w:rPr>
            </w:pPr>
          </w:p>
        </w:tc>
      </w:tr>
    </w:tbl>
    <w:p w14:paraId="74F19D68">
      <w:pPr>
        <w:ind w:firstLine="360" w:firstLineChars="200"/>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注：耐酸性检验用酸均为质量百分数。</w:t>
      </w:r>
    </w:p>
    <w:p w14:paraId="57237146">
      <w:pPr>
        <w:rPr>
          <w:rFonts w:hint="default" w:ascii="Times New Roman" w:hAnsi="Times New Roman" w:cs="Times New Roman"/>
        </w:rPr>
      </w:pPr>
      <w:r>
        <w:rPr>
          <w:rFonts w:hint="default" w:ascii="Times New Roman" w:hAnsi="Times New Roman" w:cs="Times New Roman"/>
        </w:rPr>
        <w:t>4.6.3  喷筑修复用的无机防腐砂浆的性能应符合表4.6.3的规定，;其中，铝酸盐类水泥基材料中氧化铝含量不应小于15%，单质硫含量不应大于0.5%。</w:t>
      </w:r>
    </w:p>
    <w:p w14:paraId="6E371B36">
      <w:pPr>
        <w:ind w:firstLine="482" w:firstLineChars="200"/>
        <w:jc w:val="center"/>
        <w:rPr>
          <w:rFonts w:hint="default" w:ascii="Times New Roman" w:hAnsi="Times New Roman" w:cs="Times New Roman"/>
          <w:b/>
          <w:bCs/>
        </w:rPr>
      </w:pPr>
      <w:r>
        <w:rPr>
          <w:rFonts w:hint="default" w:ascii="Times New Roman" w:hAnsi="Times New Roman" w:cs="Times New Roman"/>
          <w:b/>
          <w:bCs/>
        </w:rPr>
        <w:t>表4.6.3  无机防腐砂浆的性能</w:t>
      </w:r>
    </w:p>
    <w:tbl>
      <w:tblPr>
        <w:tblStyle w:val="13"/>
        <w:tblW w:w="8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9"/>
        <w:gridCol w:w="1140"/>
        <w:gridCol w:w="2247"/>
        <w:gridCol w:w="2860"/>
      </w:tblGrid>
      <w:tr w14:paraId="4E864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19" w:type="dxa"/>
            <w:gridSpan w:val="2"/>
            <w:vAlign w:val="center"/>
          </w:tcPr>
          <w:p w14:paraId="1C791ECE">
            <w:pPr>
              <w:jc w:val="center"/>
              <w:rPr>
                <w:rFonts w:hint="default" w:ascii="Times New Roman" w:hAnsi="Times New Roman" w:cs="Times New Roman"/>
                <w:sz w:val="21"/>
              </w:rPr>
            </w:pPr>
            <w:r>
              <w:rPr>
                <w:rFonts w:hint="default" w:ascii="Times New Roman" w:hAnsi="Times New Roman" w:cs="Times New Roman"/>
                <w:sz w:val="21"/>
              </w:rPr>
              <w:t>项目</w:t>
            </w:r>
          </w:p>
        </w:tc>
        <w:tc>
          <w:tcPr>
            <w:tcW w:w="2247" w:type="dxa"/>
            <w:vAlign w:val="center"/>
          </w:tcPr>
          <w:p w14:paraId="074E06D0">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0" w:type="auto"/>
            <w:vAlign w:val="center"/>
          </w:tcPr>
          <w:p w14:paraId="4630042A">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2F378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19" w:type="dxa"/>
            <w:gridSpan w:val="2"/>
            <w:vAlign w:val="center"/>
          </w:tcPr>
          <w:p w14:paraId="036754AB">
            <w:pPr>
              <w:jc w:val="center"/>
              <w:rPr>
                <w:rFonts w:hint="default" w:ascii="Times New Roman" w:hAnsi="Times New Roman" w:cs="Times New Roman"/>
                <w:sz w:val="21"/>
              </w:rPr>
            </w:pPr>
            <w:r>
              <w:rPr>
                <w:rFonts w:hint="default" w:ascii="Times New Roman" w:hAnsi="Times New Roman" w:cs="Times New Roman"/>
                <w:sz w:val="21"/>
              </w:rPr>
              <w:t>无机材料成分（%）</w:t>
            </w:r>
          </w:p>
        </w:tc>
        <w:tc>
          <w:tcPr>
            <w:tcW w:w="2247" w:type="dxa"/>
            <w:vAlign w:val="center"/>
          </w:tcPr>
          <w:p w14:paraId="11E0D5E0">
            <w:pPr>
              <w:jc w:val="center"/>
              <w:rPr>
                <w:rFonts w:hint="default" w:ascii="Times New Roman" w:hAnsi="Times New Roman" w:cs="Times New Roman"/>
                <w:sz w:val="21"/>
              </w:rPr>
            </w:pPr>
            <w:r>
              <w:rPr>
                <w:rFonts w:hint="default" w:ascii="Times New Roman" w:hAnsi="Times New Roman" w:cs="Times New Roman"/>
                <w:sz w:val="21"/>
              </w:rPr>
              <w:t>≥97</w:t>
            </w:r>
          </w:p>
        </w:tc>
        <w:tc>
          <w:tcPr>
            <w:tcW w:w="0" w:type="auto"/>
            <w:vAlign w:val="center"/>
          </w:tcPr>
          <w:p w14:paraId="378EC5D4">
            <w:pPr>
              <w:jc w:val="center"/>
              <w:rPr>
                <w:rFonts w:hint="default" w:ascii="Times New Roman" w:hAnsi="Times New Roman" w:cs="Times New Roman"/>
                <w:sz w:val="21"/>
              </w:rPr>
            </w:pPr>
            <w:r>
              <w:rPr>
                <w:rFonts w:hint="default" w:ascii="Times New Roman" w:hAnsi="Times New Roman" w:cs="Times New Roman"/>
                <w:sz w:val="21"/>
              </w:rPr>
              <w:t>《干混砂浆物理性能试验方法》GB/T 29756</w:t>
            </w:r>
          </w:p>
        </w:tc>
      </w:tr>
      <w:tr w14:paraId="48398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restart"/>
            <w:vAlign w:val="center"/>
          </w:tcPr>
          <w:p w14:paraId="31D85EC5">
            <w:pPr>
              <w:jc w:val="center"/>
              <w:rPr>
                <w:rFonts w:hint="default" w:ascii="Times New Roman" w:hAnsi="Times New Roman" w:cs="Times New Roman"/>
                <w:sz w:val="21"/>
              </w:rPr>
            </w:pPr>
            <w:r>
              <w:rPr>
                <w:rFonts w:hint="default" w:ascii="Times New Roman" w:hAnsi="Times New Roman" w:cs="Times New Roman"/>
                <w:sz w:val="21"/>
              </w:rPr>
              <w:t>凝结时间</w:t>
            </w:r>
          </w:p>
        </w:tc>
        <w:tc>
          <w:tcPr>
            <w:tcW w:w="1140" w:type="dxa"/>
            <w:vAlign w:val="center"/>
          </w:tcPr>
          <w:p w14:paraId="199393EE">
            <w:pPr>
              <w:jc w:val="center"/>
              <w:rPr>
                <w:rFonts w:hint="default" w:ascii="Times New Roman" w:hAnsi="Times New Roman" w:cs="Times New Roman"/>
                <w:sz w:val="21"/>
              </w:rPr>
            </w:pPr>
            <w:r>
              <w:rPr>
                <w:rFonts w:hint="default" w:ascii="Times New Roman" w:hAnsi="Times New Roman" w:cs="Times New Roman"/>
                <w:sz w:val="21"/>
              </w:rPr>
              <w:t>初凝（min）</w:t>
            </w:r>
          </w:p>
        </w:tc>
        <w:tc>
          <w:tcPr>
            <w:tcW w:w="2247" w:type="dxa"/>
            <w:vAlign w:val="center"/>
          </w:tcPr>
          <w:p w14:paraId="21D73BCC">
            <w:pPr>
              <w:jc w:val="center"/>
              <w:rPr>
                <w:rFonts w:hint="default" w:ascii="Times New Roman" w:hAnsi="Times New Roman" w:cs="Times New Roman"/>
                <w:sz w:val="21"/>
              </w:rPr>
            </w:pPr>
            <w:r>
              <w:rPr>
                <w:rFonts w:hint="default" w:ascii="Times New Roman" w:hAnsi="Times New Roman" w:cs="Times New Roman"/>
                <w:sz w:val="21"/>
              </w:rPr>
              <w:t>≥45</w:t>
            </w:r>
          </w:p>
        </w:tc>
        <w:tc>
          <w:tcPr>
            <w:tcW w:w="0" w:type="auto"/>
            <w:vMerge w:val="restart"/>
            <w:vAlign w:val="center"/>
          </w:tcPr>
          <w:p w14:paraId="1D8FA9BB">
            <w:pPr>
              <w:jc w:val="center"/>
              <w:rPr>
                <w:rFonts w:hint="default" w:ascii="Times New Roman" w:hAnsi="Times New Roman" w:cs="Times New Roman"/>
                <w:sz w:val="21"/>
              </w:rPr>
            </w:pPr>
            <w:r>
              <w:rPr>
                <w:rFonts w:hint="default" w:ascii="Times New Roman" w:hAnsi="Times New Roman" w:cs="Times New Roman"/>
                <w:sz w:val="21"/>
              </w:rPr>
              <w:t>《建筑砂浆基本性能试验方法标准》JGJ/T 70</w:t>
            </w:r>
          </w:p>
        </w:tc>
      </w:tr>
      <w:tr w14:paraId="41ACE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continue"/>
            <w:vAlign w:val="center"/>
          </w:tcPr>
          <w:p w14:paraId="690301B5">
            <w:pPr>
              <w:jc w:val="center"/>
              <w:rPr>
                <w:rFonts w:hint="default" w:ascii="Times New Roman" w:hAnsi="Times New Roman" w:cs="Times New Roman"/>
                <w:sz w:val="21"/>
              </w:rPr>
            </w:pPr>
          </w:p>
        </w:tc>
        <w:tc>
          <w:tcPr>
            <w:tcW w:w="1140" w:type="dxa"/>
            <w:vAlign w:val="center"/>
          </w:tcPr>
          <w:p w14:paraId="6F318D3B">
            <w:pPr>
              <w:jc w:val="center"/>
              <w:rPr>
                <w:rFonts w:hint="default" w:ascii="Times New Roman" w:hAnsi="Times New Roman" w:cs="Times New Roman"/>
                <w:sz w:val="21"/>
              </w:rPr>
            </w:pPr>
            <w:r>
              <w:rPr>
                <w:rFonts w:hint="default" w:ascii="Times New Roman" w:hAnsi="Times New Roman" w:cs="Times New Roman"/>
                <w:sz w:val="21"/>
              </w:rPr>
              <w:t>终凝（h）</w:t>
            </w:r>
          </w:p>
        </w:tc>
        <w:tc>
          <w:tcPr>
            <w:tcW w:w="2247" w:type="dxa"/>
            <w:vAlign w:val="center"/>
          </w:tcPr>
          <w:p w14:paraId="0B90893F">
            <w:pPr>
              <w:jc w:val="center"/>
              <w:rPr>
                <w:rFonts w:hint="default" w:ascii="Times New Roman" w:hAnsi="Times New Roman" w:cs="Times New Roman"/>
                <w:sz w:val="21"/>
              </w:rPr>
            </w:pPr>
            <w:r>
              <w:rPr>
                <w:rFonts w:hint="default" w:ascii="Times New Roman" w:hAnsi="Times New Roman" w:cs="Times New Roman"/>
                <w:sz w:val="21"/>
              </w:rPr>
              <w:t>≤6</w:t>
            </w:r>
          </w:p>
        </w:tc>
        <w:tc>
          <w:tcPr>
            <w:tcW w:w="0" w:type="auto"/>
            <w:vMerge w:val="continue"/>
            <w:vAlign w:val="center"/>
          </w:tcPr>
          <w:p w14:paraId="16665C70">
            <w:pPr>
              <w:jc w:val="center"/>
              <w:rPr>
                <w:rFonts w:hint="default" w:ascii="Times New Roman" w:hAnsi="Times New Roman" w:cs="Times New Roman"/>
                <w:sz w:val="21"/>
              </w:rPr>
            </w:pPr>
          </w:p>
        </w:tc>
      </w:tr>
      <w:tr w14:paraId="23A01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restart"/>
            <w:vAlign w:val="center"/>
          </w:tcPr>
          <w:p w14:paraId="189A99DE">
            <w:pPr>
              <w:jc w:val="center"/>
              <w:rPr>
                <w:rFonts w:hint="default" w:ascii="Times New Roman" w:hAnsi="Times New Roman" w:cs="Times New Roman"/>
                <w:sz w:val="21"/>
              </w:rPr>
            </w:pPr>
            <w:r>
              <w:rPr>
                <w:rFonts w:hint="default" w:ascii="Times New Roman" w:hAnsi="Times New Roman" w:cs="Times New Roman"/>
                <w:sz w:val="21"/>
              </w:rPr>
              <w:t>抗压强度（MPa）</w:t>
            </w:r>
          </w:p>
        </w:tc>
        <w:tc>
          <w:tcPr>
            <w:tcW w:w="1140" w:type="dxa"/>
            <w:vAlign w:val="center"/>
          </w:tcPr>
          <w:p w14:paraId="29BBF543">
            <w:pPr>
              <w:jc w:val="center"/>
              <w:rPr>
                <w:rFonts w:hint="default" w:ascii="Times New Roman" w:hAnsi="Times New Roman" w:cs="Times New Roman"/>
                <w:sz w:val="21"/>
              </w:rPr>
            </w:pPr>
            <w:r>
              <w:rPr>
                <w:rFonts w:hint="default" w:ascii="Times New Roman" w:hAnsi="Times New Roman" w:cs="Times New Roman"/>
                <w:sz w:val="21"/>
              </w:rPr>
              <w:t>12h</w:t>
            </w:r>
          </w:p>
        </w:tc>
        <w:tc>
          <w:tcPr>
            <w:tcW w:w="2247" w:type="dxa"/>
            <w:vAlign w:val="center"/>
          </w:tcPr>
          <w:p w14:paraId="61F96C40">
            <w:pPr>
              <w:jc w:val="center"/>
              <w:rPr>
                <w:rFonts w:hint="default" w:ascii="Times New Roman" w:hAnsi="Times New Roman" w:cs="Times New Roman"/>
                <w:sz w:val="21"/>
              </w:rPr>
            </w:pPr>
            <w:r>
              <w:rPr>
                <w:rFonts w:hint="default" w:ascii="Times New Roman" w:hAnsi="Times New Roman" w:cs="Times New Roman"/>
                <w:sz w:val="21"/>
              </w:rPr>
              <w:t>≥8.0</w:t>
            </w:r>
          </w:p>
        </w:tc>
        <w:tc>
          <w:tcPr>
            <w:tcW w:w="0" w:type="auto"/>
            <w:vMerge w:val="restart"/>
            <w:vAlign w:val="center"/>
          </w:tcPr>
          <w:p w14:paraId="10047201">
            <w:pPr>
              <w:jc w:val="center"/>
              <w:rPr>
                <w:rFonts w:hint="default" w:ascii="Times New Roman" w:hAnsi="Times New Roman" w:cs="Times New Roman"/>
                <w:sz w:val="21"/>
              </w:rPr>
            </w:pPr>
            <w:r>
              <w:rPr>
                <w:rFonts w:hint="default" w:ascii="Times New Roman" w:hAnsi="Times New Roman" w:cs="Times New Roman"/>
                <w:sz w:val="21"/>
              </w:rPr>
              <w:t>《水泥砂胶强度检验方法（ISO）法》GB/T 17671</w:t>
            </w:r>
          </w:p>
        </w:tc>
      </w:tr>
      <w:tr w14:paraId="28EE8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continue"/>
            <w:vAlign w:val="center"/>
          </w:tcPr>
          <w:p w14:paraId="274A621A">
            <w:pPr>
              <w:jc w:val="center"/>
              <w:rPr>
                <w:rFonts w:hint="default" w:ascii="Times New Roman" w:hAnsi="Times New Roman" w:cs="Times New Roman"/>
                <w:sz w:val="21"/>
              </w:rPr>
            </w:pPr>
          </w:p>
        </w:tc>
        <w:tc>
          <w:tcPr>
            <w:tcW w:w="1140" w:type="dxa"/>
            <w:vAlign w:val="center"/>
          </w:tcPr>
          <w:p w14:paraId="4E6A630C">
            <w:pPr>
              <w:jc w:val="center"/>
              <w:rPr>
                <w:rFonts w:hint="default" w:ascii="Times New Roman" w:hAnsi="Times New Roman" w:cs="Times New Roman"/>
                <w:sz w:val="21"/>
              </w:rPr>
            </w:pPr>
            <w:r>
              <w:rPr>
                <w:rFonts w:hint="default" w:ascii="Times New Roman" w:hAnsi="Times New Roman" w:cs="Times New Roman"/>
                <w:sz w:val="21"/>
              </w:rPr>
              <w:t>1d</w:t>
            </w:r>
          </w:p>
        </w:tc>
        <w:tc>
          <w:tcPr>
            <w:tcW w:w="2247" w:type="dxa"/>
            <w:vAlign w:val="center"/>
          </w:tcPr>
          <w:p w14:paraId="07833B5B">
            <w:pPr>
              <w:jc w:val="center"/>
              <w:rPr>
                <w:rFonts w:hint="default" w:ascii="Times New Roman" w:hAnsi="Times New Roman" w:cs="Times New Roman"/>
                <w:sz w:val="21"/>
              </w:rPr>
            </w:pPr>
            <w:r>
              <w:rPr>
                <w:rFonts w:hint="default" w:ascii="Times New Roman" w:hAnsi="Times New Roman" w:cs="Times New Roman"/>
                <w:sz w:val="21"/>
              </w:rPr>
              <w:t>≥12.0</w:t>
            </w:r>
          </w:p>
        </w:tc>
        <w:tc>
          <w:tcPr>
            <w:tcW w:w="0" w:type="auto"/>
            <w:vMerge w:val="continue"/>
            <w:vAlign w:val="center"/>
          </w:tcPr>
          <w:p w14:paraId="6FFFDCD6">
            <w:pPr>
              <w:jc w:val="center"/>
              <w:rPr>
                <w:rFonts w:hint="default" w:ascii="Times New Roman" w:hAnsi="Times New Roman" w:cs="Times New Roman"/>
                <w:sz w:val="21"/>
              </w:rPr>
            </w:pPr>
          </w:p>
        </w:tc>
      </w:tr>
      <w:tr w14:paraId="0C54B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continue"/>
            <w:vAlign w:val="center"/>
          </w:tcPr>
          <w:p w14:paraId="19B250C7">
            <w:pPr>
              <w:jc w:val="center"/>
              <w:rPr>
                <w:rFonts w:hint="default" w:ascii="Times New Roman" w:hAnsi="Times New Roman" w:cs="Times New Roman"/>
                <w:sz w:val="21"/>
              </w:rPr>
            </w:pPr>
          </w:p>
        </w:tc>
        <w:tc>
          <w:tcPr>
            <w:tcW w:w="1140" w:type="dxa"/>
            <w:vAlign w:val="center"/>
          </w:tcPr>
          <w:p w14:paraId="1A3DD15F">
            <w:pPr>
              <w:jc w:val="center"/>
              <w:rPr>
                <w:rFonts w:hint="default" w:ascii="Times New Roman" w:hAnsi="Times New Roman" w:cs="Times New Roman"/>
                <w:sz w:val="21"/>
              </w:rPr>
            </w:pPr>
            <w:r>
              <w:rPr>
                <w:rFonts w:hint="default" w:ascii="Times New Roman" w:hAnsi="Times New Roman" w:cs="Times New Roman"/>
                <w:sz w:val="21"/>
              </w:rPr>
              <w:t>28d</w:t>
            </w:r>
          </w:p>
        </w:tc>
        <w:tc>
          <w:tcPr>
            <w:tcW w:w="2247" w:type="dxa"/>
            <w:vAlign w:val="center"/>
          </w:tcPr>
          <w:p w14:paraId="3AD35A63">
            <w:pPr>
              <w:jc w:val="center"/>
              <w:rPr>
                <w:rFonts w:hint="default" w:ascii="Times New Roman" w:hAnsi="Times New Roman" w:cs="Times New Roman"/>
                <w:sz w:val="21"/>
              </w:rPr>
            </w:pPr>
            <w:r>
              <w:rPr>
                <w:rFonts w:hint="default" w:ascii="Times New Roman" w:hAnsi="Times New Roman" w:cs="Times New Roman"/>
                <w:sz w:val="21"/>
              </w:rPr>
              <w:t>≥25.0</w:t>
            </w:r>
          </w:p>
        </w:tc>
        <w:tc>
          <w:tcPr>
            <w:tcW w:w="0" w:type="auto"/>
            <w:vMerge w:val="continue"/>
            <w:vAlign w:val="center"/>
          </w:tcPr>
          <w:p w14:paraId="1F67AF42">
            <w:pPr>
              <w:jc w:val="center"/>
              <w:rPr>
                <w:rFonts w:hint="default" w:ascii="Times New Roman" w:hAnsi="Times New Roman" w:cs="Times New Roman"/>
                <w:sz w:val="21"/>
              </w:rPr>
            </w:pPr>
          </w:p>
        </w:tc>
      </w:tr>
      <w:tr w14:paraId="30468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restart"/>
            <w:vAlign w:val="center"/>
          </w:tcPr>
          <w:p w14:paraId="0CFBAA99">
            <w:pPr>
              <w:jc w:val="center"/>
              <w:rPr>
                <w:rFonts w:hint="default" w:ascii="Times New Roman" w:hAnsi="Times New Roman" w:cs="Times New Roman"/>
                <w:sz w:val="21"/>
              </w:rPr>
            </w:pPr>
            <w:r>
              <w:rPr>
                <w:rFonts w:hint="default" w:ascii="Times New Roman" w:hAnsi="Times New Roman" w:cs="Times New Roman"/>
                <w:sz w:val="21"/>
              </w:rPr>
              <w:t>抗折强度（MPa）</w:t>
            </w:r>
          </w:p>
        </w:tc>
        <w:tc>
          <w:tcPr>
            <w:tcW w:w="1140" w:type="dxa"/>
            <w:vAlign w:val="center"/>
          </w:tcPr>
          <w:p w14:paraId="4870E0C8">
            <w:pPr>
              <w:jc w:val="center"/>
              <w:rPr>
                <w:rFonts w:hint="default" w:ascii="Times New Roman" w:hAnsi="Times New Roman" w:cs="Times New Roman"/>
                <w:sz w:val="21"/>
              </w:rPr>
            </w:pPr>
            <w:r>
              <w:rPr>
                <w:rFonts w:hint="default" w:ascii="Times New Roman" w:hAnsi="Times New Roman" w:cs="Times New Roman"/>
                <w:sz w:val="21"/>
              </w:rPr>
              <w:t>1d</w:t>
            </w:r>
          </w:p>
        </w:tc>
        <w:tc>
          <w:tcPr>
            <w:tcW w:w="2247" w:type="dxa"/>
            <w:vAlign w:val="center"/>
          </w:tcPr>
          <w:p w14:paraId="466FCF57">
            <w:pPr>
              <w:jc w:val="center"/>
              <w:rPr>
                <w:rFonts w:hint="default" w:ascii="Times New Roman" w:hAnsi="Times New Roman" w:cs="Times New Roman"/>
                <w:sz w:val="21"/>
              </w:rPr>
            </w:pPr>
            <w:r>
              <w:rPr>
                <w:rFonts w:hint="default" w:ascii="Times New Roman" w:hAnsi="Times New Roman" w:cs="Times New Roman"/>
                <w:sz w:val="21"/>
              </w:rPr>
              <w:t>≥2.5</w:t>
            </w:r>
          </w:p>
        </w:tc>
        <w:tc>
          <w:tcPr>
            <w:tcW w:w="0" w:type="auto"/>
            <w:vMerge w:val="continue"/>
            <w:vAlign w:val="center"/>
          </w:tcPr>
          <w:p w14:paraId="14A361F4">
            <w:pPr>
              <w:jc w:val="center"/>
              <w:rPr>
                <w:rFonts w:hint="default" w:ascii="Times New Roman" w:hAnsi="Times New Roman" w:cs="Times New Roman"/>
                <w:sz w:val="21"/>
              </w:rPr>
            </w:pPr>
          </w:p>
        </w:tc>
      </w:tr>
      <w:tr w14:paraId="59121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Merge w:val="continue"/>
            <w:vAlign w:val="center"/>
          </w:tcPr>
          <w:p w14:paraId="23F1AB45">
            <w:pPr>
              <w:jc w:val="center"/>
              <w:rPr>
                <w:rFonts w:hint="default" w:ascii="Times New Roman" w:hAnsi="Times New Roman" w:cs="Times New Roman"/>
                <w:sz w:val="21"/>
              </w:rPr>
            </w:pPr>
          </w:p>
        </w:tc>
        <w:tc>
          <w:tcPr>
            <w:tcW w:w="1140" w:type="dxa"/>
            <w:vAlign w:val="center"/>
          </w:tcPr>
          <w:p w14:paraId="7F8CA276">
            <w:pPr>
              <w:jc w:val="center"/>
              <w:rPr>
                <w:rFonts w:hint="default" w:ascii="Times New Roman" w:hAnsi="Times New Roman" w:cs="Times New Roman"/>
                <w:sz w:val="21"/>
              </w:rPr>
            </w:pPr>
            <w:r>
              <w:rPr>
                <w:rFonts w:hint="default" w:ascii="Times New Roman" w:hAnsi="Times New Roman" w:cs="Times New Roman"/>
                <w:sz w:val="21"/>
              </w:rPr>
              <w:t>28d</w:t>
            </w:r>
          </w:p>
        </w:tc>
        <w:tc>
          <w:tcPr>
            <w:tcW w:w="2247" w:type="dxa"/>
            <w:vAlign w:val="center"/>
          </w:tcPr>
          <w:p w14:paraId="1A7BF5ED">
            <w:pPr>
              <w:jc w:val="center"/>
              <w:rPr>
                <w:rFonts w:hint="default" w:ascii="Times New Roman" w:hAnsi="Times New Roman" w:cs="Times New Roman"/>
                <w:sz w:val="21"/>
              </w:rPr>
            </w:pPr>
            <w:r>
              <w:rPr>
                <w:rFonts w:hint="default" w:ascii="Times New Roman" w:hAnsi="Times New Roman" w:cs="Times New Roman"/>
                <w:sz w:val="21"/>
              </w:rPr>
              <w:t>≥4.0</w:t>
            </w:r>
          </w:p>
        </w:tc>
        <w:tc>
          <w:tcPr>
            <w:tcW w:w="0" w:type="auto"/>
            <w:vMerge w:val="continue"/>
            <w:vAlign w:val="center"/>
          </w:tcPr>
          <w:p w14:paraId="451B633C">
            <w:pPr>
              <w:jc w:val="center"/>
              <w:rPr>
                <w:rFonts w:hint="default" w:ascii="Times New Roman" w:hAnsi="Times New Roman" w:cs="Times New Roman"/>
                <w:sz w:val="21"/>
              </w:rPr>
            </w:pPr>
          </w:p>
        </w:tc>
      </w:tr>
      <w:tr w14:paraId="6E1B4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Align w:val="center"/>
          </w:tcPr>
          <w:p w14:paraId="2EB81FCC">
            <w:pPr>
              <w:jc w:val="center"/>
              <w:rPr>
                <w:rFonts w:hint="default" w:ascii="Times New Roman" w:hAnsi="Times New Roman" w:cs="Times New Roman"/>
                <w:sz w:val="21"/>
              </w:rPr>
            </w:pPr>
            <w:r>
              <w:rPr>
                <w:rFonts w:hint="default" w:ascii="Times New Roman" w:hAnsi="Times New Roman" w:cs="Times New Roman"/>
                <w:sz w:val="21"/>
              </w:rPr>
              <w:t>浸水拉伸粘结强度（MPa）</w:t>
            </w:r>
          </w:p>
        </w:tc>
        <w:tc>
          <w:tcPr>
            <w:tcW w:w="1140" w:type="dxa"/>
            <w:vAlign w:val="center"/>
          </w:tcPr>
          <w:p w14:paraId="40F274EE">
            <w:pPr>
              <w:jc w:val="center"/>
              <w:rPr>
                <w:rFonts w:hint="default" w:ascii="Times New Roman" w:hAnsi="Times New Roman" w:cs="Times New Roman"/>
                <w:sz w:val="21"/>
              </w:rPr>
            </w:pPr>
            <w:r>
              <w:rPr>
                <w:rFonts w:hint="default" w:ascii="Times New Roman" w:hAnsi="Times New Roman" w:cs="Times New Roman"/>
                <w:sz w:val="21"/>
              </w:rPr>
              <w:t>7d</w:t>
            </w:r>
          </w:p>
        </w:tc>
        <w:tc>
          <w:tcPr>
            <w:tcW w:w="2247" w:type="dxa"/>
            <w:vAlign w:val="center"/>
          </w:tcPr>
          <w:p w14:paraId="02849865">
            <w:pPr>
              <w:jc w:val="center"/>
              <w:rPr>
                <w:rFonts w:hint="default" w:ascii="Times New Roman" w:hAnsi="Times New Roman" w:cs="Times New Roman"/>
                <w:sz w:val="21"/>
              </w:rPr>
            </w:pPr>
            <w:r>
              <w:rPr>
                <w:rFonts w:hint="default" w:ascii="Times New Roman" w:hAnsi="Times New Roman" w:cs="Times New Roman"/>
                <w:sz w:val="21"/>
              </w:rPr>
              <w:t>≥1.0</w:t>
            </w:r>
          </w:p>
        </w:tc>
        <w:tc>
          <w:tcPr>
            <w:tcW w:w="0" w:type="auto"/>
            <w:vMerge w:val="restart"/>
            <w:vAlign w:val="center"/>
          </w:tcPr>
          <w:p w14:paraId="297D6862">
            <w:pPr>
              <w:jc w:val="center"/>
              <w:rPr>
                <w:rFonts w:hint="default" w:ascii="Times New Roman" w:hAnsi="Times New Roman" w:cs="Times New Roman"/>
                <w:sz w:val="21"/>
              </w:rPr>
            </w:pPr>
            <w:r>
              <w:rPr>
                <w:rFonts w:hint="default" w:ascii="Times New Roman" w:hAnsi="Times New Roman" w:cs="Times New Roman"/>
                <w:sz w:val="21"/>
              </w:rPr>
              <w:t>《建筑砂浆基本性能试验方法》JGJ/T 70</w:t>
            </w:r>
          </w:p>
        </w:tc>
      </w:tr>
      <w:tr w14:paraId="28A2D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79" w:type="dxa"/>
            <w:vAlign w:val="center"/>
          </w:tcPr>
          <w:p w14:paraId="2FF791D8">
            <w:pPr>
              <w:jc w:val="center"/>
              <w:rPr>
                <w:rFonts w:hint="default" w:ascii="Times New Roman" w:hAnsi="Times New Roman" w:cs="Times New Roman"/>
                <w:sz w:val="21"/>
              </w:rPr>
            </w:pPr>
            <w:r>
              <w:rPr>
                <w:rFonts w:hint="default" w:ascii="Times New Roman" w:hAnsi="Times New Roman" w:cs="Times New Roman"/>
                <w:sz w:val="21"/>
              </w:rPr>
              <w:t>抗渗压力（MPa）</w:t>
            </w:r>
          </w:p>
        </w:tc>
        <w:tc>
          <w:tcPr>
            <w:tcW w:w="1140" w:type="dxa"/>
            <w:vAlign w:val="center"/>
          </w:tcPr>
          <w:p w14:paraId="2FE35221">
            <w:pPr>
              <w:jc w:val="center"/>
              <w:rPr>
                <w:rFonts w:hint="default" w:ascii="Times New Roman" w:hAnsi="Times New Roman" w:cs="Times New Roman"/>
                <w:sz w:val="21"/>
              </w:rPr>
            </w:pPr>
            <w:r>
              <w:rPr>
                <w:rFonts w:hint="default" w:ascii="Times New Roman" w:hAnsi="Times New Roman" w:cs="Times New Roman"/>
                <w:sz w:val="21"/>
              </w:rPr>
              <w:t>28d</w:t>
            </w:r>
          </w:p>
        </w:tc>
        <w:tc>
          <w:tcPr>
            <w:tcW w:w="2247" w:type="dxa"/>
            <w:vAlign w:val="center"/>
          </w:tcPr>
          <w:p w14:paraId="5926CD7A">
            <w:pPr>
              <w:jc w:val="center"/>
              <w:rPr>
                <w:rFonts w:hint="default" w:ascii="Times New Roman" w:hAnsi="Times New Roman" w:cs="Times New Roman"/>
                <w:sz w:val="21"/>
              </w:rPr>
            </w:pPr>
            <w:r>
              <w:rPr>
                <w:rFonts w:hint="default" w:ascii="Times New Roman" w:hAnsi="Times New Roman" w:cs="Times New Roman"/>
                <w:sz w:val="21"/>
              </w:rPr>
              <w:t>≥1.5</w:t>
            </w:r>
          </w:p>
        </w:tc>
        <w:tc>
          <w:tcPr>
            <w:tcW w:w="0" w:type="auto"/>
            <w:vMerge w:val="continue"/>
            <w:vAlign w:val="center"/>
          </w:tcPr>
          <w:p w14:paraId="0FED5D8A">
            <w:pPr>
              <w:jc w:val="center"/>
              <w:rPr>
                <w:rFonts w:hint="default" w:ascii="Times New Roman" w:hAnsi="Times New Roman" w:cs="Times New Roman"/>
                <w:sz w:val="21"/>
              </w:rPr>
            </w:pPr>
          </w:p>
        </w:tc>
      </w:tr>
      <w:tr w14:paraId="38EB7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19" w:type="dxa"/>
            <w:gridSpan w:val="2"/>
            <w:vAlign w:val="center"/>
          </w:tcPr>
          <w:p w14:paraId="52985E44">
            <w:pPr>
              <w:jc w:val="center"/>
              <w:rPr>
                <w:rFonts w:hint="default" w:ascii="Times New Roman" w:hAnsi="Times New Roman" w:cs="Times New Roman"/>
                <w:sz w:val="21"/>
              </w:rPr>
            </w:pPr>
            <w:r>
              <w:rPr>
                <w:rFonts w:hint="default" w:ascii="Times New Roman" w:hAnsi="Times New Roman" w:cs="Times New Roman"/>
                <w:sz w:val="21"/>
              </w:rPr>
              <w:t>耐5%硫酸腐蚀（点滴法24h）</w:t>
            </w:r>
          </w:p>
        </w:tc>
        <w:tc>
          <w:tcPr>
            <w:tcW w:w="2247" w:type="dxa"/>
            <w:vMerge w:val="restart"/>
            <w:vAlign w:val="center"/>
          </w:tcPr>
          <w:p w14:paraId="6D96715D">
            <w:pPr>
              <w:jc w:val="center"/>
              <w:rPr>
                <w:rFonts w:hint="default" w:ascii="Times New Roman" w:hAnsi="Times New Roman" w:cs="Times New Roman"/>
                <w:sz w:val="21"/>
              </w:rPr>
            </w:pPr>
            <w:r>
              <w:rPr>
                <w:rFonts w:hint="default" w:ascii="Times New Roman" w:hAnsi="Times New Roman" w:cs="Times New Roman"/>
                <w:sz w:val="21"/>
              </w:rPr>
              <w:t>无起泡、无剥落、无裂纹、允许轻微变色</w:t>
            </w:r>
          </w:p>
        </w:tc>
        <w:tc>
          <w:tcPr>
            <w:tcW w:w="0" w:type="auto"/>
            <w:vAlign w:val="center"/>
          </w:tcPr>
          <w:p w14:paraId="6878F585">
            <w:pPr>
              <w:jc w:val="center"/>
              <w:rPr>
                <w:rFonts w:hint="default" w:ascii="Times New Roman" w:hAnsi="Times New Roman" w:cs="Times New Roman"/>
                <w:sz w:val="21"/>
              </w:rPr>
            </w:pPr>
            <w:r>
              <w:rPr>
                <w:rFonts w:hint="default" w:ascii="Times New Roman" w:hAnsi="Times New Roman" w:cs="Times New Roman"/>
                <w:sz w:val="21"/>
              </w:rPr>
              <w:t>《色漆和清漆耐液体介质的测定》GB 9274</w:t>
            </w:r>
          </w:p>
        </w:tc>
      </w:tr>
      <w:tr w14:paraId="79059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19" w:type="dxa"/>
            <w:gridSpan w:val="2"/>
            <w:vAlign w:val="center"/>
          </w:tcPr>
          <w:p w14:paraId="34DE9950">
            <w:pPr>
              <w:jc w:val="center"/>
              <w:rPr>
                <w:rFonts w:hint="default" w:ascii="Times New Roman" w:hAnsi="Times New Roman" w:cs="Times New Roman"/>
                <w:sz w:val="21"/>
              </w:rPr>
            </w:pPr>
            <w:r>
              <w:rPr>
                <w:rFonts w:hint="default" w:ascii="Times New Roman" w:hAnsi="Times New Roman" w:cs="Times New Roman"/>
                <w:sz w:val="21"/>
              </w:rPr>
              <w:t>耐10%柠檬酸、10%乳酸、10%醋酸腐蚀</w:t>
            </w:r>
          </w:p>
        </w:tc>
        <w:tc>
          <w:tcPr>
            <w:tcW w:w="2247" w:type="dxa"/>
            <w:vMerge w:val="continue"/>
            <w:vAlign w:val="center"/>
          </w:tcPr>
          <w:p w14:paraId="1B108D93">
            <w:pPr>
              <w:jc w:val="center"/>
              <w:rPr>
                <w:rFonts w:hint="default" w:ascii="Times New Roman" w:hAnsi="Times New Roman" w:cs="Times New Roman"/>
                <w:sz w:val="21"/>
              </w:rPr>
            </w:pPr>
          </w:p>
        </w:tc>
        <w:tc>
          <w:tcPr>
            <w:tcW w:w="0" w:type="auto"/>
            <w:vAlign w:val="center"/>
          </w:tcPr>
          <w:p w14:paraId="42F3E4CB">
            <w:pPr>
              <w:jc w:val="center"/>
              <w:rPr>
                <w:rFonts w:hint="default" w:ascii="Times New Roman" w:hAnsi="Times New Roman" w:cs="Times New Roman"/>
                <w:sz w:val="21"/>
              </w:rPr>
            </w:pPr>
            <w:r>
              <w:rPr>
                <w:rFonts w:hint="default" w:ascii="Times New Roman" w:hAnsi="Times New Roman" w:cs="Times New Roman"/>
                <w:sz w:val="21"/>
              </w:rPr>
              <w:t>《水性聚氨酯地坪》</w:t>
            </w:r>
          </w:p>
          <w:p w14:paraId="5E7CE8BE">
            <w:pPr>
              <w:jc w:val="center"/>
              <w:rPr>
                <w:rFonts w:hint="default" w:ascii="Times New Roman" w:hAnsi="Times New Roman" w:cs="Times New Roman"/>
                <w:sz w:val="21"/>
              </w:rPr>
            </w:pPr>
            <w:r>
              <w:rPr>
                <w:rFonts w:hint="default" w:ascii="Times New Roman" w:hAnsi="Times New Roman" w:cs="Times New Roman"/>
                <w:sz w:val="21"/>
              </w:rPr>
              <w:t>JC/T 2327</w:t>
            </w:r>
          </w:p>
        </w:tc>
      </w:tr>
    </w:tbl>
    <w:p w14:paraId="3163E181">
      <w:pPr>
        <w:ind w:firstLine="420" w:firstLineChars="200"/>
        <w:rPr>
          <w:rFonts w:hint="default" w:ascii="Times New Roman" w:hAnsi="Times New Roman" w:cs="Times New Roman"/>
          <w:sz w:val="21"/>
        </w:rPr>
      </w:pPr>
      <w:r>
        <w:rPr>
          <w:rFonts w:hint="default" w:ascii="Times New Roman" w:hAnsi="Times New Roman" w:cs="Times New Roman"/>
          <w:sz w:val="21"/>
        </w:rPr>
        <w:t>注：当需要快速恢复通水时，可进行12h抗压强度测试。</w:t>
      </w:r>
    </w:p>
    <w:p w14:paraId="0CD19742">
      <w:pPr>
        <w:rPr>
          <w:rFonts w:hint="default" w:ascii="Times New Roman" w:hAnsi="Times New Roman" w:cs="Times New Roman"/>
        </w:rPr>
      </w:pPr>
      <w:r>
        <w:rPr>
          <w:rFonts w:hint="default" w:ascii="Times New Roman" w:hAnsi="Times New Roman" w:cs="Times New Roman"/>
        </w:rPr>
        <w:t>4.6.4  喷筑修复用聚合物水泥砂浆的性能应符合表4.6.4的规定。</w:t>
      </w:r>
    </w:p>
    <w:p w14:paraId="68CA00F2">
      <w:pPr>
        <w:ind w:firstLine="482" w:firstLineChars="200"/>
        <w:jc w:val="center"/>
        <w:rPr>
          <w:rFonts w:hint="default" w:ascii="Times New Roman" w:hAnsi="Times New Roman" w:cs="Times New Roman"/>
          <w:b/>
          <w:bCs/>
        </w:rPr>
      </w:pPr>
      <w:r>
        <w:rPr>
          <w:rFonts w:hint="default" w:ascii="Times New Roman" w:hAnsi="Times New Roman" w:cs="Times New Roman"/>
          <w:b/>
          <w:bCs/>
        </w:rPr>
        <w:t>表4.6.4  聚合物水泥砂浆的性能</w:t>
      </w:r>
    </w:p>
    <w:tbl>
      <w:tblPr>
        <w:tblStyle w:val="13"/>
        <w:tblW w:w="8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83"/>
        <w:gridCol w:w="1380"/>
        <w:gridCol w:w="1007"/>
        <w:gridCol w:w="3956"/>
      </w:tblGrid>
      <w:tr w14:paraId="3282E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3363" w:type="dxa"/>
            <w:gridSpan w:val="2"/>
            <w:vAlign w:val="center"/>
          </w:tcPr>
          <w:p w14:paraId="2C49C462">
            <w:pPr>
              <w:jc w:val="center"/>
              <w:rPr>
                <w:rFonts w:hint="default" w:ascii="Times New Roman" w:hAnsi="Times New Roman" w:cs="Times New Roman"/>
                <w:sz w:val="21"/>
              </w:rPr>
            </w:pPr>
            <w:r>
              <w:rPr>
                <w:rFonts w:hint="default" w:ascii="Times New Roman" w:hAnsi="Times New Roman" w:cs="Times New Roman"/>
                <w:sz w:val="21"/>
              </w:rPr>
              <w:t>项目</w:t>
            </w:r>
          </w:p>
        </w:tc>
        <w:tc>
          <w:tcPr>
            <w:tcW w:w="1007" w:type="dxa"/>
            <w:vAlign w:val="center"/>
          </w:tcPr>
          <w:p w14:paraId="5669040F">
            <w:pPr>
              <w:jc w:val="center"/>
              <w:rPr>
                <w:rFonts w:hint="default" w:ascii="Times New Roman" w:hAnsi="Times New Roman" w:cs="Times New Roman"/>
                <w:sz w:val="21"/>
              </w:rPr>
            </w:pPr>
            <w:r>
              <w:rPr>
                <w:rFonts w:hint="default" w:ascii="Times New Roman" w:hAnsi="Times New Roman" w:cs="Times New Roman"/>
                <w:sz w:val="21"/>
              </w:rPr>
              <w:t>技术要求</w:t>
            </w:r>
          </w:p>
        </w:tc>
        <w:tc>
          <w:tcPr>
            <w:tcW w:w="0" w:type="auto"/>
            <w:vAlign w:val="center"/>
          </w:tcPr>
          <w:p w14:paraId="1B5A2B7B">
            <w:pPr>
              <w:jc w:val="center"/>
              <w:rPr>
                <w:rFonts w:hint="default" w:ascii="Times New Roman" w:hAnsi="Times New Roman" w:cs="Times New Roman"/>
                <w:sz w:val="21"/>
              </w:rPr>
            </w:pPr>
            <w:r>
              <w:rPr>
                <w:rFonts w:hint="default" w:ascii="Times New Roman" w:hAnsi="Times New Roman" w:cs="Times New Roman"/>
                <w:sz w:val="21"/>
              </w:rPr>
              <w:t>测试方法</w:t>
            </w:r>
          </w:p>
        </w:tc>
      </w:tr>
      <w:tr w14:paraId="5D22E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restart"/>
            <w:vAlign w:val="center"/>
          </w:tcPr>
          <w:p w14:paraId="0ACA59E2">
            <w:pPr>
              <w:jc w:val="center"/>
              <w:rPr>
                <w:rFonts w:hint="default" w:ascii="Times New Roman" w:hAnsi="Times New Roman" w:cs="Times New Roman"/>
                <w:sz w:val="21"/>
              </w:rPr>
            </w:pPr>
            <w:r>
              <w:rPr>
                <w:rFonts w:hint="default" w:ascii="Times New Roman" w:hAnsi="Times New Roman" w:cs="Times New Roman"/>
                <w:sz w:val="21"/>
              </w:rPr>
              <w:t>凝结时间</w:t>
            </w:r>
          </w:p>
        </w:tc>
        <w:tc>
          <w:tcPr>
            <w:tcW w:w="1380" w:type="dxa"/>
            <w:vAlign w:val="center"/>
          </w:tcPr>
          <w:p w14:paraId="728CF82A">
            <w:pPr>
              <w:jc w:val="center"/>
              <w:rPr>
                <w:rFonts w:hint="default" w:ascii="Times New Roman" w:hAnsi="Times New Roman" w:cs="Times New Roman"/>
                <w:sz w:val="21"/>
              </w:rPr>
            </w:pPr>
            <w:r>
              <w:rPr>
                <w:rFonts w:hint="default" w:ascii="Times New Roman" w:hAnsi="Times New Roman" w:cs="Times New Roman"/>
                <w:sz w:val="21"/>
              </w:rPr>
              <w:t>初凝（min）</w:t>
            </w:r>
          </w:p>
        </w:tc>
        <w:tc>
          <w:tcPr>
            <w:tcW w:w="1007" w:type="dxa"/>
            <w:vAlign w:val="center"/>
          </w:tcPr>
          <w:p w14:paraId="4EDFE824">
            <w:pPr>
              <w:jc w:val="center"/>
              <w:rPr>
                <w:rFonts w:hint="default" w:ascii="Times New Roman" w:hAnsi="Times New Roman" w:cs="Times New Roman"/>
                <w:sz w:val="21"/>
              </w:rPr>
            </w:pPr>
            <w:r>
              <w:rPr>
                <w:rFonts w:hint="default" w:ascii="Times New Roman" w:hAnsi="Times New Roman" w:cs="Times New Roman"/>
                <w:sz w:val="21"/>
              </w:rPr>
              <w:t>≥45</w:t>
            </w:r>
          </w:p>
        </w:tc>
        <w:tc>
          <w:tcPr>
            <w:tcW w:w="0" w:type="auto"/>
            <w:vMerge w:val="restart"/>
            <w:vAlign w:val="center"/>
          </w:tcPr>
          <w:p w14:paraId="47B89F95">
            <w:pPr>
              <w:jc w:val="center"/>
              <w:rPr>
                <w:rFonts w:hint="default" w:ascii="Times New Roman" w:hAnsi="Times New Roman" w:cs="Times New Roman"/>
                <w:sz w:val="21"/>
              </w:rPr>
            </w:pPr>
            <w:r>
              <w:rPr>
                <w:rFonts w:hint="default" w:ascii="Times New Roman" w:hAnsi="Times New Roman" w:cs="Times New Roman"/>
                <w:sz w:val="21"/>
              </w:rPr>
              <w:t>《建筑砂浆基本性能试验方法标准》JGJ/T 70</w:t>
            </w:r>
          </w:p>
        </w:tc>
      </w:tr>
      <w:tr w14:paraId="29EA7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continue"/>
            <w:vAlign w:val="center"/>
          </w:tcPr>
          <w:p w14:paraId="532756A5">
            <w:pPr>
              <w:jc w:val="center"/>
              <w:rPr>
                <w:rFonts w:hint="default" w:ascii="Times New Roman" w:hAnsi="Times New Roman" w:cs="Times New Roman"/>
                <w:sz w:val="21"/>
              </w:rPr>
            </w:pPr>
          </w:p>
        </w:tc>
        <w:tc>
          <w:tcPr>
            <w:tcW w:w="1380" w:type="dxa"/>
            <w:vAlign w:val="center"/>
          </w:tcPr>
          <w:p w14:paraId="2D952A29">
            <w:pPr>
              <w:jc w:val="center"/>
              <w:rPr>
                <w:rFonts w:hint="default" w:ascii="Times New Roman" w:hAnsi="Times New Roman" w:cs="Times New Roman"/>
                <w:sz w:val="21"/>
              </w:rPr>
            </w:pPr>
            <w:r>
              <w:rPr>
                <w:rFonts w:hint="default" w:ascii="Times New Roman" w:hAnsi="Times New Roman" w:cs="Times New Roman"/>
                <w:sz w:val="21"/>
              </w:rPr>
              <w:t>终凝（h）</w:t>
            </w:r>
          </w:p>
        </w:tc>
        <w:tc>
          <w:tcPr>
            <w:tcW w:w="1007" w:type="dxa"/>
            <w:vAlign w:val="center"/>
          </w:tcPr>
          <w:p w14:paraId="7A331145">
            <w:pPr>
              <w:jc w:val="center"/>
              <w:rPr>
                <w:rFonts w:hint="default" w:ascii="Times New Roman" w:hAnsi="Times New Roman" w:cs="Times New Roman"/>
                <w:sz w:val="21"/>
              </w:rPr>
            </w:pPr>
            <w:r>
              <w:rPr>
                <w:rFonts w:hint="default" w:ascii="Times New Roman" w:hAnsi="Times New Roman" w:cs="Times New Roman"/>
                <w:sz w:val="21"/>
              </w:rPr>
              <w:t>≤12</w:t>
            </w:r>
          </w:p>
        </w:tc>
        <w:tc>
          <w:tcPr>
            <w:tcW w:w="0" w:type="auto"/>
            <w:vMerge w:val="continue"/>
            <w:vAlign w:val="center"/>
          </w:tcPr>
          <w:p w14:paraId="31D09964">
            <w:pPr>
              <w:jc w:val="center"/>
              <w:rPr>
                <w:rFonts w:hint="default" w:ascii="Times New Roman" w:hAnsi="Times New Roman" w:cs="Times New Roman"/>
                <w:sz w:val="21"/>
              </w:rPr>
            </w:pPr>
          </w:p>
        </w:tc>
      </w:tr>
      <w:tr w14:paraId="74988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restart"/>
            <w:vAlign w:val="center"/>
          </w:tcPr>
          <w:p w14:paraId="3158C7A1">
            <w:pPr>
              <w:jc w:val="center"/>
              <w:rPr>
                <w:rFonts w:hint="default" w:ascii="Times New Roman" w:hAnsi="Times New Roman" w:cs="Times New Roman"/>
                <w:sz w:val="21"/>
              </w:rPr>
            </w:pPr>
            <w:r>
              <w:rPr>
                <w:rFonts w:hint="default" w:ascii="Times New Roman" w:hAnsi="Times New Roman" w:cs="Times New Roman"/>
                <w:sz w:val="21"/>
              </w:rPr>
              <w:t>抗压强度（MPa）</w:t>
            </w:r>
          </w:p>
        </w:tc>
        <w:tc>
          <w:tcPr>
            <w:tcW w:w="1380" w:type="dxa"/>
            <w:vAlign w:val="center"/>
          </w:tcPr>
          <w:p w14:paraId="46BFB70A">
            <w:pPr>
              <w:jc w:val="center"/>
              <w:rPr>
                <w:rFonts w:hint="default" w:ascii="Times New Roman" w:hAnsi="Times New Roman" w:cs="Times New Roman"/>
                <w:sz w:val="21"/>
              </w:rPr>
            </w:pPr>
            <w:r>
              <w:rPr>
                <w:rFonts w:hint="default" w:ascii="Times New Roman" w:hAnsi="Times New Roman" w:cs="Times New Roman"/>
                <w:sz w:val="21"/>
              </w:rPr>
              <w:t>7d</w:t>
            </w:r>
          </w:p>
        </w:tc>
        <w:tc>
          <w:tcPr>
            <w:tcW w:w="1007" w:type="dxa"/>
            <w:vAlign w:val="center"/>
          </w:tcPr>
          <w:p w14:paraId="17DAE643">
            <w:pPr>
              <w:jc w:val="center"/>
              <w:rPr>
                <w:rFonts w:hint="default" w:ascii="Times New Roman" w:hAnsi="Times New Roman" w:cs="Times New Roman"/>
                <w:sz w:val="21"/>
              </w:rPr>
            </w:pPr>
            <w:r>
              <w:rPr>
                <w:rFonts w:hint="default" w:ascii="Times New Roman" w:hAnsi="Times New Roman" w:cs="Times New Roman"/>
                <w:sz w:val="21"/>
              </w:rPr>
              <w:t>≥18.0</w:t>
            </w:r>
          </w:p>
        </w:tc>
        <w:tc>
          <w:tcPr>
            <w:tcW w:w="0" w:type="auto"/>
            <w:vMerge w:val="restart"/>
            <w:vAlign w:val="center"/>
          </w:tcPr>
          <w:p w14:paraId="64475A6B">
            <w:pPr>
              <w:jc w:val="center"/>
              <w:rPr>
                <w:rFonts w:hint="default" w:ascii="Times New Roman" w:hAnsi="Times New Roman" w:cs="Times New Roman"/>
                <w:sz w:val="21"/>
              </w:rPr>
            </w:pPr>
            <w:r>
              <w:rPr>
                <w:rFonts w:hint="default" w:ascii="Times New Roman" w:hAnsi="Times New Roman" w:cs="Times New Roman"/>
                <w:sz w:val="21"/>
              </w:rPr>
              <w:t>《水泥砂胶强度检验方法（ISO）法》GB/T 17671</w:t>
            </w:r>
          </w:p>
        </w:tc>
      </w:tr>
      <w:tr w14:paraId="7C2CA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continue"/>
            <w:vAlign w:val="center"/>
          </w:tcPr>
          <w:p w14:paraId="14BE30FC">
            <w:pPr>
              <w:jc w:val="center"/>
              <w:rPr>
                <w:rFonts w:hint="default" w:ascii="Times New Roman" w:hAnsi="Times New Roman" w:cs="Times New Roman"/>
                <w:sz w:val="21"/>
              </w:rPr>
            </w:pPr>
          </w:p>
        </w:tc>
        <w:tc>
          <w:tcPr>
            <w:tcW w:w="1380" w:type="dxa"/>
            <w:vAlign w:val="center"/>
          </w:tcPr>
          <w:p w14:paraId="7585350B">
            <w:pPr>
              <w:jc w:val="center"/>
              <w:rPr>
                <w:rFonts w:hint="default" w:ascii="Times New Roman" w:hAnsi="Times New Roman" w:cs="Times New Roman"/>
                <w:sz w:val="21"/>
              </w:rPr>
            </w:pPr>
            <w:r>
              <w:rPr>
                <w:rFonts w:hint="default" w:ascii="Times New Roman" w:hAnsi="Times New Roman" w:cs="Times New Roman"/>
                <w:sz w:val="21"/>
              </w:rPr>
              <w:t>28d</w:t>
            </w:r>
          </w:p>
        </w:tc>
        <w:tc>
          <w:tcPr>
            <w:tcW w:w="1007" w:type="dxa"/>
            <w:vAlign w:val="center"/>
          </w:tcPr>
          <w:p w14:paraId="0CCB367F">
            <w:pPr>
              <w:jc w:val="center"/>
              <w:rPr>
                <w:rFonts w:hint="default" w:ascii="Times New Roman" w:hAnsi="Times New Roman" w:cs="Times New Roman"/>
                <w:sz w:val="21"/>
              </w:rPr>
            </w:pPr>
            <w:r>
              <w:rPr>
                <w:rFonts w:hint="default" w:ascii="Times New Roman" w:hAnsi="Times New Roman" w:cs="Times New Roman"/>
                <w:sz w:val="21"/>
              </w:rPr>
              <w:t>≥35.0</w:t>
            </w:r>
          </w:p>
        </w:tc>
        <w:tc>
          <w:tcPr>
            <w:tcW w:w="0" w:type="auto"/>
            <w:vMerge w:val="continue"/>
            <w:vAlign w:val="center"/>
          </w:tcPr>
          <w:p w14:paraId="56639213">
            <w:pPr>
              <w:jc w:val="center"/>
              <w:rPr>
                <w:rFonts w:hint="default" w:ascii="Times New Roman" w:hAnsi="Times New Roman" w:cs="Times New Roman"/>
                <w:sz w:val="21"/>
              </w:rPr>
            </w:pPr>
          </w:p>
        </w:tc>
      </w:tr>
      <w:tr w14:paraId="24F1D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restart"/>
            <w:vAlign w:val="center"/>
          </w:tcPr>
          <w:p w14:paraId="3E8729E3">
            <w:pPr>
              <w:jc w:val="center"/>
              <w:rPr>
                <w:rFonts w:hint="default" w:ascii="Times New Roman" w:hAnsi="Times New Roman" w:cs="Times New Roman"/>
                <w:sz w:val="21"/>
              </w:rPr>
            </w:pPr>
            <w:r>
              <w:rPr>
                <w:rFonts w:hint="default" w:ascii="Times New Roman" w:hAnsi="Times New Roman" w:cs="Times New Roman"/>
                <w:sz w:val="21"/>
              </w:rPr>
              <w:t>抗折强度（MPa）</w:t>
            </w:r>
          </w:p>
        </w:tc>
        <w:tc>
          <w:tcPr>
            <w:tcW w:w="1380" w:type="dxa"/>
            <w:vAlign w:val="center"/>
          </w:tcPr>
          <w:p w14:paraId="5781976E">
            <w:pPr>
              <w:jc w:val="center"/>
              <w:rPr>
                <w:rFonts w:hint="default" w:ascii="Times New Roman" w:hAnsi="Times New Roman" w:cs="Times New Roman"/>
                <w:sz w:val="21"/>
              </w:rPr>
            </w:pPr>
            <w:r>
              <w:rPr>
                <w:rFonts w:hint="default" w:ascii="Times New Roman" w:hAnsi="Times New Roman" w:cs="Times New Roman"/>
                <w:sz w:val="21"/>
              </w:rPr>
              <w:t>7d</w:t>
            </w:r>
          </w:p>
        </w:tc>
        <w:tc>
          <w:tcPr>
            <w:tcW w:w="1007" w:type="dxa"/>
            <w:vAlign w:val="center"/>
          </w:tcPr>
          <w:p w14:paraId="51D8E1A3">
            <w:pPr>
              <w:jc w:val="center"/>
              <w:rPr>
                <w:rFonts w:hint="default" w:ascii="Times New Roman" w:hAnsi="Times New Roman" w:cs="Times New Roman"/>
                <w:sz w:val="21"/>
              </w:rPr>
            </w:pPr>
            <w:r>
              <w:rPr>
                <w:rFonts w:hint="default" w:ascii="Times New Roman" w:hAnsi="Times New Roman" w:cs="Times New Roman"/>
                <w:sz w:val="21"/>
              </w:rPr>
              <w:t>≥6.0</w:t>
            </w:r>
          </w:p>
        </w:tc>
        <w:tc>
          <w:tcPr>
            <w:tcW w:w="0" w:type="auto"/>
            <w:vMerge w:val="continue"/>
            <w:vAlign w:val="center"/>
          </w:tcPr>
          <w:p w14:paraId="7DEDD288">
            <w:pPr>
              <w:jc w:val="center"/>
              <w:rPr>
                <w:rFonts w:hint="default" w:ascii="Times New Roman" w:hAnsi="Times New Roman" w:cs="Times New Roman"/>
                <w:sz w:val="21"/>
              </w:rPr>
            </w:pPr>
          </w:p>
        </w:tc>
      </w:tr>
      <w:tr w14:paraId="1FFAA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Merge w:val="continue"/>
            <w:vAlign w:val="center"/>
          </w:tcPr>
          <w:p w14:paraId="22D3F54E">
            <w:pPr>
              <w:jc w:val="center"/>
              <w:rPr>
                <w:rFonts w:hint="default" w:ascii="Times New Roman" w:hAnsi="Times New Roman" w:cs="Times New Roman"/>
                <w:sz w:val="21"/>
              </w:rPr>
            </w:pPr>
          </w:p>
        </w:tc>
        <w:tc>
          <w:tcPr>
            <w:tcW w:w="1380" w:type="dxa"/>
            <w:vAlign w:val="center"/>
          </w:tcPr>
          <w:p w14:paraId="39800889">
            <w:pPr>
              <w:jc w:val="center"/>
              <w:rPr>
                <w:rFonts w:hint="default" w:ascii="Times New Roman" w:hAnsi="Times New Roman" w:cs="Times New Roman"/>
                <w:sz w:val="21"/>
              </w:rPr>
            </w:pPr>
            <w:r>
              <w:rPr>
                <w:rFonts w:hint="default" w:ascii="Times New Roman" w:hAnsi="Times New Roman" w:cs="Times New Roman"/>
                <w:sz w:val="21"/>
              </w:rPr>
              <w:t>28d</w:t>
            </w:r>
          </w:p>
        </w:tc>
        <w:tc>
          <w:tcPr>
            <w:tcW w:w="1007" w:type="dxa"/>
            <w:vAlign w:val="center"/>
          </w:tcPr>
          <w:p w14:paraId="2DC3C627">
            <w:pPr>
              <w:jc w:val="center"/>
              <w:rPr>
                <w:rFonts w:hint="default" w:ascii="Times New Roman" w:hAnsi="Times New Roman" w:cs="Times New Roman"/>
                <w:sz w:val="21"/>
              </w:rPr>
            </w:pPr>
            <w:r>
              <w:rPr>
                <w:rFonts w:hint="default" w:ascii="Times New Roman" w:hAnsi="Times New Roman" w:cs="Times New Roman"/>
                <w:sz w:val="21"/>
              </w:rPr>
              <w:t>≥10.0</w:t>
            </w:r>
          </w:p>
        </w:tc>
        <w:tc>
          <w:tcPr>
            <w:tcW w:w="0" w:type="auto"/>
            <w:vMerge w:val="continue"/>
            <w:vAlign w:val="center"/>
          </w:tcPr>
          <w:p w14:paraId="5536A52A">
            <w:pPr>
              <w:jc w:val="center"/>
              <w:rPr>
                <w:rFonts w:hint="default" w:ascii="Times New Roman" w:hAnsi="Times New Roman" w:cs="Times New Roman"/>
                <w:sz w:val="21"/>
              </w:rPr>
            </w:pPr>
          </w:p>
        </w:tc>
      </w:tr>
      <w:tr w14:paraId="593BB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Align w:val="center"/>
          </w:tcPr>
          <w:p w14:paraId="1576B641">
            <w:pPr>
              <w:jc w:val="center"/>
              <w:rPr>
                <w:rFonts w:hint="default" w:ascii="Times New Roman" w:hAnsi="Times New Roman" w:cs="Times New Roman"/>
                <w:sz w:val="21"/>
              </w:rPr>
            </w:pPr>
            <w:r>
              <w:rPr>
                <w:rFonts w:hint="default" w:ascii="Times New Roman" w:hAnsi="Times New Roman" w:cs="Times New Roman"/>
                <w:sz w:val="21"/>
              </w:rPr>
              <w:t>浸水拉伸粘结强度（MPa）</w:t>
            </w:r>
          </w:p>
        </w:tc>
        <w:tc>
          <w:tcPr>
            <w:tcW w:w="1380" w:type="dxa"/>
            <w:vAlign w:val="center"/>
          </w:tcPr>
          <w:p w14:paraId="3BF236F5">
            <w:pPr>
              <w:jc w:val="center"/>
              <w:rPr>
                <w:rFonts w:hint="default" w:ascii="Times New Roman" w:hAnsi="Times New Roman" w:cs="Times New Roman"/>
                <w:sz w:val="21"/>
              </w:rPr>
            </w:pPr>
            <w:r>
              <w:rPr>
                <w:rFonts w:hint="default" w:ascii="Times New Roman" w:hAnsi="Times New Roman" w:cs="Times New Roman"/>
                <w:sz w:val="21"/>
              </w:rPr>
              <w:t>7d</w:t>
            </w:r>
          </w:p>
        </w:tc>
        <w:tc>
          <w:tcPr>
            <w:tcW w:w="1007" w:type="dxa"/>
            <w:vAlign w:val="center"/>
          </w:tcPr>
          <w:p w14:paraId="56BB364C">
            <w:pPr>
              <w:jc w:val="center"/>
              <w:rPr>
                <w:rFonts w:hint="default" w:ascii="Times New Roman" w:hAnsi="Times New Roman" w:cs="Times New Roman"/>
                <w:sz w:val="21"/>
              </w:rPr>
            </w:pPr>
            <w:r>
              <w:rPr>
                <w:rFonts w:hint="default" w:ascii="Times New Roman" w:hAnsi="Times New Roman" w:cs="Times New Roman"/>
                <w:sz w:val="21"/>
              </w:rPr>
              <w:t>≥1.0</w:t>
            </w:r>
          </w:p>
        </w:tc>
        <w:tc>
          <w:tcPr>
            <w:tcW w:w="0" w:type="auto"/>
            <w:vMerge w:val="restart"/>
            <w:vAlign w:val="center"/>
          </w:tcPr>
          <w:p w14:paraId="0EDE3D9B">
            <w:pPr>
              <w:jc w:val="center"/>
              <w:rPr>
                <w:rFonts w:hint="default" w:ascii="Times New Roman" w:hAnsi="Times New Roman" w:cs="Times New Roman"/>
                <w:sz w:val="21"/>
              </w:rPr>
            </w:pPr>
            <w:r>
              <w:rPr>
                <w:rFonts w:hint="default" w:ascii="Times New Roman" w:hAnsi="Times New Roman" w:cs="Times New Roman"/>
                <w:sz w:val="21"/>
              </w:rPr>
              <w:t>《建筑砂浆基本性能试验方法》JGJ/T 70</w:t>
            </w:r>
          </w:p>
        </w:tc>
      </w:tr>
      <w:tr w14:paraId="527CF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983" w:type="dxa"/>
            <w:vAlign w:val="center"/>
          </w:tcPr>
          <w:p w14:paraId="2C881435">
            <w:pPr>
              <w:jc w:val="center"/>
              <w:rPr>
                <w:rFonts w:hint="default" w:ascii="Times New Roman" w:hAnsi="Times New Roman" w:cs="Times New Roman"/>
                <w:sz w:val="21"/>
              </w:rPr>
            </w:pPr>
            <w:r>
              <w:rPr>
                <w:rFonts w:hint="default" w:ascii="Times New Roman" w:hAnsi="Times New Roman" w:cs="Times New Roman"/>
                <w:sz w:val="21"/>
              </w:rPr>
              <w:t>收缩率（%）</w:t>
            </w:r>
          </w:p>
        </w:tc>
        <w:tc>
          <w:tcPr>
            <w:tcW w:w="1380" w:type="dxa"/>
            <w:vAlign w:val="center"/>
          </w:tcPr>
          <w:p w14:paraId="30B47192">
            <w:pPr>
              <w:jc w:val="center"/>
              <w:rPr>
                <w:rFonts w:hint="default" w:ascii="Times New Roman" w:hAnsi="Times New Roman" w:cs="Times New Roman"/>
                <w:sz w:val="21"/>
              </w:rPr>
            </w:pPr>
            <w:r>
              <w:rPr>
                <w:rFonts w:hint="default" w:ascii="Times New Roman" w:hAnsi="Times New Roman" w:cs="Times New Roman"/>
                <w:sz w:val="21"/>
              </w:rPr>
              <w:t>28d</w:t>
            </w:r>
          </w:p>
        </w:tc>
        <w:tc>
          <w:tcPr>
            <w:tcW w:w="1007" w:type="dxa"/>
            <w:vAlign w:val="center"/>
          </w:tcPr>
          <w:p w14:paraId="1763AA46">
            <w:pPr>
              <w:jc w:val="center"/>
              <w:rPr>
                <w:rFonts w:hint="default" w:ascii="Times New Roman" w:hAnsi="Times New Roman" w:cs="Times New Roman"/>
                <w:sz w:val="21"/>
              </w:rPr>
            </w:pPr>
            <w:r>
              <w:rPr>
                <w:rFonts w:hint="default" w:ascii="Times New Roman" w:hAnsi="Times New Roman" w:cs="Times New Roman"/>
                <w:sz w:val="21"/>
              </w:rPr>
              <w:t>≤0.10</w:t>
            </w:r>
          </w:p>
        </w:tc>
        <w:tc>
          <w:tcPr>
            <w:tcW w:w="0" w:type="auto"/>
            <w:vMerge w:val="continue"/>
            <w:vAlign w:val="center"/>
          </w:tcPr>
          <w:p w14:paraId="1B08E751">
            <w:pPr>
              <w:jc w:val="center"/>
              <w:rPr>
                <w:rFonts w:hint="default" w:ascii="Times New Roman" w:hAnsi="Times New Roman" w:cs="Times New Roman"/>
                <w:sz w:val="21"/>
              </w:rPr>
            </w:pPr>
          </w:p>
        </w:tc>
      </w:tr>
    </w:tbl>
    <w:p w14:paraId="04185C0B">
      <w:pPr>
        <w:pStyle w:val="3"/>
        <w:bidi w:val="0"/>
        <w:rPr>
          <w:rFonts w:hint="default" w:ascii="Times New Roman" w:hAnsi="Times New Roman" w:cs="Times New Roman"/>
          <w:lang w:val="en-US" w:eastAsia="zh-CN"/>
        </w:rPr>
      </w:pPr>
      <w:bookmarkStart w:id="208" w:name="_Toc14279"/>
      <w:r>
        <w:rPr>
          <w:rFonts w:hint="default" w:ascii="Times New Roman" w:hAnsi="Times New Roman" w:cs="Times New Roman"/>
          <w:lang w:val="en-US" w:eastAsia="zh-CN"/>
        </w:rPr>
        <w:t>4.7垫衬法</w:t>
      </w:r>
      <w:bookmarkEnd w:id="208"/>
    </w:p>
    <w:p w14:paraId="14D823B9">
      <w:pPr>
        <w:rPr>
          <w:rFonts w:hint="default" w:ascii="Times New Roman" w:hAnsi="Times New Roman" w:cs="Times New Roman"/>
        </w:rPr>
      </w:pPr>
      <w:r>
        <w:rPr>
          <w:rFonts w:hint="default" w:ascii="Times New Roman" w:hAnsi="Times New Roman" w:cs="Times New Roman"/>
        </w:rPr>
        <w:t>4.7.1  垫衬法所用的材料主要是塑料衬垫和灌浆料。</w:t>
      </w:r>
    </w:p>
    <w:p w14:paraId="16E7125A">
      <w:pPr>
        <w:rPr>
          <w:rFonts w:hint="default" w:ascii="Times New Roman" w:hAnsi="Times New Roman" w:cs="Times New Roman"/>
        </w:rPr>
      </w:pPr>
      <w:r>
        <w:rPr>
          <w:rFonts w:hint="default" w:ascii="Times New Roman" w:hAnsi="Times New Roman" w:eastAsia="楷体" w:cs="Times New Roman"/>
          <w:kern w:val="2"/>
          <w:szCs w:val="24"/>
          <w:u w:val="single"/>
        </w:rPr>
        <w:t>【条文说明】塑料衬垫，又称速格垫。结构结合了热塑性塑料的优点（柔韧性、延展性、耐腐蚀）和混凝土的特点（强度高、刚性好）。塑料衬垫能够为混凝土结构的长期保护提供一个高质量的解决方案，而且它满足耐酸结构的最高要求。能够防止混凝土的劣化从而延长其使用寿命。除此之外还能防止泄漏和渗透，直接保护环境。灌浆料主要由水泥、专用外加剂，并辅以多种矿物改性组分和高分子聚合物材料配合组成。具有低水胶比、高流动性、零泌水、微膨胀、耐久性好的特点，施工时，直接加水搅拌使用。。</w:t>
      </w:r>
    </w:p>
    <w:p w14:paraId="2C16AF5C">
      <w:pPr>
        <w:rPr>
          <w:rFonts w:hint="default" w:ascii="Times New Roman" w:hAnsi="Times New Roman" w:cs="Times New Roman"/>
        </w:rPr>
      </w:pPr>
      <w:r>
        <w:rPr>
          <w:rFonts w:hint="default" w:ascii="Times New Roman" w:hAnsi="Times New Roman" w:cs="Times New Roman"/>
        </w:rPr>
        <w:t>4.7.2  适用于排水管道修复的塑料衬垫的材质有聚乙烯（PE）、聚丙烯（PP）、聚偏氟乙烯（PVDE）及乙烯三氟氯乙烯共聚物（ECTFE）等。</w:t>
      </w:r>
    </w:p>
    <w:p w14:paraId="7F5F11D7">
      <w:pPr>
        <w:rPr>
          <w:rFonts w:hint="default" w:ascii="Times New Roman" w:hAnsi="Times New Roman" w:cs="Times New Roman"/>
        </w:rPr>
      </w:pPr>
      <w:r>
        <w:rPr>
          <w:rFonts w:hint="default" w:ascii="Times New Roman" w:hAnsi="Times New Roman" w:cs="Times New Roman"/>
        </w:rPr>
        <w:t>4.7.3  生产塑料衬垫内层的原材料不得使用回收料。</w:t>
      </w:r>
    </w:p>
    <w:p w14:paraId="2B62B2CF">
      <w:pPr>
        <w:rPr>
          <w:rFonts w:hint="default" w:ascii="Times New Roman" w:hAnsi="Times New Roman" w:cs="Times New Roman"/>
        </w:rPr>
      </w:pPr>
      <w:r>
        <w:rPr>
          <w:rFonts w:hint="default" w:ascii="Times New Roman" w:hAnsi="Times New Roman" w:cs="Times New Roman"/>
        </w:rPr>
        <w:t>4.7.4  塑料衬垫的产品分类及性能应符合表4.7.4的规定：</w:t>
      </w:r>
    </w:p>
    <w:p w14:paraId="26335822">
      <w:pPr>
        <w:tabs>
          <w:tab w:val="left" w:pos="0"/>
          <w:tab w:val="left" w:pos="2598"/>
        </w:tabs>
        <w:kinsoku w:val="0"/>
        <w:overflowPunct w:val="0"/>
        <w:autoSpaceDE w:val="0"/>
        <w:autoSpaceDN w:val="0"/>
        <w:adjustRightInd w:val="0"/>
        <w:jc w:val="center"/>
        <w:rPr>
          <w:rFonts w:hint="default" w:ascii="Times New Roman" w:hAnsi="Times New Roman" w:cs="Times New Roman"/>
          <w:b/>
          <w:bCs/>
          <w:szCs w:val="24"/>
        </w:rPr>
      </w:pPr>
      <w:r>
        <w:rPr>
          <w:rFonts w:hint="default" w:ascii="Times New Roman" w:hAnsi="Times New Roman" w:cs="Times New Roman"/>
          <w:b/>
          <w:bCs/>
          <w:szCs w:val="24"/>
        </w:rPr>
        <w:t>表4.7.4  塑料衬垫的产品分类及性能</w:t>
      </w:r>
    </w:p>
    <w:tbl>
      <w:tblPr>
        <w:tblStyle w:val="33"/>
        <w:tblW w:w="83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9"/>
        <w:gridCol w:w="498"/>
        <w:gridCol w:w="773"/>
        <w:gridCol w:w="885"/>
        <w:gridCol w:w="855"/>
        <w:gridCol w:w="855"/>
        <w:gridCol w:w="3471"/>
      </w:tblGrid>
      <w:tr w14:paraId="6D48B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0" w:type="auto"/>
            <w:vMerge w:val="restart"/>
            <w:tcBorders>
              <w:top w:val="single" w:color="auto" w:sz="8" w:space="0"/>
              <w:left w:val="single" w:color="auto" w:sz="8" w:space="0"/>
            </w:tcBorders>
            <w:vAlign w:val="center"/>
          </w:tcPr>
          <w:p w14:paraId="3E23D8C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检验项目</w:t>
            </w:r>
          </w:p>
        </w:tc>
        <w:tc>
          <w:tcPr>
            <w:tcW w:w="0" w:type="auto"/>
            <w:vMerge w:val="restart"/>
            <w:tcBorders>
              <w:top w:val="single" w:color="auto" w:sz="8" w:space="0"/>
            </w:tcBorders>
            <w:vAlign w:val="center"/>
          </w:tcPr>
          <w:p w14:paraId="516B15EA">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单位</w:t>
            </w:r>
          </w:p>
        </w:tc>
        <w:tc>
          <w:tcPr>
            <w:tcW w:w="3362" w:type="dxa"/>
            <w:gridSpan w:val="4"/>
            <w:tcBorders>
              <w:top w:val="single" w:color="auto" w:sz="8" w:space="0"/>
            </w:tcBorders>
            <w:vAlign w:val="center"/>
          </w:tcPr>
          <w:p w14:paraId="4C157FA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性能要求</w:t>
            </w:r>
          </w:p>
        </w:tc>
        <w:tc>
          <w:tcPr>
            <w:tcW w:w="3471" w:type="dxa"/>
            <w:vMerge w:val="restart"/>
            <w:tcBorders>
              <w:top w:val="single" w:color="auto" w:sz="8" w:space="0"/>
              <w:right w:val="single" w:color="auto" w:sz="8" w:space="0"/>
            </w:tcBorders>
            <w:vAlign w:val="center"/>
          </w:tcPr>
          <w:p w14:paraId="5C0CCEE5">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检验方法</w:t>
            </w:r>
          </w:p>
        </w:tc>
      </w:tr>
      <w:tr w14:paraId="4CE0E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0" w:type="auto"/>
            <w:vMerge w:val="continue"/>
            <w:tcBorders>
              <w:top w:val="nil"/>
              <w:left w:val="single" w:color="auto" w:sz="8" w:space="0"/>
            </w:tcBorders>
            <w:vAlign w:val="center"/>
          </w:tcPr>
          <w:p w14:paraId="7D39A6A7">
            <w:pPr>
              <w:autoSpaceDE w:val="0"/>
              <w:autoSpaceDN w:val="0"/>
              <w:jc w:val="center"/>
              <w:rPr>
                <w:rFonts w:hint="default" w:ascii="Times New Roman" w:hAnsi="Times New Roman" w:cs="Times New Roman"/>
                <w:bCs/>
                <w:sz w:val="21"/>
                <w:lang w:eastAsia="en-US"/>
              </w:rPr>
            </w:pPr>
          </w:p>
        </w:tc>
        <w:tc>
          <w:tcPr>
            <w:tcW w:w="0" w:type="auto"/>
            <w:vMerge w:val="continue"/>
            <w:tcBorders>
              <w:top w:val="nil"/>
            </w:tcBorders>
            <w:vAlign w:val="center"/>
          </w:tcPr>
          <w:p w14:paraId="3D390F73">
            <w:pPr>
              <w:autoSpaceDE w:val="0"/>
              <w:autoSpaceDN w:val="0"/>
              <w:jc w:val="center"/>
              <w:rPr>
                <w:rFonts w:hint="default" w:ascii="Times New Roman" w:hAnsi="Times New Roman" w:cs="Times New Roman"/>
                <w:bCs/>
                <w:sz w:val="21"/>
                <w:lang w:eastAsia="en-US"/>
              </w:rPr>
            </w:pPr>
          </w:p>
        </w:tc>
        <w:tc>
          <w:tcPr>
            <w:tcW w:w="767" w:type="dxa"/>
            <w:vAlign w:val="center"/>
          </w:tcPr>
          <w:p w14:paraId="4C7818A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PE</w:t>
            </w:r>
          </w:p>
        </w:tc>
        <w:tc>
          <w:tcPr>
            <w:tcW w:w="885" w:type="dxa"/>
            <w:vAlign w:val="center"/>
          </w:tcPr>
          <w:p w14:paraId="3BEACE5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PP</w:t>
            </w:r>
          </w:p>
        </w:tc>
        <w:tc>
          <w:tcPr>
            <w:tcW w:w="855" w:type="dxa"/>
            <w:vAlign w:val="center"/>
          </w:tcPr>
          <w:p w14:paraId="6E014110">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PVDF</w:t>
            </w:r>
          </w:p>
        </w:tc>
        <w:tc>
          <w:tcPr>
            <w:tcW w:w="855" w:type="dxa"/>
            <w:vAlign w:val="center"/>
          </w:tcPr>
          <w:p w14:paraId="535EFB20">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ECTFE</w:t>
            </w:r>
          </w:p>
        </w:tc>
        <w:tc>
          <w:tcPr>
            <w:tcW w:w="3471" w:type="dxa"/>
            <w:vMerge w:val="continue"/>
            <w:tcBorders>
              <w:top w:val="nil"/>
              <w:right w:val="single" w:color="auto" w:sz="8" w:space="0"/>
            </w:tcBorders>
            <w:vAlign w:val="center"/>
          </w:tcPr>
          <w:p w14:paraId="1A27A35B">
            <w:pPr>
              <w:autoSpaceDE w:val="0"/>
              <w:autoSpaceDN w:val="0"/>
              <w:jc w:val="center"/>
              <w:rPr>
                <w:rFonts w:hint="default" w:ascii="Times New Roman" w:hAnsi="Times New Roman" w:cs="Times New Roman"/>
                <w:bCs/>
                <w:sz w:val="21"/>
                <w:lang w:eastAsia="en-US"/>
              </w:rPr>
            </w:pPr>
          </w:p>
        </w:tc>
      </w:tr>
      <w:tr w14:paraId="63530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0" w:type="auto"/>
            <w:tcBorders>
              <w:left w:val="single" w:color="auto" w:sz="8" w:space="0"/>
            </w:tcBorders>
            <w:vAlign w:val="center"/>
          </w:tcPr>
          <w:p w14:paraId="6C09027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比重23℃</w:t>
            </w:r>
          </w:p>
        </w:tc>
        <w:tc>
          <w:tcPr>
            <w:tcW w:w="0" w:type="auto"/>
            <w:vAlign w:val="center"/>
          </w:tcPr>
          <w:p w14:paraId="7BB4D88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g/cm</w:t>
            </w:r>
            <w:r>
              <w:rPr>
                <w:rFonts w:hint="default" w:ascii="Times New Roman" w:hAnsi="Times New Roman" w:cs="Times New Roman"/>
                <w:bCs/>
                <w:sz w:val="21"/>
                <w:vertAlign w:val="superscript"/>
                <w:lang w:eastAsia="en-US"/>
              </w:rPr>
              <w:t>3</w:t>
            </w:r>
          </w:p>
        </w:tc>
        <w:tc>
          <w:tcPr>
            <w:tcW w:w="767" w:type="dxa"/>
            <w:vAlign w:val="center"/>
          </w:tcPr>
          <w:p w14:paraId="3F0B6737">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0.95±5%</w:t>
            </w:r>
          </w:p>
        </w:tc>
        <w:tc>
          <w:tcPr>
            <w:tcW w:w="885" w:type="dxa"/>
            <w:vAlign w:val="center"/>
          </w:tcPr>
          <w:p w14:paraId="300D3BA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0.9±5%</w:t>
            </w:r>
          </w:p>
        </w:tc>
        <w:tc>
          <w:tcPr>
            <w:tcW w:w="855" w:type="dxa"/>
            <w:vAlign w:val="center"/>
          </w:tcPr>
          <w:p w14:paraId="0E5668A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1.7±5%</w:t>
            </w:r>
          </w:p>
        </w:tc>
        <w:tc>
          <w:tcPr>
            <w:tcW w:w="855" w:type="dxa"/>
            <w:vAlign w:val="center"/>
          </w:tcPr>
          <w:p w14:paraId="5731C80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1.6±5%</w:t>
            </w:r>
          </w:p>
        </w:tc>
        <w:tc>
          <w:tcPr>
            <w:tcW w:w="3471" w:type="dxa"/>
            <w:tcBorders>
              <w:right w:val="single" w:color="auto" w:sz="8" w:space="0"/>
            </w:tcBorders>
            <w:vAlign w:val="center"/>
          </w:tcPr>
          <w:p w14:paraId="4461EDED">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《塑料 非泡沫塑料密度测定第 1 部分：浸渍法、液体比重瓶法和滴定法》GB/T 1033.1</w:t>
            </w:r>
          </w:p>
        </w:tc>
      </w:tr>
      <w:tr w14:paraId="6B1C8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0" w:type="auto"/>
            <w:tcBorders>
              <w:left w:val="single" w:color="auto" w:sz="8" w:space="0"/>
            </w:tcBorders>
            <w:vAlign w:val="center"/>
          </w:tcPr>
          <w:p w14:paraId="1CF570F3">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屈服拉伸应力</w:t>
            </w:r>
          </w:p>
        </w:tc>
        <w:tc>
          <w:tcPr>
            <w:tcW w:w="0" w:type="auto"/>
            <w:vAlign w:val="center"/>
          </w:tcPr>
          <w:p w14:paraId="4851241B">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MPa</w:t>
            </w:r>
          </w:p>
        </w:tc>
        <w:tc>
          <w:tcPr>
            <w:tcW w:w="767" w:type="dxa"/>
            <w:vAlign w:val="center"/>
          </w:tcPr>
          <w:p w14:paraId="73F3C500">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≥20</w:t>
            </w:r>
          </w:p>
        </w:tc>
        <w:tc>
          <w:tcPr>
            <w:tcW w:w="885" w:type="dxa"/>
            <w:vAlign w:val="center"/>
          </w:tcPr>
          <w:p w14:paraId="6391D378">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≥25</w:t>
            </w:r>
          </w:p>
        </w:tc>
        <w:tc>
          <w:tcPr>
            <w:tcW w:w="855" w:type="dxa"/>
            <w:vAlign w:val="center"/>
          </w:tcPr>
          <w:p w14:paraId="3A04644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≥25</w:t>
            </w:r>
          </w:p>
        </w:tc>
        <w:tc>
          <w:tcPr>
            <w:tcW w:w="855" w:type="dxa"/>
            <w:vAlign w:val="center"/>
          </w:tcPr>
          <w:p w14:paraId="7F3BE5F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≥30</w:t>
            </w:r>
          </w:p>
        </w:tc>
        <w:tc>
          <w:tcPr>
            <w:tcW w:w="3471" w:type="dxa"/>
            <w:tcBorders>
              <w:right w:val="single" w:color="auto" w:sz="8" w:space="0"/>
            </w:tcBorders>
            <w:vAlign w:val="center"/>
          </w:tcPr>
          <w:p w14:paraId="30C79463">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《塑料 拉伸性能的测定第 3 部分：薄膜和薄片的试验条件》GB/T 1040.3</w:t>
            </w:r>
          </w:p>
        </w:tc>
      </w:tr>
      <w:tr w14:paraId="218FF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0" w:type="auto"/>
            <w:tcBorders>
              <w:left w:val="single" w:color="auto" w:sz="8" w:space="0"/>
            </w:tcBorders>
            <w:vAlign w:val="center"/>
          </w:tcPr>
          <w:p w14:paraId="245946E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屈服伸长率</w:t>
            </w:r>
          </w:p>
        </w:tc>
        <w:tc>
          <w:tcPr>
            <w:tcW w:w="0" w:type="auto"/>
            <w:vAlign w:val="center"/>
          </w:tcPr>
          <w:p w14:paraId="19362AFC">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w:t>
            </w:r>
          </w:p>
        </w:tc>
        <w:tc>
          <w:tcPr>
            <w:tcW w:w="767" w:type="dxa"/>
            <w:vAlign w:val="center"/>
          </w:tcPr>
          <w:p w14:paraId="610754EC">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≥10</w:t>
            </w:r>
          </w:p>
        </w:tc>
        <w:tc>
          <w:tcPr>
            <w:tcW w:w="885" w:type="dxa"/>
            <w:vAlign w:val="center"/>
          </w:tcPr>
          <w:p w14:paraId="2D3FF52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≥10</w:t>
            </w:r>
          </w:p>
        </w:tc>
        <w:tc>
          <w:tcPr>
            <w:tcW w:w="855" w:type="dxa"/>
            <w:vAlign w:val="center"/>
          </w:tcPr>
          <w:p w14:paraId="0448C03B">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≥9</w:t>
            </w:r>
          </w:p>
        </w:tc>
        <w:tc>
          <w:tcPr>
            <w:tcW w:w="855" w:type="dxa"/>
            <w:vAlign w:val="center"/>
          </w:tcPr>
          <w:p w14:paraId="6FC40CCB">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≥5</w:t>
            </w:r>
          </w:p>
        </w:tc>
        <w:tc>
          <w:tcPr>
            <w:tcW w:w="3471" w:type="dxa"/>
            <w:tcBorders>
              <w:right w:val="single" w:color="auto" w:sz="8" w:space="0"/>
            </w:tcBorders>
            <w:vAlign w:val="center"/>
          </w:tcPr>
          <w:p w14:paraId="129CD373">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《塑料 拉伸性能的测定第 3 部分：薄膜和薄片的试验条件》GB/T 1040.3</w:t>
            </w:r>
          </w:p>
        </w:tc>
      </w:tr>
      <w:tr w14:paraId="01D7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0" w:type="auto"/>
            <w:tcBorders>
              <w:left w:val="single" w:color="auto" w:sz="8" w:space="0"/>
            </w:tcBorders>
            <w:vAlign w:val="center"/>
          </w:tcPr>
          <w:p w14:paraId="5709803C">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断裂伸长率</w:t>
            </w:r>
          </w:p>
        </w:tc>
        <w:tc>
          <w:tcPr>
            <w:tcW w:w="0" w:type="auto"/>
            <w:vAlign w:val="center"/>
          </w:tcPr>
          <w:p w14:paraId="4B56CEA9">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w:t>
            </w:r>
          </w:p>
        </w:tc>
        <w:tc>
          <w:tcPr>
            <w:tcW w:w="767" w:type="dxa"/>
            <w:vAlign w:val="center"/>
          </w:tcPr>
          <w:p w14:paraId="44245D8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≥400</w:t>
            </w:r>
          </w:p>
        </w:tc>
        <w:tc>
          <w:tcPr>
            <w:tcW w:w="885" w:type="dxa"/>
            <w:vAlign w:val="center"/>
          </w:tcPr>
          <w:p w14:paraId="2FE23D0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≥300</w:t>
            </w:r>
          </w:p>
        </w:tc>
        <w:tc>
          <w:tcPr>
            <w:tcW w:w="855" w:type="dxa"/>
            <w:vAlign w:val="center"/>
          </w:tcPr>
          <w:p w14:paraId="7C04534C">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≥80</w:t>
            </w:r>
          </w:p>
        </w:tc>
        <w:tc>
          <w:tcPr>
            <w:tcW w:w="855" w:type="dxa"/>
            <w:vAlign w:val="center"/>
          </w:tcPr>
          <w:p w14:paraId="28485B5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≥250</w:t>
            </w:r>
          </w:p>
        </w:tc>
        <w:tc>
          <w:tcPr>
            <w:tcW w:w="3471" w:type="dxa"/>
            <w:tcBorders>
              <w:right w:val="single" w:color="auto" w:sz="8" w:space="0"/>
            </w:tcBorders>
            <w:vAlign w:val="center"/>
          </w:tcPr>
          <w:p w14:paraId="7CDA23F7">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《热塑性塑料管材 拉伸性能测定》GB/T 8804.1</w:t>
            </w:r>
          </w:p>
        </w:tc>
      </w:tr>
      <w:tr w14:paraId="3DB80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0" w:type="auto"/>
            <w:tcBorders>
              <w:left w:val="single" w:color="auto" w:sz="8" w:space="0"/>
            </w:tcBorders>
            <w:vAlign w:val="center"/>
          </w:tcPr>
          <w:p w14:paraId="64F132A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弹性模量</w:t>
            </w:r>
          </w:p>
        </w:tc>
        <w:tc>
          <w:tcPr>
            <w:tcW w:w="0" w:type="auto"/>
            <w:vAlign w:val="center"/>
          </w:tcPr>
          <w:p w14:paraId="01DACE8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MPa</w:t>
            </w:r>
          </w:p>
        </w:tc>
        <w:tc>
          <w:tcPr>
            <w:tcW w:w="767" w:type="dxa"/>
            <w:vAlign w:val="center"/>
          </w:tcPr>
          <w:p w14:paraId="0DCE3C09">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≥600</w:t>
            </w:r>
          </w:p>
        </w:tc>
        <w:tc>
          <w:tcPr>
            <w:tcW w:w="885" w:type="dxa"/>
            <w:vAlign w:val="center"/>
          </w:tcPr>
          <w:p w14:paraId="2196953F">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≥900</w:t>
            </w:r>
          </w:p>
        </w:tc>
        <w:tc>
          <w:tcPr>
            <w:tcW w:w="855" w:type="dxa"/>
            <w:vAlign w:val="center"/>
          </w:tcPr>
          <w:p w14:paraId="44F70EE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≥200</w:t>
            </w:r>
          </w:p>
        </w:tc>
        <w:tc>
          <w:tcPr>
            <w:tcW w:w="855" w:type="dxa"/>
            <w:vAlign w:val="center"/>
          </w:tcPr>
          <w:p w14:paraId="4F0E478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≥1600</w:t>
            </w:r>
          </w:p>
        </w:tc>
        <w:tc>
          <w:tcPr>
            <w:tcW w:w="3471" w:type="dxa"/>
            <w:tcBorders>
              <w:right w:val="single" w:color="auto" w:sz="8" w:space="0"/>
            </w:tcBorders>
            <w:vAlign w:val="center"/>
          </w:tcPr>
          <w:p w14:paraId="19C96338">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《塑料 拉伸性能的测定第 3 部分：薄膜和薄片的试验条件》GB/T 1040.3</w:t>
            </w:r>
          </w:p>
        </w:tc>
      </w:tr>
      <w:tr w14:paraId="34A36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0" w:type="auto"/>
            <w:tcBorders>
              <w:left w:val="single" w:color="auto" w:sz="8" w:space="0"/>
              <w:bottom w:val="single" w:color="auto" w:sz="8" w:space="0"/>
            </w:tcBorders>
            <w:vAlign w:val="center"/>
          </w:tcPr>
          <w:p w14:paraId="63C1FFE0">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球压入硬度</w:t>
            </w:r>
          </w:p>
        </w:tc>
        <w:tc>
          <w:tcPr>
            <w:tcW w:w="0" w:type="auto"/>
            <w:tcBorders>
              <w:bottom w:val="single" w:color="auto" w:sz="8" w:space="0"/>
            </w:tcBorders>
            <w:vAlign w:val="center"/>
          </w:tcPr>
          <w:p w14:paraId="7B68DF4D">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MPa</w:t>
            </w:r>
          </w:p>
        </w:tc>
        <w:tc>
          <w:tcPr>
            <w:tcW w:w="767" w:type="dxa"/>
            <w:tcBorders>
              <w:bottom w:val="single" w:color="auto" w:sz="8" w:space="0"/>
            </w:tcBorders>
            <w:vAlign w:val="center"/>
          </w:tcPr>
          <w:p w14:paraId="3F7F8C6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≥36</w:t>
            </w:r>
          </w:p>
        </w:tc>
        <w:tc>
          <w:tcPr>
            <w:tcW w:w="885" w:type="dxa"/>
            <w:tcBorders>
              <w:bottom w:val="single" w:color="auto" w:sz="8" w:space="0"/>
            </w:tcBorders>
            <w:vAlign w:val="center"/>
          </w:tcPr>
          <w:p w14:paraId="5974CC8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≥45</w:t>
            </w:r>
          </w:p>
        </w:tc>
        <w:tc>
          <w:tcPr>
            <w:tcW w:w="855" w:type="dxa"/>
            <w:tcBorders>
              <w:bottom w:val="single" w:color="auto" w:sz="8" w:space="0"/>
            </w:tcBorders>
            <w:vAlign w:val="center"/>
          </w:tcPr>
          <w:p w14:paraId="2697A598">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≥80</w:t>
            </w:r>
          </w:p>
        </w:tc>
        <w:tc>
          <w:tcPr>
            <w:tcW w:w="855" w:type="dxa"/>
            <w:tcBorders>
              <w:bottom w:val="single" w:color="auto" w:sz="8" w:space="0"/>
            </w:tcBorders>
            <w:vAlign w:val="center"/>
          </w:tcPr>
          <w:p w14:paraId="0F9B3AA3">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w:t>
            </w:r>
          </w:p>
        </w:tc>
        <w:tc>
          <w:tcPr>
            <w:tcW w:w="3471" w:type="dxa"/>
            <w:tcBorders>
              <w:bottom w:val="single" w:color="auto" w:sz="8" w:space="0"/>
              <w:right w:val="single" w:color="auto" w:sz="8" w:space="0"/>
            </w:tcBorders>
            <w:vAlign w:val="center"/>
          </w:tcPr>
          <w:p w14:paraId="6B30E245">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《塑料 硬度测定第一部分：球压痕法》GB/T 3398.1</w:t>
            </w:r>
          </w:p>
        </w:tc>
      </w:tr>
    </w:tbl>
    <w:p w14:paraId="7CBF6DD8">
      <w:pPr>
        <w:rPr>
          <w:rFonts w:hint="default" w:ascii="Times New Roman" w:hAnsi="Times New Roman" w:cs="Times New Roman"/>
        </w:rPr>
      </w:pPr>
      <w:r>
        <w:rPr>
          <w:rFonts w:hint="default" w:ascii="Times New Roman" w:hAnsi="Times New Roman" w:cs="Times New Roman"/>
        </w:rPr>
        <w:t>4.7.5  塑料衬垫焊接时，仅允许削除其中一个搭接面上的锚固键。</w:t>
      </w:r>
    </w:p>
    <w:p w14:paraId="1D2DC0F8">
      <w:pPr>
        <w:rPr>
          <w:rFonts w:hint="default" w:ascii="Times New Roman" w:hAnsi="Times New Roman" w:cs="Times New Roman"/>
        </w:rPr>
      </w:pPr>
      <w:r>
        <w:rPr>
          <w:rFonts w:hint="default" w:ascii="Times New Roman" w:hAnsi="Times New Roman" w:cs="Times New Roman"/>
        </w:rPr>
        <w:t>4.7.6  塑料衬垫与原有管道间的灌浆料可选用水泥基灌浆料和环氧树脂灌浆料。</w:t>
      </w:r>
    </w:p>
    <w:p w14:paraId="2EE59C88">
      <w:pPr>
        <w:rPr>
          <w:rFonts w:hint="default" w:ascii="Times New Roman" w:hAnsi="Times New Roman" w:cs="Times New Roman"/>
        </w:rPr>
      </w:pPr>
      <w:r>
        <w:rPr>
          <w:rFonts w:hint="default" w:ascii="Times New Roman" w:hAnsi="Times New Roman" w:cs="Times New Roman"/>
        </w:rPr>
        <w:t>4.7.7  灌浆料的初凝强度与初凝时间应符合工程作业时间与模具支撑时间要求。灌浆料的终凝强度应达到设计强度要求。灌浆料的流动度应符合灌浆时间与灌浆距离的要求。</w:t>
      </w:r>
    </w:p>
    <w:p w14:paraId="77044611">
      <w:pPr>
        <w:rPr>
          <w:rFonts w:hint="default" w:ascii="Times New Roman" w:hAnsi="Times New Roman" w:cs="Times New Roman"/>
        </w:rPr>
      </w:pPr>
      <w:r>
        <w:rPr>
          <w:rFonts w:hint="default" w:ascii="Times New Roman" w:hAnsi="Times New Roman" w:cs="Times New Roman"/>
        </w:rPr>
        <w:t>4.7.8  水泥基灌浆料的性能应符合表4.7.8的规定。</w:t>
      </w:r>
    </w:p>
    <w:p w14:paraId="3C6F49CC">
      <w:pPr>
        <w:tabs>
          <w:tab w:val="left" w:pos="0"/>
          <w:tab w:val="left" w:pos="2598"/>
        </w:tabs>
        <w:kinsoku w:val="0"/>
        <w:overflowPunct w:val="0"/>
        <w:autoSpaceDE w:val="0"/>
        <w:autoSpaceDN w:val="0"/>
        <w:adjustRightInd w:val="0"/>
        <w:jc w:val="center"/>
        <w:rPr>
          <w:rFonts w:hint="default" w:ascii="Times New Roman" w:hAnsi="Times New Roman" w:cs="Times New Roman"/>
          <w:b/>
          <w:bCs/>
          <w:szCs w:val="24"/>
        </w:rPr>
      </w:pPr>
      <w:r>
        <w:rPr>
          <w:rFonts w:hint="default" w:ascii="Times New Roman" w:hAnsi="Times New Roman" w:cs="Times New Roman"/>
          <w:b/>
          <w:bCs/>
          <w:szCs w:val="24"/>
        </w:rPr>
        <w:t>表4.7.8  水泥基灌浆料的性能要求</w:t>
      </w:r>
    </w:p>
    <w:tbl>
      <w:tblPr>
        <w:tblStyle w:val="33"/>
        <w:tblW w:w="8326"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0" w:type="dxa"/>
          <w:bottom w:w="0" w:type="dxa"/>
          <w:right w:w="0" w:type="dxa"/>
        </w:tblCellMar>
      </w:tblPr>
      <w:tblGrid>
        <w:gridCol w:w="1548"/>
        <w:gridCol w:w="1111"/>
        <w:gridCol w:w="1313"/>
        <w:gridCol w:w="4354"/>
      </w:tblGrid>
      <w:tr w14:paraId="1991A90E">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2724" w:type="dxa"/>
            <w:gridSpan w:val="2"/>
            <w:vAlign w:val="center"/>
          </w:tcPr>
          <w:p w14:paraId="59D195A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检验项目</w:t>
            </w:r>
          </w:p>
        </w:tc>
        <w:tc>
          <w:tcPr>
            <w:tcW w:w="1313" w:type="dxa"/>
            <w:vAlign w:val="center"/>
          </w:tcPr>
          <w:p w14:paraId="3C7877B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性能要求</w:t>
            </w:r>
          </w:p>
        </w:tc>
        <w:tc>
          <w:tcPr>
            <w:tcW w:w="0" w:type="auto"/>
            <w:vAlign w:val="center"/>
          </w:tcPr>
          <w:p w14:paraId="17F6885D">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检验方法</w:t>
            </w:r>
          </w:p>
        </w:tc>
      </w:tr>
      <w:tr w14:paraId="4D82845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0" w:type="auto"/>
            <w:vMerge w:val="restart"/>
            <w:vAlign w:val="center"/>
          </w:tcPr>
          <w:p w14:paraId="7E45A60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凝胶时间</w:t>
            </w:r>
          </w:p>
        </w:tc>
        <w:tc>
          <w:tcPr>
            <w:tcW w:w="1111" w:type="dxa"/>
            <w:vAlign w:val="center"/>
          </w:tcPr>
          <w:p w14:paraId="2E8C8AE7">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初凝时间</w:t>
            </w:r>
          </w:p>
        </w:tc>
        <w:tc>
          <w:tcPr>
            <w:tcW w:w="1313" w:type="dxa"/>
            <w:vAlign w:val="center"/>
          </w:tcPr>
          <w:p w14:paraId="052A6BE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val="en" w:eastAsia="en-US"/>
              </w:rPr>
              <w:t>≤100 min</w:t>
            </w:r>
          </w:p>
        </w:tc>
        <w:tc>
          <w:tcPr>
            <w:tcW w:w="0" w:type="auto"/>
            <w:vMerge w:val="restart"/>
            <w:vAlign w:val="center"/>
          </w:tcPr>
          <w:p w14:paraId="16F3D646">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《普通混凝土拌合物性能试验方法标准》GB/T 50080</w:t>
            </w:r>
          </w:p>
        </w:tc>
      </w:tr>
      <w:tr w14:paraId="2491112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0" w:type="auto"/>
            <w:vMerge w:val="continue"/>
            <w:vAlign w:val="center"/>
          </w:tcPr>
          <w:p w14:paraId="5AA39222">
            <w:pPr>
              <w:autoSpaceDE w:val="0"/>
              <w:autoSpaceDN w:val="0"/>
              <w:jc w:val="center"/>
              <w:rPr>
                <w:rFonts w:hint="default" w:ascii="Times New Roman" w:hAnsi="Times New Roman" w:cs="Times New Roman"/>
                <w:bCs/>
                <w:sz w:val="21"/>
                <w:lang w:eastAsia="zh-CN"/>
              </w:rPr>
            </w:pPr>
          </w:p>
        </w:tc>
        <w:tc>
          <w:tcPr>
            <w:tcW w:w="1111" w:type="dxa"/>
            <w:vAlign w:val="center"/>
          </w:tcPr>
          <w:p w14:paraId="71C08CE2">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终凝时间</w:t>
            </w:r>
          </w:p>
        </w:tc>
        <w:tc>
          <w:tcPr>
            <w:tcW w:w="1313" w:type="dxa"/>
            <w:vAlign w:val="center"/>
          </w:tcPr>
          <w:p w14:paraId="08B9DAC5">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≤12 h</w:t>
            </w:r>
          </w:p>
        </w:tc>
        <w:tc>
          <w:tcPr>
            <w:tcW w:w="0" w:type="auto"/>
            <w:vMerge w:val="continue"/>
            <w:vAlign w:val="center"/>
          </w:tcPr>
          <w:p w14:paraId="2F2C0270">
            <w:pPr>
              <w:autoSpaceDE w:val="0"/>
              <w:autoSpaceDN w:val="0"/>
              <w:jc w:val="center"/>
              <w:rPr>
                <w:rFonts w:hint="default" w:ascii="Times New Roman" w:hAnsi="Times New Roman" w:cs="Times New Roman"/>
                <w:bCs/>
                <w:sz w:val="21"/>
                <w:lang w:eastAsia="en-US"/>
              </w:rPr>
            </w:pPr>
          </w:p>
        </w:tc>
      </w:tr>
      <w:tr w14:paraId="2B12127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0" w:type="auto"/>
            <w:vMerge w:val="restart"/>
            <w:vAlign w:val="center"/>
          </w:tcPr>
          <w:p w14:paraId="695CFFCB">
            <w:pPr>
              <w:autoSpaceDE w:val="0"/>
              <w:autoSpaceDN w:val="0"/>
              <w:jc w:val="center"/>
              <w:rPr>
                <w:rFonts w:hint="default" w:ascii="Times New Roman" w:hAnsi="Times New Roman" w:eastAsia="Times New Roman" w:cs="Times New Roman"/>
                <w:bCs/>
                <w:sz w:val="21"/>
                <w:lang w:eastAsia="en-US"/>
              </w:rPr>
            </w:pPr>
            <w:r>
              <w:rPr>
                <w:rFonts w:hint="default" w:ascii="Times New Roman" w:hAnsi="Times New Roman" w:cs="Times New Roman"/>
                <w:bCs/>
                <w:sz w:val="21"/>
                <w:lang w:eastAsia="en-US"/>
              </w:rPr>
              <w:t>流动度</w:t>
            </w:r>
            <w:r>
              <w:rPr>
                <w:rFonts w:hint="default" w:ascii="Times New Roman" w:hAnsi="Times New Roman" w:eastAsia="Times New Roman" w:cs="Times New Roman"/>
                <w:bCs/>
                <w:sz w:val="21"/>
                <w:lang w:eastAsia="en-US"/>
              </w:rPr>
              <w:t>(mm)</w:t>
            </w:r>
          </w:p>
        </w:tc>
        <w:tc>
          <w:tcPr>
            <w:tcW w:w="1111" w:type="dxa"/>
            <w:vAlign w:val="center"/>
          </w:tcPr>
          <w:p w14:paraId="2399668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初始值</w:t>
            </w:r>
          </w:p>
        </w:tc>
        <w:tc>
          <w:tcPr>
            <w:tcW w:w="1313" w:type="dxa"/>
            <w:vAlign w:val="center"/>
          </w:tcPr>
          <w:p w14:paraId="5821815A">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≥340</w:t>
            </w:r>
          </w:p>
        </w:tc>
        <w:tc>
          <w:tcPr>
            <w:tcW w:w="0" w:type="auto"/>
            <w:vMerge w:val="restart"/>
            <w:vAlign w:val="center"/>
          </w:tcPr>
          <w:p w14:paraId="3BD189F5">
            <w:pPr>
              <w:autoSpaceDE w:val="0"/>
              <w:autoSpaceDN w:val="0"/>
              <w:jc w:val="center"/>
              <w:rPr>
                <w:rFonts w:hint="default" w:ascii="Times New Roman" w:hAnsi="Times New Roman" w:eastAsia="Times New Roman" w:cs="Times New Roman"/>
                <w:bCs/>
                <w:sz w:val="21"/>
                <w:lang w:eastAsia="zh-CN"/>
              </w:rPr>
            </w:pPr>
            <w:r>
              <w:rPr>
                <w:rFonts w:hint="default" w:ascii="Times New Roman" w:hAnsi="Times New Roman" w:cs="Times New Roman"/>
                <w:bCs/>
                <w:sz w:val="21"/>
                <w:lang w:eastAsia="zh-CN"/>
              </w:rPr>
              <w:t>《混凝土外加剂应用技术规范》</w:t>
            </w:r>
            <w:r>
              <w:rPr>
                <w:rFonts w:hint="default" w:ascii="Times New Roman" w:hAnsi="Times New Roman" w:eastAsia="Times New Roman" w:cs="Times New Roman"/>
                <w:bCs/>
                <w:sz w:val="21"/>
                <w:lang w:eastAsia="zh-CN"/>
              </w:rPr>
              <w:t>GB 50119</w:t>
            </w:r>
          </w:p>
        </w:tc>
      </w:tr>
      <w:tr w14:paraId="09F572F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Merge w:val="continue"/>
            <w:vAlign w:val="center"/>
          </w:tcPr>
          <w:p w14:paraId="5A7D253B">
            <w:pPr>
              <w:autoSpaceDE w:val="0"/>
              <w:autoSpaceDN w:val="0"/>
              <w:jc w:val="center"/>
              <w:rPr>
                <w:rFonts w:hint="default" w:ascii="Times New Roman" w:hAnsi="Times New Roman" w:cs="Times New Roman"/>
                <w:bCs/>
                <w:sz w:val="21"/>
                <w:lang w:eastAsia="zh-CN"/>
              </w:rPr>
            </w:pPr>
          </w:p>
        </w:tc>
        <w:tc>
          <w:tcPr>
            <w:tcW w:w="1111" w:type="dxa"/>
            <w:vAlign w:val="center"/>
          </w:tcPr>
          <w:p w14:paraId="5878892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30min</w:t>
            </w:r>
          </w:p>
        </w:tc>
        <w:tc>
          <w:tcPr>
            <w:tcW w:w="1313" w:type="dxa"/>
            <w:vAlign w:val="center"/>
          </w:tcPr>
          <w:p w14:paraId="4CE0FE1F">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≥310</w:t>
            </w:r>
          </w:p>
        </w:tc>
        <w:tc>
          <w:tcPr>
            <w:tcW w:w="0" w:type="auto"/>
            <w:vMerge w:val="continue"/>
            <w:vAlign w:val="center"/>
          </w:tcPr>
          <w:p w14:paraId="2F1AC3FC">
            <w:pPr>
              <w:autoSpaceDE w:val="0"/>
              <w:autoSpaceDN w:val="0"/>
              <w:jc w:val="center"/>
              <w:rPr>
                <w:rFonts w:hint="default" w:ascii="Times New Roman" w:hAnsi="Times New Roman" w:cs="Times New Roman"/>
                <w:bCs/>
                <w:sz w:val="21"/>
                <w:lang w:eastAsia="en-US"/>
              </w:rPr>
            </w:pPr>
          </w:p>
        </w:tc>
      </w:tr>
      <w:tr w14:paraId="13C1A15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0" w:type="auto"/>
            <w:vAlign w:val="center"/>
          </w:tcPr>
          <w:p w14:paraId="1F231316">
            <w:pPr>
              <w:autoSpaceDE w:val="0"/>
              <w:autoSpaceDN w:val="0"/>
              <w:jc w:val="center"/>
              <w:rPr>
                <w:rFonts w:hint="default" w:ascii="Times New Roman" w:hAnsi="Times New Roman" w:eastAsia="Times New Roman" w:cs="Times New Roman"/>
                <w:bCs/>
                <w:sz w:val="21"/>
                <w:lang w:eastAsia="en-US"/>
              </w:rPr>
            </w:pPr>
            <w:r>
              <w:rPr>
                <w:rFonts w:hint="default" w:ascii="Times New Roman" w:hAnsi="Times New Roman" w:cs="Times New Roman"/>
                <w:bCs/>
                <w:sz w:val="21"/>
                <w:lang w:eastAsia="en-US"/>
              </w:rPr>
              <w:t>泌水率</w:t>
            </w:r>
            <w:r>
              <w:rPr>
                <w:rFonts w:hint="default" w:ascii="Times New Roman" w:hAnsi="Times New Roman" w:eastAsia="Times New Roman" w:cs="Times New Roman"/>
                <w:bCs/>
                <w:sz w:val="21"/>
                <w:lang w:eastAsia="en-US"/>
              </w:rPr>
              <w:t>(%)</w:t>
            </w:r>
          </w:p>
        </w:tc>
        <w:tc>
          <w:tcPr>
            <w:tcW w:w="1111" w:type="dxa"/>
            <w:vAlign w:val="center"/>
          </w:tcPr>
          <w:p w14:paraId="60852039">
            <w:pPr>
              <w:autoSpaceDE w:val="0"/>
              <w:autoSpaceDN w:val="0"/>
              <w:jc w:val="center"/>
              <w:rPr>
                <w:rFonts w:hint="default" w:ascii="Times New Roman" w:hAnsi="Times New Roman" w:cs="Times New Roman"/>
                <w:bCs/>
                <w:sz w:val="21"/>
                <w:lang w:eastAsia="en-US"/>
              </w:rPr>
            </w:pPr>
          </w:p>
        </w:tc>
        <w:tc>
          <w:tcPr>
            <w:tcW w:w="1313" w:type="dxa"/>
            <w:vAlign w:val="center"/>
          </w:tcPr>
          <w:p w14:paraId="0D53ED5C">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0</w:t>
            </w:r>
          </w:p>
        </w:tc>
        <w:tc>
          <w:tcPr>
            <w:tcW w:w="0" w:type="auto"/>
            <w:vAlign w:val="center"/>
          </w:tcPr>
          <w:p w14:paraId="4530D09C">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《普通混凝土拌合物性能试验方法标准》</w:t>
            </w:r>
          </w:p>
          <w:p w14:paraId="0F7704BF">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GB/T 50080</w:t>
            </w:r>
          </w:p>
        </w:tc>
      </w:tr>
      <w:tr w14:paraId="1F8BC4E3">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0" w:type="auto"/>
            <w:vMerge w:val="restart"/>
            <w:vAlign w:val="center"/>
          </w:tcPr>
          <w:p w14:paraId="2C970521">
            <w:pPr>
              <w:autoSpaceDE w:val="0"/>
              <w:autoSpaceDN w:val="0"/>
              <w:jc w:val="center"/>
              <w:rPr>
                <w:rFonts w:hint="default" w:ascii="Times New Roman" w:hAnsi="Times New Roman" w:eastAsia="Times New Roman" w:cs="Times New Roman"/>
                <w:bCs/>
                <w:sz w:val="21"/>
                <w:lang w:eastAsia="en-US"/>
              </w:rPr>
            </w:pPr>
            <w:r>
              <w:rPr>
                <w:rFonts w:hint="default" w:ascii="Times New Roman" w:hAnsi="Times New Roman" w:cs="Times New Roman"/>
                <w:bCs/>
                <w:sz w:val="21"/>
                <w:lang w:eastAsia="en-US"/>
              </w:rPr>
              <w:t>抗压强度</w:t>
            </w:r>
            <w:r>
              <w:rPr>
                <w:rFonts w:hint="default" w:ascii="Times New Roman" w:hAnsi="Times New Roman" w:eastAsia="Times New Roman" w:cs="Times New Roman"/>
                <w:bCs/>
                <w:sz w:val="21"/>
                <w:lang w:eastAsia="en-US"/>
              </w:rPr>
              <w:t>(MPa)</w:t>
            </w:r>
          </w:p>
        </w:tc>
        <w:tc>
          <w:tcPr>
            <w:tcW w:w="1111" w:type="dxa"/>
            <w:vAlign w:val="center"/>
          </w:tcPr>
          <w:p w14:paraId="5A1E635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val="en" w:eastAsia="en-US"/>
              </w:rPr>
              <w:t>2h</w:t>
            </w:r>
          </w:p>
        </w:tc>
        <w:tc>
          <w:tcPr>
            <w:tcW w:w="1313" w:type="dxa"/>
            <w:vAlign w:val="center"/>
          </w:tcPr>
          <w:p w14:paraId="3A2E0E33">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≥12</w:t>
            </w:r>
          </w:p>
        </w:tc>
        <w:tc>
          <w:tcPr>
            <w:tcW w:w="0" w:type="auto"/>
            <w:vMerge w:val="restart"/>
            <w:vAlign w:val="center"/>
          </w:tcPr>
          <w:p w14:paraId="391A759D">
            <w:pPr>
              <w:autoSpaceDE w:val="0"/>
              <w:autoSpaceDN w:val="0"/>
              <w:jc w:val="center"/>
              <w:rPr>
                <w:rFonts w:hint="default" w:ascii="Times New Roman" w:hAnsi="Times New Roman" w:eastAsia="Times New Roman" w:cs="Times New Roman"/>
                <w:bCs/>
                <w:sz w:val="21"/>
                <w:lang w:eastAsia="zh-CN"/>
              </w:rPr>
            </w:pPr>
            <w:r>
              <w:rPr>
                <w:rFonts w:hint="default" w:ascii="Times New Roman" w:hAnsi="Times New Roman" w:cs="Times New Roman"/>
                <w:bCs/>
                <w:sz w:val="21"/>
                <w:lang w:eastAsia="zh-CN"/>
              </w:rPr>
              <w:t>《水泥胶砂强度检验方法》</w:t>
            </w:r>
            <w:r>
              <w:rPr>
                <w:rFonts w:hint="default" w:ascii="Times New Roman" w:hAnsi="Times New Roman" w:eastAsia="Times New Roman" w:cs="Times New Roman"/>
                <w:bCs/>
                <w:sz w:val="21"/>
                <w:lang w:eastAsia="zh-CN"/>
              </w:rPr>
              <w:t>GB/T17671</w:t>
            </w:r>
          </w:p>
        </w:tc>
      </w:tr>
      <w:tr w14:paraId="1F49AB99">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Merge w:val="continue"/>
            <w:vAlign w:val="center"/>
          </w:tcPr>
          <w:p w14:paraId="44D2B594">
            <w:pPr>
              <w:autoSpaceDE w:val="0"/>
              <w:autoSpaceDN w:val="0"/>
              <w:jc w:val="center"/>
              <w:rPr>
                <w:rFonts w:hint="default" w:ascii="Times New Roman" w:hAnsi="Times New Roman" w:cs="Times New Roman"/>
                <w:bCs/>
                <w:sz w:val="21"/>
                <w:lang w:eastAsia="zh-CN"/>
              </w:rPr>
            </w:pPr>
          </w:p>
        </w:tc>
        <w:tc>
          <w:tcPr>
            <w:tcW w:w="1111" w:type="dxa"/>
            <w:vAlign w:val="center"/>
          </w:tcPr>
          <w:p w14:paraId="73030D3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28d</w:t>
            </w:r>
          </w:p>
        </w:tc>
        <w:tc>
          <w:tcPr>
            <w:tcW w:w="1313" w:type="dxa"/>
            <w:vAlign w:val="center"/>
          </w:tcPr>
          <w:p w14:paraId="6861DC4D">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≥55</w:t>
            </w:r>
          </w:p>
        </w:tc>
        <w:tc>
          <w:tcPr>
            <w:tcW w:w="0" w:type="auto"/>
            <w:vMerge w:val="continue"/>
            <w:vAlign w:val="center"/>
          </w:tcPr>
          <w:p w14:paraId="4C9C9ADC">
            <w:pPr>
              <w:autoSpaceDE w:val="0"/>
              <w:autoSpaceDN w:val="0"/>
              <w:jc w:val="center"/>
              <w:rPr>
                <w:rFonts w:hint="default" w:ascii="Times New Roman" w:hAnsi="Times New Roman" w:cs="Times New Roman"/>
                <w:bCs/>
                <w:sz w:val="21"/>
                <w:lang w:eastAsia="en-US"/>
              </w:rPr>
            </w:pPr>
          </w:p>
        </w:tc>
      </w:tr>
      <w:tr w14:paraId="0FE670B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Merge w:val="restart"/>
            <w:vAlign w:val="center"/>
          </w:tcPr>
          <w:p w14:paraId="62159108">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抗折强度</w:t>
            </w:r>
            <w:r>
              <w:rPr>
                <w:rFonts w:hint="default" w:ascii="Times New Roman" w:hAnsi="Times New Roman" w:eastAsia="Times New Roman" w:cs="Times New Roman"/>
                <w:bCs/>
                <w:sz w:val="21"/>
                <w:lang w:eastAsia="en-US"/>
              </w:rPr>
              <w:t>(MPa)</w:t>
            </w:r>
          </w:p>
        </w:tc>
        <w:tc>
          <w:tcPr>
            <w:tcW w:w="1111" w:type="dxa"/>
            <w:vAlign w:val="center"/>
          </w:tcPr>
          <w:p w14:paraId="1F102838">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val="en" w:eastAsia="en-US"/>
              </w:rPr>
              <w:t>2h</w:t>
            </w:r>
          </w:p>
        </w:tc>
        <w:tc>
          <w:tcPr>
            <w:tcW w:w="1313" w:type="dxa"/>
            <w:vAlign w:val="center"/>
          </w:tcPr>
          <w:p w14:paraId="5E02BA6F">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≥2.6</w:t>
            </w:r>
          </w:p>
        </w:tc>
        <w:tc>
          <w:tcPr>
            <w:tcW w:w="0" w:type="auto"/>
            <w:vMerge w:val="restart"/>
            <w:vAlign w:val="center"/>
          </w:tcPr>
          <w:p w14:paraId="223C0E77">
            <w:pPr>
              <w:autoSpaceDE w:val="0"/>
              <w:autoSpaceDN w:val="0"/>
              <w:jc w:val="center"/>
              <w:rPr>
                <w:rFonts w:hint="default" w:ascii="Times New Roman" w:hAnsi="Times New Roman" w:eastAsia="Times New Roman" w:cs="Times New Roman"/>
                <w:bCs/>
                <w:sz w:val="21"/>
                <w:lang w:eastAsia="zh-CN"/>
              </w:rPr>
            </w:pPr>
            <w:r>
              <w:rPr>
                <w:rFonts w:hint="default" w:ascii="Times New Roman" w:hAnsi="Times New Roman" w:cs="Times New Roman"/>
                <w:bCs/>
                <w:sz w:val="21"/>
                <w:lang w:eastAsia="zh-CN"/>
              </w:rPr>
              <w:t>《水泥胶砂强度检验方法》</w:t>
            </w:r>
            <w:r>
              <w:rPr>
                <w:rFonts w:hint="default" w:ascii="Times New Roman" w:hAnsi="Times New Roman" w:eastAsia="Times New Roman" w:cs="Times New Roman"/>
                <w:bCs/>
                <w:sz w:val="21"/>
                <w:lang w:eastAsia="zh-CN"/>
              </w:rPr>
              <w:t>GB/T17671</w:t>
            </w:r>
          </w:p>
        </w:tc>
      </w:tr>
      <w:tr w14:paraId="37C8ACE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Merge w:val="continue"/>
            <w:vAlign w:val="center"/>
          </w:tcPr>
          <w:p w14:paraId="634CD8CC">
            <w:pPr>
              <w:autoSpaceDE w:val="0"/>
              <w:autoSpaceDN w:val="0"/>
              <w:jc w:val="center"/>
              <w:rPr>
                <w:rFonts w:hint="default" w:ascii="Times New Roman" w:hAnsi="Times New Roman" w:cs="Times New Roman"/>
                <w:bCs/>
                <w:sz w:val="21"/>
                <w:lang w:eastAsia="zh-CN"/>
              </w:rPr>
            </w:pPr>
          </w:p>
        </w:tc>
        <w:tc>
          <w:tcPr>
            <w:tcW w:w="1111" w:type="dxa"/>
            <w:vAlign w:val="center"/>
          </w:tcPr>
          <w:p w14:paraId="669D24F4">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28d</w:t>
            </w:r>
          </w:p>
        </w:tc>
        <w:tc>
          <w:tcPr>
            <w:tcW w:w="1313" w:type="dxa"/>
            <w:vAlign w:val="center"/>
          </w:tcPr>
          <w:p w14:paraId="0A39A26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≥10</w:t>
            </w:r>
          </w:p>
        </w:tc>
        <w:tc>
          <w:tcPr>
            <w:tcW w:w="0" w:type="auto"/>
            <w:vMerge w:val="continue"/>
            <w:vAlign w:val="center"/>
          </w:tcPr>
          <w:p w14:paraId="4D67074B">
            <w:pPr>
              <w:autoSpaceDE w:val="0"/>
              <w:autoSpaceDN w:val="0"/>
              <w:jc w:val="center"/>
              <w:rPr>
                <w:rFonts w:hint="default" w:ascii="Times New Roman" w:hAnsi="Times New Roman" w:cs="Times New Roman"/>
                <w:bCs/>
                <w:sz w:val="21"/>
                <w:lang w:eastAsia="en-US"/>
              </w:rPr>
            </w:pPr>
          </w:p>
        </w:tc>
      </w:tr>
      <w:tr w14:paraId="23C7818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0" w:type="auto"/>
            <w:vAlign w:val="center"/>
          </w:tcPr>
          <w:p w14:paraId="091E9B0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弹性模量（</w:t>
            </w:r>
            <w:r>
              <w:rPr>
                <w:rFonts w:hint="default" w:ascii="Times New Roman" w:hAnsi="Times New Roman" w:eastAsia="Times New Roman" w:cs="Times New Roman"/>
                <w:bCs/>
                <w:sz w:val="21"/>
                <w:lang w:eastAsia="en-US"/>
              </w:rPr>
              <w:t>GPa</w:t>
            </w:r>
            <w:r>
              <w:rPr>
                <w:rFonts w:hint="default" w:ascii="Times New Roman" w:hAnsi="Times New Roman" w:cs="Times New Roman"/>
                <w:bCs/>
                <w:sz w:val="21"/>
                <w:lang w:eastAsia="en-US"/>
              </w:rPr>
              <w:t>）</w:t>
            </w:r>
          </w:p>
        </w:tc>
        <w:tc>
          <w:tcPr>
            <w:tcW w:w="1111" w:type="dxa"/>
            <w:vAlign w:val="center"/>
          </w:tcPr>
          <w:p w14:paraId="53EA0941">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28d</w:t>
            </w:r>
          </w:p>
        </w:tc>
        <w:tc>
          <w:tcPr>
            <w:tcW w:w="1313" w:type="dxa"/>
            <w:vAlign w:val="center"/>
          </w:tcPr>
          <w:p w14:paraId="4DB55A86">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≥30</w:t>
            </w:r>
          </w:p>
        </w:tc>
        <w:tc>
          <w:tcPr>
            <w:tcW w:w="0" w:type="auto"/>
            <w:vAlign w:val="center"/>
          </w:tcPr>
          <w:p w14:paraId="44A8F54F">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《普通混凝土力学性能试验方法标准》GB/T 50081</w:t>
            </w:r>
          </w:p>
        </w:tc>
      </w:tr>
      <w:tr w14:paraId="49EE5190">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Align w:val="center"/>
          </w:tcPr>
          <w:p w14:paraId="70FF36CF">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自由膨胀率（</w:t>
            </w:r>
            <w:r>
              <w:rPr>
                <w:rFonts w:hint="default" w:ascii="Times New Roman" w:hAnsi="Times New Roman" w:eastAsia="Times New Roman" w:cs="Times New Roman"/>
                <w:bCs/>
                <w:sz w:val="21"/>
                <w:lang w:eastAsia="en-US"/>
              </w:rPr>
              <w:t>%</w:t>
            </w:r>
            <w:r>
              <w:rPr>
                <w:rFonts w:hint="default" w:ascii="Times New Roman" w:hAnsi="Times New Roman" w:cs="Times New Roman"/>
                <w:bCs/>
                <w:sz w:val="21"/>
                <w:lang w:eastAsia="en-US"/>
              </w:rPr>
              <w:t>）</w:t>
            </w:r>
          </w:p>
        </w:tc>
        <w:tc>
          <w:tcPr>
            <w:tcW w:w="1111" w:type="dxa"/>
            <w:vAlign w:val="center"/>
          </w:tcPr>
          <w:p w14:paraId="27A31DF0">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24h</w:t>
            </w:r>
          </w:p>
        </w:tc>
        <w:tc>
          <w:tcPr>
            <w:tcW w:w="1313" w:type="dxa"/>
            <w:vAlign w:val="center"/>
          </w:tcPr>
          <w:p w14:paraId="57B7ABAE">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0~1</w:t>
            </w:r>
          </w:p>
        </w:tc>
        <w:tc>
          <w:tcPr>
            <w:tcW w:w="0" w:type="auto"/>
            <w:vAlign w:val="center"/>
          </w:tcPr>
          <w:p w14:paraId="2E3BA3B8">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《混凝土外加剂应用技术规范》</w:t>
            </w:r>
            <w:r>
              <w:rPr>
                <w:rFonts w:hint="default" w:ascii="Times New Roman" w:hAnsi="Times New Roman" w:eastAsia="Times New Roman" w:cs="Times New Roman"/>
                <w:bCs/>
                <w:sz w:val="21"/>
                <w:lang w:eastAsia="zh-CN"/>
              </w:rPr>
              <w:t>GB 50119</w:t>
            </w:r>
          </w:p>
        </w:tc>
      </w:tr>
      <w:tr w14:paraId="4F5C0A5C">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0" w:type="auto"/>
            <w:vAlign w:val="center"/>
          </w:tcPr>
          <w:p w14:paraId="69E6D45D">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对钢筋锈蚀作用</w:t>
            </w:r>
          </w:p>
        </w:tc>
        <w:tc>
          <w:tcPr>
            <w:tcW w:w="1111" w:type="dxa"/>
            <w:vAlign w:val="center"/>
          </w:tcPr>
          <w:p w14:paraId="2C7CEFCB">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w:t>
            </w:r>
          </w:p>
        </w:tc>
        <w:tc>
          <w:tcPr>
            <w:tcW w:w="1313" w:type="dxa"/>
            <w:vAlign w:val="center"/>
          </w:tcPr>
          <w:p w14:paraId="5E916293">
            <w:pPr>
              <w:autoSpaceDE w:val="0"/>
              <w:autoSpaceDN w:val="0"/>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对钢筋无锈蚀作用</w:t>
            </w:r>
          </w:p>
        </w:tc>
        <w:tc>
          <w:tcPr>
            <w:tcW w:w="0" w:type="auto"/>
            <w:vAlign w:val="center"/>
          </w:tcPr>
          <w:p w14:paraId="4E0D9204">
            <w:pPr>
              <w:autoSpaceDE w:val="0"/>
              <w:autoSpaceDN w:val="0"/>
              <w:jc w:val="center"/>
              <w:rPr>
                <w:rFonts w:hint="default" w:ascii="Times New Roman" w:hAnsi="Times New Roman" w:cs="Times New Roman"/>
                <w:bCs/>
                <w:sz w:val="21"/>
                <w:lang w:eastAsia="zh-CN"/>
              </w:rPr>
            </w:pPr>
            <w:r>
              <w:rPr>
                <w:rFonts w:hint="default" w:ascii="Times New Roman" w:hAnsi="Times New Roman" w:cs="Times New Roman"/>
                <w:bCs/>
                <w:sz w:val="21"/>
                <w:lang w:eastAsia="zh-CN"/>
              </w:rPr>
              <w:t>《水泥基灌浆材料》JC/T986</w:t>
            </w:r>
          </w:p>
        </w:tc>
      </w:tr>
    </w:tbl>
    <w:p w14:paraId="554CC316">
      <w:pPr>
        <w:pStyle w:val="3"/>
        <w:bidi w:val="0"/>
        <w:rPr>
          <w:rFonts w:hint="default" w:ascii="Times New Roman" w:hAnsi="Times New Roman" w:cs="Times New Roman"/>
          <w:lang w:val="en-US" w:eastAsia="zh-CN"/>
        </w:rPr>
      </w:pPr>
      <w:bookmarkStart w:id="209" w:name="_Toc27053"/>
      <w:r>
        <w:rPr>
          <w:rFonts w:hint="default" w:ascii="Times New Roman" w:hAnsi="Times New Roman" w:cs="Times New Roman"/>
          <w:lang w:val="en-US" w:eastAsia="zh-CN"/>
        </w:rPr>
        <w:t>4.8</w:t>
      </w:r>
      <w:bookmarkStart w:id="210" w:name="_Toc139989342"/>
      <w:bookmarkEnd w:id="210"/>
      <w:bookmarkStart w:id="211" w:name="_Toc139989343"/>
      <w:bookmarkStart w:id="212" w:name="_Toc140147518"/>
      <w:bookmarkStart w:id="213" w:name="_Toc140155161"/>
      <w:bookmarkStart w:id="214" w:name="_Toc140181980"/>
      <w:r>
        <w:rPr>
          <w:rFonts w:hint="default" w:ascii="Times New Roman" w:hAnsi="Times New Roman" w:cs="Times New Roman"/>
          <w:lang w:val="en-US" w:eastAsia="zh-CN"/>
        </w:rPr>
        <w:t>点状原位固化法</w:t>
      </w:r>
      <w:bookmarkEnd w:id="209"/>
      <w:bookmarkEnd w:id="211"/>
      <w:bookmarkEnd w:id="212"/>
      <w:bookmarkEnd w:id="213"/>
      <w:bookmarkEnd w:id="214"/>
    </w:p>
    <w:p w14:paraId="57A706FD">
      <w:pPr>
        <w:rPr>
          <w:rFonts w:hint="default" w:ascii="Times New Roman" w:hAnsi="Times New Roman" w:cs="Times New Roman"/>
        </w:rPr>
      </w:pPr>
      <w:bookmarkStart w:id="215" w:name="_Toc139977335"/>
      <w:bookmarkEnd w:id="215"/>
      <w:bookmarkStart w:id="216" w:name="_Toc139979329"/>
      <w:bookmarkEnd w:id="216"/>
      <w:bookmarkStart w:id="217" w:name="_bookmark17"/>
      <w:bookmarkEnd w:id="217"/>
      <w:bookmarkStart w:id="218" w:name="_Toc139976896"/>
      <w:bookmarkEnd w:id="218"/>
      <w:bookmarkStart w:id="219" w:name="_bookmark18"/>
      <w:bookmarkEnd w:id="219"/>
      <w:r>
        <w:rPr>
          <w:rFonts w:hint="default" w:ascii="Times New Roman" w:hAnsi="Times New Roman" w:cs="Times New Roman"/>
        </w:rPr>
        <w:t>4.8.1  点状原位固化法所用材料应符合下列规定：</w:t>
      </w:r>
    </w:p>
    <w:p w14:paraId="27D2C108">
      <w:pPr>
        <w:ind w:firstLine="480" w:firstLineChars="200"/>
        <w:rPr>
          <w:rFonts w:hint="default" w:ascii="Times New Roman" w:hAnsi="Times New Roman" w:cs="Times New Roman"/>
        </w:rPr>
      </w:pPr>
      <w:r>
        <w:rPr>
          <w:rFonts w:hint="default" w:ascii="Times New Roman" w:hAnsi="Times New Roman" w:cs="Times New Roman"/>
        </w:rPr>
        <w:t>1  软管织物应选用耐化学腐蚀的玻璃纤维织物，规格宜为1050g/m</w:t>
      </w:r>
      <w:r>
        <w:rPr>
          <w:rFonts w:hint="default" w:ascii="Times New Roman" w:hAnsi="Times New Roman" w:cs="Times New Roman"/>
          <w:vertAlign w:val="superscript"/>
        </w:rPr>
        <w:t>2</w:t>
      </w:r>
      <w:r>
        <w:rPr>
          <w:rFonts w:hint="default" w:ascii="Times New Roman" w:hAnsi="Times New Roman" w:cs="Times New Roman"/>
        </w:rPr>
        <w:t>~1400g/m</w:t>
      </w:r>
      <w:r>
        <w:rPr>
          <w:rFonts w:hint="default" w:ascii="Times New Roman" w:hAnsi="Times New Roman" w:cs="Times New Roman"/>
          <w:vertAlign w:val="superscript"/>
        </w:rPr>
        <w:t>2</w:t>
      </w:r>
      <w:r>
        <w:rPr>
          <w:rFonts w:hint="default" w:ascii="Times New Roman" w:hAnsi="Times New Roman" w:cs="Times New Roman"/>
        </w:rPr>
        <w:t>；</w:t>
      </w:r>
    </w:p>
    <w:p w14:paraId="035D3961">
      <w:pPr>
        <w:ind w:firstLine="480" w:firstLineChars="200"/>
        <w:rPr>
          <w:rFonts w:hint="default" w:ascii="Times New Roman" w:hAnsi="Times New Roman" w:cs="Times New Roman"/>
        </w:rPr>
      </w:pPr>
      <w:r>
        <w:rPr>
          <w:rFonts w:hint="default" w:ascii="Times New Roman" w:hAnsi="Times New Roman" w:cs="Times New Roman"/>
        </w:rPr>
        <w:t>2  采用常温固化树脂时，树脂的固化时间宜为1h~2h；</w:t>
      </w:r>
    </w:p>
    <w:p w14:paraId="45D6367E">
      <w:pPr>
        <w:ind w:firstLine="480" w:firstLineChars="200"/>
        <w:rPr>
          <w:rFonts w:hint="default" w:ascii="Times New Roman" w:hAnsi="Times New Roman" w:cs="Times New Roman"/>
        </w:rPr>
      </w:pPr>
      <w:r>
        <w:rPr>
          <w:rFonts w:hint="default" w:ascii="Times New Roman" w:hAnsi="Times New Roman" w:cs="Times New Roman"/>
        </w:rPr>
        <w:t>3  硅酸盐树脂性能指标宜符合表4.8.1的规定；</w:t>
      </w:r>
    </w:p>
    <w:p w14:paraId="684395AC">
      <w:pPr>
        <w:tabs>
          <w:tab w:val="left" w:pos="0"/>
          <w:tab w:val="left" w:pos="2598"/>
        </w:tabs>
        <w:kinsoku w:val="0"/>
        <w:overflowPunct w:val="0"/>
        <w:autoSpaceDE w:val="0"/>
        <w:autoSpaceDN w:val="0"/>
        <w:adjustRightInd w:val="0"/>
        <w:jc w:val="center"/>
        <w:rPr>
          <w:rFonts w:hint="default" w:ascii="Times New Roman" w:hAnsi="Times New Roman" w:cs="Times New Roman"/>
          <w:bCs/>
          <w:szCs w:val="24"/>
        </w:rPr>
      </w:pPr>
      <w:r>
        <w:rPr>
          <w:rFonts w:hint="default" w:ascii="Times New Roman" w:hAnsi="Times New Roman" w:cs="Times New Roman"/>
          <w:b/>
          <w:bCs/>
          <w:szCs w:val="24"/>
        </w:rPr>
        <w:t>表4.8.1  硅酸盐树脂性能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77"/>
        <w:gridCol w:w="1485"/>
        <w:gridCol w:w="4260"/>
      </w:tblGrid>
      <w:tr w14:paraId="4D95E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7" w:type="dxa"/>
            <w:vAlign w:val="center"/>
          </w:tcPr>
          <w:p w14:paraId="21241FEF">
            <w:pPr>
              <w:kinsoku w:val="0"/>
              <w:overflowPunct w:val="0"/>
              <w:autoSpaceDE w:val="0"/>
              <w:autoSpaceDN w:val="0"/>
              <w:adjustRightInd w:val="0"/>
              <w:ind w:left="389" w:right="374"/>
              <w:jc w:val="center"/>
              <w:rPr>
                <w:rFonts w:hint="default" w:ascii="Times New Roman" w:hAnsi="Times New Roman" w:cs="Times New Roman"/>
                <w:bCs/>
                <w:sz w:val="21"/>
              </w:rPr>
            </w:pPr>
            <w:r>
              <w:rPr>
                <w:rFonts w:hint="default" w:ascii="Times New Roman" w:hAnsi="Times New Roman" w:cs="Times New Roman"/>
                <w:bCs/>
                <w:sz w:val="21"/>
              </w:rPr>
              <w:t>项目</w:t>
            </w:r>
          </w:p>
        </w:tc>
        <w:tc>
          <w:tcPr>
            <w:tcW w:w="1485" w:type="dxa"/>
            <w:vAlign w:val="center"/>
          </w:tcPr>
          <w:p w14:paraId="128DD707">
            <w:pPr>
              <w:kinsoku w:val="0"/>
              <w:overflowPunct w:val="0"/>
              <w:autoSpaceDE w:val="0"/>
              <w:autoSpaceDN w:val="0"/>
              <w:adjustRightInd w:val="0"/>
              <w:ind w:right="152"/>
              <w:jc w:val="center"/>
              <w:rPr>
                <w:rFonts w:hint="default" w:ascii="Times New Roman" w:hAnsi="Times New Roman" w:cs="Times New Roman"/>
                <w:bCs/>
                <w:sz w:val="21"/>
              </w:rPr>
            </w:pPr>
            <w:r>
              <w:rPr>
                <w:rFonts w:hint="default" w:ascii="Times New Roman" w:hAnsi="Times New Roman" w:cs="Times New Roman"/>
                <w:bCs/>
                <w:sz w:val="21"/>
              </w:rPr>
              <w:t>技术要求</w:t>
            </w:r>
          </w:p>
        </w:tc>
        <w:tc>
          <w:tcPr>
            <w:tcW w:w="4260" w:type="dxa"/>
            <w:vAlign w:val="center"/>
          </w:tcPr>
          <w:p w14:paraId="262AC146">
            <w:pPr>
              <w:kinsoku w:val="0"/>
              <w:overflowPunct w:val="0"/>
              <w:autoSpaceDE w:val="0"/>
              <w:autoSpaceDN w:val="0"/>
              <w:adjustRightInd w:val="0"/>
              <w:ind w:left="156" w:right="152"/>
              <w:jc w:val="center"/>
              <w:rPr>
                <w:rFonts w:hint="default" w:ascii="Times New Roman" w:hAnsi="Times New Roman" w:cs="Times New Roman"/>
                <w:bCs/>
                <w:sz w:val="21"/>
              </w:rPr>
            </w:pPr>
            <w:r>
              <w:rPr>
                <w:rFonts w:hint="default" w:ascii="Times New Roman" w:hAnsi="Times New Roman" w:cs="Times New Roman"/>
                <w:bCs/>
                <w:sz w:val="21"/>
              </w:rPr>
              <w:t>测试方法</w:t>
            </w:r>
          </w:p>
        </w:tc>
      </w:tr>
      <w:tr w14:paraId="23228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7" w:type="dxa"/>
            <w:vAlign w:val="center"/>
          </w:tcPr>
          <w:p w14:paraId="6EAEEACF">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固化剂密度（g/cm</w:t>
            </w:r>
            <w:r>
              <w:rPr>
                <w:rFonts w:hint="default" w:ascii="Times New Roman" w:hAnsi="Times New Roman" w:cs="Times New Roman"/>
                <w:bCs/>
                <w:sz w:val="21"/>
                <w:vertAlign w:val="superscript"/>
              </w:rPr>
              <w:t>3</w:t>
            </w:r>
            <w:r>
              <w:rPr>
                <w:rFonts w:hint="default" w:ascii="Times New Roman" w:hAnsi="Times New Roman" w:cs="Times New Roman"/>
                <w:bCs/>
                <w:sz w:val="21"/>
              </w:rPr>
              <w:t>）</w:t>
            </w:r>
          </w:p>
        </w:tc>
        <w:tc>
          <w:tcPr>
            <w:tcW w:w="1485" w:type="dxa"/>
            <w:vAlign w:val="center"/>
          </w:tcPr>
          <w:p w14:paraId="4CEDDAFA">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1.5～1.55</w:t>
            </w:r>
          </w:p>
        </w:tc>
        <w:tc>
          <w:tcPr>
            <w:tcW w:w="4260" w:type="dxa"/>
            <w:vMerge w:val="restart"/>
            <w:vAlign w:val="center"/>
          </w:tcPr>
          <w:p w14:paraId="24332075">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《塑料 液体树脂 用比重瓶法测定密度》GB/T 15223</w:t>
            </w:r>
          </w:p>
        </w:tc>
      </w:tr>
      <w:tr w14:paraId="4C07B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7" w:type="dxa"/>
            <w:vAlign w:val="center"/>
          </w:tcPr>
          <w:p w14:paraId="12BE239F">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树脂密度（g/cm</w:t>
            </w:r>
            <w:r>
              <w:rPr>
                <w:rFonts w:hint="default" w:ascii="Times New Roman" w:hAnsi="Times New Roman" w:cs="Times New Roman"/>
                <w:bCs/>
                <w:sz w:val="21"/>
                <w:vertAlign w:val="superscript"/>
              </w:rPr>
              <w:t>3</w:t>
            </w:r>
            <w:r>
              <w:rPr>
                <w:rFonts w:hint="default" w:ascii="Times New Roman" w:hAnsi="Times New Roman" w:cs="Times New Roman"/>
                <w:bCs/>
                <w:sz w:val="21"/>
              </w:rPr>
              <w:t>）</w:t>
            </w:r>
          </w:p>
        </w:tc>
        <w:tc>
          <w:tcPr>
            <w:tcW w:w="1485" w:type="dxa"/>
            <w:vAlign w:val="center"/>
          </w:tcPr>
          <w:p w14:paraId="0B3A5E16">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1.2～1.27</w:t>
            </w:r>
          </w:p>
        </w:tc>
        <w:tc>
          <w:tcPr>
            <w:tcW w:w="4260" w:type="dxa"/>
            <w:vMerge w:val="continue"/>
            <w:vAlign w:val="center"/>
          </w:tcPr>
          <w:p w14:paraId="6BE0F38A">
            <w:pPr>
              <w:kinsoku w:val="0"/>
              <w:overflowPunct w:val="0"/>
              <w:autoSpaceDE w:val="0"/>
              <w:autoSpaceDN w:val="0"/>
              <w:adjustRightInd w:val="0"/>
              <w:jc w:val="center"/>
              <w:rPr>
                <w:rFonts w:hint="default" w:ascii="Times New Roman" w:hAnsi="Times New Roman" w:cs="Times New Roman"/>
                <w:bCs/>
                <w:sz w:val="21"/>
              </w:rPr>
            </w:pPr>
          </w:p>
        </w:tc>
      </w:tr>
      <w:tr w14:paraId="16243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7" w:type="dxa"/>
            <w:vAlign w:val="center"/>
          </w:tcPr>
          <w:p w14:paraId="11B7FBCA">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树脂粘度（mPa·s）</w:t>
            </w:r>
          </w:p>
        </w:tc>
        <w:tc>
          <w:tcPr>
            <w:tcW w:w="1485" w:type="dxa"/>
            <w:vAlign w:val="center"/>
          </w:tcPr>
          <w:p w14:paraId="3CF4E9B1">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150～600</w:t>
            </w:r>
          </w:p>
        </w:tc>
        <w:tc>
          <w:tcPr>
            <w:tcW w:w="4260" w:type="dxa"/>
            <w:vAlign w:val="center"/>
          </w:tcPr>
          <w:p w14:paraId="645712D0">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《粘度测量方法》GB/T 10247</w:t>
            </w:r>
          </w:p>
        </w:tc>
      </w:tr>
      <w:tr w14:paraId="62F69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77" w:type="dxa"/>
            <w:vAlign w:val="center"/>
          </w:tcPr>
          <w:p w14:paraId="69C5FE24">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树脂不挥发物含量（%）</w:t>
            </w:r>
          </w:p>
        </w:tc>
        <w:tc>
          <w:tcPr>
            <w:tcW w:w="1485" w:type="dxa"/>
            <w:vAlign w:val="center"/>
          </w:tcPr>
          <w:p w14:paraId="531396D4">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≥99</w:t>
            </w:r>
          </w:p>
        </w:tc>
        <w:tc>
          <w:tcPr>
            <w:tcW w:w="4260" w:type="dxa"/>
            <w:vAlign w:val="center"/>
          </w:tcPr>
          <w:p w14:paraId="58CDD0EA">
            <w:pPr>
              <w:kinsoku w:val="0"/>
              <w:overflowPunct w:val="0"/>
              <w:autoSpaceDE w:val="0"/>
              <w:autoSpaceDN w:val="0"/>
              <w:adjustRightInd w:val="0"/>
              <w:jc w:val="center"/>
              <w:rPr>
                <w:rFonts w:hint="default" w:ascii="Times New Roman" w:hAnsi="Times New Roman" w:cs="Times New Roman"/>
                <w:bCs/>
                <w:sz w:val="21"/>
              </w:rPr>
            </w:pPr>
            <w:r>
              <w:rPr>
                <w:rFonts w:hint="default" w:ascii="Times New Roman" w:hAnsi="Times New Roman" w:cs="Times New Roman"/>
                <w:bCs/>
                <w:sz w:val="21"/>
              </w:rPr>
              <w:t>《胶粘剂不挥发物含量的测定》GB/T 2793</w:t>
            </w:r>
          </w:p>
        </w:tc>
      </w:tr>
    </w:tbl>
    <w:p w14:paraId="525B9A21">
      <w:pPr>
        <w:widowControl/>
        <w:tabs>
          <w:tab w:val="left" w:pos="1115"/>
        </w:tabs>
        <w:kinsoku w:val="0"/>
        <w:overflowPunct w:val="0"/>
        <w:autoSpaceDE w:val="0"/>
        <w:autoSpaceDN w:val="0"/>
        <w:adjustRightInd w:val="0"/>
        <w:ind w:firstLine="488" w:firstLineChars="200"/>
        <w:rPr>
          <w:rFonts w:hint="default" w:ascii="Times New Roman" w:hAnsi="Times New Roman" w:cs="Times New Roman"/>
          <w:bCs/>
          <w:spacing w:val="2"/>
          <w:szCs w:val="24"/>
        </w:rPr>
      </w:pPr>
      <w:r>
        <w:rPr>
          <w:rFonts w:hint="default" w:ascii="Times New Roman" w:hAnsi="Times New Roman" w:cs="Times New Roman"/>
          <w:bCs/>
          <w:spacing w:val="2"/>
          <w:szCs w:val="24"/>
        </w:rPr>
        <w:t>4  软管织物浸渍完成后应立即使用，或者应在规定的温度下存储，且不应受灰尘等杂物污染。</w:t>
      </w:r>
    </w:p>
    <w:p w14:paraId="280E8EA2">
      <w:pPr>
        <w:rPr>
          <w:rFonts w:hint="default" w:ascii="Times New Roman" w:hAnsi="Times New Roman" w:cs="Times New Roman"/>
        </w:rPr>
      </w:pPr>
      <w:r>
        <w:rPr>
          <w:rFonts w:hint="default" w:ascii="Times New Roman" w:hAnsi="Times New Roman" w:eastAsia="楷体" w:cs="Times New Roman"/>
          <w:kern w:val="2"/>
          <w:szCs w:val="24"/>
          <w:u w:val="single"/>
        </w:rPr>
        <w:t>【条文说明】点状原位固化法目前有3种工艺，分别为常温固化局部修复、光固化局部修复、加热固化（热水固化、电热片加热固化）局部修复。目前国内95%以上采用常温固化，加热固化国内目前无应用。常温固化采用的树脂为双组分，A组分为聚氨酯，B组分为无机硅酸盐，国外习惯统称硅酸盐树脂。</w:t>
      </w:r>
    </w:p>
    <w:p w14:paraId="06DC997B">
      <w:pPr>
        <w:rPr>
          <w:rFonts w:hint="default" w:ascii="Times New Roman" w:hAnsi="Times New Roman" w:cs="Times New Roman"/>
        </w:rPr>
      </w:pPr>
      <w:r>
        <w:rPr>
          <w:rFonts w:hint="default" w:ascii="Times New Roman" w:hAnsi="Times New Roman" w:cs="Times New Roman"/>
        </w:rPr>
        <w:t>4.8.2  修复后的内衬管短期力学性能应符合表4.2.6中玻璃纤维内衬管的要求。</w:t>
      </w:r>
    </w:p>
    <w:p w14:paraId="1506F44A">
      <w:pPr>
        <w:pStyle w:val="3"/>
        <w:bidi w:val="0"/>
        <w:rPr>
          <w:rFonts w:hint="default" w:ascii="Times New Roman" w:hAnsi="Times New Roman" w:cs="Times New Roman"/>
        </w:rPr>
      </w:pPr>
      <w:bookmarkStart w:id="220" w:name="_Toc139976898"/>
      <w:bookmarkEnd w:id="220"/>
      <w:bookmarkStart w:id="221" w:name="_Toc139980254"/>
      <w:bookmarkEnd w:id="221"/>
      <w:bookmarkStart w:id="222" w:name="_Toc139977337"/>
      <w:bookmarkEnd w:id="222"/>
      <w:bookmarkStart w:id="223" w:name="_Toc139979331"/>
      <w:bookmarkEnd w:id="223"/>
      <w:bookmarkStart w:id="224" w:name="_Toc14624"/>
      <w:r>
        <w:rPr>
          <w:rFonts w:hint="default" w:ascii="Times New Roman" w:hAnsi="Times New Roman" w:cs="Times New Roman"/>
        </w:rPr>
        <w:t>4.9</w:t>
      </w:r>
      <w:bookmarkStart w:id="225" w:name="_Toc139989346"/>
      <w:bookmarkEnd w:id="225"/>
      <w:bookmarkStart w:id="226" w:name="_Toc139976900"/>
      <w:bookmarkEnd w:id="226"/>
      <w:bookmarkStart w:id="227" w:name="_Toc139979334"/>
      <w:bookmarkEnd w:id="227"/>
      <w:bookmarkStart w:id="228" w:name="_Toc139980256"/>
      <w:bookmarkEnd w:id="228"/>
      <w:bookmarkStart w:id="229" w:name="_Toc139989345"/>
      <w:bookmarkEnd w:id="229"/>
      <w:bookmarkStart w:id="230" w:name="_Toc139979335"/>
      <w:bookmarkEnd w:id="230"/>
      <w:bookmarkStart w:id="231" w:name="_Toc139989347"/>
      <w:bookmarkEnd w:id="231"/>
      <w:bookmarkStart w:id="232" w:name="_Toc139979336"/>
      <w:bookmarkEnd w:id="232"/>
      <w:bookmarkStart w:id="233" w:name="_Toc139980257"/>
      <w:bookmarkEnd w:id="233"/>
      <w:bookmarkStart w:id="234" w:name="_Toc139979333"/>
      <w:bookmarkEnd w:id="234"/>
      <w:bookmarkStart w:id="235" w:name="_Toc139977339"/>
      <w:bookmarkEnd w:id="235"/>
      <w:bookmarkStart w:id="236" w:name="_Toc139977341"/>
      <w:bookmarkEnd w:id="236"/>
      <w:bookmarkStart w:id="237" w:name="_Toc139977342"/>
      <w:bookmarkEnd w:id="237"/>
      <w:bookmarkStart w:id="238" w:name="_Toc139989344"/>
      <w:bookmarkEnd w:id="238"/>
      <w:bookmarkStart w:id="239" w:name="_Toc139980258"/>
      <w:bookmarkEnd w:id="239"/>
      <w:bookmarkStart w:id="240" w:name="_Toc139976901"/>
      <w:bookmarkEnd w:id="240"/>
      <w:bookmarkStart w:id="241" w:name="_Toc139989348"/>
      <w:bookmarkEnd w:id="241"/>
      <w:bookmarkStart w:id="242" w:name="_Toc139976903"/>
      <w:bookmarkEnd w:id="242"/>
      <w:bookmarkStart w:id="243" w:name="_Toc139977340"/>
      <w:bookmarkEnd w:id="243"/>
      <w:bookmarkStart w:id="244" w:name="_Toc139980255"/>
      <w:bookmarkEnd w:id="244"/>
      <w:bookmarkStart w:id="245" w:name="_Toc139976902"/>
      <w:bookmarkEnd w:id="245"/>
      <w:bookmarkStart w:id="246" w:name="_Toc140155162"/>
      <w:bookmarkStart w:id="247" w:name="_Toc140181981"/>
      <w:bookmarkStart w:id="248" w:name="_Toc140147519"/>
      <w:bookmarkStart w:id="249" w:name="_Toc139989349"/>
      <w:r>
        <w:rPr>
          <w:rFonts w:hint="default" w:ascii="Times New Roman" w:hAnsi="Times New Roman" w:cs="Times New Roman"/>
        </w:rPr>
        <w:t>不锈钢双胀环法</w:t>
      </w:r>
      <w:bookmarkEnd w:id="224"/>
      <w:bookmarkEnd w:id="246"/>
      <w:bookmarkEnd w:id="247"/>
      <w:bookmarkEnd w:id="248"/>
      <w:bookmarkEnd w:id="249"/>
    </w:p>
    <w:p w14:paraId="47B032D4">
      <w:pPr>
        <w:rPr>
          <w:rFonts w:hint="default" w:ascii="Times New Roman" w:hAnsi="Times New Roman" w:cs="Times New Roman"/>
        </w:rPr>
      </w:pPr>
      <w:r>
        <w:rPr>
          <w:rFonts w:hint="default" w:ascii="Times New Roman" w:hAnsi="Times New Roman" w:cs="Times New Roman"/>
        </w:rPr>
        <w:t>4.9.1  不锈钢双胀环应由不锈钢胀环和止水橡胶带构成。</w:t>
      </w:r>
    </w:p>
    <w:p w14:paraId="208BC7BF">
      <w:pPr>
        <w:rPr>
          <w:rFonts w:hint="default" w:ascii="Times New Roman" w:hAnsi="Times New Roman" w:cs="Times New Roman"/>
        </w:rPr>
      </w:pPr>
      <w:r>
        <w:rPr>
          <w:rFonts w:hint="default" w:ascii="Times New Roman" w:hAnsi="Times New Roman" w:cs="Times New Roman"/>
        </w:rPr>
        <w:t>4.9.2  不锈钢双胀环应符合下列规定：</w:t>
      </w:r>
    </w:p>
    <w:p w14:paraId="56C8F66C">
      <w:pPr>
        <w:ind w:firstLine="480" w:firstLineChars="200"/>
        <w:rPr>
          <w:rFonts w:hint="default" w:ascii="Times New Roman" w:hAnsi="Times New Roman" w:cs="Times New Roman"/>
        </w:rPr>
      </w:pPr>
      <w:r>
        <w:rPr>
          <w:rFonts w:hint="default" w:ascii="Times New Roman" w:hAnsi="Times New Roman" w:cs="Times New Roman"/>
        </w:rPr>
        <w:t>1  胀环应选用S304或S316号不锈钢；</w:t>
      </w:r>
    </w:p>
    <w:p w14:paraId="50910112">
      <w:pPr>
        <w:ind w:firstLine="480" w:firstLineChars="200"/>
        <w:rPr>
          <w:rFonts w:hint="default" w:ascii="Times New Roman" w:hAnsi="Times New Roman" w:cs="Times New Roman"/>
        </w:rPr>
      </w:pPr>
      <w:r>
        <w:rPr>
          <w:rFonts w:hint="default" w:ascii="Times New Roman" w:hAnsi="Times New Roman" w:cs="Times New Roman"/>
        </w:rPr>
        <w:t>2  胀环厚度不应小于5mm，宽度不应小于50mm；</w:t>
      </w:r>
    </w:p>
    <w:p w14:paraId="0EACAF5F">
      <w:pPr>
        <w:ind w:firstLine="480" w:firstLineChars="200"/>
        <w:rPr>
          <w:rFonts w:hint="default" w:ascii="Times New Roman" w:hAnsi="Times New Roman" w:cs="Times New Roman"/>
        </w:rPr>
      </w:pPr>
      <w:r>
        <w:rPr>
          <w:rFonts w:hint="default" w:ascii="Times New Roman" w:hAnsi="Times New Roman" w:cs="Times New Roman"/>
        </w:rPr>
        <w:t>3  胀环应满足设计要求。</w:t>
      </w:r>
    </w:p>
    <w:p w14:paraId="2D298B8B">
      <w:pPr>
        <w:rPr>
          <w:rFonts w:hint="default" w:ascii="Times New Roman" w:hAnsi="Times New Roman" w:cs="Times New Roman"/>
        </w:rPr>
      </w:pPr>
      <w:r>
        <w:rPr>
          <w:rFonts w:hint="default" w:ascii="Times New Roman" w:hAnsi="Times New Roman" w:cs="Times New Roman"/>
        </w:rPr>
        <w:t>4.9.3  止水橡胶带应符合下列规定：</w:t>
      </w:r>
    </w:p>
    <w:p w14:paraId="14C43117">
      <w:pPr>
        <w:ind w:firstLine="480" w:firstLineChars="200"/>
        <w:rPr>
          <w:rFonts w:hint="default" w:ascii="Times New Roman" w:hAnsi="Times New Roman" w:cs="Times New Roman"/>
        </w:rPr>
      </w:pPr>
      <w:r>
        <w:rPr>
          <w:rFonts w:hint="default" w:ascii="Times New Roman" w:hAnsi="Times New Roman" w:cs="Times New Roman"/>
        </w:rPr>
        <w:t>1  宜选用耐酸碱、耐老化性能和耐候性好的三元乙丙橡胶，如果污水含有油类成分（尤其是矿物油、燃油等），选用丁腈橡胶更合适；</w:t>
      </w:r>
    </w:p>
    <w:p w14:paraId="7FF433CD">
      <w:pPr>
        <w:ind w:firstLine="480" w:firstLineChars="200"/>
        <w:rPr>
          <w:rFonts w:hint="default" w:ascii="Times New Roman" w:hAnsi="Times New Roman" w:cs="Times New Roman"/>
        </w:rPr>
      </w:pPr>
      <w:r>
        <w:rPr>
          <w:rFonts w:hint="default" w:ascii="Times New Roman" w:hAnsi="Times New Roman" w:cs="Times New Roman"/>
        </w:rPr>
        <w:t>2  橡胶带宽度应按照设计要求制作，宜为300mm~400mm；橡胶带两侧应有不锈钢胀环压槽，压槽背面应有齿状止水条，止水条高度宜为8mm~10mm；</w:t>
      </w:r>
    </w:p>
    <w:p w14:paraId="6AB83938">
      <w:pPr>
        <w:ind w:firstLine="480" w:firstLineChars="200"/>
        <w:rPr>
          <w:rFonts w:hint="default" w:ascii="Times New Roman" w:hAnsi="Times New Roman" w:cs="Times New Roman"/>
        </w:rPr>
      </w:pPr>
      <w:r>
        <w:rPr>
          <w:rFonts w:hint="default" w:ascii="Times New Roman" w:hAnsi="Times New Roman" w:cs="Times New Roman"/>
        </w:rPr>
        <w:t>3  橡胶带表面应平整、无缺陷，性能及保存应符合现行国家标准《橡胶密封件给、排水管及污水管道用接口密封圈材料规范》GB/T 21873的规定；</w:t>
      </w:r>
    </w:p>
    <w:p w14:paraId="49267A82">
      <w:pPr>
        <w:ind w:firstLine="480" w:firstLineChars="200"/>
        <w:rPr>
          <w:rFonts w:hint="default" w:ascii="Times New Roman" w:hAnsi="Times New Roman" w:cs="Times New Roman"/>
        </w:rPr>
      </w:pPr>
      <w:r>
        <w:rPr>
          <w:rFonts w:hint="default" w:ascii="Times New Roman" w:hAnsi="Times New Roman" w:cs="Times New Roman"/>
        </w:rPr>
        <w:t>4  保存期不应超过6个月。</w:t>
      </w:r>
    </w:p>
    <w:p w14:paraId="5354B124">
      <w:pPr>
        <w:pStyle w:val="3"/>
        <w:bidi w:val="0"/>
        <w:rPr>
          <w:rFonts w:hint="default" w:ascii="Times New Roman" w:hAnsi="Times New Roman" w:cs="Times New Roman"/>
        </w:rPr>
      </w:pPr>
      <w:bookmarkStart w:id="250" w:name="_Toc23816"/>
      <w:r>
        <w:rPr>
          <w:rFonts w:hint="default" w:ascii="Times New Roman" w:hAnsi="Times New Roman" w:cs="Times New Roman"/>
        </w:rPr>
        <w:t>4.10</w:t>
      </w:r>
      <w:bookmarkStart w:id="251" w:name="_Toc138062848"/>
      <w:bookmarkEnd w:id="251"/>
      <w:bookmarkStart w:id="252" w:name="_Toc138062676"/>
      <w:bookmarkEnd w:id="252"/>
      <w:bookmarkStart w:id="253" w:name="_Toc139989352"/>
      <w:bookmarkEnd w:id="253"/>
      <w:bookmarkStart w:id="254" w:name="_Toc139989353"/>
      <w:bookmarkEnd w:id="254"/>
      <w:bookmarkStart w:id="255" w:name="_Toc139976906"/>
      <w:bookmarkEnd w:id="255"/>
      <w:bookmarkStart w:id="256" w:name="_Toc139976904"/>
      <w:bookmarkEnd w:id="256"/>
      <w:bookmarkStart w:id="257" w:name="_Toc138061310"/>
      <w:bookmarkEnd w:id="257"/>
      <w:bookmarkStart w:id="258" w:name="_Toc138061406"/>
      <w:bookmarkEnd w:id="258"/>
      <w:bookmarkStart w:id="259" w:name="_Toc138062673"/>
      <w:bookmarkEnd w:id="259"/>
      <w:bookmarkStart w:id="260" w:name="_Toc138060826"/>
      <w:bookmarkEnd w:id="260"/>
      <w:bookmarkStart w:id="261" w:name="_Toc139976905"/>
      <w:bookmarkEnd w:id="261"/>
      <w:bookmarkStart w:id="262" w:name="_Toc138062762"/>
      <w:bookmarkEnd w:id="262"/>
      <w:bookmarkStart w:id="263" w:name="_Toc138063007"/>
      <w:bookmarkEnd w:id="263"/>
      <w:bookmarkStart w:id="264" w:name="_Toc138061407"/>
      <w:bookmarkEnd w:id="264"/>
      <w:bookmarkStart w:id="265" w:name="_Toc138061405"/>
      <w:bookmarkEnd w:id="265"/>
      <w:bookmarkStart w:id="266" w:name="_Toc138075569"/>
      <w:bookmarkEnd w:id="266"/>
      <w:bookmarkStart w:id="267" w:name="_Toc138063008"/>
      <w:bookmarkEnd w:id="267"/>
      <w:bookmarkStart w:id="268" w:name="_Toc138062674"/>
      <w:bookmarkEnd w:id="268"/>
      <w:bookmarkStart w:id="269" w:name="_Toc138075568"/>
      <w:bookmarkEnd w:id="269"/>
      <w:bookmarkStart w:id="270" w:name="_Toc138062845"/>
      <w:bookmarkEnd w:id="270"/>
      <w:bookmarkStart w:id="271" w:name="_Toc139977344"/>
      <w:bookmarkEnd w:id="271"/>
      <w:bookmarkStart w:id="272" w:name="_Toc139980260"/>
      <w:bookmarkEnd w:id="272"/>
      <w:bookmarkStart w:id="273" w:name="_Toc138062764"/>
      <w:bookmarkEnd w:id="273"/>
      <w:bookmarkStart w:id="274" w:name="_Toc139977346"/>
      <w:bookmarkEnd w:id="274"/>
      <w:bookmarkStart w:id="275" w:name="_Toc139979340"/>
      <w:bookmarkEnd w:id="275"/>
      <w:bookmarkStart w:id="276" w:name="_Toc139979339"/>
      <w:bookmarkEnd w:id="276"/>
      <w:bookmarkStart w:id="277" w:name="_Toc139977345"/>
      <w:bookmarkEnd w:id="277"/>
      <w:bookmarkStart w:id="278" w:name="_Toc138061311"/>
      <w:bookmarkEnd w:id="278"/>
      <w:bookmarkStart w:id="279" w:name="_Toc138060827"/>
      <w:bookmarkEnd w:id="279"/>
      <w:bookmarkStart w:id="280" w:name="_Toc138062765"/>
      <w:bookmarkEnd w:id="280"/>
      <w:bookmarkStart w:id="281" w:name="_Toc138075570"/>
      <w:bookmarkEnd w:id="281"/>
      <w:bookmarkStart w:id="282" w:name="_Toc139977343"/>
      <w:bookmarkEnd w:id="282"/>
      <w:bookmarkStart w:id="283" w:name="_Toc139980262"/>
      <w:bookmarkEnd w:id="283"/>
      <w:bookmarkStart w:id="284" w:name="_Toc138063009"/>
      <w:bookmarkEnd w:id="284"/>
      <w:bookmarkStart w:id="285" w:name="_Toc138060825"/>
      <w:bookmarkEnd w:id="285"/>
      <w:bookmarkStart w:id="286" w:name="_Toc139979337"/>
      <w:bookmarkEnd w:id="286"/>
      <w:bookmarkStart w:id="287" w:name="_Toc138062675"/>
      <w:bookmarkEnd w:id="287"/>
      <w:bookmarkStart w:id="288" w:name="_Toc138061312"/>
      <w:bookmarkEnd w:id="288"/>
      <w:bookmarkStart w:id="289" w:name="_Toc138060824"/>
      <w:bookmarkEnd w:id="289"/>
      <w:bookmarkStart w:id="290" w:name="_Toc139989351"/>
      <w:bookmarkEnd w:id="290"/>
      <w:bookmarkStart w:id="291" w:name="_Toc139980261"/>
      <w:bookmarkEnd w:id="291"/>
      <w:bookmarkStart w:id="292" w:name="_Toc139989350"/>
      <w:bookmarkEnd w:id="292"/>
      <w:bookmarkStart w:id="293" w:name="_Toc139980263"/>
      <w:bookmarkEnd w:id="293"/>
      <w:bookmarkStart w:id="294" w:name="_Toc138063010"/>
      <w:bookmarkEnd w:id="294"/>
      <w:bookmarkStart w:id="295" w:name="_Toc138075567"/>
      <w:bookmarkEnd w:id="295"/>
      <w:bookmarkStart w:id="296" w:name="_Toc139976907"/>
      <w:bookmarkEnd w:id="296"/>
      <w:bookmarkStart w:id="297" w:name="_Toc138061313"/>
      <w:bookmarkEnd w:id="297"/>
      <w:bookmarkStart w:id="298" w:name="_Toc139979338"/>
      <w:bookmarkEnd w:id="298"/>
      <w:bookmarkStart w:id="299" w:name="_Toc138062763"/>
      <w:bookmarkEnd w:id="299"/>
      <w:bookmarkStart w:id="300" w:name="_Toc138061404"/>
      <w:bookmarkEnd w:id="300"/>
      <w:bookmarkStart w:id="301" w:name="_Toc138062847"/>
      <w:bookmarkEnd w:id="301"/>
      <w:bookmarkStart w:id="302" w:name="_Toc138062846"/>
      <w:bookmarkEnd w:id="302"/>
      <w:bookmarkStart w:id="303" w:name="_Toc140155163"/>
      <w:bookmarkStart w:id="304" w:name="_Toc140181982"/>
      <w:bookmarkStart w:id="305" w:name="_Toc140147520"/>
      <w:bookmarkStart w:id="306" w:name="_Toc139989354"/>
      <w:bookmarkStart w:id="307" w:name="_Toc138061408"/>
      <w:bookmarkStart w:id="308" w:name="_Toc138075571"/>
      <w:r>
        <w:rPr>
          <w:rFonts w:hint="default" w:ascii="Times New Roman" w:hAnsi="Times New Roman" w:cs="Times New Roman"/>
        </w:rPr>
        <w:t>不锈钢快速锁法</w:t>
      </w:r>
      <w:bookmarkEnd w:id="250"/>
      <w:bookmarkEnd w:id="303"/>
      <w:bookmarkEnd w:id="304"/>
      <w:bookmarkEnd w:id="305"/>
      <w:bookmarkEnd w:id="306"/>
      <w:bookmarkEnd w:id="307"/>
      <w:bookmarkEnd w:id="308"/>
    </w:p>
    <w:p w14:paraId="123FB47F">
      <w:pPr>
        <w:rPr>
          <w:rFonts w:hint="default" w:ascii="Times New Roman" w:hAnsi="Times New Roman" w:cs="Times New Roman"/>
        </w:rPr>
      </w:pPr>
      <w:r>
        <w:rPr>
          <w:rFonts w:hint="default" w:ascii="Times New Roman" w:hAnsi="Times New Roman" w:cs="Times New Roman"/>
        </w:rPr>
        <w:t>4.10.1  不锈钢快速锁应由不锈钢套筒、橡胶套和锁紧结构部件构成。</w:t>
      </w:r>
    </w:p>
    <w:p w14:paraId="42C71348">
      <w:pPr>
        <w:rPr>
          <w:rFonts w:hint="default" w:ascii="Times New Roman" w:hAnsi="Times New Roman" w:cs="Times New Roman"/>
        </w:rPr>
      </w:pPr>
      <w:r>
        <w:rPr>
          <w:rFonts w:hint="default" w:ascii="Times New Roman" w:hAnsi="Times New Roman" w:cs="Times New Roman"/>
        </w:rPr>
        <w:t>4.10.2  不锈钢套筒应符合下列规定：</w:t>
      </w:r>
    </w:p>
    <w:p w14:paraId="00789915">
      <w:pPr>
        <w:ind w:firstLine="480" w:firstLineChars="200"/>
        <w:rPr>
          <w:rFonts w:hint="default" w:ascii="Times New Roman" w:hAnsi="Times New Roman" w:cs="Times New Roman"/>
        </w:rPr>
      </w:pPr>
      <w:r>
        <w:rPr>
          <w:rFonts w:hint="default" w:ascii="Times New Roman" w:hAnsi="Times New Roman" w:cs="Times New Roman"/>
        </w:rPr>
        <w:t>1  套筒应采用S304或S316不锈钢；</w:t>
      </w:r>
    </w:p>
    <w:p w14:paraId="3D73F7B3">
      <w:pPr>
        <w:ind w:firstLine="480" w:firstLineChars="200"/>
        <w:rPr>
          <w:rFonts w:hint="default" w:ascii="Times New Roman" w:hAnsi="Times New Roman" w:cs="Times New Roman"/>
        </w:rPr>
      </w:pPr>
      <w:r>
        <w:rPr>
          <w:rFonts w:hint="default" w:ascii="Times New Roman" w:hAnsi="Times New Roman" w:cs="Times New Roman"/>
        </w:rPr>
        <w:t>2  管径600mm及以下不锈钢套筒应由整片钢板加工成型；</w:t>
      </w:r>
    </w:p>
    <w:p w14:paraId="45D67795">
      <w:pPr>
        <w:ind w:firstLine="480" w:firstLineChars="200"/>
        <w:rPr>
          <w:rFonts w:hint="default" w:ascii="Times New Roman" w:hAnsi="Times New Roman" w:cs="Times New Roman"/>
        </w:rPr>
      </w:pPr>
      <w:r>
        <w:rPr>
          <w:rFonts w:hint="default" w:ascii="Times New Roman" w:hAnsi="Times New Roman" w:cs="Times New Roman"/>
        </w:rPr>
        <w:t>3  管径600mm以上不锈钢套筒宜由2～3片不锈钢钢环片拼装而成。</w:t>
      </w:r>
    </w:p>
    <w:p w14:paraId="47630498">
      <w:pPr>
        <w:rPr>
          <w:rFonts w:hint="default" w:ascii="Times New Roman" w:hAnsi="Times New Roman" w:cs="Times New Roman"/>
        </w:rPr>
      </w:pPr>
      <w:r>
        <w:rPr>
          <w:rFonts w:hint="default" w:ascii="Times New Roman" w:hAnsi="Times New Roman" w:cs="Times New Roman"/>
        </w:rPr>
        <w:t>4.10.3  橡胶套应符合下列规定：</w:t>
      </w:r>
    </w:p>
    <w:p w14:paraId="4FE30615">
      <w:pPr>
        <w:ind w:firstLine="480" w:firstLineChars="200"/>
        <w:rPr>
          <w:rFonts w:hint="default" w:ascii="Times New Roman" w:hAnsi="Times New Roman" w:cs="Times New Roman"/>
        </w:rPr>
      </w:pPr>
      <w:r>
        <w:rPr>
          <w:rFonts w:hint="default" w:ascii="Times New Roman" w:hAnsi="Times New Roman" w:cs="Times New Roman"/>
        </w:rPr>
        <w:t>1  橡胶套应采用耐腐蚀三元乙丙橡胶，长期遇油类污染物，应采用丁腈橡胶；</w:t>
      </w:r>
    </w:p>
    <w:p w14:paraId="38D1CC98">
      <w:pPr>
        <w:ind w:firstLine="480" w:firstLineChars="200"/>
        <w:rPr>
          <w:rFonts w:hint="default" w:ascii="Times New Roman" w:hAnsi="Times New Roman" w:cs="Times New Roman"/>
        </w:rPr>
      </w:pPr>
      <w:r>
        <w:rPr>
          <w:rFonts w:hint="default" w:ascii="Times New Roman" w:hAnsi="Times New Roman" w:cs="Times New Roman"/>
        </w:rPr>
        <w:t>2  橡胶套应为闭合式，橡胶套外部两侧应设有整体式密封凸台，性能及保存应符合现行国家标准《橡胶圈封件给、排水管及污水管道用接口密封圈 材料规范》GB/T 21873的规定；</w:t>
      </w:r>
    </w:p>
    <w:p w14:paraId="02C6929A">
      <w:pPr>
        <w:ind w:firstLine="480" w:firstLineChars="200"/>
        <w:rPr>
          <w:rFonts w:hint="default" w:ascii="Times New Roman" w:hAnsi="Times New Roman" w:cs="Times New Roman"/>
        </w:rPr>
      </w:pPr>
      <w:r>
        <w:rPr>
          <w:rFonts w:hint="default" w:ascii="Times New Roman" w:hAnsi="Times New Roman" w:cs="Times New Roman"/>
        </w:rPr>
        <w:t>3  保存期不应超过6个月。</w:t>
      </w:r>
    </w:p>
    <w:p w14:paraId="1054A74A">
      <w:pPr>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br w:type="page"/>
      </w:r>
    </w:p>
    <w:p w14:paraId="078CA5EF">
      <w:pPr>
        <w:spacing w:line="360" w:lineRule="auto"/>
        <w:jc w:val="center"/>
        <w:outlineLvl w:val="0"/>
        <w:rPr>
          <w:rFonts w:hint="default" w:ascii="Times New Roman" w:hAnsi="Times New Roman" w:eastAsia="宋体" w:cs="Times New Roman"/>
          <w:b/>
          <w:bCs/>
          <w:color w:val="auto"/>
          <w:kern w:val="2"/>
          <w:sz w:val="32"/>
          <w:szCs w:val="32"/>
          <w:lang w:eastAsia="zh-CN"/>
        </w:rPr>
      </w:pPr>
      <w:bookmarkStart w:id="309" w:name="_Toc13690"/>
      <w:r>
        <w:rPr>
          <w:rFonts w:hint="default" w:ascii="Times New Roman" w:hAnsi="Times New Roman" w:cs="Times New Roman"/>
          <w:b/>
          <w:bCs/>
          <w:color w:val="auto"/>
          <w:kern w:val="2"/>
          <w:sz w:val="32"/>
          <w:szCs w:val="32"/>
          <w:lang w:val="en-US" w:eastAsia="zh-CN"/>
        </w:rPr>
        <w:t>5</w:t>
      </w:r>
      <w:r>
        <w:rPr>
          <w:rFonts w:hint="default" w:ascii="Times New Roman" w:hAnsi="Times New Roman" w:cs="Times New Roman"/>
          <w:b/>
          <w:bCs/>
          <w:color w:val="auto"/>
          <w:kern w:val="2"/>
          <w:sz w:val="32"/>
          <w:szCs w:val="32"/>
        </w:rPr>
        <w:t xml:space="preserve"> </w:t>
      </w:r>
      <w:r>
        <w:rPr>
          <w:rFonts w:hint="default" w:ascii="Times New Roman" w:hAnsi="Times New Roman" w:cs="Times New Roman"/>
          <w:b/>
          <w:bCs/>
          <w:color w:val="auto"/>
          <w:kern w:val="2"/>
          <w:sz w:val="32"/>
          <w:szCs w:val="32"/>
          <w:lang w:val="en-US" w:eastAsia="zh-CN"/>
        </w:rPr>
        <w:t>设计</w:t>
      </w:r>
      <w:bookmarkEnd w:id="309"/>
    </w:p>
    <w:p w14:paraId="607917F6">
      <w:pPr>
        <w:pStyle w:val="3"/>
        <w:jc w:val="center"/>
        <w:rPr>
          <w:rFonts w:hint="default" w:ascii="Times New Roman" w:hAnsi="Times New Roman" w:eastAsia="宋体" w:cs="Times New Roman"/>
        </w:rPr>
      </w:pPr>
      <w:bookmarkStart w:id="310" w:name="_Toc11990"/>
      <w:r>
        <w:rPr>
          <w:rFonts w:hint="default" w:ascii="Times New Roman" w:hAnsi="Times New Roman" w:eastAsia="宋体" w:cs="Times New Roman"/>
          <w:lang w:val="en-US" w:eastAsia="zh-CN"/>
        </w:rPr>
        <w:t>5</w:t>
      </w:r>
      <w:r>
        <w:rPr>
          <w:rFonts w:hint="default" w:ascii="Times New Roman" w:hAnsi="Times New Roman" w:eastAsia="宋体" w:cs="Times New Roman"/>
        </w:rPr>
        <w:t>.1一般规定</w:t>
      </w:r>
      <w:bookmarkEnd w:id="310"/>
    </w:p>
    <w:p w14:paraId="2F4E5BA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bookmarkStart w:id="311" w:name="OLE_LINK1"/>
      <w:r>
        <w:rPr>
          <w:rFonts w:hint="default" w:ascii="Times New Roman" w:hAnsi="Times New Roman" w:cs="Times New Roman"/>
          <w:b/>
          <w:bCs/>
          <w:sz w:val="24"/>
          <w:szCs w:val="24"/>
        </w:rPr>
        <w:t>5.1.1</w:t>
      </w:r>
      <w:r>
        <w:rPr>
          <w:rFonts w:hint="default" w:ascii="Times New Roman" w:hAnsi="Times New Roman" w:cs="Times New Roman"/>
          <w:sz w:val="24"/>
          <w:szCs w:val="24"/>
        </w:rPr>
        <w:t xml:space="preserve">  管道非开挖修复更新工程设计前应调查原有管道的基本概况、工程地质和水文地质条件、现场</w:t>
      </w:r>
      <w:r>
        <w:rPr>
          <w:rFonts w:hint="default" w:ascii="Times New Roman" w:hAnsi="Times New Roman" w:cs="Times New Roman"/>
          <w:sz w:val="24"/>
          <w:szCs w:val="24"/>
          <w:lang w:val="en-US" w:eastAsia="zh-CN"/>
        </w:rPr>
        <w:t>施工条件与</w:t>
      </w:r>
      <w:r>
        <w:rPr>
          <w:rFonts w:hint="default" w:ascii="Times New Roman" w:hAnsi="Times New Roman" w:cs="Times New Roman"/>
          <w:sz w:val="24"/>
          <w:szCs w:val="24"/>
        </w:rPr>
        <w:t>施工环境。</w:t>
      </w:r>
    </w:p>
    <w:p w14:paraId="4D12B9C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eastAsia="楷体" w:cs="Times New Roman"/>
          <w:kern w:val="2"/>
          <w:szCs w:val="24"/>
          <w:u w:val="single"/>
        </w:rPr>
        <w:t>【条文说明】原有管道的基本概况包括管道用途、直径、材质、埋深；工程地质和水文地质条件包括管道所处地基情况、覆土类型及其重度、地下水位等；现场环境主要包括：原有管道区域内交通情况以及既有管线、构（建）筑物与原有管道的相互位置关系及其他属性。</w:t>
      </w:r>
    </w:p>
    <w:p w14:paraId="3092054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5.1.</w:t>
      </w:r>
      <w:r>
        <w:rPr>
          <w:rFonts w:hint="default" w:ascii="Times New Roman" w:hAnsi="Times New Roman" w:cs="Times New Roman"/>
          <w:b/>
          <w:bCs/>
          <w:sz w:val="24"/>
          <w:szCs w:val="24"/>
          <w:lang w:val="en-US" w:eastAsia="zh-CN"/>
        </w:rPr>
        <w:t>2</w:t>
      </w:r>
      <w:r>
        <w:rPr>
          <w:rFonts w:hint="default" w:ascii="Times New Roman" w:hAnsi="Times New Roman" w:cs="Times New Roman"/>
          <w:sz w:val="24"/>
          <w:szCs w:val="24"/>
        </w:rPr>
        <w:t xml:space="preserve">  非开挖修复更新工程的设计应符合下列规定：</w:t>
      </w:r>
    </w:p>
    <w:p w14:paraId="26CC3F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1</w:t>
      </w:r>
      <w:r>
        <w:rPr>
          <w:rFonts w:hint="default" w:ascii="Times New Roman" w:hAnsi="Times New Roman" w:cs="Times New Roman"/>
          <w:sz w:val="24"/>
          <w:szCs w:val="24"/>
        </w:rPr>
        <w:t xml:space="preserve">  当原有管道地基不满足要求时，应进行处理；</w:t>
      </w:r>
    </w:p>
    <w:p w14:paraId="72036B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2</w:t>
      </w:r>
      <w:r>
        <w:rPr>
          <w:rFonts w:hint="default" w:ascii="Times New Roman" w:hAnsi="Times New Roman" w:cs="Times New Roman"/>
          <w:sz w:val="24"/>
          <w:szCs w:val="24"/>
        </w:rPr>
        <w:t xml:space="preserve">  修复后管道的结构应满足承载能力和正常使用极限状态的要求；</w:t>
      </w:r>
    </w:p>
    <w:p w14:paraId="54F0BB5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3</w:t>
      </w:r>
      <w:r>
        <w:rPr>
          <w:rFonts w:hint="default" w:ascii="Times New Roman" w:hAnsi="Times New Roman" w:cs="Times New Roman"/>
          <w:sz w:val="24"/>
          <w:szCs w:val="24"/>
        </w:rPr>
        <w:t xml:space="preserve">  修复后管道的应满足过流能力要求；</w:t>
      </w:r>
    </w:p>
    <w:p w14:paraId="4554A70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4</w:t>
      </w:r>
      <w:r>
        <w:rPr>
          <w:rFonts w:hint="default" w:ascii="Times New Roman" w:hAnsi="Times New Roman" w:cs="Times New Roman"/>
          <w:sz w:val="24"/>
          <w:szCs w:val="24"/>
        </w:rPr>
        <w:t xml:space="preserve">  修复后管道应满足管道维护管理要求。</w:t>
      </w:r>
    </w:p>
    <w:p w14:paraId="6B48089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lang w:eastAsia="zh-CN"/>
        </w:rPr>
      </w:pPr>
      <w:r>
        <w:rPr>
          <w:rFonts w:hint="default" w:ascii="Times New Roman" w:hAnsi="Times New Roman" w:eastAsia="楷体" w:cs="Times New Roman"/>
          <w:kern w:val="2"/>
          <w:szCs w:val="24"/>
          <w:u w:val="single"/>
        </w:rPr>
        <w:t>【条文说明】本条规定了修复更新工程的设计原则，原有管道地基不满足要求主要是指管道地基失稳或发生不均匀沉降的情况</w:t>
      </w:r>
      <w:r>
        <w:rPr>
          <w:rFonts w:hint="default" w:ascii="Times New Roman" w:hAnsi="Times New Roman" w:eastAsia="楷体" w:cs="Times New Roman"/>
          <w:kern w:val="2"/>
          <w:szCs w:val="24"/>
          <w:u w:val="single"/>
          <w:lang w:eastAsia="zh-CN"/>
        </w:rPr>
        <w:t>。</w:t>
      </w:r>
    </w:p>
    <w:p w14:paraId="14410BE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5.1.</w:t>
      </w:r>
      <w:r>
        <w:rPr>
          <w:rFonts w:hint="default" w:ascii="Times New Roman" w:hAnsi="Times New Roman" w:cs="Times New Roman"/>
          <w:b/>
          <w:bCs/>
          <w:sz w:val="24"/>
          <w:szCs w:val="24"/>
          <w:lang w:val="en-US" w:eastAsia="zh-CN"/>
        </w:rPr>
        <w:t>3</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管道非开挖修复更新方法的适用范围和使用条件</w:t>
      </w:r>
      <w:r>
        <w:rPr>
          <w:rFonts w:hint="default" w:ascii="Times New Roman" w:hAnsi="Times New Roman" w:cs="Times New Roman"/>
          <w:sz w:val="24"/>
          <w:szCs w:val="24"/>
          <w:lang w:eastAsia="zh-CN"/>
        </w:rPr>
        <w:t>，</w:t>
      </w:r>
      <w:r>
        <w:rPr>
          <w:rFonts w:hint="default" w:ascii="Times New Roman" w:hAnsi="Times New Roman" w:cs="Times New Roman"/>
          <w:sz w:val="24"/>
          <w:szCs w:val="24"/>
        </w:rPr>
        <w:t>可按</w:t>
      </w:r>
      <w:r>
        <w:rPr>
          <w:rFonts w:hint="default" w:ascii="Times New Roman" w:hAnsi="Times New Roman" w:cs="Times New Roman"/>
          <w:sz w:val="24"/>
          <w:szCs w:val="24"/>
          <w:lang w:val="en-US" w:eastAsia="zh-CN"/>
        </w:rPr>
        <w:t>附录A确定</w:t>
      </w:r>
      <w:r>
        <w:rPr>
          <w:rFonts w:hint="default" w:ascii="Times New Roman" w:hAnsi="Times New Roman" w:cs="Times New Roman"/>
          <w:sz w:val="24"/>
          <w:szCs w:val="24"/>
        </w:rPr>
        <w:t>。</w:t>
      </w:r>
    </w:p>
    <w:p w14:paraId="6E4BB04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5.1.</w:t>
      </w:r>
      <w:r>
        <w:rPr>
          <w:rFonts w:hint="default" w:ascii="Times New Roman" w:hAnsi="Times New Roman" w:cs="Times New Roman"/>
          <w:b/>
          <w:bCs/>
          <w:sz w:val="24"/>
          <w:szCs w:val="24"/>
          <w:lang w:val="en-US" w:eastAsia="zh-CN"/>
        </w:rPr>
        <w:t>4</w:t>
      </w:r>
      <w:r>
        <w:rPr>
          <w:rFonts w:hint="default" w:ascii="Times New Roman" w:hAnsi="Times New Roman" w:cs="Times New Roman"/>
          <w:sz w:val="24"/>
          <w:szCs w:val="24"/>
        </w:rPr>
        <w:t xml:space="preserve">  相同直径并且管道转角符合本规程</w:t>
      </w:r>
      <w:r>
        <w:rPr>
          <w:rFonts w:hint="default" w:ascii="Times New Roman" w:hAnsi="Times New Roman" w:cs="Times New Roman"/>
          <w:sz w:val="24"/>
          <w:szCs w:val="24"/>
          <w:lang w:val="en-US" w:eastAsia="zh-CN"/>
        </w:rPr>
        <w:t>附录A</w:t>
      </w:r>
      <w:r>
        <w:rPr>
          <w:rFonts w:hint="default" w:ascii="Times New Roman" w:hAnsi="Times New Roman" w:cs="Times New Roman"/>
          <w:sz w:val="24"/>
          <w:szCs w:val="24"/>
        </w:rPr>
        <w:t>规定的管道，可按同一个修复段进行设计，否则应按不同管段进行设计。</w:t>
      </w:r>
    </w:p>
    <w:p w14:paraId="63C8DB5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sz w:val="24"/>
          <w:szCs w:val="24"/>
        </w:rPr>
      </w:pPr>
      <w:r>
        <w:rPr>
          <w:rFonts w:hint="default" w:ascii="Times New Roman" w:hAnsi="Times New Roman" w:cs="Times New Roman"/>
          <w:b/>
          <w:sz w:val="24"/>
          <w:szCs w:val="24"/>
        </w:rPr>
        <w:t>5.1.</w:t>
      </w:r>
      <w:r>
        <w:rPr>
          <w:rFonts w:hint="default" w:ascii="Times New Roman" w:hAnsi="Times New Roman" w:cs="Times New Roman"/>
          <w:b/>
          <w:sz w:val="24"/>
          <w:szCs w:val="24"/>
          <w:lang w:val="en-US" w:eastAsia="zh-CN"/>
        </w:rPr>
        <w:t>5</w:t>
      </w:r>
      <w:r>
        <w:rPr>
          <w:rFonts w:hint="default" w:ascii="Times New Roman" w:hAnsi="Times New Roman" w:cs="Times New Roman"/>
          <w:b/>
          <w:sz w:val="24"/>
          <w:szCs w:val="24"/>
        </w:rPr>
        <w:t xml:space="preserve">  </w:t>
      </w:r>
      <w:r>
        <w:rPr>
          <w:rFonts w:hint="default" w:ascii="Times New Roman" w:hAnsi="Times New Roman" w:cs="Times New Roman"/>
          <w:sz w:val="24"/>
          <w:szCs w:val="24"/>
        </w:rPr>
        <w:t>非开挖管道修复更新工程所用管材直径的选择应符合下列规定：</w:t>
      </w:r>
    </w:p>
    <w:p w14:paraId="092CCCB5">
      <w:pPr>
        <w:keepNext w:val="0"/>
        <w:keepLines w:val="0"/>
        <w:pageBreakBefore w:val="0"/>
        <w:widowControl w:val="0"/>
        <w:kinsoku/>
        <w:wordWrap/>
        <w:overflowPunct/>
        <w:topLinePunct w:val="0"/>
        <w:autoSpaceDE/>
        <w:autoSpaceDN/>
        <w:bidi w:val="0"/>
        <w:adjustRightInd/>
        <w:snapToGrid/>
        <w:ind w:firstLine="484" w:firstLineChars="201"/>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1 </w:t>
      </w:r>
      <w:r>
        <w:rPr>
          <w:rFonts w:hint="default" w:ascii="Times New Roman" w:hAnsi="Times New Roman" w:cs="Times New Roman"/>
          <w:sz w:val="24"/>
          <w:szCs w:val="24"/>
        </w:rPr>
        <w:t xml:space="preserve"> 机械制螺旋缠绕法内衬管的内径不宜小于原有管道内径的90%；</w:t>
      </w:r>
    </w:p>
    <w:p w14:paraId="2F1D3BB0">
      <w:pPr>
        <w:keepNext w:val="0"/>
        <w:keepLines w:val="0"/>
        <w:pageBreakBefore w:val="0"/>
        <w:widowControl w:val="0"/>
        <w:kinsoku/>
        <w:wordWrap/>
        <w:overflowPunct/>
        <w:topLinePunct w:val="0"/>
        <w:autoSpaceDE/>
        <w:autoSpaceDN/>
        <w:bidi w:val="0"/>
        <w:adjustRightInd/>
        <w:snapToGrid/>
        <w:ind w:firstLine="484" w:firstLineChars="201"/>
        <w:textAlignment w:val="auto"/>
        <w:rPr>
          <w:rFonts w:hint="default" w:ascii="Times New Roman" w:hAnsi="Times New Roman" w:cs="Times New Roman"/>
          <w:color w:val="0070C0"/>
          <w:sz w:val="24"/>
          <w:szCs w:val="24"/>
        </w:rPr>
      </w:pPr>
      <w:r>
        <w:rPr>
          <w:rFonts w:hint="default" w:ascii="Times New Roman" w:hAnsi="Times New Roman" w:cs="Times New Roman"/>
          <w:b/>
          <w:sz w:val="24"/>
          <w:szCs w:val="24"/>
          <w:lang w:val="en-US" w:eastAsia="zh-CN"/>
        </w:rPr>
        <w:t>2</w:t>
      </w:r>
      <w:r>
        <w:rPr>
          <w:rFonts w:hint="default" w:ascii="Times New Roman" w:hAnsi="Times New Roman" w:cs="Times New Roman"/>
          <w:sz w:val="24"/>
          <w:szCs w:val="24"/>
        </w:rPr>
        <w:t xml:space="preserve">  折叠内衬法内衬管外径应与原有管道内径相一致，缩径内衬法内衬管复原后应与原有管道形成紧密</w:t>
      </w:r>
      <w:r>
        <w:rPr>
          <w:rFonts w:hint="default" w:ascii="Times New Roman" w:hAnsi="Times New Roman" w:cs="Times New Roman"/>
          <w:sz w:val="24"/>
          <w:szCs w:val="24"/>
          <w:lang w:val="en-US" w:eastAsia="zh-CN"/>
        </w:rPr>
        <w:t>贴合</w:t>
      </w:r>
      <w:r>
        <w:rPr>
          <w:rFonts w:hint="default" w:ascii="Times New Roman" w:hAnsi="Times New Roman" w:cs="Times New Roman"/>
          <w:sz w:val="24"/>
          <w:szCs w:val="24"/>
        </w:rPr>
        <w:t>；</w:t>
      </w:r>
    </w:p>
    <w:p w14:paraId="399D48AA">
      <w:pPr>
        <w:keepNext w:val="0"/>
        <w:keepLines w:val="0"/>
        <w:pageBreakBefore w:val="0"/>
        <w:widowControl w:val="0"/>
        <w:kinsoku/>
        <w:wordWrap/>
        <w:overflowPunct/>
        <w:topLinePunct w:val="0"/>
        <w:autoSpaceDE/>
        <w:autoSpaceDN/>
        <w:bidi w:val="0"/>
        <w:adjustRightInd/>
        <w:snapToGrid/>
        <w:ind w:firstLine="484" w:firstLineChars="201"/>
        <w:textAlignment w:val="auto"/>
        <w:rPr>
          <w:rFonts w:hint="default" w:ascii="Times New Roman" w:hAnsi="Times New Roman" w:cs="Times New Roman"/>
          <w:sz w:val="24"/>
          <w:szCs w:val="24"/>
        </w:rPr>
      </w:pPr>
      <w:r>
        <w:rPr>
          <w:rFonts w:hint="default" w:ascii="Times New Roman" w:hAnsi="Times New Roman" w:cs="Times New Roman"/>
          <w:b/>
          <w:sz w:val="24"/>
          <w:szCs w:val="24"/>
          <w:lang w:val="en-US" w:eastAsia="zh-CN"/>
        </w:rPr>
        <w:t>3</w:t>
      </w:r>
      <w:r>
        <w:rPr>
          <w:rFonts w:hint="default" w:ascii="Times New Roman" w:hAnsi="Times New Roman" w:cs="Times New Roman"/>
          <w:sz w:val="24"/>
          <w:szCs w:val="24"/>
        </w:rPr>
        <w:t xml:space="preserve">  原位固化法所用软管外径应与原有管道内径相一致。</w:t>
      </w:r>
    </w:p>
    <w:bookmarkEnd w:id="311"/>
    <w:p w14:paraId="24658177">
      <w:pPr>
        <w:pStyle w:val="3"/>
        <w:jc w:val="center"/>
        <w:rPr>
          <w:rFonts w:hint="default" w:ascii="Times New Roman" w:hAnsi="Times New Roman" w:eastAsia="宋体" w:cs="Times New Roman"/>
          <w:lang w:val="en-US" w:eastAsia="zh-CN"/>
        </w:rPr>
      </w:pPr>
      <w:bookmarkStart w:id="312" w:name="_Toc3356"/>
      <w:r>
        <w:rPr>
          <w:rFonts w:hint="default" w:ascii="Times New Roman" w:hAnsi="Times New Roman" w:eastAsia="宋体" w:cs="Times New Roman"/>
          <w:lang w:val="en-US" w:eastAsia="zh-CN"/>
        </w:rPr>
        <w:t>5</w:t>
      </w:r>
      <w:r>
        <w:rPr>
          <w:rFonts w:hint="default" w:ascii="Times New Roman" w:hAnsi="Times New Roman" w:eastAsia="宋体" w:cs="Times New Roman"/>
        </w:rPr>
        <w:t>.</w:t>
      </w:r>
      <w:r>
        <w:rPr>
          <w:rFonts w:hint="default" w:ascii="Times New Roman" w:hAnsi="Times New Roman" w:eastAsia="宋体" w:cs="Times New Roman"/>
          <w:lang w:val="en-US" w:eastAsia="zh-CN"/>
        </w:rPr>
        <w:t>2内衬管设计</w:t>
      </w:r>
      <w:bookmarkEnd w:id="312"/>
    </w:p>
    <w:p w14:paraId="38A817D2">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5.2.1</w:t>
      </w:r>
      <w:r>
        <w:rPr>
          <w:rFonts w:hint="default" w:ascii="Times New Roman" w:hAnsi="Times New Roman" w:cs="Times New Roman"/>
          <w:sz w:val="24"/>
          <w:szCs w:val="24"/>
        </w:rPr>
        <w:t xml:space="preserve">  采用玻璃纤维、针状毛毡、PE或PVC-U作为原位固化法的内衬管进行管道半结构性修复时，内衬管最小壁厚应符合下列规定：</w:t>
      </w:r>
    </w:p>
    <w:p w14:paraId="10B1AC20">
      <w:pPr>
        <w:keepNext w:val="0"/>
        <w:keepLines w:val="0"/>
        <w:pageBreakBefore w:val="0"/>
        <w:widowControl w:val="0"/>
        <w:kinsoku/>
        <w:overflowPunct/>
        <w:topLinePunct w:val="0"/>
        <w:autoSpaceDN/>
        <w:bidi w:val="0"/>
        <w:adjustRightInd/>
        <w:spacing w:line="360" w:lineRule="auto"/>
        <w:ind w:firstLine="484" w:firstLineChars="201"/>
        <w:rPr>
          <w:rFonts w:hint="default" w:ascii="Times New Roman" w:hAnsi="Times New Roman" w:cs="Times New Roman"/>
          <w:sz w:val="24"/>
          <w:szCs w:val="24"/>
        </w:rPr>
      </w:pPr>
      <w:r>
        <w:rPr>
          <w:rFonts w:hint="default" w:ascii="Times New Roman" w:hAnsi="Times New Roman" w:cs="Times New Roman"/>
          <w:b/>
          <w:sz w:val="24"/>
          <w:szCs w:val="24"/>
        </w:rPr>
        <w:t>1</w:t>
      </w:r>
      <w:r>
        <w:rPr>
          <w:rFonts w:hint="default" w:ascii="Times New Roman" w:hAnsi="Times New Roman" w:cs="Times New Roman"/>
          <w:sz w:val="24"/>
          <w:szCs w:val="24"/>
        </w:rPr>
        <w:t xml:space="preserve">  内衬管壁厚宜按下列公式计算：</w:t>
      </w:r>
    </w:p>
    <w:p w14:paraId="6FE7CC3C">
      <w:pPr>
        <w:keepNext w:val="0"/>
        <w:keepLines w:val="0"/>
        <w:pageBreakBefore w:val="0"/>
        <w:widowControl w:val="0"/>
        <w:kinsoku/>
        <w:wordWrap/>
        <w:overflowPunct/>
        <w:topLinePunct w:val="0"/>
        <w:autoSpaceDE/>
        <w:autoSpaceDN/>
        <w:bidi w:val="0"/>
        <w:adjustRightInd/>
        <w:snapToGrid w:val="0"/>
        <w:spacing w:before="156" w:beforeLines="50" w:after="156" w:afterLines="50" w:line="360" w:lineRule="auto"/>
        <w:ind w:firstLine="0" w:firstLineChars="0"/>
        <w:jc w:val="right"/>
        <w:textAlignment w:val="auto"/>
        <w:rPr>
          <w:rFonts w:hint="default" w:ascii="Times New Roman" w:hAnsi="Times New Roman" w:cs="Times New Roman"/>
          <w:sz w:val="24"/>
          <w:szCs w:val="24"/>
        </w:rPr>
      </w:pPr>
      <w:r>
        <w:rPr>
          <w:rFonts w:hint="default" w:ascii="Times New Roman" w:hAnsi="Times New Roman" w:cs="Times New Roman"/>
          <w:position w:val="-78"/>
          <w:sz w:val="24"/>
          <w:szCs w:val="24"/>
        </w:rPr>
        <w:object>
          <v:shape id="_x0000_i1027" o:spt="75" type="#_x0000_t75" style="height:56.35pt;width:106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6" r:id="rId20">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（5.2.1-1）</w:t>
      </w:r>
    </w:p>
    <w:p w14:paraId="64804353">
      <w:pPr>
        <w:keepNext w:val="0"/>
        <w:keepLines w:val="0"/>
        <w:pageBreakBefore w:val="0"/>
        <w:widowControl w:val="0"/>
        <w:kinsoku/>
        <w:wordWrap w:val="0"/>
        <w:overflowPunct/>
        <w:topLinePunct w:val="0"/>
        <w:autoSpaceDE/>
        <w:autoSpaceDN/>
        <w:bidi w:val="0"/>
        <w:adjustRightInd/>
        <w:snapToGrid w:val="0"/>
        <w:spacing w:before="156" w:beforeLines="50" w:after="156" w:afterLines="50" w:line="360" w:lineRule="auto"/>
        <w:ind w:firstLine="0" w:firstLineChars="0"/>
        <w:jc w:val="right"/>
        <w:textAlignment w:val="center"/>
        <w:rPr>
          <w:rFonts w:hint="default" w:ascii="Times New Roman" w:hAnsi="Times New Roman" w:cs="Times New Roman"/>
          <w:position w:val="-36"/>
          <w:sz w:val="24"/>
          <w:szCs w:val="24"/>
        </w:rPr>
      </w:pPr>
      <w:r>
        <w:rPr>
          <w:rFonts w:hint="default" w:ascii="Times New Roman" w:hAnsi="Times New Roman" w:cs="Times New Roman"/>
          <w:position w:val="-36"/>
          <w:sz w:val="24"/>
          <w:szCs w:val="24"/>
        </w:rPr>
        <w:object>
          <v:shape id="_x0000_i1028" o:spt="75" type="#_x0000_t75" style="height:43.3pt;width:72pt;" o:ole="t" filled="f" coordsize="21600,21600">
            <v:path/>
            <v:fill on="f" focussize="0,0"/>
            <v:stroke/>
            <v:imagedata r:id="rId23" o:title=""/>
            <o:lock v:ext="edit" aspectratio="t"/>
            <w10:wrap type="none"/>
            <w10:anchorlock/>
          </v:shape>
          <o:OLEObject Type="Embed" ProgID="Equation.DSMT4" ShapeID="_x0000_i1028" DrawAspect="Content" ObjectID="_1468075727" r:id="rId22">
            <o:LockedField>false</o:LockedField>
          </o:OLEObject>
        </w:object>
      </w:r>
      <w:r>
        <w:rPr>
          <w:rFonts w:hint="default" w:ascii="Times New Roman" w:hAnsi="Times New Roman" w:cs="Times New Roman"/>
          <w:position w:val="-36"/>
          <w:sz w:val="24"/>
          <w:szCs w:val="24"/>
        </w:rPr>
        <w:t xml:space="preserve">        </w:t>
      </w:r>
      <w:r>
        <w:rPr>
          <w:rFonts w:hint="default" w:ascii="Times New Roman" w:hAnsi="Times New Roman" w:cs="Times New Roman"/>
          <w:position w:val="-36"/>
          <w:sz w:val="24"/>
          <w:szCs w:val="24"/>
          <w:lang w:val="en-US" w:eastAsia="zh-CN"/>
        </w:rPr>
        <w:t xml:space="preserve">      </w:t>
      </w:r>
      <w:r>
        <w:rPr>
          <w:rFonts w:hint="default" w:ascii="Times New Roman" w:hAnsi="Times New Roman" w:cs="Times New Roman"/>
          <w:position w:val="-36"/>
          <w:sz w:val="24"/>
          <w:szCs w:val="24"/>
        </w:rPr>
        <w:t xml:space="preserve">          （5.2.1-2）</w:t>
      </w:r>
    </w:p>
    <w:p w14:paraId="4F6AED1A">
      <w:pPr>
        <w:keepNext w:val="0"/>
        <w:keepLines w:val="0"/>
        <w:pageBreakBefore w:val="0"/>
        <w:widowControl w:val="0"/>
        <w:kinsoku/>
        <w:wordWrap/>
        <w:overflowPunct/>
        <w:topLinePunct w:val="0"/>
        <w:autoSpaceDE/>
        <w:autoSpaceDN/>
        <w:bidi w:val="0"/>
        <w:adjustRightInd/>
        <w:snapToGrid w:val="0"/>
        <w:spacing w:before="156" w:beforeLines="50" w:after="156" w:afterLines="50" w:line="360" w:lineRule="auto"/>
        <w:ind w:right="0" w:firstLine="0"/>
        <w:jc w:val="right"/>
        <w:textAlignment w:val="bottom"/>
        <w:rPr>
          <w:rFonts w:hint="default" w:ascii="Times New Roman" w:hAnsi="Times New Roman" w:cs="Times New Roman"/>
          <w:sz w:val="24"/>
          <w:szCs w:val="24"/>
        </w:rPr>
      </w:pPr>
      <w:r>
        <w:rPr>
          <w:rFonts w:hint="default" w:ascii="Times New Roman" w:hAnsi="Times New Roman" w:cs="Times New Roman"/>
          <w:position w:val="-30"/>
          <w:sz w:val="24"/>
          <w:szCs w:val="24"/>
        </w:rPr>
        <w:object>
          <v:shape id="_x0000_i1029" o:spt="75" type="#_x0000_t75" style="height:36pt;width:79.3pt;" o:ole="t" filled="f" coordsize="21600,21600">
            <v:path/>
            <v:fill on="f" focussize="0,0"/>
            <v:stroke/>
            <v:imagedata r:id="rId25" o:title=""/>
            <o:lock v:ext="edit" aspectratio="t"/>
            <w10:wrap type="none"/>
            <w10:anchorlock/>
          </v:shape>
          <o:OLEObject Type="Embed" ProgID="Equation.DSMT4" ShapeID="_x0000_i1029" DrawAspect="Content" ObjectID="_1468075728" r:id="rId24">
            <o:LockedField>false</o:LockedField>
          </o:OLEObject>
        </w:object>
      </w:r>
      <w:r>
        <w:rPr>
          <w:rFonts w:hint="default" w:ascii="Times New Roman" w:hAnsi="Times New Roman" w:cs="Times New Roman"/>
          <w:position w:val="-10"/>
          <w:sz w:val="24"/>
          <w:szCs w:val="24"/>
        </w:rPr>
        <w:t xml:space="preserve"> </w:t>
      </w:r>
      <w:r>
        <w:rPr>
          <w:rFonts w:hint="default" w:ascii="Times New Roman" w:hAnsi="Times New Roman" w:cs="Times New Roman"/>
          <w:sz w:val="24"/>
          <w:szCs w:val="24"/>
        </w:rPr>
        <w:t xml:space="preserve">或 </w:t>
      </w:r>
      <w:r>
        <w:rPr>
          <w:rFonts w:hint="default" w:ascii="Times New Roman" w:hAnsi="Times New Roman" w:cs="Times New Roman"/>
          <w:position w:val="-30"/>
          <w:sz w:val="24"/>
          <w:szCs w:val="24"/>
        </w:rPr>
        <w:object>
          <v:shape id="_x0000_i1030" o:spt="75" type="#_x0000_t75" style="height:36pt;width:72pt;" o:ole="t" filled="f" coordsize="21600,21600">
            <v:path/>
            <v:fill on="f" focussize="0,0"/>
            <v:stroke/>
            <v:imagedata r:id="rId27" o:title=""/>
            <o:lock v:ext="edit" aspectratio="t"/>
            <w10:wrap type="none"/>
            <w10:anchorlock/>
          </v:shape>
          <o:OLEObject Type="Embed" ProgID="Equation.DSMT4" ShapeID="_x0000_i1030" DrawAspect="Content" ObjectID="_1468075729" r:id="rId26">
            <o:LockedField>false</o:LockedField>
          </o:OLEObject>
        </w:object>
      </w:r>
      <w:r>
        <w:rPr>
          <w:rFonts w:hint="default" w:ascii="Times New Roman" w:hAnsi="Times New Roman" w:cs="Times New Roman"/>
          <w:position w:val="-12"/>
          <w:sz w:val="24"/>
          <w:szCs w:val="24"/>
        </w:rPr>
        <w:t xml:space="preserve">      </w:t>
      </w:r>
      <w:r>
        <w:rPr>
          <w:rFonts w:hint="default" w:ascii="Times New Roman" w:hAnsi="Times New Roman" w:cs="Times New Roman"/>
          <w:position w:val="-12"/>
          <w:sz w:val="24"/>
          <w:szCs w:val="24"/>
          <w:lang w:val="en-US" w:eastAsia="zh-CN"/>
        </w:rPr>
        <w:t xml:space="preserve"> </w:t>
      </w:r>
      <w:r>
        <w:rPr>
          <w:rFonts w:hint="default" w:ascii="Times New Roman" w:hAnsi="Times New Roman" w:cs="Times New Roman"/>
          <w:position w:val="-12"/>
          <w:sz w:val="24"/>
          <w:szCs w:val="24"/>
        </w:rPr>
        <w:t xml:space="preserve">    </w:t>
      </w:r>
      <w:r>
        <w:rPr>
          <w:rFonts w:hint="default" w:ascii="Times New Roman" w:hAnsi="Times New Roman" w:cs="Times New Roman"/>
          <w:sz w:val="24"/>
          <w:szCs w:val="24"/>
        </w:rPr>
        <w:t>（5.2.1-3）</w:t>
      </w:r>
    </w:p>
    <w:p w14:paraId="3E88D899">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iCs/>
          <w:sz w:val="24"/>
          <w:szCs w:val="24"/>
        </w:rPr>
        <w:t>t</w:t>
      </w:r>
      <w:r>
        <w:rPr>
          <w:rFonts w:hint="default" w:ascii="Times New Roman" w:hAnsi="Times New Roman" w:cs="Times New Roman"/>
          <w:sz w:val="24"/>
          <w:szCs w:val="24"/>
        </w:rPr>
        <w:t>——内衬管壁厚（mm）；</w:t>
      </w:r>
    </w:p>
    <w:p w14:paraId="24FB305F">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D</w:t>
      </w:r>
      <w:r>
        <w:rPr>
          <w:rFonts w:hint="default" w:ascii="Times New Roman" w:hAnsi="Times New Roman" w:cs="Times New Roman"/>
          <w:i/>
          <w:iCs/>
          <w:sz w:val="24"/>
          <w:szCs w:val="24"/>
          <w:vertAlign w:val="subscript"/>
        </w:rPr>
        <w:t>O</w:t>
      </w:r>
      <w:r>
        <w:rPr>
          <w:rFonts w:hint="default" w:ascii="Times New Roman" w:hAnsi="Times New Roman" w:cs="Times New Roman"/>
          <w:sz w:val="24"/>
          <w:szCs w:val="24"/>
        </w:rPr>
        <w:t>——内衬管管道外径（mm）；</w:t>
      </w:r>
    </w:p>
    <w:p w14:paraId="1D80B3A9">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K</w:t>
      </w:r>
      <w:r>
        <w:rPr>
          <w:rFonts w:hint="default" w:ascii="Times New Roman" w:hAnsi="Times New Roman" w:cs="Times New Roman"/>
          <w:sz w:val="24"/>
          <w:szCs w:val="24"/>
        </w:rPr>
        <w:t>——圆周支持率，推荐取值为7.0；</w:t>
      </w:r>
    </w:p>
    <w:p w14:paraId="79E9697A">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E</w:t>
      </w:r>
      <w:r>
        <w:rPr>
          <w:rFonts w:hint="default" w:ascii="Times New Roman" w:hAnsi="Times New Roman" w:cs="Times New Roman"/>
          <w:i/>
          <w:iCs/>
          <w:sz w:val="24"/>
          <w:szCs w:val="24"/>
          <w:vertAlign w:val="subscript"/>
        </w:rPr>
        <w:t>L</w:t>
      </w:r>
      <w:r>
        <w:rPr>
          <w:rFonts w:hint="default" w:ascii="Times New Roman" w:hAnsi="Times New Roman" w:cs="Times New Roman"/>
          <w:sz w:val="24"/>
          <w:szCs w:val="24"/>
        </w:rPr>
        <w:t>——内衬管的长期弹性模量（MPa），宜取短期模量的50%；</w:t>
      </w:r>
    </w:p>
    <w:p w14:paraId="3110B060">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C</w:t>
      </w:r>
      <w:r>
        <w:rPr>
          <w:rFonts w:hint="default" w:ascii="Times New Roman" w:hAnsi="Times New Roman" w:cs="Times New Roman"/>
          <w:sz w:val="24"/>
          <w:szCs w:val="24"/>
        </w:rPr>
        <w:t>——椭圆度折减系数；</w:t>
      </w:r>
    </w:p>
    <w:p w14:paraId="7E2F1F7C">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P</w:t>
      </w:r>
      <w:r>
        <w:rPr>
          <w:rFonts w:hint="default" w:ascii="Times New Roman" w:hAnsi="Times New Roman" w:cs="Times New Roman"/>
          <w:sz w:val="24"/>
          <w:szCs w:val="24"/>
        </w:rPr>
        <w:t>——内衬管管底地下水压力（MPa），地下水位的取值应符合现行国家标准《给水排水管道结构工程设计规范》GB 50332中的有关规定；</w:t>
      </w:r>
    </w:p>
    <w:p w14:paraId="492E97C4">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N</w:t>
      </w:r>
      <w:r>
        <w:rPr>
          <w:rFonts w:hint="default" w:ascii="Times New Roman" w:hAnsi="Times New Roman" w:cs="Times New Roman"/>
          <w:sz w:val="24"/>
          <w:szCs w:val="24"/>
        </w:rPr>
        <w:t>——安全系数，取2.0；</w:t>
      </w:r>
    </w:p>
    <w:p w14:paraId="01FA3250">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μ</w:t>
      </w:r>
      <w:r>
        <w:rPr>
          <w:rFonts w:hint="default" w:ascii="Times New Roman" w:hAnsi="Times New Roman" w:cs="Times New Roman"/>
          <w:sz w:val="24"/>
          <w:szCs w:val="24"/>
        </w:rPr>
        <w:t>——泊松比，原位固化法内衬管取0.3，PE内衬管取0.45；</w:t>
      </w:r>
    </w:p>
    <w:p w14:paraId="0A4E05E7">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q</w:t>
      </w:r>
      <w:r>
        <w:rPr>
          <w:rFonts w:hint="default" w:ascii="Times New Roman" w:hAnsi="Times New Roman" w:cs="Times New Roman"/>
          <w:sz w:val="24"/>
          <w:szCs w:val="24"/>
        </w:rPr>
        <w:t>——原有管道的椭圆度（%），可取2%；</w:t>
      </w:r>
    </w:p>
    <w:p w14:paraId="48235D85">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D</w:t>
      </w:r>
      <w:r>
        <w:rPr>
          <w:rFonts w:hint="default" w:ascii="Times New Roman" w:hAnsi="Times New Roman" w:cs="Times New Roman"/>
          <w:i/>
          <w:iCs/>
          <w:sz w:val="24"/>
          <w:szCs w:val="24"/>
          <w:vertAlign w:val="subscript"/>
        </w:rPr>
        <w:t>E</w:t>
      </w:r>
      <w:r>
        <w:rPr>
          <w:rFonts w:hint="default" w:ascii="Times New Roman" w:hAnsi="Times New Roman" w:cs="Times New Roman"/>
          <w:sz w:val="24"/>
          <w:szCs w:val="24"/>
        </w:rPr>
        <w:t>——原有管道的平均内径（mm）；</w:t>
      </w:r>
    </w:p>
    <w:p w14:paraId="06D7843B">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D</w:t>
      </w:r>
      <w:r>
        <w:rPr>
          <w:rFonts w:hint="default" w:ascii="Times New Roman" w:hAnsi="Times New Roman" w:cs="Times New Roman"/>
          <w:i/>
          <w:iCs/>
          <w:sz w:val="24"/>
          <w:szCs w:val="24"/>
          <w:vertAlign w:val="subscript"/>
        </w:rPr>
        <w:t>min</w:t>
      </w:r>
      <w:r>
        <w:rPr>
          <w:rFonts w:hint="default" w:ascii="Times New Roman" w:hAnsi="Times New Roman" w:cs="Times New Roman"/>
          <w:sz w:val="24"/>
          <w:szCs w:val="24"/>
        </w:rPr>
        <w:t>——原有管道的最小内径（mm）；</w:t>
      </w:r>
    </w:p>
    <w:p w14:paraId="7F66C436">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D</w:t>
      </w:r>
      <w:r>
        <w:rPr>
          <w:rFonts w:hint="default" w:ascii="Times New Roman" w:hAnsi="Times New Roman" w:cs="Times New Roman"/>
          <w:i/>
          <w:iCs/>
          <w:sz w:val="24"/>
          <w:szCs w:val="24"/>
          <w:vertAlign w:val="subscript"/>
        </w:rPr>
        <w:t>max</w:t>
      </w:r>
      <w:r>
        <w:rPr>
          <w:rFonts w:hint="default" w:ascii="Times New Roman" w:hAnsi="Times New Roman" w:cs="Times New Roman"/>
          <w:sz w:val="24"/>
          <w:szCs w:val="24"/>
        </w:rPr>
        <w:t>——原有管道的最大内径（mm）。</w:t>
      </w:r>
    </w:p>
    <w:p w14:paraId="682B0A91">
      <w:pPr>
        <w:keepNext w:val="0"/>
        <w:keepLines w:val="0"/>
        <w:pageBreakBefore w:val="0"/>
        <w:widowControl w:val="0"/>
        <w:kinsoku/>
        <w:overflowPunct/>
        <w:topLinePunct w:val="0"/>
        <w:autoSpaceDN/>
        <w:bidi w:val="0"/>
        <w:adjustRightInd/>
        <w:spacing w:line="360" w:lineRule="auto"/>
        <w:ind w:firstLine="484" w:firstLineChars="201"/>
        <w:rPr>
          <w:rFonts w:hint="default" w:ascii="Times New Roman" w:hAnsi="Times New Roman" w:cs="Times New Roman"/>
          <w:sz w:val="24"/>
          <w:szCs w:val="24"/>
        </w:rPr>
      </w:pPr>
      <w:r>
        <w:rPr>
          <w:rFonts w:hint="default" w:ascii="Times New Roman" w:hAnsi="Times New Roman" w:cs="Times New Roman"/>
          <w:b/>
          <w:sz w:val="24"/>
          <w:szCs w:val="24"/>
        </w:rPr>
        <w:t>2</w:t>
      </w:r>
      <w:r>
        <w:rPr>
          <w:rFonts w:hint="default" w:ascii="Times New Roman" w:hAnsi="Times New Roman" w:cs="Times New Roman"/>
          <w:sz w:val="24"/>
          <w:szCs w:val="24"/>
        </w:rPr>
        <w:t xml:space="preserve">  当内衬管管道位于地下水位以上时，原位固化法内衬管</w:t>
      </w:r>
      <w:r>
        <w:rPr>
          <w:rFonts w:hint="default" w:ascii="Times New Roman" w:hAnsi="Times New Roman" w:cs="Times New Roman"/>
          <w:iCs/>
          <w:sz w:val="24"/>
          <w:szCs w:val="24"/>
        </w:rPr>
        <w:t>SDR</w:t>
      </w:r>
      <w:r>
        <w:rPr>
          <w:rFonts w:hint="default" w:ascii="Times New Roman" w:hAnsi="Times New Roman" w:cs="Times New Roman"/>
          <w:sz w:val="24"/>
          <w:szCs w:val="24"/>
        </w:rPr>
        <w:t>不应大于100，PE内衬管</w:t>
      </w:r>
      <w:r>
        <w:rPr>
          <w:rFonts w:hint="default" w:ascii="Times New Roman" w:hAnsi="Times New Roman" w:cs="Times New Roman"/>
          <w:iCs/>
          <w:sz w:val="24"/>
          <w:szCs w:val="24"/>
        </w:rPr>
        <w:t>SDR</w:t>
      </w:r>
      <w:r>
        <w:rPr>
          <w:rFonts w:hint="default" w:ascii="Times New Roman" w:hAnsi="Times New Roman" w:cs="Times New Roman"/>
          <w:sz w:val="24"/>
          <w:szCs w:val="24"/>
        </w:rPr>
        <w:t>不应大于42。</w:t>
      </w:r>
    </w:p>
    <w:p w14:paraId="53C76F28">
      <w:pPr>
        <w:keepNext w:val="0"/>
        <w:keepLines w:val="0"/>
        <w:pageBreakBefore w:val="0"/>
        <w:widowControl w:val="0"/>
        <w:kinsoku/>
        <w:overflowPunct/>
        <w:topLinePunct w:val="0"/>
        <w:autoSpaceDN/>
        <w:bidi w:val="0"/>
        <w:adjustRightInd/>
        <w:spacing w:line="360" w:lineRule="auto"/>
        <w:ind w:firstLine="484" w:firstLineChars="201"/>
        <w:rPr>
          <w:rFonts w:hint="default" w:ascii="Times New Roman" w:hAnsi="Times New Roman" w:cs="Times New Roman"/>
          <w:sz w:val="24"/>
          <w:szCs w:val="24"/>
        </w:rPr>
      </w:pPr>
      <w:r>
        <w:rPr>
          <w:rFonts w:hint="default" w:ascii="Times New Roman" w:hAnsi="Times New Roman" w:cs="Times New Roman"/>
          <w:b/>
          <w:sz w:val="24"/>
          <w:szCs w:val="24"/>
        </w:rPr>
        <w:t>3</w:t>
      </w:r>
      <w:r>
        <w:rPr>
          <w:rFonts w:hint="default" w:ascii="Times New Roman" w:hAnsi="Times New Roman" w:cs="Times New Roman"/>
          <w:sz w:val="24"/>
          <w:szCs w:val="24"/>
        </w:rPr>
        <w:t xml:space="preserve">  当内衬管椭圆度不为零时，内衬管的壁厚除应满足式（5.2.1-1）外，其最小值不应小于下式计算结果：</w:t>
      </w:r>
    </w:p>
    <w:p w14:paraId="0C5B92BE">
      <w:pPr>
        <w:keepNext w:val="0"/>
        <w:keepLines w:val="0"/>
        <w:pageBreakBefore w:val="0"/>
        <w:widowControl w:val="0"/>
        <w:kinsoku/>
        <w:wordWrap w:val="0"/>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position w:val="-28"/>
          <w:sz w:val="24"/>
          <w:szCs w:val="24"/>
        </w:rPr>
      </w:pPr>
      <w:r>
        <w:rPr>
          <w:rFonts w:hint="default" w:ascii="Times New Roman" w:hAnsi="Times New Roman" w:cs="Times New Roman"/>
          <w:position w:val="-28"/>
          <w:sz w:val="24"/>
          <w:szCs w:val="24"/>
        </w:rPr>
        <w:object>
          <v:shape id="_x0000_i1031" o:spt="75" type="#_x0000_t75" style="height:36pt;width:230.65pt;" o:ole="t" filled="f" coordsize="21600,21600">
            <v:path/>
            <v:fill on="f" focussize="0,0"/>
            <v:stroke/>
            <v:imagedata r:id="rId29" o:title=""/>
            <o:lock v:ext="edit" aspectratio="t"/>
            <w10:wrap type="none"/>
            <w10:anchorlock/>
          </v:shape>
          <o:OLEObject Type="Embed" ProgID="Equation.3" ShapeID="_x0000_i1031" DrawAspect="Content" ObjectID="_1468075730" r:id="rId28">
            <o:LockedField>false</o:LockedField>
          </o:OLEObject>
        </w:object>
      </w:r>
      <w:r>
        <w:rPr>
          <w:rFonts w:hint="default" w:ascii="Times New Roman" w:hAnsi="Times New Roman" w:cs="Times New Roman"/>
          <w:position w:val="-28"/>
          <w:sz w:val="24"/>
          <w:szCs w:val="24"/>
        </w:rPr>
        <w:t xml:space="preserve">           （5.2.1-4）</w:t>
      </w:r>
    </w:p>
    <w:p w14:paraId="15B5E9B7">
      <w:pPr>
        <w:keepNext w:val="0"/>
        <w:keepLines w:val="0"/>
        <w:pageBreakBefore w:val="0"/>
        <w:widowControl w:val="0"/>
        <w:kinsoku/>
        <w:wordWrap w:val="0"/>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position w:val="-28"/>
          <w:sz w:val="24"/>
          <w:szCs w:val="24"/>
        </w:rPr>
      </w:pPr>
      <w:r>
        <w:rPr>
          <w:rFonts w:hint="default" w:ascii="Times New Roman" w:hAnsi="Times New Roman" w:cs="Times New Roman"/>
          <w:position w:val="-24"/>
          <w:sz w:val="24"/>
          <w:szCs w:val="24"/>
        </w:rPr>
        <w:object>
          <v:shape id="_x0000_i1032" o:spt="75" type="#_x0000_t75" style="height:28.7pt;width:57.35pt;" o:ole="t" filled="f" coordsize="21600,21600">
            <v:path/>
            <v:fill on="f" focussize="0,0"/>
            <v:stroke/>
            <v:imagedata r:id="rId31" o:title=""/>
            <o:lock v:ext="edit" aspectratio="t"/>
            <w10:wrap type="none"/>
            <w10:anchorlock/>
          </v:shape>
          <o:OLEObject Type="Embed" ProgID="Equation.3" ShapeID="_x0000_i1032" DrawAspect="Content" ObjectID="_1468075731" r:id="rId30">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28"/>
          <w:sz w:val="24"/>
          <w:szCs w:val="24"/>
        </w:rPr>
        <w:t>（5.2.1-5）</w:t>
      </w:r>
    </w:p>
    <w:p w14:paraId="3D0064C1">
      <w:pPr>
        <w:keepNext w:val="0"/>
        <w:keepLines w:val="0"/>
        <w:pageBreakBefore w:val="0"/>
        <w:widowControl w:val="0"/>
        <w:kinsoku/>
        <w:overflowPunct/>
        <w:topLinePunct w:val="0"/>
        <w:autoSpaceDN/>
        <w:bidi w:val="0"/>
        <w:adjustRightInd/>
        <w:snapToGrid w:val="0"/>
        <w:spacing w:after="156" w:line="360" w:lineRule="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SDR</w:t>
      </w:r>
      <w:r>
        <w:rPr>
          <w:rFonts w:hint="default" w:ascii="Times New Roman" w:hAnsi="Times New Roman" w:cs="Times New Roman"/>
          <w:sz w:val="24"/>
          <w:szCs w:val="24"/>
        </w:rPr>
        <w:t>——管道的标准尺寸比；</w:t>
      </w:r>
    </w:p>
    <w:p w14:paraId="049E7B64">
      <w:pPr>
        <w:keepNext w:val="0"/>
        <w:keepLines w:val="0"/>
        <w:pageBreakBefore w:val="0"/>
        <w:widowControl w:val="0"/>
        <w:kinsoku/>
        <w:wordWrap/>
        <w:overflowPunct/>
        <w:topLinePunct w:val="0"/>
        <w:autoSpaceDE/>
        <w:autoSpaceDN/>
        <w:bidi w:val="0"/>
        <w:adjustRightInd/>
        <w:snapToGrid w:val="0"/>
        <w:spacing w:after="156" w:line="360" w:lineRule="auto"/>
        <w:ind w:left="2137" w:leftChars="300" w:hanging="1417"/>
        <w:textAlignment w:val="auto"/>
        <w:rPr>
          <w:rFonts w:hint="default" w:ascii="Times New Roman" w:hAnsi="Times New Roman" w:cs="Times New Roman"/>
          <w:sz w:val="24"/>
          <w:szCs w:val="24"/>
        </w:rPr>
      </w:pPr>
      <w:r>
        <w:rPr>
          <w:rFonts w:hint="default" w:ascii="Times New Roman" w:hAnsi="Times New Roman" w:cs="Times New Roman"/>
          <w:i/>
          <w:sz w:val="24"/>
          <w:szCs w:val="24"/>
        </w:rPr>
        <w:t>σ</w:t>
      </w:r>
      <w:r>
        <w:rPr>
          <w:rFonts w:hint="default" w:ascii="Times New Roman" w:hAnsi="Times New Roman" w:cs="Times New Roman"/>
          <w:sz w:val="24"/>
          <w:szCs w:val="24"/>
          <w:vertAlign w:val="subscript"/>
        </w:rPr>
        <w:t>L</w:t>
      </w:r>
      <w:r>
        <w:rPr>
          <w:rFonts w:hint="default" w:ascii="Times New Roman" w:hAnsi="Times New Roman" w:cs="Times New Roman"/>
          <w:sz w:val="24"/>
          <w:szCs w:val="24"/>
        </w:rPr>
        <w:t>——内衬管材的长期弯曲强度（MPa），宜取短期强度的50%。</w:t>
      </w:r>
    </w:p>
    <w:p w14:paraId="5240911C">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rPr>
        <w:t>5.2.2</w:t>
      </w:r>
      <w:r>
        <w:rPr>
          <w:rFonts w:hint="default" w:ascii="Times New Roman" w:hAnsi="Times New Roman" w:cs="Times New Roman"/>
          <w:sz w:val="24"/>
          <w:szCs w:val="24"/>
        </w:rPr>
        <w:t xml:space="preserve">  采用玻璃纤维、针状毛毡、PE或PVC-U作为原位固化法的内衬管进行管道结构性修复时，内衬管最小壁厚应符合下列规定：</w:t>
      </w:r>
    </w:p>
    <w:p w14:paraId="5116822E">
      <w:pPr>
        <w:keepNext w:val="0"/>
        <w:keepLines w:val="0"/>
        <w:pageBreakBefore w:val="0"/>
        <w:widowControl w:val="0"/>
        <w:kinsoku/>
        <w:overflowPunct/>
        <w:topLinePunct w:val="0"/>
        <w:autoSpaceDN/>
        <w:bidi w:val="0"/>
        <w:adjustRightInd/>
        <w:spacing w:line="360" w:lineRule="auto"/>
        <w:ind w:firstLine="482" w:firstLineChars="200"/>
        <w:rPr>
          <w:rFonts w:hint="default" w:ascii="Times New Roman" w:hAnsi="Times New Roman" w:eastAsia="宋体" w:cs="Times New Roman"/>
          <w:sz w:val="24"/>
          <w:szCs w:val="24"/>
          <w:lang w:eastAsia="zh-CN"/>
        </w:rPr>
      </w:pPr>
      <w:r>
        <w:rPr>
          <w:rFonts w:hint="default" w:ascii="Times New Roman" w:hAnsi="Times New Roman" w:cs="Times New Roman"/>
          <w:b/>
          <w:bCs/>
          <w:sz w:val="24"/>
          <w:szCs w:val="24"/>
        </w:rPr>
        <w:t>1</w:t>
      </w:r>
      <w:r>
        <w:rPr>
          <w:rFonts w:hint="default" w:ascii="Times New Roman" w:hAnsi="Times New Roman" w:cs="Times New Roman"/>
          <w:sz w:val="24"/>
          <w:szCs w:val="24"/>
        </w:rPr>
        <w:t xml:space="preserve">  内衬管壁厚宜按下列公式计算</w:t>
      </w:r>
      <w:r>
        <w:rPr>
          <w:rFonts w:hint="default" w:ascii="Times New Roman" w:hAnsi="Times New Roman" w:cs="Times New Roman"/>
          <w:sz w:val="24"/>
          <w:szCs w:val="24"/>
          <w:lang w:val="en-US" w:eastAsia="zh-CN"/>
        </w:rPr>
        <w:t>：</w:t>
      </w:r>
    </w:p>
    <w:p w14:paraId="3C3846F8">
      <w:pPr>
        <w:keepNext w:val="0"/>
        <w:keepLines w:val="0"/>
        <w:pageBreakBefore w:val="0"/>
        <w:widowControl w:val="0"/>
        <w:kinsoku/>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position w:val="-40"/>
          <w:sz w:val="24"/>
          <w:szCs w:val="24"/>
        </w:rPr>
      </w:pPr>
      <w:r>
        <w:rPr>
          <w:rFonts w:hint="default" w:ascii="Times New Roman" w:hAnsi="Times New Roman" w:cs="Times New Roman"/>
          <w:position w:val="-60"/>
          <w:sz w:val="24"/>
          <w:szCs w:val="24"/>
        </w:rPr>
        <w:object>
          <v:shape id="_x0000_i1033" o:spt="75" type="#_x0000_t75" style="height:75.8pt;width:159.85pt;" o:ole="t" filled="f" o:preferrelative="t" stroked="f" coordsize="21600,21600">
            <v:path/>
            <v:fill on="f" focussize="0,0"/>
            <v:stroke on="f"/>
            <v:imagedata r:id="rId33" o:title=""/>
            <o:lock v:ext="edit" aspectratio="t"/>
            <w10:wrap type="none"/>
            <w10:anchorlock/>
          </v:shape>
          <o:OLEObject Type="Embed" ProgID="Equation.3" ShapeID="_x0000_i1033" DrawAspect="Content" ObjectID="_1468075732" r:id="rId32">
            <o:LockedField>false</o:LockedField>
          </o:OLEObject>
        </w:object>
      </w:r>
      <w:r>
        <w:rPr>
          <w:rFonts w:hint="default" w:ascii="Times New Roman" w:hAnsi="Times New Roman" w:cs="Times New Roman"/>
          <w:position w:val="-40"/>
          <w:sz w:val="24"/>
          <w:szCs w:val="24"/>
        </w:rPr>
        <w:t xml:space="preserve">                （5.2.2-1）</w:t>
      </w:r>
    </w:p>
    <w:p w14:paraId="6526ECBB">
      <w:pPr>
        <w:keepNext w:val="0"/>
        <w:keepLines w:val="0"/>
        <w:pageBreakBefore w:val="0"/>
        <w:widowControl w:val="0"/>
        <w:kinsoku/>
        <w:overflowPunct/>
        <w:topLinePunct w:val="0"/>
        <w:autoSpaceDN/>
        <w:bidi w:val="0"/>
        <w:adjustRightInd/>
        <w:snapToGrid w:val="0"/>
        <w:spacing w:before="156" w:beforeLines="50" w:after="156" w:afterLines="50" w:line="360" w:lineRule="auto"/>
        <w:ind w:right="26" w:firstLine="420"/>
        <w:jc w:val="right"/>
        <w:textAlignment w:val="center"/>
        <w:rPr>
          <w:rFonts w:hint="default" w:ascii="Times New Roman" w:hAnsi="Times New Roman" w:cs="Times New Roman"/>
          <w:sz w:val="24"/>
          <w:szCs w:val="24"/>
        </w:rPr>
      </w:pPr>
      <w:r>
        <w:rPr>
          <w:rFonts w:hint="default" w:ascii="Times New Roman" w:hAnsi="Times New Roman" w:cs="Times New Roman"/>
          <w:position w:val="-24"/>
          <w:sz w:val="24"/>
          <w:szCs w:val="24"/>
        </w:rPr>
        <w:object>
          <v:shape id="_x0000_i1034" o:spt="75" type="#_x0000_t75" style="height:27.85pt;width:168.2pt;" o:ole="t" filled="f" o:preferrelative="t" stroked="f" coordsize="21600,21600">
            <v:path/>
            <v:fill on="f" focussize="0,0"/>
            <v:stroke on="f"/>
            <v:imagedata r:id="rId35" o:title=""/>
            <o:lock v:ext="edit" aspectratio="t"/>
            <w10:wrap type="none"/>
            <w10:anchorlock/>
          </v:shape>
          <o:OLEObject Type="Embed" ProgID="Equation.3" ShapeID="_x0000_i1034" DrawAspect="Content" ObjectID="_1468075733" r:id="rId34">
            <o:LockedField>false</o:LockedField>
          </o:OLEObject>
        </w:object>
      </w:r>
      <w:r>
        <w:rPr>
          <w:rFonts w:hint="default" w:ascii="Times New Roman" w:hAnsi="Times New Roman" w:cs="Times New Roman"/>
          <w:sz w:val="24"/>
          <w:szCs w:val="24"/>
        </w:rPr>
        <w:t xml:space="preserve">              （5.2.2-2）</w:t>
      </w:r>
    </w:p>
    <w:p w14:paraId="265A1A2F">
      <w:pPr>
        <w:keepNext w:val="0"/>
        <w:keepLines w:val="0"/>
        <w:pageBreakBefore w:val="0"/>
        <w:widowControl w:val="0"/>
        <w:kinsoku/>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5" o:spt="75" type="#_x0000_t75" style="height:28.7pt;width:93.95pt;" o:ole="t" filled="f" coordsize="21600,21600">
            <v:path/>
            <v:fill on="f" focussize="0,0"/>
            <v:stroke/>
            <v:imagedata r:id="rId37" o:title=""/>
            <o:lock v:ext="edit" aspectratio="t"/>
            <w10:wrap type="none"/>
            <w10:anchorlock/>
          </v:shape>
          <o:OLEObject Type="Embed" ProgID="Equation.3" ShapeID="_x0000_i1035" DrawAspect="Content" ObjectID="_1468075734" r:id="rId36">
            <o:LockedField>false</o:LockedField>
          </o:OLEObject>
        </w:object>
      </w:r>
      <w:r>
        <w:rPr>
          <w:rFonts w:hint="default" w:ascii="Times New Roman" w:hAnsi="Times New Roman" w:cs="Times New Roman"/>
          <w:sz w:val="24"/>
          <w:szCs w:val="24"/>
        </w:rPr>
        <w:t xml:space="preserve">                      （5.2.2-3）</w:t>
      </w:r>
    </w:p>
    <w:p w14:paraId="4B3E84B6">
      <w:pPr>
        <w:keepNext w:val="0"/>
        <w:keepLines w:val="0"/>
        <w:pageBreakBefore w:val="0"/>
        <w:widowControl w:val="0"/>
        <w:kinsoku/>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6" o:spt="75" type="#_x0000_t75" style="height:28.7pt;width:86.65pt;" o:ole="t" filled="f" coordsize="21600,21600">
            <v:path/>
            <v:fill on="f" focussize="0,0"/>
            <v:stroke/>
            <v:imagedata r:id="rId39" o:title=""/>
            <o:lock v:ext="edit" aspectratio="t"/>
            <w10:wrap type="none"/>
            <w10:anchorlock/>
          </v:shape>
          <o:OLEObject Type="Embed" ProgID="Equation.3" ShapeID="_x0000_i1036" DrawAspect="Content" ObjectID="_1468075735" r:id="rId38">
            <o:LockedField>false</o:LockedField>
          </o:OLEObject>
        </w:object>
      </w:r>
      <w:r>
        <w:rPr>
          <w:rFonts w:hint="default" w:ascii="Times New Roman" w:hAnsi="Times New Roman" w:cs="Times New Roman"/>
          <w:sz w:val="24"/>
          <w:szCs w:val="24"/>
        </w:rPr>
        <w:t xml:space="preserve">                       （5.2.2-4）</w:t>
      </w:r>
    </w:p>
    <w:p w14:paraId="04F66FF1">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iCs/>
          <w:sz w:val="24"/>
          <w:szCs w:val="24"/>
        </w:rPr>
        <w:t>q</w:t>
      </w:r>
      <w:r>
        <w:rPr>
          <w:rFonts w:hint="default" w:ascii="Times New Roman" w:hAnsi="Times New Roman" w:cs="Times New Roman"/>
          <w:i/>
          <w:iCs/>
          <w:sz w:val="24"/>
          <w:szCs w:val="24"/>
          <w:vertAlign w:val="subscript"/>
        </w:rPr>
        <w:t>t</w:t>
      </w:r>
      <w:r>
        <w:rPr>
          <w:rFonts w:hint="default" w:ascii="Times New Roman" w:hAnsi="Times New Roman" w:cs="Times New Roman"/>
          <w:sz w:val="24"/>
          <w:szCs w:val="24"/>
        </w:rPr>
        <w:t>——管道总的外部压力（MPa），包括地下水压力、上覆土压力以及活荷载；</w:t>
      </w:r>
    </w:p>
    <w:p w14:paraId="6416C54B">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R</w:t>
      </w:r>
      <w:r>
        <w:rPr>
          <w:rFonts w:hint="default" w:ascii="Times New Roman" w:hAnsi="Times New Roman" w:cs="Times New Roman"/>
          <w:i/>
          <w:iCs/>
          <w:sz w:val="24"/>
          <w:szCs w:val="24"/>
          <w:vertAlign w:val="subscript"/>
        </w:rPr>
        <w:t>w</w:t>
      </w:r>
      <w:r>
        <w:rPr>
          <w:rFonts w:hint="default" w:ascii="Times New Roman" w:hAnsi="Times New Roman" w:cs="Times New Roman"/>
          <w:sz w:val="24"/>
          <w:szCs w:val="24"/>
        </w:rPr>
        <w:t>——水浮力系数，最小取0.67；</w:t>
      </w:r>
    </w:p>
    <w:p w14:paraId="46205F46">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B′</w:t>
      </w:r>
      <w:r>
        <w:rPr>
          <w:rFonts w:hint="default" w:ascii="Times New Roman" w:hAnsi="Times New Roman" w:cs="Times New Roman"/>
          <w:sz w:val="24"/>
          <w:szCs w:val="24"/>
        </w:rPr>
        <w:t>——弹性支撑系数；</w:t>
      </w:r>
    </w:p>
    <w:p w14:paraId="7BD44DA3">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eastAsia="宋体" w:cs="Times New Roman"/>
          <w:sz w:val="24"/>
          <w:szCs w:val="24"/>
          <w:lang w:eastAsia="zh-CN"/>
        </w:rPr>
      </w:pPr>
      <w:r>
        <w:rPr>
          <w:rFonts w:hint="default" w:ascii="Times New Roman" w:hAnsi="Times New Roman" w:cs="Times New Roman"/>
          <w:i/>
          <w:iCs/>
          <w:sz w:val="24"/>
          <w:szCs w:val="24"/>
        </w:rPr>
        <w:t>E</w:t>
      </w:r>
      <w:r>
        <w:rPr>
          <w:rFonts w:hint="default" w:ascii="Times New Roman" w:hAnsi="Times New Roman" w:cs="Times New Roman"/>
          <w:i/>
          <w:iCs/>
          <w:sz w:val="24"/>
          <w:szCs w:val="24"/>
          <w:vertAlign w:val="subscript"/>
        </w:rPr>
        <w:t>S</w:t>
      </w:r>
      <w:r>
        <w:rPr>
          <w:rFonts w:hint="default" w:ascii="Times New Roman" w:hAnsi="Times New Roman" w:cs="Times New Roman"/>
          <w:i/>
          <w:iCs/>
          <w:sz w:val="24"/>
          <w:szCs w:val="24"/>
        </w:rPr>
        <w:t>′</w:t>
      </w:r>
      <w:r>
        <w:rPr>
          <w:rFonts w:hint="default" w:ascii="Times New Roman" w:hAnsi="Times New Roman" w:cs="Times New Roman"/>
          <w:sz w:val="24"/>
          <w:szCs w:val="24"/>
        </w:rPr>
        <w:t>——管侧土综合变形模量（MPa），应按地勘报告提供的数值确定，如无相关参数时可按现行国家标准《给水排水工程管道结构设计规范》GB 50332的规定确定</w:t>
      </w:r>
      <w:r>
        <w:rPr>
          <w:rFonts w:hint="default" w:ascii="Times New Roman" w:hAnsi="Times New Roman" w:cs="Times New Roman"/>
          <w:sz w:val="24"/>
          <w:szCs w:val="24"/>
          <w:lang w:eastAsia="zh-CN"/>
        </w:rPr>
        <w:t>；</w:t>
      </w:r>
    </w:p>
    <w:p w14:paraId="2D244D3A">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H</w:t>
      </w:r>
      <w:r>
        <w:rPr>
          <w:rFonts w:hint="default" w:ascii="Times New Roman" w:hAnsi="Times New Roman" w:cs="Times New Roman"/>
          <w:i/>
          <w:iCs/>
          <w:sz w:val="24"/>
          <w:szCs w:val="24"/>
          <w:vertAlign w:val="subscript"/>
        </w:rPr>
        <w:t>w</w:t>
      </w:r>
      <w:r>
        <w:rPr>
          <w:rFonts w:hint="default" w:ascii="Times New Roman" w:hAnsi="Times New Roman" w:cs="Times New Roman"/>
          <w:sz w:val="24"/>
          <w:szCs w:val="24"/>
        </w:rPr>
        <w:t>——管顶以上地下水位高（m）；</w:t>
      </w:r>
    </w:p>
    <w:p w14:paraId="50DBCAA4">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γ</w:t>
      </w:r>
      <w:r>
        <w:rPr>
          <w:rFonts w:hint="default" w:ascii="Times New Roman" w:hAnsi="Times New Roman" w:cs="Times New Roman"/>
          <w:sz w:val="24"/>
          <w:szCs w:val="24"/>
        </w:rPr>
        <w:t>——土的重度（kN/m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14:paraId="4B03E30A">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i/>
          <w:iCs/>
          <w:sz w:val="24"/>
          <w:szCs w:val="24"/>
          <w:lang w:val="en-US" w:eastAsia="zh-CN"/>
        </w:rPr>
        <w:t>H</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管道敷设深度</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w:t>
      </w:r>
    </w:p>
    <w:p w14:paraId="1641AFCC">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H</w:t>
      </w:r>
      <w:r>
        <w:rPr>
          <w:rFonts w:hint="default" w:ascii="Times New Roman" w:hAnsi="Times New Roman" w:cs="Times New Roman"/>
          <w:i/>
          <w:iCs/>
          <w:sz w:val="24"/>
          <w:szCs w:val="24"/>
          <w:vertAlign w:val="subscript"/>
        </w:rPr>
        <w:t>S</w:t>
      </w:r>
      <w:r>
        <w:rPr>
          <w:rFonts w:hint="default" w:ascii="Times New Roman" w:hAnsi="Times New Roman" w:cs="Times New Roman"/>
          <w:sz w:val="24"/>
          <w:szCs w:val="24"/>
        </w:rPr>
        <w:t>——管顶覆土厚度（m）；</w:t>
      </w:r>
    </w:p>
    <w:p w14:paraId="0C0A81C5">
      <w:pPr>
        <w:keepNext w:val="0"/>
        <w:keepLines w:val="0"/>
        <w:pageBreakBefore w:val="0"/>
        <w:widowControl w:val="0"/>
        <w:kinsoku/>
        <w:wordWrap/>
        <w:overflowPunct/>
        <w:topLinePunct w:val="0"/>
        <w:autoSpaceDE/>
        <w:autoSpaceDN/>
        <w:bidi w:val="0"/>
        <w:adjustRightInd/>
        <w:snapToGrid/>
        <w:spacing w:line="360" w:lineRule="auto"/>
        <w:ind w:left="1440" w:leftChars="300" w:hanging="720" w:hangingChars="30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W</w:t>
      </w:r>
      <w:r>
        <w:rPr>
          <w:rFonts w:hint="default" w:ascii="Times New Roman" w:hAnsi="Times New Roman" w:cs="Times New Roman"/>
          <w:i/>
          <w:iCs/>
          <w:sz w:val="24"/>
          <w:szCs w:val="24"/>
          <w:vertAlign w:val="subscript"/>
        </w:rPr>
        <w:t>S</w:t>
      </w:r>
      <w:r>
        <w:rPr>
          <w:rFonts w:hint="default" w:ascii="Times New Roman" w:hAnsi="Times New Roman" w:cs="Times New Roman"/>
          <w:sz w:val="24"/>
          <w:szCs w:val="24"/>
        </w:rPr>
        <w:t>——活荷载（MPa），应按现行国家标准《给水排水工程管道结构设计规范》GB 50332的规定确定。</w:t>
      </w:r>
    </w:p>
    <w:p w14:paraId="328FAA93">
      <w:pPr>
        <w:keepNext w:val="0"/>
        <w:keepLines w:val="0"/>
        <w:pageBreakBefore w:val="0"/>
        <w:widowControl w:val="0"/>
        <w:kinsoku/>
        <w:overflowPunct/>
        <w:topLinePunct w:val="0"/>
        <w:autoSpaceDN/>
        <w:bidi w:val="0"/>
        <w:adjustRightInd/>
        <w:snapToGrid w:val="0"/>
        <w:spacing w:line="360" w:lineRule="auto"/>
        <w:ind w:firstLine="472" w:firstLineChars="196"/>
        <w:rPr>
          <w:rFonts w:hint="default" w:ascii="Times New Roman" w:hAnsi="Times New Roman" w:cs="Times New Roman"/>
          <w:sz w:val="24"/>
          <w:szCs w:val="24"/>
        </w:rPr>
      </w:pPr>
      <w:r>
        <w:rPr>
          <w:rFonts w:hint="default" w:ascii="Times New Roman" w:hAnsi="Times New Roman" w:cs="Times New Roman"/>
          <w:b/>
          <w:sz w:val="24"/>
          <w:szCs w:val="24"/>
        </w:rPr>
        <w:t>2</w:t>
      </w:r>
      <w:r>
        <w:rPr>
          <w:rFonts w:hint="default" w:ascii="Times New Roman" w:hAnsi="Times New Roman" w:cs="Times New Roman"/>
          <w:sz w:val="24"/>
          <w:szCs w:val="24"/>
        </w:rPr>
        <w:t xml:space="preserve">  内衬管最小壁厚还应满足下式规定：</w:t>
      </w:r>
    </w:p>
    <w:p w14:paraId="3207E8B8">
      <w:pPr>
        <w:keepNext w:val="0"/>
        <w:keepLines w:val="0"/>
        <w:pageBreakBefore w:val="0"/>
        <w:widowControl w:val="0"/>
        <w:kinsoku/>
        <w:wordWrap w:val="0"/>
        <w:overflowPunct/>
        <w:topLinePunct w:val="0"/>
        <w:autoSpaceDN/>
        <w:bidi w:val="0"/>
        <w:adjustRightInd/>
        <w:snapToGrid w:val="0"/>
        <w:spacing w:before="156" w:beforeLines="50" w:after="156" w:afterLines="50" w:line="360" w:lineRule="auto"/>
        <w:ind w:firstLine="420"/>
        <w:jc w:val="right"/>
        <w:textAlignment w:val="center"/>
        <w:rPr>
          <w:rFonts w:hint="default" w:ascii="Times New Roman" w:hAnsi="Times New Roman" w:cs="Times New Roman"/>
          <w:position w:val="-28"/>
          <w:sz w:val="24"/>
          <w:szCs w:val="24"/>
        </w:rPr>
      </w:pPr>
      <w:r>
        <w:rPr>
          <w:rFonts w:hint="default" w:ascii="Times New Roman" w:hAnsi="Times New Roman" w:cs="Times New Roman"/>
          <w:position w:val="-28"/>
          <w:sz w:val="24"/>
          <w:szCs w:val="24"/>
        </w:rPr>
        <w:object>
          <v:shape id="_x0000_i1037" o:spt="75" type="#_x0000_t75" style="height:28.7pt;width:72pt;" o:ole="t" filled="f" coordsize="21600,21600">
            <v:path/>
            <v:fill on="f" focussize="0,0"/>
            <v:stroke/>
            <v:imagedata r:id="rId41" o:title=""/>
            <o:lock v:ext="edit" aspectratio="t"/>
            <w10:wrap type="none"/>
            <w10:anchorlock/>
          </v:shape>
          <o:OLEObject Type="Embed" ProgID="Equation.3" ShapeID="_x0000_i1037" DrawAspect="Content" ObjectID="_1468075736" r:id="rId40">
            <o:LockedField>false</o:LockedField>
          </o:OLEObject>
        </w:object>
      </w:r>
      <w:r>
        <w:rPr>
          <w:rFonts w:hint="default" w:ascii="Times New Roman" w:hAnsi="Times New Roman" w:cs="Times New Roman"/>
          <w:position w:val="-28"/>
          <w:sz w:val="24"/>
          <w:szCs w:val="24"/>
        </w:rPr>
        <w:t xml:space="preserve">                       </w:t>
      </w:r>
      <w:r>
        <w:rPr>
          <w:rFonts w:hint="default" w:ascii="Times New Roman" w:hAnsi="Times New Roman" w:cs="Times New Roman"/>
          <w:position w:val="-30"/>
          <w:sz w:val="24"/>
          <w:szCs w:val="24"/>
        </w:rPr>
        <w:t>（5.2.2-5）</w:t>
      </w:r>
    </w:p>
    <w:p w14:paraId="751C1F5D">
      <w:pPr>
        <w:keepNext w:val="0"/>
        <w:keepLines w:val="0"/>
        <w:pageBreakBefore w:val="0"/>
        <w:widowControl w:val="0"/>
        <w:kinsoku/>
        <w:overflowPunct/>
        <w:topLinePunct w:val="0"/>
        <w:autoSpaceDN/>
        <w:bidi w:val="0"/>
        <w:adjustRightInd/>
        <w:snapToGrid w:val="0"/>
        <w:spacing w:after="156" w:afterLines="50" w:line="360" w:lineRule="auto"/>
        <w:rPr>
          <w:rFonts w:hint="default" w:ascii="Times New Roman" w:hAnsi="Times New Roman" w:cs="Times New Roman"/>
          <w:position w:val="-24"/>
          <w:sz w:val="24"/>
          <w:szCs w:val="24"/>
        </w:rPr>
      </w:pPr>
      <w:r>
        <w:rPr>
          <w:rFonts w:hint="default" w:ascii="Times New Roman" w:hAnsi="Times New Roman" w:cs="Times New Roman"/>
          <w:position w:val="-24"/>
          <w:sz w:val="24"/>
          <w:szCs w:val="24"/>
        </w:rPr>
        <w:t>式中：</w:t>
      </w:r>
      <w:r>
        <w:rPr>
          <w:rFonts w:hint="default" w:ascii="Times New Roman" w:hAnsi="Times New Roman" w:cs="Times New Roman"/>
          <w:i/>
          <w:position w:val="-24"/>
          <w:sz w:val="24"/>
          <w:szCs w:val="24"/>
        </w:rPr>
        <w:t>E</w:t>
      </w:r>
      <w:r>
        <w:rPr>
          <w:rFonts w:hint="default" w:ascii="Times New Roman" w:hAnsi="Times New Roman" w:cs="Times New Roman"/>
          <w:position w:val="-24"/>
          <w:sz w:val="24"/>
          <w:szCs w:val="24"/>
        </w:rPr>
        <w:t>——内衬管初始弹性模量（MPa）。</w:t>
      </w:r>
    </w:p>
    <w:p w14:paraId="4DE0898D">
      <w:pPr>
        <w:keepNext w:val="0"/>
        <w:keepLines w:val="0"/>
        <w:pageBreakBefore w:val="0"/>
        <w:widowControl w:val="0"/>
        <w:kinsoku/>
        <w:overflowPunct/>
        <w:topLinePunct w:val="0"/>
        <w:autoSpaceDN/>
        <w:bidi w:val="0"/>
        <w:adjustRightInd/>
        <w:snapToGrid w:val="0"/>
        <w:spacing w:line="360" w:lineRule="auto"/>
        <w:ind w:firstLine="472" w:firstLineChars="196"/>
        <w:rPr>
          <w:rFonts w:hint="default" w:ascii="Times New Roman" w:hAnsi="Times New Roman" w:cs="Times New Roman"/>
          <w:sz w:val="24"/>
          <w:szCs w:val="24"/>
        </w:rPr>
      </w:pPr>
      <w:r>
        <w:rPr>
          <w:rFonts w:hint="default" w:ascii="Times New Roman" w:hAnsi="Times New Roman" w:cs="Times New Roman"/>
          <w:b/>
          <w:sz w:val="24"/>
          <w:szCs w:val="24"/>
        </w:rPr>
        <w:t>3</w:t>
      </w:r>
      <w:r>
        <w:rPr>
          <w:rFonts w:hint="default" w:ascii="Times New Roman" w:hAnsi="Times New Roman" w:cs="Times New Roman"/>
          <w:sz w:val="24"/>
          <w:szCs w:val="24"/>
        </w:rPr>
        <w:t xml:space="preserve">  结构性修复内衬管的最小厚度还应同时满足公式（5.2.1-1）和（5.2.1-4）的要求。</w:t>
      </w:r>
    </w:p>
    <w:p w14:paraId="0E22FC8E">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5.2.</w:t>
      </w:r>
      <w:r>
        <w:rPr>
          <w:rFonts w:hint="default" w:ascii="Times New Roman" w:hAnsi="Times New Roman" w:cs="Times New Roman"/>
          <w:b/>
          <w:sz w:val="24"/>
          <w:szCs w:val="24"/>
          <w:lang w:val="en-US" w:eastAsia="zh-CN"/>
        </w:rPr>
        <w:t>3</w:t>
      </w:r>
      <w:r>
        <w:rPr>
          <w:rFonts w:hint="default" w:ascii="Times New Roman" w:hAnsi="Times New Roman" w:cs="Times New Roman"/>
          <w:sz w:val="24"/>
          <w:szCs w:val="24"/>
        </w:rPr>
        <w:t xml:space="preserve">  采用PVC-U、PE作为机械制螺旋缠绕法内衬管时，刚度系数应符合下列规定：</w:t>
      </w:r>
    </w:p>
    <w:p w14:paraId="4F52845C">
      <w:pPr>
        <w:keepNext w:val="0"/>
        <w:keepLines w:val="0"/>
        <w:pageBreakBefore w:val="0"/>
        <w:widowControl w:val="0"/>
        <w:kinsoku/>
        <w:overflowPunct/>
        <w:topLinePunct w:val="0"/>
        <w:autoSpaceDN/>
        <w:bidi w:val="0"/>
        <w:adjustRightInd/>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1</w:t>
      </w:r>
      <w:r>
        <w:rPr>
          <w:rFonts w:hint="default" w:ascii="Times New Roman" w:hAnsi="Times New Roman" w:cs="Times New Roman"/>
          <w:sz w:val="24"/>
          <w:szCs w:val="24"/>
        </w:rPr>
        <w:t xml:space="preserve">  采用内衬管贴合原有管道机械制螺旋缠绕法半结构性修复时，内衬管最小刚度系数应按下列公式计算：</w:t>
      </w:r>
    </w:p>
    <w:p w14:paraId="4E35C327">
      <w:pPr>
        <w:keepNext w:val="0"/>
        <w:keepLines w:val="0"/>
        <w:pageBreakBefore w:val="0"/>
        <w:widowControl w:val="0"/>
        <w:kinsoku/>
        <w:overflowPunct/>
        <w:topLinePunct w:val="0"/>
        <w:autoSpaceDN/>
        <w:bidi w:val="0"/>
        <w:adjustRightInd/>
        <w:snapToGrid w:val="0"/>
        <w:spacing w:line="360" w:lineRule="auto"/>
        <w:ind w:right="105" w:firstLine="420"/>
        <w:jc w:val="right"/>
        <w:rPr>
          <w:rFonts w:hint="default" w:ascii="Times New Roman" w:hAnsi="Times New Roman" w:cs="Times New Roman"/>
          <w:sz w:val="24"/>
          <w:szCs w:val="24"/>
        </w:rPr>
      </w:pPr>
      <w:r>
        <w:rPr>
          <w:rFonts w:hint="default" w:ascii="Times New Roman" w:hAnsi="Times New Roman" w:cs="Times New Roman"/>
          <w:position w:val="-24"/>
          <w:sz w:val="24"/>
          <w:szCs w:val="24"/>
        </w:rPr>
        <w:object>
          <v:shape id="_x0000_i1038" o:spt="75" type="#_x0000_t75" style="height:28.7pt;width:111.4pt;" o:ole="t" filled="f" o:preferrelative="t" stroked="f" coordsize="21600,21600">
            <v:path/>
            <v:fill on="f" focussize="0,0"/>
            <v:stroke on="f"/>
            <v:imagedata r:id="rId43" o:title=""/>
            <o:lock v:ext="edit" aspectratio="t"/>
            <w10:wrap type="none"/>
            <w10:anchorlock/>
          </v:shape>
          <o:OLEObject Type="Embed" ProgID="Equation.3" ShapeID="_x0000_i1038" DrawAspect="Content" ObjectID="_1468075737" r:id="rId42">
            <o:LockedField>false</o:LockedField>
          </o:OLEObject>
        </w:object>
      </w:r>
      <w:r>
        <w:rPr>
          <w:rFonts w:hint="default" w:ascii="Times New Roman" w:hAnsi="Times New Roman" w:cs="Times New Roman"/>
          <w:sz w:val="24"/>
          <w:szCs w:val="24"/>
        </w:rPr>
        <w:t xml:space="preserve">                    （5.2.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-1）</w:t>
      </w:r>
    </w:p>
    <w:p w14:paraId="5CD9B718">
      <w:pPr>
        <w:keepNext w:val="0"/>
        <w:keepLines w:val="0"/>
        <w:pageBreakBefore w:val="0"/>
        <w:widowControl w:val="0"/>
        <w:kinsoku/>
        <w:overflowPunct/>
        <w:topLinePunct w:val="0"/>
        <w:autoSpaceDN/>
        <w:bidi w:val="0"/>
        <w:adjustRightInd/>
        <w:snapToGrid w:val="0"/>
        <w:spacing w:line="360" w:lineRule="auto"/>
        <w:ind w:right="105" w:firstLine="420"/>
        <w:jc w:val="right"/>
        <w:rPr>
          <w:rFonts w:hint="default" w:ascii="Times New Roman" w:hAnsi="Times New Roman" w:cs="Times New Roman"/>
          <w:sz w:val="24"/>
          <w:szCs w:val="24"/>
        </w:rPr>
      </w:pPr>
      <w:r>
        <w:rPr>
          <w:rFonts w:hint="default" w:ascii="Times New Roman" w:hAnsi="Times New Roman" w:cs="Times New Roman"/>
          <w:position w:val="-12"/>
          <w:sz w:val="24"/>
          <w:szCs w:val="24"/>
        </w:rPr>
        <w:object>
          <v:shape id="_x0000_i1039" o:spt="75" type="#_x0000_t75" style="height:21.35pt;width:99.2pt;" o:ole="t" filled="f" o:preferrelative="t" stroked="f" coordsize="21600,21600">
            <v:path/>
            <v:fill on="f" focussize="0,0"/>
            <v:stroke on="f"/>
            <v:imagedata r:id="rId45" o:title=""/>
            <o:lock v:ext="edit" aspectratio="t"/>
            <w10:wrap type="none"/>
            <w10:anchorlock/>
          </v:shape>
          <o:OLEObject Type="Embed" ProgID="Equation.3" ShapeID="_x0000_i1039" DrawAspect="Content" ObjectID="_1468075738" r:id="rId44">
            <o:LockedField>false</o:LockedField>
          </o:OLEObject>
        </w:object>
      </w:r>
      <w:r>
        <w:rPr>
          <w:rFonts w:hint="default" w:ascii="Times New Roman" w:hAnsi="Times New Roman" w:cs="Times New Roman"/>
          <w:sz w:val="24"/>
          <w:szCs w:val="24"/>
        </w:rPr>
        <w:t xml:space="preserve">                     （5.2.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-2）</w:t>
      </w:r>
    </w:p>
    <w:p w14:paraId="73D5DD17">
      <w:pPr>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E</w:t>
      </w:r>
      <w:r>
        <w:rPr>
          <w:rFonts w:hint="default" w:ascii="Times New Roman" w:hAnsi="Times New Roman" w:cs="Times New Roman"/>
          <w:i/>
          <w:sz w:val="24"/>
          <w:szCs w:val="24"/>
          <w:vertAlign w:val="subscript"/>
        </w:rPr>
        <w:t>L</w:t>
      </w:r>
      <w:r>
        <w:rPr>
          <w:rFonts w:hint="default" w:ascii="Times New Roman" w:hAnsi="Times New Roman" w:cs="Times New Roman"/>
          <w:sz w:val="24"/>
          <w:szCs w:val="24"/>
        </w:rPr>
        <w:t>——内衬管的长期弹性模量（MPa）；</w:t>
      </w:r>
    </w:p>
    <w:p w14:paraId="4978CA9B">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I</w:t>
      </w:r>
      <w:r>
        <w:rPr>
          <w:rFonts w:hint="default" w:ascii="Times New Roman" w:hAnsi="Times New Roman" w:cs="Times New Roman"/>
          <w:sz w:val="24"/>
          <w:szCs w:val="24"/>
        </w:rPr>
        <w:t>——内衬管单位长度管壁惯性矩（mm</w:t>
      </w:r>
      <w:r>
        <w:rPr>
          <w:rFonts w:hint="default" w:ascii="Times New Roman" w:hAnsi="Times New Roman" w:cs="Times New Roman"/>
          <w:sz w:val="24"/>
          <w:szCs w:val="24"/>
          <w:vertAlign w:val="superscript"/>
        </w:rPr>
        <w:t>4</w:t>
      </w:r>
      <w:r>
        <w:rPr>
          <w:rFonts w:hint="default" w:ascii="Times New Roman" w:hAnsi="Times New Roman" w:cs="Times New Roman"/>
          <w:sz w:val="24"/>
          <w:szCs w:val="24"/>
        </w:rPr>
        <w:t>/mm）；</w:t>
      </w:r>
    </w:p>
    <w:p w14:paraId="0E9FD63E">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bookmarkStart w:id="313" w:name="OLE_LINK7"/>
      <w:bookmarkStart w:id="314" w:name="OLE_LINK8"/>
      <w:r>
        <w:rPr>
          <w:rFonts w:hint="default" w:ascii="Times New Roman" w:hAnsi="Times New Roman" w:cs="Times New Roman"/>
          <w:i/>
          <w:iCs/>
          <w:sz w:val="24"/>
          <w:szCs w:val="24"/>
        </w:rPr>
        <w:t>D</w:t>
      </w:r>
      <w:r>
        <w:rPr>
          <w:rFonts w:hint="default" w:ascii="Times New Roman" w:hAnsi="Times New Roman" w:cs="Times New Roman"/>
          <w:i/>
          <w:iCs/>
          <w:sz w:val="24"/>
          <w:szCs w:val="24"/>
          <w:vertAlign w:val="subscript"/>
          <w:lang w:val="en-US" w:eastAsia="zh-CN"/>
        </w:rPr>
        <w:t>N</w:t>
      </w:r>
      <w:r>
        <w:rPr>
          <w:rFonts w:hint="default" w:ascii="Times New Roman" w:hAnsi="Times New Roman" w:cs="Times New Roman"/>
          <w:sz w:val="24"/>
          <w:szCs w:val="24"/>
        </w:rPr>
        <w:t>——内衬管平均直径（mm）</w:t>
      </w:r>
      <w:bookmarkEnd w:id="313"/>
      <w:bookmarkEnd w:id="314"/>
      <w:r>
        <w:rPr>
          <w:rFonts w:hint="default" w:ascii="Times New Roman" w:hAnsi="Times New Roman" w:cs="Times New Roman"/>
          <w:sz w:val="24"/>
          <w:szCs w:val="24"/>
        </w:rPr>
        <w:t>；</w:t>
      </w:r>
    </w:p>
    <w:p w14:paraId="59A29EA4">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K</w:t>
      </w:r>
      <w:r>
        <w:rPr>
          <w:rFonts w:hint="default" w:ascii="Times New Roman" w:hAnsi="Times New Roman" w:cs="Times New Roman"/>
          <w:sz w:val="24"/>
          <w:szCs w:val="24"/>
        </w:rPr>
        <w:t>——圆周支持率，推荐取值为7.0；</w:t>
      </w:r>
    </w:p>
    <w:p w14:paraId="08BEB55D">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h</w:t>
      </w:r>
      <w:r>
        <w:rPr>
          <w:rFonts w:hint="default" w:ascii="Times New Roman" w:hAnsi="Times New Roman" w:cs="Times New Roman"/>
          <w:sz w:val="24"/>
          <w:szCs w:val="24"/>
        </w:rPr>
        <w:t>——带状型材高度（mm）；</w:t>
      </w:r>
    </w:p>
    <w:p w14:paraId="1BCFF03E">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m:oMath>
        <m:bar>
          <m:barPr>
            <m:pos m:val="top"/>
            <m:ctrlPr>
              <w:rPr>
                <w:rFonts w:hint="default" w:ascii="Cambria Math" w:hAnsi="Cambria Math" w:cs="Times New Roman"/>
                <w:i/>
                <w:iCs/>
                <w:sz w:val="24"/>
                <w:szCs w:val="24"/>
              </w:rPr>
            </m:ctrlPr>
          </m:barPr>
          <m:e>
            <m:r>
              <m:rPr>
                <m:nor/>
              </m:rPr>
              <w:rPr>
                <w:rFonts w:hint="default" w:ascii="Times New Roman" w:hAnsi="Times New Roman" w:cs="Times New Roman"/>
                <w:i/>
                <w:sz w:val="24"/>
                <w:szCs w:val="24"/>
                <w:lang w:val="en-US" w:eastAsia="zh-CN"/>
              </w:rPr>
              <m:t>y</m:t>
            </m:r>
            <m:ctrlPr>
              <w:rPr>
                <w:rFonts w:hint="default" w:ascii="Cambria Math" w:hAnsi="Cambria Math" w:cs="Times New Roman"/>
                <w:i/>
                <w:iCs/>
                <w:sz w:val="24"/>
                <w:szCs w:val="24"/>
              </w:rPr>
            </m:ctrlPr>
          </m:e>
        </m:bar>
      </m:oMath>
      <w:r>
        <w:rPr>
          <w:rFonts w:hint="default" w:ascii="Times New Roman" w:hAnsi="Times New Roman" w:cs="Times New Roman"/>
          <w:sz w:val="24"/>
          <w:szCs w:val="24"/>
        </w:rPr>
        <w:t>——带状型材内表面至带状型材中性轴的距离（mm）；</w:t>
      </w:r>
    </w:p>
    <w:p w14:paraId="48052AD4">
      <w:pPr>
        <w:keepNext w:val="0"/>
        <w:keepLines w:val="0"/>
        <w:pageBreakBefore w:val="0"/>
        <w:widowControl w:val="0"/>
        <w:kinsoku/>
        <w:wordWrap/>
        <w:overflowPunct/>
        <w:topLinePunct w:val="0"/>
        <w:autoSpaceDE/>
        <w:autoSpaceDN/>
        <w:bidi w:val="0"/>
        <w:adjustRightInd/>
        <w:snapToGrid/>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iCs/>
          <w:sz w:val="24"/>
          <w:szCs w:val="24"/>
        </w:rPr>
        <w:t>μ</w:t>
      </w:r>
      <w:r>
        <w:rPr>
          <w:rFonts w:hint="default" w:ascii="Times New Roman" w:hAnsi="Times New Roman" w:cs="Times New Roman"/>
          <w:sz w:val="24"/>
          <w:szCs w:val="24"/>
        </w:rPr>
        <w:t>——泊松比，取0.38。</w:t>
      </w:r>
    </w:p>
    <w:p w14:paraId="2C22ECE1">
      <w:pPr>
        <w:keepNext w:val="0"/>
        <w:keepLines w:val="0"/>
        <w:pageBreakBefore w:val="0"/>
        <w:widowControl w:val="0"/>
        <w:tabs>
          <w:tab w:val="left" w:pos="8080"/>
        </w:tabs>
        <w:kinsoku/>
        <w:overflowPunct/>
        <w:topLinePunct w:val="0"/>
        <w:autoSpaceDN/>
        <w:bidi w:val="0"/>
        <w:adjustRightInd/>
        <w:snapToGrid w:val="0"/>
        <w:spacing w:line="360" w:lineRule="auto"/>
        <w:ind w:right="105" w:firstLine="482" w:firstLineChars="200"/>
        <w:jc w:val="left"/>
        <w:rPr>
          <w:rFonts w:hint="default" w:ascii="Times New Roman" w:hAnsi="Times New Roman" w:cs="Times New Roman"/>
          <w:sz w:val="24"/>
          <w:szCs w:val="24"/>
        </w:rPr>
      </w:pPr>
      <w:r>
        <w:rPr>
          <w:rFonts w:hint="default" w:ascii="Times New Roman" w:hAnsi="Times New Roman" w:cs="Times New Roman"/>
          <w:b/>
          <w:sz w:val="24"/>
          <w:szCs w:val="24"/>
        </w:rPr>
        <w:t>2</w:t>
      </w:r>
      <w:r>
        <w:rPr>
          <w:rFonts w:hint="default" w:ascii="Times New Roman" w:hAnsi="Times New Roman" w:cs="Times New Roman"/>
          <w:sz w:val="24"/>
          <w:szCs w:val="24"/>
        </w:rPr>
        <w:t xml:space="preserve">  采用内衬管不贴合原有管道机械制螺旋缠绕法半结构性修复时，内衬管与原有管道间的环状空隙应进行注浆处理，且内衬管最小刚度系数应按下列式计算：</w:t>
      </w:r>
    </w:p>
    <w:p w14:paraId="57DA8D02">
      <w:pPr>
        <w:keepNext w:val="0"/>
        <w:keepLines w:val="0"/>
        <w:pageBreakBefore w:val="0"/>
        <w:widowControl w:val="0"/>
        <w:kinsoku/>
        <w:overflowPunct/>
        <w:topLinePunct w:val="0"/>
        <w:autoSpaceDN/>
        <w:bidi w:val="0"/>
        <w:adjustRightInd/>
        <w:snapToGrid w:val="0"/>
        <w:spacing w:line="360" w:lineRule="auto"/>
        <w:ind w:right="105"/>
        <w:jc w:val="right"/>
        <w:rPr>
          <w:rFonts w:hint="default" w:ascii="Times New Roman" w:hAnsi="Times New Roman" w:cs="Times New Roman"/>
          <w:sz w:val="24"/>
          <w:szCs w:val="24"/>
        </w:rPr>
      </w:pPr>
      <w:r>
        <w:rPr>
          <w:rFonts w:hint="default" w:ascii="Times New Roman" w:hAnsi="Times New Roman" w:cs="Times New Roman"/>
          <w:position w:val="-38"/>
          <w:sz w:val="24"/>
          <w:szCs w:val="24"/>
        </w:rPr>
        <w:object>
          <v:shape id="_x0000_i1040" o:spt="75" type="#_x0000_t75" style="height:43.3pt;width:93.35pt;" o:ole="t" filled="f" coordsize="21600,21600">
            <v:path/>
            <v:fill on="f" focussize="0,0"/>
            <v:stroke/>
            <v:imagedata r:id="rId47" o:title=""/>
            <o:lock v:ext="edit" aspectratio="t"/>
            <w10:wrap type="none"/>
            <w10:anchorlock/>
          </v:shape>
          <o:OLEObject Type="Embed" ProgID="Equation.DSMT4" ShapeID="_x0000_i1040" DrawAspect="Content" ObjectID="_1468075739" r:id="rId46">
            <o:LockedField>false</o:LockedField>
          </o:OLEObject>
        </w:object>
      </w:r>
      <w:r>
        <w:rPr>
          <w:rFonts w:hint="default" w:ascii="Times New Roman" w:hAnsi="Times New Roman" w:cs="Times New Roman"/>
          <w:sz w:val="24"/>
          <w:szCs w:val="24"/>
        </w:rPr>
        <w:t xml:space="preserve">                    （5.2.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-3）</w:t>
      </w:r>
    </w:p>
    <w:p w14:paraId="23D3A759">
      <w:pPr>
        <w:keepNext w:val="0"/>
        <w:keepLines w:val="0"/>
        <w:pageBreakBefore w:val="0"/>
        <w:widowControl w:val="0"/>
        <w:kinsoku/>
        <w:overflowPunct/>
        <w:topLinePunct w:val="0"/>
        <w:autoSpaceDN/>
        <w:bidi w:val="0"/>
        <w:adjustRightInd/>
        <w:snapToGrid w:val="0"/>
        <w:spacing w:line="360" w:lineRule="auto"/>
        <w:ind w:right="105" w:firstLine="420"/>
        <w:jc w:val="right"/>
        <w:rPr>
          <w:rFonts w:hint="default" w:ascii="Times New Roman" w:hAnsi="Times New Roman" w:cs="Times New Roman"/>
          <w:position w:val="-10"/>
          <w:sz w:val="24"/>
          <w:szCs w:val="24"/>
          <w:highlight w:val="yellow"/>
        </w:rPr>
      </w:pPr>
    </w:p>
    <w:p w14:paraId="20026993">
      <w:pPr>
        <w:keepNext w:val="0"/>
        <w:keepLines w:val="0"/>
        <w:pageBreakBefore w:val="0"/>
        <w:widowControl w:val="0"/>
        <w:kinsoku/>
        <w:overflowPunct/>
        <w:topLinePunct w:val="0"/>
        <w:autoSpaceDN/>
        <w:bidi w:val="0"/>
        <w:adjustRightInd/>
        <w:snapToGrid w:val="0"/>
        <w:spacing w:line="360" w:lineRule="auto"/>
        <w:ind w:right="105" w:firstLine="420"/>
        <w:jc w:val="right"/>
        <w:rPr>
          <w:rFonts w:hint="default" w:ascii="Times New Roman" w:hAnsi="Times New Roman" w:cs="Times New Roman"/>
          <w:sz w:val="24"/>
          <w:szCs w:val="24"/>
        </w:rPr>
      </w:pPr>
      <w:r>
        <w:rPr>
          <w:rFonts w:hint="default" w:ascii="Times New Roman" w:hAnsi="Times New Roman" w:cs="Times New Roman"/>
          <w:position w:val="-24"/>
          <w:sz w:val="24"/>
          <w:szCs w:val="24"/>
        </w:rPr>
        <w:object>
          <v:shape id="_x0000_i1041" o:spt="75" type="#_x0000_t75" style="height:28.7pt;width:165.45pt;" o:ole="t" filled="f" o:preferrelative="t" stroked="f" coordsize="21600,21600">
            <v:path/>
            <v:fill on="f" focussize="0,0"/>
            <v:stroke on="f"/>
            <v:imagedata r:id="rId49" o:title=""/>
            <o:lock v:ext="edit" aspectratio="t"/>
            <w10:wrap type="none"/>
            <w10:anchorlock/>
          </v:shape>
          <o:OLEObject Type="Embed" ProgID="Equation.3" ShapeID="_x0000_i1041" DrawAspect="Content" ObjectID="_1468075740" r:id="rId48">
            <o:LockedField>false</o:LockedField>
          </o:OLEObject>
        </w:object>
      </w:r>
      <w:r>
        <w:rPr>
          <w:rFonts w:hint="default" w:ascii="Times New Roman" w:hAnsi="Times New Roman" w:cs="Times New Roman"/>
          <w:position w:val="-10"/>
          <w:sz w:val="24"/>
          <w:szCs w:val="24"/>
        </w:rPr>
        <w:t xml:space="preserve">               </w:t>
      </w:r>
      <w:r>
        <w:rPr>
          <w:rFonts w:hint="default" w:ascii="Times New Roman" w:hAnsi="Times New Roman" w:cs="Times New Roman"/>
          <w:sz w:val="24"/>
          <w:szCs w:val="24"/>
        </w:rPr>
        <w:t>（5.2.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-4）</w:t>
      </w:r>
    </w:p>
    <w:p w14:paraId="29069F68">
      <w:pPr>
        <w:keepNext w:val="0"/>
        <w:keepLines w:val="0"/>
        <w:pageBreakBefore w:val="0"/>
        <w:widowControl w:val="0"/>
        <w:kinsoku/>
        <w:overflowPunct/>
        <w:topLinePunct w:val="0"/>
        <w:autoSpaceDN/>
        <w:bidi w:val="0"/>
        <w:adjustRightInd/>
        <w:snapToGrid w:val="0"/>
        <w:spacing w:line="360" w:lineRule="auto"/>
        <w:ind w:right="105" w:firstLine="420"/>
        <w:jc w:val="right"/>
        <w:rPr>
          <w:rFonts w:hint="default" w:ascii="Times New Roman" w:hAnsi="Times New Roman" w:cs="Times New Roman"/>
          <w:sz w:val="24"/>
          <w:szCs w:val="24"/>
        </w:rPr>
      </w:pPr>
    </w:p>
    <w:p w14:paraId="10BAE083">
      <w:pPr>
        <w:keepNext w:val="0"/>
        <w:keepLines w:val="0"/>
        <w:pageBreakBefore w:val="0"/>
        <w:widowControl w:val="0"/>
        <w:kinsoku/>
        <w:overflowPunct/>
        <w:topLinePunct w:val="0"/>
        <w:autoSpaceDN/>
        <w:bidi w:val="0"/>
        <w:adjustRightInd/>
        <w:snapToGrid w:val="0"/>
        <w:spacing w:line="360" w:lineRule="auto"/>
        <w:ind w:right="105"/>
        <w:jc w:val="left"/>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φ</w:t>
      </w:r>
      <w:r>
        <w:rPr>
          <w:rFonts w:hint="default" w:ascii="Times New Roman" w:hAnsi="Times New Roman" w:cs="Times New Roman"/>
          <w:sz w:val="24"/>
          <w:szCs w:val="24"/>
        </w:rPr>
        <w:t>——未注浆角度</w:t>
      </w:r>
      <w:r>
        <w:rPr>
          <w:rFonts w:hint="default" w:ascii="Times New Roman" w:hAnsi="Times New Roman" w:cs="Times New Roman"/>
          <w:i/>
          <w:sz w:val="24"/>
          <w:szCs w:val="24"/>
          <w:lang w:eastAsia="zh-CN"/>
        </w:rPr>
        <w:t>，</w:t>
      </w:r>
      <w:r>
        <w:rPr>
          <w:rFonts w:hint="default" w:ascii="Times New Roman" w:hAnsi="Times New Roman" w:cs="Times New Roman"/>
          <w:sz w:val="24"/>
          <w:szCs w:val="24"/>
        </w:rPr>
        <w:t>如图5.2.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所示。</w:t>
      </w:r>
    </w:p>
    <w:p w14:paraId="63E6ECFF">
      <w:pPr>
        <w:keepNext w:val="0"/>
        <w:keepLines w:val="0"/>
        <w:pageBreakBefore w:val="0"/>
        <w:widowControl w:val="0"/>
        <w:kinsoku/>
        <w:wordWrap/>
        <w:overflowPunct/>
        <w:topLinePunct w:val="0"/>
        <w:autoSpaceDE/>
        <w:autoSpaceDN/>
        <w:bidi w:val="0"/>
        <w:adjustRightInd/>
        <w:snapToGrid w:val="0"/>
        <w:spacing w:line="360" w:lineRule="auto"/>
        <w:ind w:left="1440" w:leftChars="300" w:right="0" w:hanging="720" w:hangingChars="300"/>
        <w:jc w:val="left"/>
        <w:textAlignment w:val="auto"/>
        <w:rPr>
          <w:rFonts w:hint="default" w:ascii="Times New Roman" w:hAnsi="Times New Roman" w:cs="Times New Roman"/>
          <w:sz w:val="24"/>
          <w:szCs w:val="24"/>
        </w:rPr>
      </w:pPr>
      <w:r>
        <w:rPr>
          <w:rFonts w:hint="default" w:ascii="Times New Roman" w:hAnsi="Times New Roman" w:cs="Times New Roman"/>
          <w:i/>
          <w:sz w:val="24"/>
          <w:szCs w:val="24"/>
        </w:rPr>
        <w:t>K</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——与未注浆角度</w:t>
      </w:r>
      <w:r>
        <w:rPr>
          <w:rFonts w:hint="default" w:ascii="Times New Roman" w:hAnsi="Times New Roman" w:cs="Times New Roman"/>
          <w:i/>
          <w:sz w:val="24"/>
          <w:szCs w:val="24"/>
        </w:rPr>
        <w:t>φ</w:t>
      </w:r>
      <w:r>
        <w:rPr>
          <w:rFonts w:hint="default" w:ascii="Times New Roman" w:hAnsi="Times New Roman" w:cs="Times New Roman"/>
          <w:sz w:val="24"/>
          <w:szCs w:val="24"/>
        </w:rPr>
        <w:t>相关的系数，</w:t>
      </w:r>
      <w:r>
        <w:rPr>
          <w:rFonts w:hint="default" w:ascii="Times New Roman" w:hAnsi="Times New Roman" w:cs="Times New Roman"/>
          <w:i/>
          <w:sz w:val="24"/>
          <w:szCs w:val="24"/>
        </w:rPr>
        <w:t>K</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取值与未注浆角度的关系应符合表5.2.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的规定。</w:t>
      </w:r>
    </w:p>
    <w:p w14:paraId="3EDE9515">
      <w:pPr>
        <w:keepNext w:val="0"/>
        <w:keepLines w:val="0"/>
        <w:pageBreakBefore w:val="0"/>
        <w:widowControl w:val="0"/>
        <w:kinsoku/>
        <w:overflowPunct/>
        <w:topLinePunct w:val="0"/>
        <w:autoSpaceDN/>
        <w:bidi w:val="0"/>
        <w:adjustRightInd/>
        <w:snapToGrid w:val="0"/>
        <w:spacing w:line="360" w:lineRule="auto"/>
        <w:ind w:right="105" w:firstLine="360" w:firstLineChars="15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026285" cy="1939290"/>
            <wp:effectExtent l="0" t="0" r="0"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50"/>
                    <a:srcRect l="27304"/>
                    <a:stretch>
                      <a:fillRect/>
                    </a:stretch>
                  </pic:blipFill>
                  <pic:spPr>
                    <a:xfrm>
                      <a:off x="0" y="0"/>
                      <a:ext cx="2026285" cy="1939290"/>
                    </a:xfrm>
                    <a:prstGeom prst="rect">
                      <a:avLst/>
                    </a:prstGeom>
                    <a:noFill/>
                    <a:ln>
                      <a:noFill/>
                    </a:ln>
                  </pic:spPr>
                </pic:pic>
              </a:graphicData>
            </a:graphic>
          </wp:inline>
        </w:drawing>
      </w:r>
    </w:p>
    <w:p w14:paraId="12F04BAB">
      <w:pPr>
        <w:pStyle w:val="32"/>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图5.2.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未灌浆角度示意图</w:t>
      </w:r>
    </w:p>
    <w:p w14:paraId="7410F063">
      <w:pPr>
        <w:keepNext w:val="0"/>
        <w:keepLines w:val="0"/>
        <w:pageBreakBefore w:val="0"/>
        <w:widowControl w:val="0"/>
        <w:kinsoku/>
        <w:overflowPunct/>
        <w:topLinePunct w:val="0"/>
        <w:autoSpaceDN/>
        <w:bidi w:val="0"/>
        <w:adjustRightInd/>
        <w:spacing w:line="360" w:lineRule="auto"/>
        <w:ind w:firstLine="361"/>
        <w:jc w:val="center"/>
        <w:rPr>
          <w:rFonts w:hint="default" w:ascii="Times New Roman" w:hAnsi="Times New Roman" w:cs="Times New Roman"/>
          <w:sz w:val="24"/>
          <w:szCs w:val="24"/>
        </w:rPr>
      </w:pPr>
      <w:bookmarkStart w:id="315" w:name="OLE_LINK9"/>
      <w:bookmarkStart w:id="316" w:name="OLE_LINK10"/>
      <w:r>
        <w:rPr>
          <w:rFonts w:hint="default" w:ascii="Times New Roman" w:hAnsi="Times New Roman" w:cs="Times New Roman"/>
          <w:bCs/>
          <w:sz w:val="24"/>
          <w:szCs w:val="24"/>
        </w:rPr>
        <w:t>1</w:t>
      </w:r>
      <w:r>
        <w:rPr>
          <w:rFonts w:hint="default" w:ascii="Times New Roman" w:hAnsi="Times New Roman" w:cs="Times New Roman"/>
          <w:bCs/>
          <w:kern w:val="0"/>
          <w:sz w:val="24"/>
          <w:szCs w:val="24"/>
        </w:rPr>
        <w:t>—原有管道；2—浆体；3—螺旋缠绕内衬管；4—未注浆角度</w:t>
      </w:r>
      <w:bookmarkEnd w:id="315"/>
      <w:bookmarkEnd w:id="316"/>
    </w:p>
    <w:p w14:paraId="38C707C3">
      <w:pPr>
        <w:pStyle w:val="29"/>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表5.2.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w:t>
      </w:r>
      <w:r>
        <w:rPr>
          <w:rFonts w:hint="default" w:ascii="Times New Roman" w:hAnsi="Times New Roman" w:cs="Times New Roman"/>
          <w:i/>
          <w:sz w:val="24"/>
          <w:szCs w:val="24"/>
        </w:rPr>
        <w:t>K</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取值与未注浆角度的关系</w:t>
      </w:r>
    </w:p>
    <w:tbl>
      <w:tblPr>
        <w:tblStyle w:val="13"/>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922"/>
        <w:gridCol w:w="816"/>
        <w:gridCol w:w="821"/>
        <w:gridCol w:w="863"/>
        <w:gridCol w:w="723"/>
        <w:gridCol w:w="866"/>
        <w:gridCol w:w="866"/>
        <w:gridCol w:w="719"/>
        <w:gridCol w:w="866"/>
        <w:gridCol w:w="864"/>
      </w:tblGrid>
      <w:tr w14:paraId="5999BDD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exact"/>
        </w:trPr>
        <w:tc>
          <w:tcPr>
            <w:tcW w:w="554" w:type="pct"/>
            <w:tcBorders>
              <w:top w:val="single" w:color="000000" w:sz="8" w:space="0"/>
              <w:bottom w:val="single" w:color="000000" w:sz="8" w:space="0"/>
            </w:tcBorders>
            <w:shd w:val="clear" w:color="auto" w:fill="auto"/>
            <w:vAlign w:val="center"/>
          </w:tcPr>
          <w:p w14:paraId="1A834B06">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i/>
                <w:sz w:val="24"/>
                <w:szCs w:val="24"/>
                <w:lang w:val="en-US" w:eastAsia="zh-CN"/>
              </w:rPr>
              <w:t>2</w:t>
            </w:r>
            <w:r>
              <w:rPr>
                <w:rFonts w:hint="default" w:ascii="Times New Roman" w:hAnsi="Times New Roman" w:cs="Times New Roman"/>
                <w:i/>
                <w:sz w:val="24"/>
                <w:szCs w:val="24"/>
              </w:rPr>
              <w:t>φ</w:t>
            </w:r>
            <w:r>
              <w:rPr>
                <w:rFonts w:hint="default" w:ascii="Times New Roman" w:hAnsi="Times New Roman" w:cs="Times New Roman"/>
                <w:sz w:val="24"/>
                <w:szCs w:val="24"/>
              </w:rPr>
              <w:t>(°)</w:t>
            </w:r>
          </w:p>
        </w:tc>
        <w:tc>
          <w:tcPr>
            <w:tcW w:w="490" w:type="pct"/>
            <w:tcBorders>
              <w:top w:val="single" w:color="000000" w:sz="8" w:space="0"/>
              <w:bottom w:val="single" w:color="000000" w:sz="8" w:space="0"/>
            </w:tcBorders>
            <w:shd w:val="clear" w:color="auto" w:fill="auto"/>
            <w:vAlign w:val="center"/>
          </w:tcPr>
          <w:p w14:paraId="652E1B6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10</w:t>
            </w:r>
          </w:p>
        </w:tc>
        <w:tc>
          <w:tcPr>
            <w:tcW w:w="493" w:type="pct"/>
            <w:tcBorders>
              <w:top w:val="single" w:color="000000" w:sz="8" w:space="0"/>
              <w:bottom w:val="single" w:color="000000" w:sz="8" w:space="0"/>
            </w:tcBorders>
            <w:shd w:val="clear" w:color="auto" w:fill="auto"/>
            <w:vAlign w:val="center"/>
          </w:tcPr>
          <w:p w14:paraId="3ADDCDB2">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20</w:t>
            </w:r>
          </w:p>
        </w:tc>
        <w:tc>
          <w:tcPr>
            <w:tcW w:w="518" w:type="pct"/>
            <w:tcBorders>
              <w:top w:val="single" w:color="000000" w:sz="8" w:space="0"/>
              <w:bottom w:val="single" w:color="000000" w:sz="8" w:space="0"/>
            </w:tcBorders>
            <w:shd w:val="clear" w:color="auto" w:fill="auto"/>
            <w:vAlign w:val="center"/>
          </w:tcPr>
          <w:p w14:paraId="75015B09">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30</w:t>
            </w:r>
          </w:p>
        </w:tc>
        <w:tc>
          <w:tcPr>
            <w:tcW w:w="434" w:type="pct"/>
            <w:tcBorders>
              <w:top w:val="single" w:color="000000" w:sz="8" w:space="0"/>
              <w:bottom w:val="single" w:color="000000" w:sz="8" w:space="0"/>
            </w:tcBorders>
            <w:shd w:val="clear" w:color="auto" w:fill="auto"/>
            <w:vAlign w:val="center"/>
          </w:tcPr>
          <w:p w14:paraId="1A2D8164">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40</w:t>
            </w:r>
          </w:p>
        </w:tc>
        <w:tc>
          <w:tcPr>
            <w:tcW w:w="520" w:type="pct"/>
            <w:tcBorders>
              <w:top w:val="single" w:color="000000" w:sz="8" w:space="0"/>
              <w:bottom w:val="single" w:color="000000" w:sz="8" w:space="0"/>
            </w:tcBorders>
            <w:shd w:val="clear" w:color="auto" w:fill="auto"/>
            <w:vAlign w:val="center"/>
          </w:tcPr>
          <w:p w14:paraId="2A7849AC">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50</w:t>
            </w:r>
          </w:p>
        </w:tc>
        <w:tc>
          <w:tcPr>
            <w:tcW w:w="520" w:type="pct"/>
            <w:tcBorders>
              <w:top w:val="single" w:color="000000" w:sz="8" w:space="0"/>
              <w:bottom w:val="single" w:color="000000" w:sz="8" w:space="0"/>
            </w:tcBorders>
            <w:shd w:val="clear" w:color="auto" w:fill="auto"/>
            <w:vAlign w:val="center"/>
          </w:tcPr>
          <w:p w14:paraId="3693DF84">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60</w:t>
            </w:r>
          </w:p>
        </w:tc>
        <w:tc>
          <w:tcPr>
            <w:tcW w:w="432" w:type="pct"/>
            <w:tcBorders>
              <w:top w:val="single" w:color="000000" w:sz="8" w:space="0"/>
              <w:bottom w:val="single" w:color="000000" w:sz="8" w:space="0"/>
            </w:tcBorders>
            <w:shd w:val="clear" w:color="auto" w:fill="auto"/>
            <w:vAlign w:val="center"/>
          </w:tcPr>
          <w:p w14:paraId="63F2CE0C">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70</w:t>
            </w:r>
          </w:p>
        </w:tc>
        <w:tc>
          <w:tcPr>
            <w:tcW w:w="520" w:type="pct"/>
            <w:tcBorders>
              <w:top w:val="single" w:color="000000" w:sz="8" w:space="0"/>
              <w:bottom w:val="single" w:color="000000" w:sz="8" w:space="0"/>
            </w:tcBorders>
            <w:shd w:val="clear" w:color="auto" w:fill="auto"/>
            <w:vAlign w:val="center"/>
          </w:tcPr>
          <w:p w14:paraId="2A582BDC">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80</w:t>
            </w:r>
          </w:p>
        </w:tc>
        <w:tc>
          <w:tcPr>
            <w:tcW w:w="519" w:type="pct"/>
            <w:tcBorders>
              <w:top w:val="single" w:color="000000" w:sz="8" w:space="0"/>
              <w:bottom w:val="single" w:color="000000" w:sz="8" w:space="0"/>
            </w:tcBorders>
            <w:shd w:val="clear" w:color="auto" w:fill="auto"/>
            <w:vAlign w:val="center"/>
          </w:tcPr>
          <w:p w14:paraId="7CBF6B63">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90</w:t>
            </w:r>
          </w:p>
        </w:tc>
      </w:tr>
      <w:tr w14:paraId="6110629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exact"/>
        </w:trPr>
        <w:tc>
          <w:tcPr>
            <w:tcW w:w="554" w:type="pct"/>
            <w:tcBorders>
              <w:top w:val="single" w:color="000000" w:sz="8" w:space="0"/>
            </w:tcBorders>
            <w:shd w:val="clear" w:color="auto" w:fill="auto"/>
            <w:vAlign w:val="center"/>
          </w:tcPr>
          <w:p w14:paraId="7BA038E5">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i/>
                <w:sz w:val="24"/>
                <w:szCs w:val="24"/>
              </w:rPr>
              <w:t>K</w:t>
            </w:r>
            <w:r>
              <w:rPr>
                <w:rFonts w:hint="default" w:ascii="Times New Roman" w:hAnsi="Times New Roman" w:cs="Times New Roman"/>
                <w:sz w:val="24"/>
                <w:szCs w:val="24"/>
                <w:vertAlign w:val="subscript"/>
              </w:rPr>
              <w:t>1</w:t>
            </w:r>
          </w:p>
        </w:tc>
        <w:tc>
          <w:tcPr>
            <w:tcW w:w="490" w:type="pct"/>
            <w:tcBorders>
              <w:top w:val="single" w:color="000000" w:sz="8" w:space="0"/>
            </w:tcBorders>
            <w:shd w:val="clear" w:color="auto" w:fill="auto"/>
            <w:vAlign w:val="center"/>
          </w:tcPr>
          <w:p w14:paraId="0C0F170C">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51.5</w:t>
            </w:r>
          </w:p>
        </w:tc>
        <w:tc>
          <w:tcPr>
            <w:tcW w:w="493" w:type="pct"/>
            <w:tcBorders>
              <w:top w:val="single" w:color="000000" w:sz="8" w:space="0"/>
            </w:tcBorders>
            <w:shd w:val="clear" w:color="auto" w:fill="auto"/>
            <w:vAlign w:val="center"/>
          </w:tcPr>
          <w:p w14:paraId="1702B12A">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25.76</w:t>
            </w:r>
          </w:p>
        </w:tc>
        <w:tc>
          <w:tcPr>
            <w:tcW w:w="518" w:type="pct"/>
            <w:tcBorders>
              <w:top w:val="single" w:color="000000" w:sz="8" w:space="0"/>
            </w:tcBorders>
            <w:shd w:val="clear" w:color="auto" w:fill="auto"/>
            <w:vAlign w:val="center"/>
          </w:tcPr>
          <w:p w14:paraId="481B6D69">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17.18</w:t>
            </w:r>
          </w:p>
        </w:tc>
        <w:tc>
          <w:tcPr>
            <w:tcW w:w="434" w:type="pct"/>
            <w:tcBorders>
              <w:top w:val="single" w:color="000000" w:sz="8" w:space="0"/>
            </w:tcBorders>
            <w:shd w:val="clear" w:color="auto" w:fill="auto"/>
            <w:vAlign w:val="center"/>
          </w:tcPr>
          <w:p w14:paraId="11AFAAE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12.9</w:t>
            </w:r>
          </w:p>
        </w:tc>
        <w:tc>
          <w:tcPr>
            <w:tcW w:w="520" w:type="pct"/>
            <w:tcBorders>
              <w:top w:val="single" w:color="000000" w:sz="8" w:space="0"/>
            </w:tcBorders>
            <w:shd w:val="clear" w:color="auto" w:fill="auto"/>
            <w:vAlign w:val="center"/>
          </w:tcPr>
          <w:p w14:paraId="3BDF49CD">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10.33</w:t>
            </w:r>
          </w:p>
        </w:tc>
        <w:tc>
          <w:tcPr>
            <w:tcW w:w="520" w:type="pct"/>
            <w:tcBorders>
              <w:top w:val="single" w:color="000000" w:sz="8" w:space="0"/>
            </w:tcBorders>
            <w:shd w:val="clear" w:color="auto" w:fill="auto"/>
            <w:vAlign w:val="center"/>
          </w:tcPr>
          <w:p w14:paraId="1572A0EF">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8.62</w:t>
            </w:r>
          </w:p>
        </w:tc>
        <w:tc>
          <w:tcPr>
            <w:tcW w:w="432" w:type="pct"/>
            <w:tcBorders>
              <w:top w:val="single" w:color="000000" w:sz="8" w:space="0"/>
            </w:tcBorders>
            <w:shd w:val="clear" w:color="auto" w:fill="auto"/>
            <w:vAlign w:val="center"/>
          </w:tcPr>
          <w:p w14:paraId="046CBBDD">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7.4</w:t>
            </w:r>
          </w:p>
        </w:tc>
        <w:tc>
          <w:tcPr>
            <w:tcW w:w="520" w:type="pct"/>
            <w:tcBorders>
              <w:top w:val="single" w:color="000000" w:sz="8" w:space="0"/>
            </w:tcBorders>
            <w:shd w:val="clear" w:color="auto" w:fill="auto"/>
            <w:vAlign w:val="center"/>
          </w:tcPr>
          <w:p w14:paraId="788B2ED6">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6.5</w:t>
            </w:r>
          </w:p>
        </w:tc>
        <w:tc>
          <w:tcPr>
            <w:tcW w:w="519" w:type="pct"/>
            <w:tcBorders>
              <w:top w:val="single" w:color="000000" w:sz="8" w:space="0"/>
            </w:tcBorders>
            <w:shd w:val="clear" w:color="auto" w:fill="auto"/>
            <w:vAlign w:val="center"/>
          </w:tcPr>
          <w:p w14:paraId="6922C76D">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5.78</w:t>
            </w:r>
          </w:p>
        </w:tc>
      </w:tr>
      <w:tr w14:paraId="0F3A06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exact"/>
        </w:trPr>
        <w:tc>
          <w:tcPr>
            <w:tcW w:w="554" w:type="pct"/>
            <w:shd w:val="clear" w:color="auto" w:fill="auto"/>
            <w:vAlign w:val="center"/>
          </w:tcPr>
          <w:p w14:paraId="106C8A31">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i/>
                <w:sz w:val="24"/>
                <w:szCs w:val="24"/>
                <w:lang w:val="en-US" w:eastAsia="zh-CN"/>
              </w:rPr>
              <w:t>2</w:t>
            </w:r>
            <w:r>
              <w:rPr>
                <w:rFonts w:hint="default" w:ascii="Times New Roman" w:hAnsi="Times New Roman" w:cs="Times New Roman"/>
                <w:i/>
                <w:sz w:val="24"/>
                <w:szCs w:val="24"/>
              </w:rPr>
              <w:t>φ</w:t>
            </w:r>
            <w:r>
              <w:rPr>
                <w:rFonts w:hint="default" w:ascii="Times New Roman" w:hAnsi="Times New Roman" w:cs="Times New Roman"/>
                <w:sz w:val="24"/>
                <w:szCs w:val="24"/>
              </w:rPr>
              <w:t>(°)</w:t>
            </w:r>
          </w:p>
        </w:tc>
        <w:tc>
          <w:tcPr>
            <w:tcW w:w="490" w:type="pct"/>
            <w:shd w:val="clear" w:color="auto" w:fill="auto"/>
            <w:vAlign w:val="center"/>
          </w:tcPr>
          <w:p w14:paraId="27F46C37">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493" w:type="pct"/>
            <w:shd w:val="clear" w:color="auto" w:fill="auto"/>
            <w:vAlign w:val="center"/>
          </w:tcPr>
          <w:p w14:paraId="30CF975A">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110</w:t>
            </w:r>
          </w:p>
        </w:tc>
        <w:tc>
          <w:tcPr>
            <w:tcW w:w="518" w:type="pct"/>
            <w:shd w:val="clear" w:color="auto" w:fill="auto"/>
            <w:vAlign w:val="center"/>
          </w:tcPr>
          <w:p w14:paraId="7CE5453A">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120</w:t>
            </w:r>
          </w:p>
        </w:tc>
        <w:tc>
          <w:tcPr>
            <w:tcW w:w="434" w:type="pct"/>
            <w:shd w:val="clear" w:color="auto" w:fill="auto"/>
            <w:vAlign w:val="center"/>
          </w:tcPr>
          <w:p w14:paraId="418029E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130</w:t>
            </w:r>
          </w:p>
        </w:tc>
        <w:tc>
          <w:tcPr>
            <w:tcW w:w="520" w:type="pct"/>
            <w:shd w:val="clear" w:color="auto" w:fill="auto"/>
            <w:vAlign w:val="center"/>
          </w:tcPr>
          <w:p w14:paraId="3F7FD5A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140</w:t>
            </w:r>
          </w:p>
        </w:tc>
        <w:tc>
          <w:tcPr>
            <w:tcW w:w="520" w:type="pct"/>
            <w:shd w:val="clear" w:color="auto" w:fill="auto"/>
            <w:vAlign w:val="center"/>
          </w:tcPr>
          <w:p w14:paraId="00CA3A34">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432" w:type="pct"/>
            <w:shd w:val="clear" w:color="auto" w:fill="auto"/>
            <w:vAlign w:val="center"/>
          </w:tcPr>
          <w:p w14:paraId="33BEC397">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160</w:t>
            </w:r>
          </w:p>
        </w:tc>
        <w:tc>
          <w:tcPr>
            <w:tcW w:w="520" w:type="pct"/>
            <w:shd w:val="clear" w:color="auto" w:fill="auto"/>
            <w:vAlign w:val="center"/>
          </w:tcPr>
          <w:p w14:paraId="7D53B815">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170</w:t>
            </w:r>
          </w:p>
        </w:tc>
        <w:tc>
          <w:tcPr>
            <w:tcW w:w="519" w:type="pct"/>
            <w:shd w:val="clear" w:color="auto" w:fill="auto"/>
            <w:vAlign w:val="center"/>
          </w:tcPr>
          <w:p w14:paraId="7855CD8D">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180</w:t>
            </w:r>
          </w:p>
        </w:tc>
      </w:tr>
      <w:tr w14:paraId="1CCD2B5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exact"/>
        </w:trPr>
        <w:tc>
          <w:tcPr>
            <w:tcW w:w="554" w:type="pct"/>
            <w:shd w:val="clear" w:color="auto" w:fill="auto"/>
            <w:vAlign w:val="center"/>
          </w:tcPr>
          <w:p w14:paraId="07064841">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i/>
                <w:sz w:val="24"/>
                <w:szCs w:val="24"/>
              </w:rPr>
              <w:t>K</w:t>
            </w:r>
            <w:r>
              <w:rPr>
                <w:rFonts w:hint="default" w:ascii="Times New Roman" w:hAnsi="Times New Roman" w:cs="Times New Roman"/>
                <w:sz w:val="24"/>
                <w:szCs w:val="24"/>
                <w:vertAlign w:val="subscript"/>
              </w:rPr>
              <w:t>1</w:t>
            </w:r>
          </w:p>
        </w:tc>
        <w:tc>
          <w:tcPr>
            <w:tcW w:w="490" w:type="pct"/>
            <w:shd w:val="clear" w:color="auto" w:fill="auto"/>
            <w:vAlign w:val="center"/>
          </w:tcPr>
          <w:p w14:paraId="4EE8C9D7">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5.22</w:t>
            </w:r>
          </w:p>
        </w:tc>
        <w:tc>
          <w:tcPr>
            <w:tcW w:w="493" w:type="pct"/>
            <w:shd w:val="clear" w:color="auto" w:fill="auto"/>
            <w:vAlign w:val="center"/>
          </w:tcPr>
          <w:p w14:paraId="1488CB8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4.76</w:t>
            </w:r>
          </w:p>
        </w:tc>
        <w:tc>
          <w:tcPr>
            <w:tcW w:w="518" w:type="pct"/>
            <w:shd w:val="clear" w:color="auto" w:fill="auto"/>
            <w:vAlign w:val="center"/>
          </w:tcPr>
          <w:p w14:paraId="2E149800">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4.37</w:t>
            </w:r>
          </w:p>
        </w:tc>
        <w:tc>
          <w:tcPr>
            <w:tcW w:w="434" w:type="pct"/>
            <w:shd w:val="clear" w:color="auto" w:fill="auto"/>
            <w:vAlign w:val="center"/>
          </w:tcPr>
          <w:p w14:paraId="2E3EE792">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4.05</w:t>
            </w:r>
          </w:p>
        </w:tc>
        <w:tc>
          <w:tcPr>
            <w:tcW w:w="520" w:type="pct"/>
            <w:shd w:val="clear" w:color="auto" w:fill="auto"/>
            <w:vAlign w:val="center"/>
          </w:tcPr>
          <w:p w14:paraId="2B6C191A">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3.78</w:t>
            </w:r>
          </w:p>
        </w:tc>
        <w:tc>
          <w:tcPr>
            <w:tcW w:w="520" w:type="pct"/>
            <w:shd w:val="clear" w:color="auto" w:fill="auto"/>
            <w:vAlign w:val="center"/>
          </w:tcPr>
          <w:p w14:paraId="36DF66E8">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3.54</w:t>
            </w:r>
          </w:p>
        </w:tc>
        <w:tc>
          <w:tcPr>
            <w:tcW w:w="432" w:type="pct"/>
            <w:shd w:val="clear" w:color="auto" w:fill="auto"/>
            <w:vAlign w:val="center"/>
          </w:tcPr>
          <w:p w14:paraId="63361C61">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3.34</w:t>
            </w:r>
          </w:p>
        </w:tc>
        <w:tc>
          <w:tcPr>
            <w:tcW w:w="520" w:type="pct"/>
            <w:shd w:val="clear" w:color="auto" w:fill="auto"/>
            <w:vAlign w:val="center"/>
          </w:tcPr>
          <w:p w14:paraId="2B707AA6">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3.16</w:t>
            </w:r>
          </w:p>
        </w:tc>
        <w:tc>
          <w:tcPr>
            <w:tcW w:w="519" w:type="pct"/>
            <w:shd w:val="clear" w:color="auto" w:fill="auto"/>
            <w:vAlign w:val="center"/>
          </w:tcPr>
          <w:p w14:paraId="05EA227E">
            <w:pPr>
              <w:pStyle w:val="31"/>
              <w:keepNext w:val="0"/>
              <w:keepLines w:val="0"/>
              <w:pageBreakBefore w:val="0"/>
              <w:widowControl w:val="0"/>
              <w:kinsoku/>
              <w:overflowPunct/>
              <w:topLinePunct w:val="0"/>
              <w:autoSpaceDN/>
              <w:bidi w:val="0"/>
              <w:adjustRightInd/>
              <w:spacing w:line="360" w:lineRule="auto"/>
              <w:rPr>
                <w:rFonts w:hint="default" w:ascii="Times New Roman" w:hAnsi="Times New Roman" w:cs="Times New Roman"/>
                <w:sz w:val="24"/>
                <w:szCs w:val="24"/>
              </w:rPr>
            </w:pPr>
            <w:r>
              <w:rPr>
                <w:rFonts w:hint="default" w:ascii="Times New Roman" w:hAnsi="Times New Roman" w:cs="Times New Roman"/>
                <w:sz w:val="24"/>
                <w:szCs w:val="24"/>
              </w:rPr>
              <w:t>3.0</w:t>
            </w:r>
          </w:p>
        </w:tc>
      </w:tr>
    </w:tbl>
    <w:p w14:paraId="592864B2">
      <w:pPr>
        <w:keepNext w:val="0"/>
        <w:keepLines w:val="0"/>
        <w:pageBreakBefore w:val="0"/>
        <w:widowControl w:val="0"/>
        <w:kinsoku/>
        <w:overflowPunct/>
        <w:topLinePunct w:val="0"/>
        <w:autoSpaceDN/>
        <w:bidi w:val="0"/>
        <w:adjustRightInd/>
        <w:snapToGrid w:val="0"/>
        <w:spacing w:line="360" w:lineRule="auto"/>
        <w:ind w:right="105" w:firstLine="360" w:firstLineChars="150"/>
        <w:jc w:val="left"/>
        <w:rPr>
          <w:rFonts w:hint="default" w:ascii="Times New Roman" w:hAnsi="Times New Roman" w:cs="Times New Roman"/>
          <w:sz w:val="24"/>
          <w:szCs w:val="24"/>
        </w:rPr>
      </w:pPr>
    </w:p>
    <w:p w14:paraId="42273F87">
      <w:pPr>
        <w:keepNext w:val="0"/>
        <w:keepLines w:val="0"/>
        <w:pageBreakBefore w:val="0"/>
        <w:widowControl w:val="0"/>
        <w:kinsoku/>
        <w:overflowPunct/>
        <w:topLinePunct w:val="0"/>
        <w:autoSpaceDN/>
        <w:bidi w:val="0"/>
        <w:adjustRightInd/>
        <w:snapToGrid w:val="0"/>
        <w:spacing w:line="360" w:lineRule="auto"/>
        <w:ind w:right="105" w:firstLine="479" w:firstLineChars="199"/>
        <w:jc w:val="left"/>
        <w:rPr>
          <w:rFonts w:hint="default" w:ascii="Times New Roman" w:hAnsi="Times New Roman" w:cs="Times New Roman"/>
          <w:sz w:val="24"/>
          <w:szCs w:val="24"/>
        </w:rPr>
      </w:pPr>
      <w:r>
        <w:rPr>
          <w:rFonts w:hint="default" w:ascii="Times New Roman" w:hAnsi="Times New Roman" w:cs="Times New Roman"/>
          <w:b/>
          <w:sz w:val="24"/>
          <w:szCs w:val="24"/>
        </w:rPr>
        <w:t>3</w:t>
      </w:r>
      <w:r>
        <w:rPr>
          <w:rFonts w:hint="default" w:ascii="Times New Roman" w:hAnsi="Times New Roman" w:cs="Times New Roman"/>
          <w:sz w:val="24"/>
          <w:szCs w:val="24"/>
        </w:rPr>
        <w:t xml:space="preserve">  当采用内衬管贴合原有管道机械制螺旋缠绕法结构性修复时，最小刚度系数应按下式计算：</w:t>
      </w:r>
    </w:p>
    <w:p w14:paraId="490F3BAE">
      <w:pPr>
        <w:keepNext w:val="0"/>
        <w:keepLines w:val="0"/>
        <w:pageBreakBefore w:val="0"/>
        <w:widowControl w:val="0"/>
        <w:kinsoku/>
        <w:wordWrap w:val="0"/>
        <w:overflowPunct/>
        <w:topLinePunct w:val="0"/>
        <w:autoSpaceDN/>
        <w:bidi w:val="0"/>
        <w:adjustRightInd/>
        <w:snapToGrid w:val="0"/>
        <w:spacing w:line="360" w:lineRule="auto"/>
        <w:ind w:right="105" w:firstLine="420"/>
        <w:jc w:val="right"/>
        <w:rPr>
          <w:rFonts w:hint="default" w:ascii="Times New Roman" w:hAnsi="Times New Roman" w:cs="Times New Roman"/>
          <w:sz w:val="24"/>
          <w:szCs w:val="24"/>
        </w:rPr>
      </w:pPr>
      <w:r>
        <w:rPr>
          <w:rFonts w:hint="default" w:ascii="Times New Roman" w:hAnsi="Times New Roman" w:cs="Times New Roman"/>
          <w:position w:val="-30"/>
          <w:sz w:val="24"/>
          <w:szCs w:val="24"/>
        </w:rPr>
        <w:object>
          <v:shape id="_x0000_i1042" o:spt="75" type="#_x0000_t75" style="height:36pt;width:100.3pt;" o:ole="t" filled="f" o:preferrelative="t" stroked="f" coordsize="21600,21600">
            <v:path/>
            <v:fill on="f" focussize="0,0"/>
            <v:stroke on="f"/>
            <v:imagedata r:id="rId52" o:title=""/>
            <o:lock v:ext="edit" aspectratio="t"/>
            <w10:wrap type="none"/>
            <w10:anchorlock/>
          </v:shape>
          <o:OLEObject Type="Embed" ProgID="Equation.3" ShapeID="_x0000_i1042" DrawAspect="Content" ObjectID="_1468075741" r:id="rId51">
            <o:LockedField>false</o:LockedField>
          </o:OLEObject>
        </w:object>
      </w:r>
      <w:r>
        <w:rPr>
          <w:rFonts w:hint="default" w:ascii="Times New Roman" w:hAnsi="Times New Roman" w:cs="Times New Roman"/>
          <w:sz w:val="24"/>
          <w:szCs w:val="24"/>
        </w:rPr>
        <w:t xml:space="preserve">                       （5.2.</w:t>
      </w:r>
      <w:r>
        <w:rPr>
          <w:rFonts w:hint="default" w:ascii="Times New Roman" w:hAnsi="Times New Roman" w:cs="Times New Roman"/>
          <w:sz w:val="24"/>
          <w:szCs w:val="24"/>
          <w:lang w:val="en-US" w:eastAsia="zh-CN"/>
        </w:rPr>
        <w:t>3-5</w:t>
      </w:r>
      <w:r>
        <w:rPr>
          <w:rFonts w:hint="default" w:ascii="Times New Roman" w:hAnsi="Times New Roman" w:cs="Times New Roman"/>
          <w:sz w:val="24"/>
          <w:szCs w:val="24"/>
        </w:rPr>
        <w:t>）</w:t>
      </w:r>
    </w:p>
    <w:p w14:paraId="78260CB1">
      <w:pPr>
        <w:keepNext w:val="0"/>
        <w:keepLines w:val="0"/>
        <w:pageBreakBefore w:val="0"/>
        <w:widowControl w:val="0"/>
        <w:kinsoku/>
        <w:overflowPunct/>
        <w:topLinePunct w:val="0"/>
        <w:autoSpaceDN/>
        <w:bidi w:val="0"/>
        <w:adjustRightInd/>
        <w:snapToGrid w:val="0"/>
        <w:spacing w:line="360" w:lineRule="auto"/>
        <w:ind w:right="105" w:firstLine="482" w:firstLineChars="200"/>
        <w:jc w:val="left"/>
        <w:rPr>
          <w:rFonts w:hint="default" w:ascii="Times New Roman" w:hAnsi="Times New Roman" w:eastAsia="宋体" w:cs="Times New Roman"/>
          <w:sz w:val="24"/>
          <w:szCs w:val="24"/>
          <w:lang w:eastAsia="zh-CN"/>
        </w:rPr>
      </w:pPr>
      <w:r>
        <w:rPr>
          <w:rFonts w:hint="default" w:ascii="Times New Roman" w:hAnsi="Times New Roman" w:cs="Times New Roman"/>
          <w:b/>
          <w:sz w:val="24"/>
          <w:szCs w:val="24"/>
        </w:rPr>
        <w:t xml:space="preserve">4  </w:t>
      </w:r>
      <w:r>
        <w:rPr>
          <w:rFonts w:hint="default" w:ascii="Times New Roman" w:hAnsi="Times New Roman" w:cs="Times New Roman"/>
          <w:sz w:val="24"/>
          <w:szCs w:val="24"/>
        </w:rPr>
        <w:t>当采用内衬管不贴合原有管道机械制螺旋缠绕法结构性修复时，应对环状空隙内进行注浆，当不考虑注浆结构的贡献时，可按公式（5.2.</w:t>
      </w:r>
      <w:r>
        <w:rPr>
          <w:rFonts w:hint="default" w:ascii="Times New Roman" w:hAnsi="Times New Roman" w:cs="Times New Roman"/>
          <w:sz w:val="24"/>
          <w:szCs w:val="24"/>
          <w:lang w:val="en-US" w:eastAsia="zh-CN"/>
        </w:rPr>
        <w:t>3-5</w:t>
      </w:r>
      <w:r>
        <w:rPr>
          <w:rFonts w:hint="default" w:ascii="Times New Roman" w:hAnsi="Times New Roman" w:cs="Times New Roman"/>
          <w:sz w:val="24"/>
          <w:szCs w:val="24"/>
        </w:rPr>
        <w:t>）进行计算，当考虑考虑注浆结构的贡献时，应确认内衬管、注浆体和原有管道组成的复合结构能承受作用在管道上的总荷载</w:t>
      </w:r>
      <w:r>
        <w:rPr>
          <w:rFonts w:hint="default" w:ascii="Times New Roman" w:hAnsi="Times New Roman" w:cs="Times New Roman"/>
          <w:sz w:val="24"/>
          <w:szCs w:val="24"/>
          <w:lang w:eastAsia="zh-CN"/>
        </w:rPr>
        <w:t>；</w:t>
      </w:r>
    </w:p>
    <w:p w14:paraId="19286738">
      <w:pPr>
        <w:keepNext w:val="0"/>
        <w:keepLines w:val="0"/>
        <w:pageBreakBefore w:val="0"/>
        <w:widowControl w:val="0"/>
        <w:kinsoku/>
        <w:overflowPunct/>
        <w:topLinePunct w:val="0"/>
        <w:autoSpaceDN/>
        <w:bidi w:val="0"/>
        <w:adjustRightInd/>
        <w:snapToGrid w:val="0"/>
        <w:spacing w:line="360" w:lineRule="auto"/>
        <w:ind w:right="105" w:firstLine="422"/>
        <w:jc w:val="left"/>
        <w:rPr>
          <w:rFonts w:hint="default" w:ascii="Times New Roman" w:hAnsi="Times New Roman" w:cs="Times New Roman"/>
          <w:sz w:val="24"/>
          <w:szCs w:val="24"/>
        </w:rPr>
      </w:pPr>
      <w:r>
        <w:rPr>
          <w:rFonts w:hint="default" w:ascii="Times New Roman" w:hAnsi="Times New Roman" w:cs="Times New Roman"/>
          <w:b/>
          <w:sz w:val="24"/>
          <w:szCs w:val="24"/>
        </w:rPr>
        <w:t>5</w:t>
      </w:r>
      <w:r>
        <w:rPr>
          <w:rFonts w:hint="default" w:ascii="Times New Roman" w:hAnsi="Times New Roman" w:cs="Times New Roman"/>
          <w:sz w:val="24"/>
          <w:szCs w:val="24"/>
        </w:rPr>
        <w:t xml:space="preserve">  当采用机械制螺旋缠绕内衬法进行结构性修复时，内衬管最小刚度系数</w:t>
      </w:r>
      <w:r>
        <w:rPr>
          <w:rFonts w:hint="default" w:ascii="Times New Roman" w:hAnsi="Times New Roman" w:cs="Times New Roman"/>
          <w:i/>
          <w:sz w:val="24"/>
          <w:szCs w:val="24"/>
        </w:rPr>
        <w:t>E</w:t>
      </w:r>
      <w:r>
        <w:rPr>
          <w:rFonts w:hint="default" w:ascii="Times New Roman" w:hAnsi="Times New Roman" w:cs="Times New Roman"/>
          <w:sz w:val="24"/>
          <w:szCs w:val="24"/>
          <w:vertAlign w:val="subscript"/>
        </w:rPr>
        <w:t>L</w:t>
      </w:r>
      <w:r>
        <w:rPr>
          <w:rFonts w:hint="default" w:ascii="Times New Roman" w:hAnsi="Times New Roman" w:cs="Times New Roman"/>
          <w:i/>
          <w:sz w:val="24"/>
          <w:szCs w:val="24"/>
        </w:rPr>
        <w:t>I</w:t>
      </w:r>
      <w:r>
        <w:rPr>
          <w:rFonts w:hint="default" w:ascii="Times New Roman" w:hAnsi="Times New Roman" w:cs="Times New Roman"/>
          <w:sz w:val="24"/>
          <w:szCs w:val="24"/>
        </w:rPr>
        <w:t>还应同时满足公式（5.2.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-1）的要求。</w:t>
      </w:r>
    </w:p>
    <w:p w14:paraId="0CB122E6">
      <w:pPr>
        <w:pStyle w:val="3"/>
        <w:jc w:val="center"/>
        <w:rPr>
          <w:rFonts w:hint="default" w:ascii="Times New Roman" w:hAnsi="Times New Roman" w:eastAsia="宋体" w:cs="Times New Roman"/>
          <w:lang w:val="en-US" w:eastAsia="zh-CN"/>
        </w:rPr>
      </w:pPr>
      <w:bookmarkStart w:id="317" w:name="_Toc273342557"/>
      <w:bookmarkStart w:id="318" w:name="_Toc194939345"/>
      <w:bookmarkStart w:id="319" w:name="_Toc23530"/>
      <w:bookmarkStart w:id="320" w:name="_Toc303695519"/>
      <w:bookmarkStart w:id="321" w:name="_Toc335228766"/>
      <w:r>
        <w:rPr>
          <w:rFonts w:hint="default" w:ascii="Times New Roman" w:hAnsi="Times New Roman" w:eastAsia="宋体" w:cs="Times New Roman"/>
          <w:lang w:val="en-US" w:eastAsia="zh-CN"/>
        </w:rPr>
        <w:t>5.3水力</w:t>
      </w:r>
      <w:bookmarkEnd w:id="317"/>
      <w:r>
        <w:rPr>
          <w:rFonts w:hint="default" w:ascii="Times New Roman" w:hAnsi="Times New Roman" w:eastAsia="宋体" w:cs="Times New Roman"/>
          <w:lang w:val="en-US" w:eastAsia="zh-CN"/>
        </w:rPr>
        <w:t>计算</w:t>
      </w:r>
      <w:bookmarkEnd w:id="318"/>
      <w:bookmarkEnd w:id="319"/>
      <w:bookmarkEnd w:id="320"/>
      <w:bookmarkEnd w:id="321"/>
    </w:p>
    <w:p w14:paraId="0892CF64">
      <w:pPr>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5.3.1</w:t>
      </w:r>
      <w:r>
        <w:rPr>
          <w:rFonts w:hint="default" w:ascii="Times New Roman" w:hAnsi="Times New Roman" w:cs="Times New Roman"/>
          <w:sz w:val="24"/>
          <w:szCs w:val="24"/>
        </w:rPr>
        <w:t xml:space="preserve"> 管道过流能力可按下式计算：</w:t>
      </w:r>
    </w:p>
    <w:p w14:paraId="55798C87">
      <w:pPr>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eastAsia="宋体" w:cs="Times New Roman"/>
          <w:sz w:val="24"/>
          <w:szCs w:val="24"/>
        </w:rPr>
      </w:pPr>
      <w:r>
        <w:rPr>
          <w:rFonts w:hint="default" w:ascii="Times New Roman" w:hAnsi="Times New Roman" w:cs="Times New Roman"/>
          <w:b/>
          <w:bCs/>
          <w:sz w:val="24"/>
          <w:szCs w:val="24"/>
        </w:rPr>
        <w:t>1</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当管道内没有完全充满流体时，其流量应按下列公式计算：</w:t>
      </w:r>
    </w:p>
    <w:p w14:paraId="1A809DC6">
      <w:pPr>
        <w:keepNext w:val="0"/>
        <w:keepLines w:val="0"/>
        <w:pageBreakBefore w:val="0"/>
        <w:widowControl w:val="0"/>
        <w:kinsoku/>
        <w:overflowPunct/>
        <w:topLinePunct w:val="0"/>
        <w:autoSpaceDE/>
        <w:autoSpaceDN/>
        <w:bidi w:val="0"/>
        <w:adjustRightInd/>
        <w:spacing w:line="360" w:lineRule="auto"/>
        <w:jc w:val="right"/>
        <w:textAlignment w:val="auto"/>
        <w:rPr>
          <w:rFonts w:hint="default" w:ascii="Times New Roman" w:hAnsi="Times New Roman" w:eastAsia="宋体" w:cs="Times New Roman"/>
          <w:sz w:val="24"/>
          <w:szCs w:val="24"/>
        </w:rPr>
      </w:pPr>
      <w:r>
        <w:rPr>
          <w:rFonts w:hint="default" w:ascii="Times New Roman" w:hAnsi="Times New Roman" w:cs="Times New Roman"/>
          <w:position w:val="-30"/>
          <w:sz w:val="24"/>
          <w:szCs w:val="24"/>
        </w:rPr>
        <w:object>
          <v:shape id="_x0000_i1043" o:spt="75" type="#_x0000_t75" style="height:44pt;width:70.8pt;" o:ole="t" filled="f" o:preferrelative="t" stroked="f" coordsize="21600,21600">
            <v:path/>
            <v:fill on="f" focussize="0,0"/>
            <v:stroke on="f"/>
            <v:imagedata r:id="rId54" o:title=""/>
            <o:lock v:ext="edit" aspectratio="t"/>
            <w10:wrap type="none"/>
            <w10:anchorlock/>
          </v:shape>
          <o:OLEObject Type="Embed" ProgID="Equation.3" ShapeID="_x0000_i1043" DrawAspect="Content" ObjectID="_1468075742" r:id="rId53">
            <o:LockedField>false</o:LockedField>
          </o:OLEObject>
        </w:object>
      </w:r>
      <w:r>
        <w:rPr>
          <w:rFonts w:hint="default" w:ascii="Times New Roman" w:hAnsi="Times New Roman" w:cs="Times New Roman"/>
          <w:sz w:val="24"/>
          <w:szCs w:val="24"/>
        </w:rPr>
        <w:t xml:space="preserve">                        （5.3.</w:t>
      </w:r>
      <w:r>
        <w:rPr>
          <w:rFonts w:hint="default" w:ascii="Times New Roman" w:hAnsi="Times New Roman" w:cs="Times New Roman"/>
          <w:sz w:val="24"/>
          <w:szCs w:val="24"/>
          <w:lang w:val="en-US" w:eastAsia="zh-CN"/>
        </w:rPr>
        <w:t>1-1</w:t>
      </w:r>
      <w:r>
        <w:rPr>
          <w:rFonts w:hint="default" w:ascii="Times New Roman" w:hAnsi="Times New Roman" w:cs="Times New Roman"/>
          <w:sz w:val="24"/>
          <w:szCs w:val="24"/>
        </w:rPr>
        <w:t>）</w:t>
      </w:r>
    </w:p>
    <w:p w14:paraId="42E028FC">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Q</w:t>
      </w:r>
      <w:r>
        <w:rPr>
          <w:rFonts w:hint="default" w:ascii="Times New Roman" w:hAnsi="Times New Roman" w:cs="Times New Roman"/>
          <w:sz w:val="24"/>
          <w:szCs w:val="24"/>
        </w:rPr>
        <w:t>——管道的流量（m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t>
      </w:r>
    </w:p>
    <w:p w14:paraId="2E7C1D6B">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lang w:val="en-US" w:eastAsia="zh-CN"/>
        </w:rPr>
        <w:t>R</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水力半径</w:t>
      </w:r>
      <w:r>
        <w:rPr>
          <w:rFonts w:hint="default" w:ascii="Times New Roman" w:hAnsi="Times New Roman" w:cs="Times New Roman"/>
          <w:sz w:val="24"/>
          <w:szCs w:val="24"/>
        </w:rPr>
        <w:t>（m）；</w:t>
      </w:r>
    </w:p>
    <w:p w14:paraId="0963525B">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S</w:t>
      </w:r>
      <w:r>
        <w:rPr>
          <w:rFonts w:hint="default" w:ascii="Times New Roman" w:hAnsi="Times New Roman" w:cs="Times New Roman"/>
          <w:sz w:val="24"/>
          <w:szCs w:val="24"/>
        </w:rPr>
        <w:t>——管道坡度；</w:t>
      </w:r>
    </w:p>
    <w:p w14:paraId="4946D3DB">
      <w:pPr>
        <w:keepNext w:val="0"/>
        <w:keepLines w:val="0"/>
        <w:pageBreakBefore w:val="0"/>
        <w:widowControl w:val="0"/>
        <w:kinsoku/>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i/>
          <w:sz w:val="24"/>
          <w:szCs w:val="24"/>
        </w:rPr>
        <w:t>n</w:t>
      </w:r>
      <w:r>
        <w:rPr>
          <w:rFonts w:hint="default" w:ascii="Times New Roman" w:hAnsi="Times New Roman" w:cs="Times New Roman"/>
          <w:i/>
          <w:sz w:val="24"/>
          <w:szCs w:val="24"/>
          <w:vertAlign w:val="subscript"/>
          <w:lang w:val="en-US" w:eastAsia="zh-CN"/>
        </w:rPr>
        <w:t>e</w:t>
      </w:r>
      <w:r>
        <w:rPr>
          <w:rFonts w:hint="default" w:ascii="Times New Roman" w:hAnsi="Times New Roman" w:cs="Times New Roman"/>
          <w:sz w:val="24"/>
          <w:szCs w:val="24"/>
        </w:rPr>
        <w:t>——原有管道的粗糙系数。</w:t>
      </w:r>
    </w:p>
    <w:p w14:paraId="139791AF">
      <w:pPr>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2</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当管道中充满流体时，其流量应按下列公式计算：</w:t>
      </w:r>
    </w:p>
    <w:p w14:paraId="39B9794F">
      <w:pPr>
        <w:keepNext w:val="0"/>
        <w:keepLines w:val="0"/>
        <w:pageBreakBefore w:val="0"/>
        <w:widowControl w:val="0"/>
        <w:kinsoku/>
        <w:wordWrap w:val="0"/>
        <w:overflowPunct/>
        <w:topLinePunct w:val="0"/>
        <w:autoSpaceDE/>
        <w:autoSpaceDN/>
        <w:bidi w:val="0"/>
        <w:adjustRightInd/>
        <w:snapToGrid w:val="0"/>
        <w:spacing w:before="156" w:beforeLines="50" w:after="156" w:afterLines="50" w:line="360" w:lineRule="auto"/>
        <w:ind w:firstLine="420"/>
        <w:jc w:val="right"/>
        <w:textAlignment w:val="auto"/>
        <w:rPr>
          <w:rFonts w:hint="default" w:ascii="Times New Roman" w:hAnsi="Times New Roman" w:cs="Times New Roman"/>
          <w:sz w:val="24"/>
          <w:szCs w:val="24"/>
        </w:rPr>
      </w:pPr>
      <w:r>
        <w:rPr>
          <w:rFonts w:hint="default" w:ascii="Times New Roman" w:hAnsi="Times New Roman" w:cs="Times New Roman"/>
          <w:position w:val="-30"/>
          <w:sz w:val="24"/>
          <w:szCs w:val="24"/>
        </w:rPr>
        <w:object>
          <v:shape id="_x0000_i1044" o:spt="75" type="#_x0000_t75" style="height:38pt;width:95.7pt;" o:ole="t" filled="f" o:preferrelative="t" stroked="f" coordsize="21600,21600">
            <v:path/>
            <v:fill on="f" focussize="0,0"/>
            <v:stroke on="f"/>
            <v:imagedata r:id="rId56" o:title=""/>
            <o:lock v:ext="edit" aspectratio="t"/>
            <w10:wrap type="none"/>
            <w10:anchorlock/>
          </v:shape>
          <o:OLEObject Type="Embed" ProgID="Equation.3" ShapeID="_x0000_i1044" DrawAspect="Content" ObjectID="_1468075743" r:id="rId55">
            <o:LockedField>false</o:LockedField>
          </o:OLEObject>
        </w:object>
      </w:r>
      <w:r>
        <w:rPr>
          <w:rFonts w:hint="default" w:ascii="Times New Roman" w:hAnsi="Times New Roman" w:cs="Times New Roman"/>
          <w:sz w:val="24"/>
          <w:szCs w:val="24"/>
        </w:rPr>
        <w:t xml:space="preserve">                        （5.3.</w:t>
      </w:r>
      <w:r>
        <w:rPr>
          <w:rFonts w:hint="default" w:ascii="Times New Roman" w:hAnsi="Times New Roman" w:cs="Times New Roman"/>
          <w:sz w:val="24"/>
          <w:szCs w:val="24"/>
          <w:lang w:val="en-US" w:eastAsia="zh-CN"/>
        </w:rPr>
        <w:t>1-2</w:t>
      </w:r>
      <w:r>
        <w:rPr>
          <w:rFonts w:hint="default" w:ascii="Times New Roman" w:hAnsi="Times New Roman" w:cs="Times New Roman"/>
          <w:sz w:val="24"/>
          <w:szCs w:val="24"/>
        </w:rPr>
        <w:t>）</w:t>
      </w:r>
    </w:p>
    <w:p w14:paraId="78648663">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Q</w:t>
      </w:r>
      <w:r>
        <w:rPr>
          <w:rFonts w:hint="default" w:ascii="Times New Roman" w:hAnsi="Times New Roman" w:cs="Times New Roman"/>
          <w:sz w:val="24"/>
          <w:szCs w:val="24"/>
        </w:rPr>
        <w:t>——管道的流量（m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t>
      </w:r>
    </w:p>
    <w:p w14:paraId="29D8E8BE">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D</w:t>
      </w:r>
      <w:r>
        <w:rPr>
          <w:rFonts w:hint="default" w:ascii="Times New Roman" w:hAnsi="Times New Roman" w:cs="Times New Roman"/>
          <w:i/>
          <w:sz w:val="24"/>
          <w:szCs w:val="24"/>
          <w:vertAlign w:val="subscript"/>
        </w:rPr>
        <w:t>E</w:t>
      </w:r>
      <w:r>
        <w:rPr>
          <w:rFonts w:hint="default" w:ascii="Times New Roman" w:hAnsi="Times New Roman" w:cs="Times New Roman"/>
          <w:sz w:val="24"/>
          <w:szCs w:val="24"/>
        </w:rPr>
        <w:t>——原有管道平均内径（m）；</w:t>
      </w:r>
    </w:p>
    <w:p w14:paraId="4C796FF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z w:val="24"/>
          <w:szCs w:val="24"/>
        </w:rPr>
      </w:pPr>
      <w:r>
        <w:rPr>
          <w:rFonts w:hint="default" w:ascii="Times New Roman" w:hAnsi="Times New Roman" w:eastAsia="楷体" w:cs="Times New Roman"/>
          <w:kern w:val="2"/>
          <w:szCs w:val="24"/>
          <w:u w:val="single"/>
        </w:rPr>
        <w:t>【条文说明】该条规定了管道过流量的计算公式，管道内衬修复后，过流断面会有不同程度的减小。但是内衬管的粗糙系数较原有管道小，因此管道经内衬修复后的过流量一般可以满足原有管道的设计流量要求，或者大于原有管道的设计流量。</w:t>
      </w:r>
    </w:p>
    <w:p w14:paraId="76C76B00">
      <w:pPr>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5.3.2</w:t>
      </w:r>
      <w:r>
        <w:rPr>
          <w:rFonts w:hint="default" w:ascii="Times New Roman" w:hAnsi="Times New Roman" w:cs="Times New Roman"/>
          <w:sz w:val="24"/>
          <w:szCs w:val="24"/>
        </w:rPr>
        <w:t xml:space="preserve">  修复后管道的过流能力与修复前管道的过流能力的比值应按下式计算：</w:t>
      </w:r>
    </w:p>
    <w:p w14:paraId="0C52BA55">
      <w:pPr>
        <w:keepNext w:val="0"/>
        <w:keepLines w:val="0"/>
        <w:pageBreakBefore w:val="0"/>
        <w:widowControl w:val="0"/>
        <w:kinsoku/>
        <w:wordWrap w:val="0"/>
        <w:overflowPunct/>
        <w:topLinePunct w:val="0"/>
        <w:autoSpaceDE/>
        <w:autoSpaceDN/>
        <w:bidi w:val="0"/>
        <w:adjustRightInd/>
        <w:snapToGrid w:val="0"/>
        <w:spacing w:before="156" w:beforeLines="50" w:after="156" w:afterLines="50" w:line="360" w:lineRule="auto"/>
        <w:ind w:firstLine="420"/>
        <w:jc w:val="right"/>
        <w:textAlignment w:val="auto"/>
        <w:rPr>
          <w:rFonts w:hint="default" w:ascii="Times New Roman" w:hAnsi="Times New Roman" w:cs="Times New Roman"/>
          <w:sz w:val="24"/>
          <w:szCs w:val="24"/>
        </w:rPr>
      </w:pPr>
      <w:r>
        <w:rPr>
          <w:rFonts w:hint="default" w:ascii="Times New Roman" w:hAnsi="Times New Roman" w:cs="Times New Roman"/>
          <w:position w:val="-32"/>
          <w:sz w:val="24"/>
          <w:szCs w:val="24"/>
        </w:rPr>
        <w:object>
          <v:shape id="_x0000_i1045" o:spt="75" type="#_x0000_t75" style="height:43.3pt;width:114.7pt;" o:ole="t" filled="f" coordsize="21600,21600">
            <v:path/>
            <v:fill on="f" focussize="0,0"/>
            <v:stroke/>
            <v:imagedata r:id="rId58" o:title=""/>
            <o:lock v:ext="edit" aspectratio="t"/>
            <w10:wrap type="none"/>
            <w10:anchorlock/>
          </v:shape>
          <o:OLEObject Type="Embed" ProgID="Equation.3" ShapeID="_x0000_i1045" DrawAspect="Content" ObjectID="_1468075744" r:id="rId57">
            <o:LockedField>false</o:LockedField>
          </o:OLEObject>
        </w:object>
      </w:r>
      <w:r>
        <w:rPr>
          <w:rFonts w:hint="default" w:ascii="Times New Roman" w:hAnsi="Times New Roman" w:cs="Times New Roman"/>
          <w:sz w:val="24"/>
          <w:szCs w:val="24"/>
        </w:rPr>
        <w:t xml:space="preserve">                      （5.3.2）</w:t>
      </w:r>
    </w:p>
    <w:p w14:paraId="3EA23682">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B</w:t>
      </w:r>
      <w:r>
        <w:rPr>
          <w:rFonts w:hint="default" w:ascii="Times New Roman" w:hAnsi="Times New Roman" w:cs="Times New Roman"/>
          <w:sz w:val="24"/>
          <w:szCs w:val="24"/>
        </w:rPr>
        <w:t>——管道修复前后过流能力比；</w:t>
      </w:r>
    </w:p>
    <w:p w14:paraId="5487AFD7">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n</w:t>
      </w:r>
      <w:r>
        <w:rPr>
          <w:rFonts w:hint="default" w:ascii="Times New Roman" w:hAnsi="Times New Roman" w:cs="Times New Roman"/>
          <w:i/>
          <w:sz w:val="24"/>
          <w:szCs w:val="24"/>
          <w:vertAlign w:val="subscript"/>
        </w:rPr>
        <w:t>e</w:t>
      </w:r>
      <w:r>
        <w:rPr>
          <w:rFonts w:hint="default" w:ascii="Times New Roman" w:hAnsi="Times New Roman" w:cs="Times New Roman"/>
          <w:sz w:val="24"/>
          <w:szCs w:val="24"/>
        </w:rPr>
        <w:t>——原有管道的粗糙系数；</w:t>
      </w:r>
    </w:p>
    <w:p w14:paraId="7683AEDA">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D</w:t>
      </w:r>
      <w:r>
        <w:rPr>
          <w:rFonts w:hint="default" w:ascii="Times New Roman" w:hAnsi="Times New Roman" w:cs="Times New Roman"/>
          <w:i/>
          <w:sz w:val="24"/>
          <w:szCs w:val="24"/>
          <w:vertAlign w:val="subscript"/>
        </w:rPr>
        <w:t>I</w:t>
      </w:r>
      <w:r>
        <w:rPr>
          <w:rFonts w:hint="default" w:ascii="Times New Roman" w:hAnsi="Times New Roman" w:cs="Times New Roman"/>
          <w:sz w:val="24"/>
          <w:szCs w:val="24"/>
        </w:rPr>
        <w:t>——内衬管管道内径（m）；</w:t>
      </w:r>
    </w:p>
    <w:p w14:paraId="5FB4D105">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n</w:t>
      </w:r>
      <w:r>
        <w:rPr>
          <w:rFonts w:hint="default" w:ascii="Times New Roman" w:hAnsi="Times New Roman" w:cs="Times New Roman"/>
          <w:i/>
          <w:sz w:val="24"/>
          <w:szCs w:val="24"/>
          <w:vertAlign w:val="subscript"/>
        </w:rPr>
        <w:t>l</w:t>
      </w:r>
      <w:r>
        <w:rPr>
          <w:rFonts w:hint="default" w:ascii="Times New Roman" w:hAnsi="Times New Roman" w:cs="Times New Roman"/>
          <w:sz w:val="24"/>
          <w:szCs w:val="24"/>
        </w:rPr>
        <w:t>——内衬管的粗糙系数。</w:t>
      </w:r>
    </w:p>
    <w:p w14:paraId="06F95CC7">
      <w:pPr>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5.3.3</w:t>
      </w:r>
      <w:r>
        <w:rPr>
          <w:rFonts w:hint="default" w:ascii="Times New Roman" w:hAnsi="Times New Roman" w:cs="Times New Roman"/>
          <w:sz w:val="24"/>
          <w:szCs w:val="24"/>
        </w:rPr>
        <w:t xml:space="preserve">  部分管材的粗糙系数可按表5.3.3取值。</w:t>
      </w:r>
    </w:p>
    <w:p w14:paraId="5914CC17">
      <w:pPr>
        <w:pStyle w:val="29"/>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表5.3.3  粗糙系数  </w:t>
      </w:r>
    </w:p>
    <w:tbl>
      <w:tblPr>
        <w:tblStyle w:val="13"/>
        <w:tblW w:w="502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619"/>
        <w:gridCol w:w="3747"/>
      </w:tblGrid>
      <w:tr w14:paraId="30E33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tcBorders>
              <w:top w:val="single" w:color="000000" w:sz="8" w:space="0"/>
              <w:bottom w:val="single" w:color="000000" w:sz="8" w:space="0"/>
            </w:tcBorders>
            <w:shd w:val="clear" w:color="auto" w:fill="auto"/>
            <w:vAlign w:val="center"/>
          </w:tcPr>
          <w:p w14:paraId="6E411BA0">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管材类型</w:t>
            </w:r>
          </w:p>
        </w:tc>
        <w:tc>
          <w:tcPr>
            <w:tcW w:w="2239" w:type="pct"/>
            <w:tcBorders>
              <w:top w:val="single" w:color="000000" w:sz="8" w:space="0"/>
              <w:bottom w:val="single" w:color="000000" w:sz="8" w:space="0"/>
            </w:tcBorders>
            <w:shd w:val="clear" w:color="auto" w:fill="auto"/>
            <w:vAlign w:val="center"/>
          </w:tcPr>
          <w:p w14:paraId="1AA575F6">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粗糙系数 </w:t>
            </w:r>
            <w:r>
              <w:rPr>
                <w:rFonts w:hint="default" w:ascii="Times New Roman" w:hAnsi="Times New Roman" w:cs="Times New Roman"/>
                <w:i/>
                <w:iCs/>
                <w:sz w:val="24"/>
                <w:szCs w:val="24"/>
              </w:rPr>
              <w:t>n</w:t>
            </w:r>
          </w:p>
        </w:tc>
      </w:tr>
      <w:tr w14:paraId="5DEB2E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tcBorders>
              <w:top w:val="single" w:color="000000" w:sz="8" w:space="0"/>
            </w:tcBorders>
            <w:shd w:val="clear" w:color="auto" w:fill="auto"/>
            <w:vAlign w:val="center"/>
          </w:tcPr>
          <w:p w14:paraId="7E6CB399">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原位固化内衬管</w:t>
            </w:r>
          </w:p>
        </w:tc>
        <w:tc>
          <w:tcPr>
            <w:tcW w:w="2239" w:type="pct"/>
            <w:tcBorders>
              <w:top w:val="single" w:color="000000" w:sz="8" w:space="0"/>
            </w:tcBorders>
            <w:shd w:val="clear" w:color="auto" w:fill="auto"/>
            <w:vAlign w:val="center"/>
          </w:tcPr>
          <w:p w14:paraId="6F894715">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0.010</w:t>
            </w:r>
          </w:p>
        </w:tc>
      </w:tr>
      <w:tr w14:paraId="516B5D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5D89EFB5">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PE管</w:t>
            </w:r>
            <w:r>
              <w:rPr>
                <w:rFonts w:hint="default" w:ascii="Times New Roman" w:hAnsi="Times New Roman" w:cs="Times New Roman"/>
                <w:sz w:val="24"/>
                <w:szCs w:val="24"/>
                <w:lang w:eastAsia="zh-CN"/>
              </w:rPr>
              <w:t>、</w:t>
            </w:r>
            <w:r>
              <w:rPr>
                <w:rFonts w:hint="default" w:ascii="Times New Roman" w:hAnsi="Times New Roman" w:cs="Times New Roman"/>
                <w:sz w:val="24"/>
                <w:szCs w:val="24"/>
              </w:rPr>
              <w:t>PVC-U管</w:t>
            </w:r>
          </w:p>
        </w:tc>
        <w:tc>
          <w:tcPr>
            <w:tcW w:w="2239" w:type="pct"/>
            <w:shd w:val="clear" w:color="auto" w:fill="auto"/>
            <w:vAlign w:val="center"/>
          </w:tcPr>
          <w:p w14:paraId="3F7BE32F">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0.009</w:t>
            </w:r>
          </w:p>
        </w:tc>
      </w:tr>
      <w:tr w14:paraId="5139AD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7185A096">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螺旋缠绕内衬管</w:t>
            </w:r>
          </w:p>
        </w:tc>
        <w:tc>
          <w:tcPr>
            <w:tcW w:w="2239" w:type="pct"/>
            <w:shd w:val="clear" w:color="auto" w:fill="auto"/>
            <w:vAlign w:val="center"/>
          </w:tcPr>
          <w:p w14:paraId="34F36040">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0.0</w:t>
            </w:r>
            <w:r>
              <w:rPr>
                <w:rFonts w:hint="default" w:ascii="Times New Roman" w:hAnsi="Times New Roman" w:cs="Times New Roman"/>
                <w:sz w:val="24"/>
                <w:szCs w:val="24"/>
                <w:lang w:val="en-US" w:eastAsia="zh-CN"/>
              </w:rPr>
              <w:t>10</w:t>
            </w:r>
          </w:p>
        </w:tc>
      </w:tr>
      <w:tr w14:paraId="4DD583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5FCA4CEB">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玻璃钢管</w:t>
            </w:r>
          </w:p>
        </w:tc>
        <w:tc>
          <w:tcPr>
            <w:tcW w:w="2239" w:type="pct"/>
            <w:shd w:val="clear" w:color="auto" w:fill="auto"/>
            <w:vAlign w:val="center"/>
          </w:tcPr>
          <w:p w14:paraId="11532A55">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0.009~0.01</w:t>
            </w:r>
          </w:p>
        </w:tc>
      </w:tr>
      <w:tr w14:paraId="16DB93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1DEC9DCB">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混凝土管</w:t>
            </w:r>
          </w:p>
        </w:tc>
        <w:tc>
          <w:tcPr>
            <w:tcW w:w="2239" w:type="pct"/>
            <w:shd w:val="clear" w:color="auto" w:fill="auto"/>
            <w:vAlign w:val="center"/>
          </w:tcPr>
          <w:p w14:paraId="5D1546D3">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0.013</w:t>
            </w:r>
            <w:r>
              <w:rPr>
                <w:rFonts w:hint="default" w:ascii="Times New Roman" w:hAnsi="Times New Roman" w:cs="Times New Roman"/>
                <w:sz w:val="24"/>
                <w:szCs w:val="24"/>
                <w:lang w:val="en-US" w:eastAsia="zh-CN"/>
              </w:rPr>
              <w:t>~0.014</w:t>
            </w:r>
          </w:p>
        </w:tc>
      </w:tr>
      <w:tr w14:paraId="1F3293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24411B11">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砖砌管</w:t>
            </w:r>
          </w:p>
        </w:tc>
        <w:tc>
          <w:tcPr>
            <w:tcW w:w="2239" w:type="pct"/>
            <w:shd w:val="clear" w:color="auto" w:fill="auto"/>
            <w:vAlign w:val="center"/>
          </w:tcPr>
          <w:p w14:paraId="6AE60C38">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0.016</w:t>
            </w:r>
          </w:p>
        </w:tc>
      </w:tr>
      <w:tr w14:paraId="5825CF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702B95A2">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陶土管</w:t>
            </w:r>
          </w:p>
        </w:tc>
        <w:tc>
          <w:tcPr>
            <w:tcW w:w="2239" w:type="pct"/>
            <w:shd w:val="clear" w:color="auto" w:fill="auto"/>
            <w:vAlign w:val="center"/>
          </w:tcPr>
          <w:p w14:paraId="6683D719">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0.014</w:t>
            </w:r>
          </w:p>
        </w:tc>
      </w:tr>
      <w:tr w14:paraId="690E24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3287085B">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砂浆喷涂（抹面）</w:t>
            </w:r>
          </w:p>
        </w:tc>
        <w:tc>
          <w:tcPr>
            <w:tcW w:w="2239" w:type="pct"/>
            <w:shd w:val="clear" w:color="auto" w:fill="auto"/>
            <w:vAlign w:val="center"/>
          </w:tcPr>
          <w:p w14:paraId="2F144320">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0.013~0.014</w:t>
            </w:r>
          </w:p>
        </w:tc>
      </w:tr>
      <w:tr w14:paraId="3E0867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2760" w:type="pct"/>
            <w:shd w:val="clear" w:color="auto" w:fill="auto"/>
            <w:vAlign w:val="center"/>
          </w:tcPr>
          <w:p w14:paraId="3D96F325">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砂浆喷涂（不抹面）</w:t>
            </w:r>
          </w:p>
        </w:tc>
        <w:tc>
          <w:tcPr>
            <w:tcW w:w="2239" w:type="pct"/>
            <w:shd w:val="clear" w:color="auto" w:fill="auto"/>
            <w:vAlign w:val="center"/>
          </w:tcPr>
          <w:p w14:paraId="6C0AAF78">
            <w:pPr>
              <w:pStyle w:val="31"/>
              <w:keepNext w:val="0"/>
              <w:keepLines w:val="0"/>
              <w:pageBreakBefore w:val="0"/>
              <w:widowControl w:val="0"/>
              <w:kinsoku/>
              <w:overflowPunct/>
              <w:topLinePunct w:val="0"/>
              <w:autoSpaceDE/>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0.015</w:t>
            </w:r>
          </w:p>
        </w:tc>
      </w:tr>
    </w:tbl>
    <w:p w14:paraId="5DCAC98A">
      <w:pPr>
        <w:keepNext w:val="0"/>
        <w:keepLines w:val="0"/>
        <w:pageBreakBefore w:val="0"/>
        <w:widowControl w:val="0"/>
        <w:kinsoku/>
        <w:overflowPunct/>
        <w:topLinePunct w:val="0"/>
        <w:autoSpaceDE/>
        <w:autoSpaceDN/>
        <w:bidi w:val="0"/>
        <w:adjustRightInd/>
        <w:snapToGrid w:val="0"/>
        <w:spacing w:before="93" w:beforeLines="30" w:after="156" w:afterLines="50" w:line="360" w:lineRule="auto"/>
        <w:ind w:firstLine="360"/>
        <w:textAlignment w:val="auto"/>
        <w:rPr>
          <w:rFonts w:hint="default" w:ascii="Times New Roman" w:hAnsi="Times New Roman" w:cs="Times New Roman"/>
          <w:sz w:val="21"/>
          <w:szCs w:val="21"/>
        </w:rPr>
      </w:pPr>
      <w:r>
        <w:rPr>
          <w:rFonts w:hint="default" w:ascii="Times New Roman" w:hAnsi="Times New Roman" w:cs="Times New Roman"/>
          <w:sz w:val="21"/>
          <w:szCs w:val="21"/>
        </w:rPr>
        <w:t>注：本表所列粗糙系数是指管道在完好无损的条件下的粗糙系数。如果管道受到腐蚀或破坏等，其粗糙系数会增加。</w:t>
      </w:r>
    </w:p>
    <w:p w14:paraId="774F8FF5">
      <w:pPr>
        <w:pStyle w:val="3"/>
        <w:bidi w:val="0"/>
        <w:rPr>
          <w:rFonts w:hint="default" w:ascii="Times New Roman" w:hAnsi="Times New Roman" w:cs="Times New Roman"/>
        </w:rPr>
      </w:pPr>
      <w:bookmarkStart w:id="322" w:name="_Toc303695520"/>
      <w:bookmarkStart w:id="323" w:name="_Toc194939346"/>
      <w:bookmarkStart w:id="324" w:name="_Toc335228767"/>
      <w:bookmarkStart w:id="325" w:name="_Toc6285"/>
      <w:r>
        <w:rPr>
          <w:rFonts w:hint="default" w:ascii="Times New Roman" w:hAnsi="Times New Roman" w:cs="Times New Roman"/>
        </w:rPr>
        <w:t>5.4工作坑设计</w:t>
      </w:r>
      <w:bookmarkEnd w:id="322"/>
      <w:bookmarkEnd w:id="323"/>
      <w:bookmarkEnd w:id="324"/>
      <w:bookmarkEnd w:id="325"/>
    </w:p>
    <w:p w14:paraId="56D269BD">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rPr>
        <w:t>5.4.1</w:t>
      </w:r>
      <w:r>
        <w:rPr>
          <w:rFonts w:hint="default" w:ascii="Times New Roman" w:hAnsi="Times New Roman" w:cs="Times New Roman"/>
          <w:sz w:val="24"/>
          <w:szCs w:val="24"/>
        </w:rPr>
        <w:t xml:space="preserve">  当需开挖工作坑时，工作坑的位置应符合下列规定：</w:t>
      </w:r>
    </w:p>
    <w:p w14:paraId="043639FD">
      <w:pPr>
        <w:keepNext w:val="0"/>
        <w:keepLines w:val="0"/>
        <w:pageBreakBefore w:val="0"/>
        <w:widowControl w:val="0"/>
        <w:kinsoku/>
        <w:overflowPunct/>
        <w:topLinePunct w:val="0"/>
        <w:autoSpaceDN/>
        <w:bidi w:val="0"/>
        <w:adjustRightInd/>
        <w:spacing w:line="360" w:lineRule="auto"/>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1</w:t>
      </w:r>
      <w:r>
        <w:rPr>
          <w:rFonts w:hint="default" w:ascii="Times New Roman" w:hAnsi="Times New Roman" w:cs="Times New Roman"/>
          <w:sz w:val="24"/>
          <w:szCs w:val="24"/>
        </w:rPr>
        <w:t xml:space="preserve">  工作坑宜布置在管道变径、转角或检查井处。</w:t>
      </w:r>
    </w:p>
    <w:p w14:paraId="711C40ED">
      <w:pPr>
        <w:keepNext w:val="0"/>
        <w:keepLines w:val="0"/>
        <w:pageBreakBefore w:val="0"/>
        <w:widowControl w:val="0"/>
        <w:kinsoku/>
        <w:overflowPunct/>
        <w:topLinePunct w:val="0"/>
        <w:autoSpaceDN/>
        <w:bidi w:val="0"/>
        <w:adjustRightInd/>
        <w:spacing w:line="360" w:lineRule="auto"/>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2</w:t>
      </w:r>
      <w:r>
        <w:rPr>
          <w:rFonts w:hint="default" w:ascii="Times New Roman" w:hAnsi="Times New Roman" w:cs="Times New Roman"/>
          <w:sz w:val="24"/>
          <w:szCs w:val="24"/>
        </w:rPr>
        <w:t xml:space="preserve">  工作坑不宜设置在道路交汇口、医院</w:t>
      </w:r>
      <w:r>
        <w:rPr>
          <w:rFonts w:hint="default" w:ascii="Times New Roman" w:hAnsi="Times New Roman" w:cs="Times New Roman"/>
          <w:sz w:val="24"/>
          <w:szCs w:val="24"/>
          <w:lang w:val="en-US" w:eastAsia="zh-CN"/>
        </w:rPr>
        <w:t>出</w:t>
      </w:r>
      <w:r>
        <w:rPr>
          <w:rFonts w:hint="default" w:ascii="Times New Roman" w:hAnsi="Times New Roman" w:cs="Times New Roman"/>
          <w:sz w:val="24"/>
          <w:szCs w:val="24"/>
        </w:rPr>
        <w:t>入口、消防</w:t>
      </w:r>
      <w:r>
        <w:rPr>
          <w:rFonts w:hint="default" w:ascii="Times New Roman" w:hAnsi="Times New Roman" w:cs="Times New Roman"/>
          <w:sz w:val="24"/>
          <w:szCs w:val="24"/>
          <w:lang w:val="en-US" w:eastAsia="zh-CN"/>
        </w:rPr>
        <w:t>站出</w:t>
      </w:r>
      <w:r>
        <w:rPr>
          <w:rFonts w:hint="default" w:ascii="Times New Roman" w:hAnsi="Times New Roman" w:cs="Times New Roman"/>
          <w:sz w:val="24"/>
          <w:szCs w:val="24"/>
        </w:rPr>
        <w:t>入口处</w:t>
      </w:r>
      <w:r>
        <w:rPr>
          <w:rFonts w:hint="default" w:ascii="Times New Roman" w:hAnsi="Times New Roman" w:cs="Times New Roman"/>
          <w:sz w:val="24"/>
          <w:szCs w:val="24"/>
          <w:lang w:val="en-US" w:eastAsia="zh-CN"/>
        </w:rPr>
        <w:t>等人流密集场所</w:t>
      </w:r>
      <w:r>
        <w:rPr>
          <w:rFonts w:hint="default" w:ascii="Times New Roman" w:hAnsi="Times New Roman" w:cs="Times New Roman"/>
          <w:sz w:val="24"/>
          <w:szCs w:val="24"/>
        </w:rPr>
        <w:t>；</w:t>
      </w:r>
    </w:p>
    <w:p w14:paraId="6E6783A3">
      <w:pPr>
        <w:keepNext w:val="0"/>
        <w:keepLines w:val="0"/>
        <w:pageBreakBefore w:val="0"/>
        <w:widowControl w:val="0"/>
        <w:kinsoku/>
        <w:overflowPunct/>
        <w:topLinePunct w:val="0"/>
        <w:autoSpaceDN/>
        <w:bidi w:val="0"/>
        <w:adjustRightInd/>
        <w:spacing w:line="360" w:lineRule="auto"/>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3</w:t>
      </w:r>
      <w:r>
        <w:rPr>
          <w:rFonts w:hint="default" w:ascii="Times New Roman" w:hAnsi="Times New Roman" w:cs="Times New Roman"/>
          <w:sz w:val="24"/>
          <w:szCs w:val="24"/>
        </w:rPr>
        <w:t xml:space="preserve">  工作坑的</w:t>
      </w:r>
      <w:r>
        <w:rPr>
          <w:rFonts w:hint="default" w:ascii="Times New Roman" w:hAnsi="Times New Roman" w:cs="Times New Roman"/>
          <w:sz w:val="24"/>
          <w:szCs w:val="24"/>
          <w:lang w:val="en-US" w:eastAsia="zh-CN"/>
        </w:rPr>
        <w:t>范围</w:t>
      </w:r>
      <w:r>
        <w:rPr>
          <w:rFonts w:hint="default" w:ascii="Times New Roman" w:hAnsi="Times New Roman" w:cs="Times New Roman"/>
          <w:sz w:val="24"/>
          <w:szCs w:val="24"/>
        </w:rPr>
        <w:t>应避开地上建筑物、架空线、地下管线或其它构筑物；</w:t>
      </w:r>
    </w:p>
    <w:p w14:paraId="1D51E952">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4  </w:t>
      </w:r>
      <w:r>
        <w:rPr>
          <w:rFonts w:hint="default" w:ascii="Times New Roman" w:hAnsi="Times New Roman" w:cs="Times New Roman"/>
          <w:szCs w:val="24"/>
        </w:rPr>
        <w:t>当工作坑的设置方案涉及地铁、铁路或油气管线等安全防护范围时，应征得产权部门的同意后方可实施。</w:t>
      </w:r>
    </w:p>
    <w:p w14:paraId="7E754E1E">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eastAsia="楷体" w:cs="Times New Roman"/>
          <w:kern w:val="2"/>
          <w:szCs w:val="24"/>
          <w:u w:val="single"/>
        </w:rPr>
        <w:t>【条文说明】考虑到工作坑的开挖对周围</w:t>
      </w:r>
      <w:r>
        <w:rPr>
          <w:rFonts w:hint="default" w:ascii="Times New Roman" w:hAnsi="Times New Roman" w:eastAsia="楷体" w:cs="Times New Roman"/>
          <w:kern w:val="2"/>
          <w:szCs w:val="24"/>
          <w:u w:val="single"/>
          <w:lang w:val="en-US" w:eastAsia="zh-CN"/>
        </w:rPr>
        <w:t>建筑物及构筑</w:t>
      </w:r>
      <w:r>
        <w:rPr>
          <w:rFonts w:hint="default" w:ascii="Times New Roman" w:hAnsi="Times New Roman" w:eastAsia="楷体" w:cs="Times New Roman"/>
          <w:kern w:val="2"/>
          <w:szCs w:val="24"/>
          <w:u w:val="single"/>
        </w:rPr>
        <w:t>物安全、人们正常生活的影响以及非开挖修复更新工程设计对工作坑位置的特殊要求制定本条。</w:t>
      </w:r>
    </w:p>
    <w:p w14:paraId="23759E87">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rPr>
        <w:t>5.4.2</w:t>
      </w:r>
      <w:r>
        <w:rPr>
          <w:rFonts w:hint="default" w:ascii="Times New Roman" w:hAnsi="Times New Roman" w:cs="Times New Roman"/>
          <w:sz w:val="24"/>
          <w:szCs w:val="24"/>
        </w:rPr>
        <w:t xml:space="preserve">  工作坑的大小应满足施工空间的要求。</w:t>
      </w:r>
      <w:r>
        <w:rPr>
          <w:rFonts w:hint="default" w:ascii="Times New Roman" w:hAnsi="Times New Roman" w:cs="Times New Roman"/>
          <w:sz w:val="24"/>
          <w:szCs w:val="24"/>
          <w:lang w:val="en-US" w:eastAsia="zh-CN"/>
        </w:rPr>
        <w:t>当采用</w:t>
      </w:r>
      <w:r>
        <w:rPr>
          <w:rFonts w:hint="default" w:ascii="Times New Roman" w:hAnsi="Times New Roman" w:cs="Times New Roman"/>
          <w:sz w:val="24"/>
          <w:szCs w:val="24"/>
        </w:rPr>
        <w:t>连续管道穿插法</w:t>
      </w:r>
      <w:r>
        <w:rPr>
          <w:rFonts w:hint="default" w:ascii="Times New Roman" w:hAnsi="Times New Roman" w:cs="Times New Roman"/>
          <w:sz w:val="24"/>
          <w:szCs w:val="24"/>
          <w:lang w:val="en-US" w:eastAsia="zh-CN"/>
        </w:rPr>
        <w:t>施工时，</w:t>
      </w:r>
      <w:r>
        <w:rPr>
          <w:rFonts w:hint="default" w:ascii="Times New Roman" w:hAnsi="Times New Roman" w:cs="Times New Roman"/>
          <w:sz w:val="24"/>
          <w:szCs w:val="24"/>
        </w:rPr>
        <w:t>进管工作坑如图5.4.2</w:t>
      </w:r>
      <w:r>
        <w:rPr>
          <w:rFonts w:hint="default" w:ascii="Times New Roman" w:hAnsi="Times New Roman" w:cs="Times New Roman"/>
          <w:sz w:val="24"/>
          <w:szCs w:val="24"/>
          <w:lang w:val="en-US" w:eastAsia="zh-CN"/>
        </w:rPr>
        <w:t>设置</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其</w:t>
      </w:r>
      <w:r>
        <w:rPr>
          <w:rFonts w:hint="default" w:ascii="Times New Roman" w:hAnsi="Times New Roman" w:cs="Times New Roman"/>
          <w:sz w:val="24"/>
          <w:szCs w:val="24"/>
        </w:rPr>
        <w:t>最小长度应按下式计算：</w:t>
      </w:r>
    </w:p>
    <w:p w14:paraId="137BA0CB">
      <w:pPr>
        <w:keepNext w:val="0"/>
        <w:keepLines w:val="0"/>
        <w:pageBreakBefore w:val="0"/>
        <w:widowControl w:val="0"/>
        <w:kinsoku/>
        <w:wordWrap w:val="0"/>
        <w:overflowPunct/>
        <w:topLinePunct w:val="0"/>
        <w:autoSpaceDN/>
        <w:bidi w:val="0"/>
        <w:adjustRightInd/>
        <w:snapToGrid w:val="0"/>
        <w:spacing w:before="156" w:beforeLines="50" w:after="156" w:afterLines="50" w:line="360" w:lineRule="auto"/>
        <w:ind w:firstLine="1267" w:firstLineChars="528"/>
        <w:jc w:val="right"/>
        <w:textAlignment w:val="auto"/>
        <w:rPr>
          <w:rFonts w:hint="default" w:ascii="Times New Roman" w:hAnsi="Times New Roman" w:cs="Times New Roman"/>
          <w:bCs/>
          <w:sz w:val="24"/>
          <w:szCs w:val="24"/>
        </w:rPr>
      </w:pPr>
      <w:r>
        <w:rPr>
          <w:rFonts w:hint="default" w:ascii="Times New Roman" w:hAnsi="Times New Roman" w:cs="Times New Roman"/>
          <w:bCs/>
          <w:position w:val="-10"/>
          <w:sz w:val="24"/>
          <w:szCs w:val="24"/>
          <w:vertAlign w:val="superscript"/>
        </w:rPr>
        <w:object>
          <v:shape id="_x0000_i1046" o:spt="75" type="#_x0000_t75" style="height:21.35pt;width:100.7pt;" o:ole="t" filled="f" coordsize="21600,21600">
            <v:path/>
            <v:fill on="f" focussize="0,0"/>
            <v:stroke/>
            <v:imagedata r:id="rId60" o:title=""/>
            <o:lock v:ext="edit" aspectratio="t"/>
            <w10:wrap type="none"/>
            <w10:anchorlock/>
          </v:shape>
          <o:OLEObject Type="Embed" ProgID="Equation.3" ShapeID="_x0000_i1046" DrawAspect="Content" ObjectID="_1468075745" r:id="rId59">
            <o:LockedField>false</o:LockedField>
          </o:OLEObject>
        </w:object>
      </w:r>
      <w:r>
        <w:rPr>
          <w:rFonts w:hint="default" w:ascii="Times New Roman" w:hAnsi="Times New Roman" w:cs="Times New Roman"/>
          <w:bCs/>
          <w:sz w:val="24"/>
          <w:szCs w:val="24"/>
          <w:vertAlign w:val="superscript"/>
        </w:rPr>
        <w:t xml:space="preserve">                          </w:t>
      </w:r>
      <w:r>
        <w:rPr>
          <w:rFonts w:hint="default" w:ascii="Times New Roman" w:hAnsi="Times New Roman" w:cs="Times New Roman"/>
          <w:bCs/>
          <w:sz w:val="24"/>
          <w:szCs w:val="24"/>
        </w:rPr>
        <w:t>（5.4.2）</w:t>
      </w:r>
    </w:p>
    <w:p w14:paraId="3FDC7325">
      <w:pPr>
        <w:keepNext w:val="0"/>
        <w:keepLines w:val="0"/>
        <w:pageBreakBefore w:val="0"/>
        <w:widowControl w:val="0"/>
        <w:kinsoku/>
        <w:overflowPunct/>
        <w:topLinePunct w:val="0"/>
        <w:autoSpaceDN/>
        <w:bidi w:val="0"/>
        <w:adjustRightInd/>
        <w:snapToGrid w:val="0"/>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L</w:t>
      </w:r>
      <w:r>
        <w:rPr>
          <w:rFonts w:hint="default" w:ascii="Times New Roman" w:hAnsi="Times New Roman" w:cs="Times New Roman"/>
          <w:sz w:val="24"/>
          <w:szCs w:val="24"/>
        </w:rPr>
        <w:t>——工作坑长度（m）；</w:t>
      </w:r>
    </w:p>
    <w:p w14:paraId="661E5F26">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H</w:t>
      </w:r>
      <w:r>
        <w:rPr>
          <w:rFonts w:hint="default" w:ascii="Times New Roman" w:hAnsi="Times New Roman" w:cs="Times New Roman"/>
          <w:sz w:val="24"/>
          <w:szCs w:val="24"/>
        </w:rPr>
        <w:t xml:space="preserve">——管道敷设深度（m）； </w:t>
      </w:r>
    </w:p>
    <w:p w14:paraId="51305008">
      <w:pPr>
        <w:keepNext w:val="0"/>
        <w:keepLines w:val="0"/>
        <w:pageBreakBefore w:val="0"/>
        <w:widowControl w:val="0"/>
        <w:kinsoku/>
        <w:wordWrap/>
        <w:overflowPunct/>
        <w:topLinePunct w:val="0"/>
        <w:autoSpaceDE/>
        <w:autoSpaceDN/>
        <w:bidi w:val="0"/>
        <w:adjustRightInd/>
        <w:snapToGrid w:val="0"/>
        <w:spacing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R</w:t>
      </w:r>
      <w:r>
        <w:rPr>
          <w:rFonts w:hint="default" w:ascii="Times New Roman" w:hAnsi="Times New Roman" w:cs="Times New Roman"/>
          <w:sz w:val="24"/>
          <w:szCs w:val="24"/>
        </w:rPr>
        <w:t>——管材许用弯曲半径（m），且</w:t>
      </w:r>
      <w:r>
        <w:rPr>
          <w:rFonts w:hint="default" w:ascii="Times New Roman" w:hAnsi="Times New Roman" w:cs="Times New Roman"/>
          <w:i/>
          <w:sz w:val="24"/>
          <w:szCs w:val="24"/>
        </w:rPr>
        <w:t>R</w:t>
      </w:r>
      <w:r>
        <w:rPr>
          <w:rFonts w:hint="default" w:ascii="Times New Roman" w:hAnsi="Times New Roman" w:cs="Times New Roman"/>
          <w:i/>
          <w:sz w:val="24"/>
          <w:szCs w:val="24"/>
          <w:vertAlign w:val="subscript"/>
        </w:rPr>
        <w:t xml:space="preserve"> </w:t>
      </w:r>
      <w:r>
        <w:rPr>
          <w:rFonts w:hint="default" w:ascii="Times New Roman" w:hAnsi="Times New Roman" w:cs="Times New Roman"/>
          <w:sz w:val="24"/>
          <w:szCs w:val="24"/>
        </w:rPr>
        <w:t>≥25</w:t>
      </w:r>
      <w:r>
        <w:rPr>
          <w:rFonts w:hint="default" w:ascii="Times New Roman" w:hAnsi="Times New Roman" w:cs="Times New Roman"/>
          <w:i/>
          <w:sz w:val="24"/>
          <w:szCs w:val="24"/>
        </w:rPr>
        <w:t>D</w:t>
      </w:r>
      <w:r>
        <w:rPr>
          <w:rFonts w:hint="default" w:ascii="Times New Roman" w:hAnsi="Times New Roman" w:cs="Times New Roman"/>
          <w:i/>
          <w:sz w:val="24"/>
          <w:szCs w:val="24"/>
          <w:vertAlign w:val="subscript"/>
        </w:rPr>
        <w:t>O</w:t>
      </w:r>
      <w:r>
        <w:rPr>
          <w:rFonts w:hint="default" w:ascii="Times New Roman" w:hAnsi="Times New Roman" w:cs="Times New Roman"/>
          <w:sz w:val="24"/>
          <w:szCs w:val="24"/>
        </w:rPr>
        <w:t>；</w:t>
      </w:r>
    </w:p>
    <w:p w14:paraId="3332AF48">
      <w:pPr>
        <w:keepNext w:val="0"/>
        <w:keepLines w:val="0"/>
        <w:pageBreakBefore w:val="0"/>
        <w:widowControl w:val="0"/>
        <w:kinsoku/>
        <w:wordWrap/>
        <w:overflowPunct/>
        <w:topLinePunct w:val="0"/>
        <w:autoSpaceDE/>
        <w:autoSpaceDN/>
        <w:bidi w:val="0"/>
        <w:adjustRightInd/>
        <w:snapToGrid w:val="0"/>
        <w:spacing w:after="156" w:afterLines="50" w:line="360" w:lineRule="auto"/>
        <w:ind w:left="1320" w:leftChars="300" w:hanging="600" w:hangingChars="250"/>
        <w:textAlignment w:val="auto"/>
        <w:rPr>
          <w:rFonts w:hint="default" w:ascii="Times New Roman" w:hAnsi="Times New Roman" w:cs="Times New Roman"/>
          <w:sz w:val="24"/>
          <w:szCs w:val="24"/>
        </w:rPr>
      </w:pPr>
      <w:r>
        <w:rPr>
          <w:rFonts w:hint="default" w:ascii="Times New Roman" w:hAnsi="Times New Roman" w:cs="Times New Roman"/>
          <w:i/>
          <w:sz w:val="24"/>
          <w:szCs w:val="24"/>
        </w:rPr>
        <w:t>D</w:t>
      </w:r>
      <w:r>
        <w:rPr>
          <w:rFonts w:hint="default" w:ascii="Times New Roman" w:hAnsi="Times New Roman" w:cs="Times New Roman"/>
          <w:i/>
          <w:sz w:val="24"/>
          <w:szCs w:val="24"/>
          <w:vertAlign w:val="subscript"/>
        </w:rPr>
        <w:t>O</w:t>
      </w:r>
      <w:r>
        <w:rPr>
          <w:rFonts w:hint="default" w:ascii="Times New Roman" w:hAnsi="Times New Roman" w:cs="Times New Roman"/>
          <w:sz w:val="24"/>
          <w:szCs w:val="24"/>
        </w:rPr>
        <w:t>——内衬管外径（m）。</w:t>
      </w:r>
    </w:p>
    <w:p w14:paraId="209165FA">
      <w:pPr>
        <w:keepNext w:val="0"/>
        <w:keepLines w:val="0"/>
        <w:pageBreakBefore w:val="0"/>
        <w:widowControl w:val="0"/>
        <w:kinsoku/>
        <w:overflowPunct/>
        <w:topLinePunct w:val="0"/>
        <w:autoSpaceDN/>
        <w:bidi w:val="0"/>
        <w:adjustRightInd/>
        <w:snapToGrid w:val="0"/>
        <w:spacing w:after="156" w:afterLines="50"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715510" cy="1590040"/>
            <wp:effectExtent l="0" t="0" r="0" b="0"/>
            <wp:docPr id="8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2"/>
                    <pic:cNvPicPr>
                      <a:picLocks noChangeAspect="1"/>
                    </pic:cNvPicPr>
                  </pic:nvPicPr>
                  <pic:blipFill>
                    <a:blip r:embed="rId61"/>
                    <a:stretch>
                      <a:fillRect/>
                    </a:stretch>
                  </pic:blipFill>
                  <pic:spPr>
                    <a:xfrm>
                      <a:off x="0" y="0"/>
                      <a:ext cx="4715510" cy="1590040"/>
                    </a:xfrm>
                    <a:prstGeom prst="rect">
                      <a:avLst/>
                    </a:prstGeom>
                    <a:noFill/>
                    <a:ln>
                      <a:noFill/>
                    </a:ln>
                  </pic:spPr>
                </pic:pic>
              </a:graphicData>
            </a:graphic>
          </wp:inline>
        </w:drawing>
      </w:r>
    </w:p>
    <w:p w14:paraId="79716BA5">
      <w:pPr>
        <w:pStyle w:val="32"/>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图5.4.2  连续管道进管工作坑布置示意图</w:t>
      </w:r>
    </w:p>
    <w:p w14:paraId="3A952683">
      <w:pPr>
        <w:keepNext w:val="0"/>
        <w:keepLines w:val="0"/>
        <w:pageBreakBefore w:val="0"/>
        <w:widowControl w:val="0"/>
        <w:kinsoku/>
        <w:overflowPunct/>
        <w:topLinePunct w:val="0"/>
        <w:autoSpaceDN/>
        <w:bidi w:val="0"/>
        <w:adjustRightInd/>
        <w:spacing w:line="360" w:lineRule="auto"/>
        <w:ind w:firstLine="361"/>
        <w:jc w:val="center"/>
        <w:textAlignment w:val="auto"/>
        <w:rPr>
          <w:rFonts w:hint="default" w:ascii="Times New Roman" w:hAnsi="Times New Roman" w:cs="Times New Roman"/>
          <w:bCs/>
          <w:kern w:val="0"/>
          <w:sz w:val="21"/>
          <w:szCs w:val="21"/>
        </w:rPr>
      </w:pPr>
      <w:r>
        <w:rPr>
          <w:rFonts w:hint="default" w:ascii="Times New Roman" w:hAnsi="Times New Roman" w:cs="Times New Roman"/>
          <w:bCs/>
          <w:sz w:val="21"/>
          <w:szCs w:val="21"/>
        </w:rPr>
        <w:t>1</w:t>
      </w:r>
      <w:r>
        <w:rPr>
          <w:rFonts w:hint="default" w:ascii="Times New Roman" w:hAnsi="Times New Roman" w:cs="Times New Roman"/>
          <w:bCs/>
          <w:kern w:val="0"/>
          <w:sz w:val="21"/>
          <w:szCs w:val="21"/>
        </w:rPr>
        <w:t>—内衬管；2—地面滚轮架；3—防磨垫；4—喇叭形导入口；5—原有管道</w:t>
      </w:r>
    </w:p>
    <w:p w14:paraId="20993169">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5.4.3  </w:t>
      </w:r>
      <w:r>
        <w:rPr>
          <w:rFonts w:hint="default" w:ascii="Times New Roman" w:hAnsi="Times New Roman" w:cs="Times New Roman"/>
          <w:sz w:val="24"/>
          <w:szCs w:val="24"/>
        </w:rPr>
        <w:t>工作坑采用放坡开挖时，应按现行国家标准《给水排水管道工程施工及验收规范》GB 50268的有关规定进行放坡设计；工作坑采用支护时，应按现行</w:t>
      </w:r>
      <w:r>
        <w:rPr>
          <w:rFonts w:hint="default" w:ascii="Times New Roman" w:hAnsi="Times New Roman" w:cs="Times New Roman"/>
          <w:sz w:val="24"/>
          <w:szCs w:val="24"/>
          <w:lang w:val="en-US" w:eastAsia="zh-CN"/>
        </w:rPr>
        <w:t>行业</w:t>
      </w:r>
      <w:r>
        <w:rPr>
          <w:rFonts w:hint="default" w:ascii="Times New Roman" w:hAnsi="Times New Roman" w:cs="Times New Roman"/>
          <w:sz w:val="24"/>
          <w:szCs w:val="24"/>
        </w:rPr>
        <w:t>标准《建筑基坑支护技术规程》JGJ 120的有关规定进行支护设计。</w:t>
      </w:r>
    </w:p>
    <w:p w14:paraId="42227ED3">
      <w:pPr>
        <w:pStyle w:val="3"/>
        <w:bidi w:val="0"/>
        <w:rPr>
          <w:rFonts w:hint="default" w:ascii="Times New Roman" w:hAnsi="Times New Roman" w:cs="Times New Roman"/>
          <w:lang w:val="en-US" w:eastAsia="zh-CN"/>
        </w:rPr>
      </w:pPr>
      <w:bookmarkStart w:id="326" w:name="_Toc30124"/>
      <w:r>
        <w:rPr>
          <w:rFonts w:hint="default" w:ascii="Times New Roman" w:hAnsi="Times New Roman" w:cs="Times New Roman"/>
          <w:lang w:val="en-US" w:eastAsia="zh-CN"/>
        </w:rPr>
        <w:t>5.5检查井</w:t>
      </w:r>
      <w:bookmarkEnd w:id="326"/>
    </w:p>
    <w:p w14:paraId="547C31AB">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5.5.1  对于已经出现下沉的检查井，应对检查井基础进行加固处理，并对已探明的井外空洞进行填充。</w:t>
      </w:r>
    </w:p>
    <w:p w14:paraId="7DDFD027">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5.5.2 检查井内衬修复应符合下列规定：</w:t>
      </w:r>
    </w:p>
    <w:p w14:paraId="5C9B1801">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 既有检查井预处理应满足检查井修复工艺需要；</w:t>
      </w:r>
    </w:p>
    <w:p w14:paraId="1C0126D4">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 修复后检查井应能满足承载力、防渗、防腐等方面的要求；</w:t>
      </w:r>
    </w:p>
    <w:p w14:paraId="52C741AA">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 修复后的检查井应满足其相应的使用功能；</w:t>
      </w:r>
    </w:p>
    <w:p w14:paraId="540896E5">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 修复后的检查井应满足维护管理要求。</w:t>
      </w:r>
    </w:p>
    <w:p w14:paraId="01EE6EA8">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5.5.3 检查井进行修复时，检查井的内衬厚度应根据检查井的规格、埋深以及损坏程度确定，并应符合下列规定：</w:t>
      </w:r>
    </w:p>
    <w:p w14:paraId="46E989DF">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 有闭水要求时水泥砂浆内衬厚度不应小于 20 mm；</w:t>
      </w:r>
    </w:p>
    <w:p w14:paraId="74214912">
      <w:pPr>
        <w:keepNext w:val="0"/>
        <w:keepLines w:val="0"/>
        <w:pageBreakBefore w:val="0"/>
        <w:widowControl w:val="0"/>
        <w:kinsoku/>
        <w:overflowPunct/>
        <w:topLinePunct w:val="0"/>
        <w:autoSpaceDN/>
        <w:bidi w:val="0"/>
        <w:adjustRightIn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 采用无机防腐砂浆材料对检查井进行防腐修复时，内衬厚度不宜小于20 mm。</w:t>
      </w:r>
    </w:p>
    <w:p w14:paraId="36850648">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eastAsia="楷体" w:cs="Times New Roman"/>
          <w:sz w:val="24"/>
          <w:szCs w:val="24"/>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检查井非开挖修复设计可参考《排水检查井非开挖修复工程技术规程》T/CECS 1333-2023第4章内容。</w:t>
      </w:r>
    </w:p>
    <w:p w14:paraId="0F8A6829">
      <w:pPr>
        <w:keepNext w:val="0"/>
        <w:keepLines w:val="0"/>
        <w:pageBreakBefore w:val="0"/>
        <w:widowControl w:val="0"/>
        <w:kinsoku/>
        <w:overflowPunct/>
        <w:topLinePunct w:val="0"/>
        <w:autoSpaceDN/>
        <w:bidi w:val="0"/>
        <w:adjustRightInd/>
        <w:spacing w:line="360" w:lineRule="auto"/>
        <w:textAlignment w:val="auto"/>
        <w:rPr>
          <w:rFonts w:hint="default" w:ascii="Times New Roman" w:hAnsi="Times New Roman" w:eastAsia="楷体" w:cs="Times New Roman"/>
          <w:sz w:val="24"/>
          <w:szCs w:val="24"/>
          <w:lang w:val="en-US" w:eastAsia="zh-CN"/>
        </w:rPr>
      </w:pPr>
    </w:p>
    <w:p w14:paraId="7E4B70C2">
      <w:pPr>
        <w:keepNext w:val="0"/>
        <w:keepLines w:val="0"/>
        <w:pageBreakBefore w:val="0"/>
        <w:widowControl w:val="0"/>
        <w:kinsoku/>
        <w:overflowPunct/>
        <w:topLinePunct w:val="0"/>
        <w:autoSpaceDN/>
        <w:bidi w:val="0"/>
        <w:adjustRightInd/>
        <w:spacing w:line="360" w:lineRule="auto"/>
        <w:ind w:firstLine="794" w:firstLineChars="331"/>
        <w:textAlignment w:val="auto"/>
        <w:rPr>
          <w:rFonts w:hint="default" w:ascii="Times New Roman" w:hAnsi="Times New Roman" w:cs="Times New Roman"/>
          <w:color w:val="auto"/>
          <w:kern w:val="2"/>
          <w:sz w:val="24"/>
          <w:szCs w:val="24"/>
        </w:rPr>
      </w:pPr>
    </w:p>
    <w:p w14:paraId="0BAE63A7">
      <w:pPr>
        <w:keepNext w:val="0"/>
        <w:keepLines w:val="0"/>
        <w:pageBreakBefore w:val="0"/>
        <w:widowControl w:val="0"/>
        <w:kinsoku/>
        <w:overflowPunct/>
        <w:topLinePunct w:val="0"/>
        <w:autoSpaceDN/>
        <w:bidi w:val="0"/>
        <w:adjustRightInd/>
        <w:spacing w:line="360" w:lineRule="auto"/>
        <w:ind w:firstLine="794" w:firstLineChars="331"/>
        <w:textAlignment w:val="auto"/>
        <w:rPr>
          <w:rFonts w:hint="default" w:ascii="Times New Roman" w:hAnsi="Times New Roman" w:cs="Times New Roman"/>
          <w:color w:val="auto"/>
          <w:kern w:val="2"/>
          <w:sz w:val="24"/>
          <w:szCs w:val="24"/>
        </w:rPr>
        <w:sectPr>
          <w:pgSz w:w="11906" w:h="16838"/>
          <w:pgMar w:top="1440" w:right="1800" w:bottom="1440" w:left="1800" w:header="851" w:footer="992" w:gutter="0"/>
          <w:pgNumType w:fmt="decimal"/>
          <w:cols w:space="425" w:num="1"/>
          <w:docGrid w:type="lines" w:linePitch="312" w:charSpace="0"/>
        </w:sectPr>
      </w:pPr>
    </w:p>
    <w:p w14:paraId="1B48DA69">
      <w:pPr>
        <w:jc w:val="center"/>
        <w:outlineLvl w:val="0"/>
        <w:rPr>
          <w:rFonts w:hint="default" w:ascii="Times New Roman" w:hAnsi="Times New Roman" w:cs="Times New Roman"/>
          <w:b/>
          <w:bCs/>
          <w:kern w:val="2"/>
          <w:sz w:val="32"/>
          <w:szCs w:val="32"/>
        </w:rPr>
      </w:pPr>
      <w:bookmarkStart w:id="327" w:name="_Toc15019"/>
      <w:r>
        <w:rPr>
          <w:rFonts w:hint="default" w:ascii="Times New Roman" w:hAnsi="Times New Roman" w:cs="Times New Roman"/>
          <w:b/>
          <w:bCs/>
          <w:kern w:val="2"/>
          <w:sz w:val="32"/>
          <w:szCs w:val="32"/>
        </w:rPr>
        <w:t>6 施工</w:t>
      </w:r>
      <w:bookmarkEnd w:id="327"/>
    </w:p>
    <w:p w14:paraId="150152E2">
      <w:pPr>
        <w:pStyle w:val="3"/>
        <w:bidi w:val="0"/>
        <w:rPr>
          <w:rFonts w:hint="default" w:ascii="Times New Roman" w:hAnsi="Times New Roman" w:cs="Times New Roman"/>
        </w:rPr>
      </w:pPr>
      <w:bookmarkStart w:id="328" w:name="_Toc22090"/>
      <w:r>
        <w:rPr>
          <w:rFonts w:hint="default" w:ascii="Times New Roman" w:hAnsi="Times New Roman" w:cs="Times New Roman"/>
        </w:rPr>
        <w:t>6.1一般规定</w:t>
      </w:r>
      <w:bookmarkEnd w:id="328"/>
    </w:p>
    <w:p w14:paraId="0F54BCDF">
      <w:pPr>
        <w:rPr>
          <w:rFonts w:hint="default" w:ascii="Times New Roman" w:hAnsi="Times New Roman" w:cs="Times New Roman"/>
          <w:iCs/>
          <w:szCs w:val="24"/>
        </w:rPr>
      </w:pPr>
      <w:r>
        <w:rPr>
          <w:rFonts w:hint="default" w:ascii="Times New Roman" w:hAnsi="Times New Roman" w:cs="Times New Roman"/>
          <w:b/>
          <w:bCs/>
          <w:iCs/>
          <w:szCs w:val="24"/>
        </w:rPr>
        <w:t>6.1.1</w:t>
      </w:r>
      <w:r>
        <w:rPr>
          <w:rFonts w:hint="default" w:ascii="Times New Roman" w:hAnsi="Times New Roman" w:cs="Times New Roman"/>
          <w:iCs/>
          <w:szCs w:val="24"/>
        </w:rPr>
        <w:t xml:space="preserve"> 施工单位在开工前的准备工作，应符合下列规定：</w:t>
      </w:r>
    </w:p>
    <w:p w14:paraId="6F73ABE6">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应取得施工许可证，并应遵循有关施工安全、劳动防护、防火、防毒的法律、法规，建立安全生产保障体系；</w:t>
      </w:r>
    </w:p>
    <w:p w14:paraId="228212D0">
      <w:pPr>
        <w:ind w:firstLine="480" w:firstLineChars="200"/>
        <w:rPr>
          <w:rFonts w:hint="default" w:ascii="Times New Roman" w:hAnsi="Times New Roman" w:cs="Times New Roman"/>
          <w:iCs/>
          <w:szCs w:val="24"/>
        </w:rPr>
      </w:pPr>
      <w:r>
        <w:rPr>
          <w:rFonts w:hint="default" w:ascii="Times New Roman" w:hAnsi="Times New Roman" w:cs="Times New Roman"/>
          <w:b w:val="0"/>
          <w:bCs w:val="0"/>
          <w:iCs/>
          <w:szCs w:val="24"/>
        </w:rPr>
        <w:t>2</w:t>
      </w:r>
      <w:r>
        <w:rPr>
          <w:rFonts w:hint="default" w:ascii="Times New Roman" w:hAnsi="Times New Roman" w:cs="Times New Roman"/>
          <w:iCs/>
          <w:szCs w:val="24"/>
        </w:rPr>
        <w:t xml:space="preserve"> 应查明施工界域内地下既有管线等构（建）筑物、施工影响范围内的交通情况与拟修复管道的相互位置关系；当和相关地下管线等构（建）筑物相互影响较大时，应与其管理单位进行资料交底；当施工占用影响交通时，应编制交通疏导方案；</w:t>
      </w:r>
    </w:p>
    <w:p w14:paraId="36135CBB">
      <w:pPr>
        <w:ind w:firstLine="480" w:firstLineChars="200"/>
        <w:rPr>
          <w:rFonts w:hint="default" w:ascii="Times New Roman" w:hAnsi="Times New Roman" w:cs="Times New Roman"/>
          <w:iCs/>
          <w:szCs w:val="24"/>
        </w:rPr>
      </w:pPr>
      <w:r>
        <w:rPr>
          <w:rFonts w:hint="default" w:ascii="Times New Roman" w:hAnsi="Times New Roman" w:cs="Times New Roman"/>
          <w:b w:val="0"/>
          <w:bCs w:val="0"/>
          <w:iCs/>
          <w:szCs w:val="24"/>
        </w:rPr>
        <w:t>3</w:t>
      </w:r>
      <w:r>
        <w:rPr>
          <w:rFonts w:hint="default" w:ascii="Times New Roman" w:hAnsi="Times New Roman" w:cs="Times New Roman"/>
          <w:iCs/>
          <w:szCs w:val="24"/>
        </w:rPr>
        <w:t xml:space="preserve"> 应根据拟修复管道的竣工资料、相关勘察资料，现场复测管道破损和检查井病害、地质和地下水情况；</w:t>
      </w:r>
    </w:p>
    <w:p w14:paraId="6F65D927">
      <w:pPr>
        <w:ind w:firstLine="480" w:firstLineChars="200"/>
        <w:rPr>
          <w:rFonts w:hint="default" w:ascii="Times New Roman" w:hAnsi="Times New Roman" w:cs="Times New Roman"/>
          <w:iCs/>
          <w:szCs w:val="24"/>
        </w:rPr>
      </w:pPr>
      <w:r>
        <w:rPr>
          <w:rFonts w:hint="default" w:ascii="Times New Roman" w:hAnsi="Times New Roman" w:cs="Times New Roman"/>
          <w:b w:val="0"/>
          <w:bCs w:val="0"/>
          <w:iCs/>
          <w:szCs w:val="24"/>
        </w:rPr>
        <w:t xml:space="preserve">4 </w:t>
      </w:r>
      <w:r>
        <w:rPr>
          <w:rFonts w:hint="default" w:ascii="Times New Roman" w:hAnsi="Times New Roman" w:cs="Times New Roman"/>
          <w:iCs/>
          <w:szCs w:val="24"/>
        </w:rPr>
        <w:t>应编制施工组织设计和专项施工方案；施工组织设计、专项施工方案必须按照规定程序审批后执行，有变更时需办理变更审批；</w:t>
      </w:r>
      <w:r>
        <w:rPr>
          <w:rFonts w:hint="default" w:ascii="Times New Roman" w:hAnsi="Times New Roman" w:cs="Times New Roman"/>
          <w:b/>
          <w:bCs/>
          <w:iCs/>
          <w:szCs w:val="24"/>
        </w:rPr>
        <w:t xml:space="preserve"> </w:t>
      </w:r>
      <w:r>
        <w:rPr>
          <w:rFonts w:hint="default" w:ascii="Times New Roman" w:hAnsi="Times New Roman" w:cs="Times New Roman"/>
          <w:iCs/>
          <w:szCs w:val="24"/>
        </w:rPr>
        <w:t>施工设备应根据工程特点合理选用，并应有总体布置方案，对于不宜间断的施工方法，应有满足施工要求备用的动力和设备； 雨水管道宜在非雨季施工，污水管道应结合施工条件和管道服役状态等因素，选择非交通高峰时段施工；</w:t>
      </w:r>
    </w:p>
    <w:p w14:paraId="7A23F47B">
      <w:pPr>
        <w:ind w:firstLine="480" w:firstLineChars="200"/>
        <w:rPr>
          <w:rFonts w:hint="default" w:ascii="Times New Roman" w:hAnsi="Times New Roman" w:cs="Times New Roman"/>
          <w:iCs/>
          <w:szCs w:val="24"/>
        </w:rPr>
      </w:pPr>
      <w:r>
        <w:rPr>
          <w:rFonts w:hint="default" w:ascii="Times New Roman" w:hAnsi="Times New Roman" w:cs="Times New Roman"/>
          <w:b w:val="0"/>
          <w:bCs/>
          <w:szCs w:val="24"/>
        </w:rPr>
        <w:t>5</w:t>
      </w:r>
      <w:r>
        <w:rPr>
          <w:rFonts w:hint="default" w:ascii="Times New Roman" w:hAnsi="Times New Roman" w:cs="Times New Roman"/>
          <w:b/>
          <w:szCs w:val="24"/>
        </w:rPr>
        <w:t xml:space="preserve"> </w:t>
      </w:r>
      <w:r>
        <w:rPr>
          <w:rFonts w:hint="default" w:ascii="Times New Roman" w:hAnsi="Times New Roman" w:cs="Times New Roman"/>
          <w:bCs/>
          <w:szCs w:val="24"/>
        </w:rPr>
        <w:t>应遵循现行《房屋市政工程有限空间识别及施工安全作业指南（试行）》管理要求执行。</w:t>
      </w:r>
    </w:p>
    <w:p w14:paraId="6F56DE51">
      <w:pPr>
        <w:rPr>
          <w:rFonts w:hint="default" w:ascii="Times New Roman" w:hAnsi="Times New Roman" w:cs="Times New Roman"/>
          <w:iCs/>
          <w:szCs w:val="24"/>
        </w:rPr>
      </w:pPr>
      <w:r>
        <w:rPr>
          <w:rFonts w:hint="default" w:ascii="Times New Roman" w:hAnsi="Times New Roman" w:cs="Times New Roman"/>
          <w:b/>
          <w:bCs/>
          <w:iCs/>
          <w:szCs w:val="24"/>
        </w:rPr>
        <w:t xml:space="preserve">6.1.2 </w:t>
      </w:r>
      <w:r>
        <w:rPr>
          <w:rFonts w:hint="default" w:ascii="Times New Roman" w:hAnsi="Times New Roman" w:cs="Times New Roman"/>
          <w:iCs/>
          <w:szCs w:val="24"/>
        </w:rPr>
        <w:t>工程所用管节、半成品、构(配)件等原材料在贮存、运输、保管和施工过程中，应符合下列规定：</w:t>
      </w:r>
    </w:p>
    <w:p w14:paraId="2DF72EEA">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必须采取有效措施防止其损坏、锈蚀或变质，不应影响修复后的材料性能；</w:t>
      </w:r>
    </w:p>
    <w:p w14:paraId="1EC7F142">
      <w:pPr>
        <w:ind w:firstLine="480" w:firstLineChars="200"/>
        <w:rPr>
          <w:rFonts w:hint="default" w:ascii="Times New Roman" w:hAnsi="Times New Roman" w:cs="Times New Roman"/>
          <w:iCs/>
          <w:szCs w:val="24"/>
        </w:rPr>
      </w:pPr>
      <w:r>
        <w:rPr>
          <w:rFonts w:hint="default" w:ascii="Times New Roman" w:hAnsi="Times New Roman" w:cs="Times New Roman"/>
          <w:iCs/>
          <w:szCs w:val="24"/>
        </w:rPr>
        <w:t xml:space="preserve">2 必须进行进场验收并妥善保管。进场验收时应检查每批产品的订购合同、质量合格证书、性能检测报告、使用说明书、进口产品的商检报告及证件等，并按国家有关标准规定进行复检，验收合格后方可使用。 </w:t>
      </w:r>
    </w:p>
    <w:p w14:paraId="00883630">
      <w:pPr>
        <w:rPr>
          <w:rFonts w:hint="default" w:ascii="Times New Roman" w:hAnsi="Times New Roman" w:cs="Times New Roman"/>
          <w:iCs/>
          <w:szCs w:val="24"/>
        </w:rPr>
      </w:pPr>
      <w:r>
        <w:rPr>
          <w:rFonts w:hint="default" w:ascii="Times New Roman" w:hAnsi="Times New Roman" w:cs="Times New Roman"/>
          <w:b/>
          <w:bCs/>
          <w:iCs/>
          <w:szCs w:val="24"/>
        </w:rPr>
        <w:t>6.1.3</w:t>
      </w:r>
      <w:r>
        <w:rPr>
          <w:rFonts w:hint="default" w:ascii="Times New Roman" w:hAnsi="Times New Roman" w:cs="Times New Roman"/>
          <w:iCs/>
          <w:szCs w:val="24"/>
        </w:rPr>
        <w:t xml:space="preserve"> 当管道内需采取临时排水措施时，应符合下列规定： </w:t>
      </w:r>
    </w:p>
    <w:p w14:paraId="5478083B">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应按现行行业标准《城镇排水管渠与泵站维护技术规程》CJJ 68的有关规定对原有管道进行封堵；</w:t>
      </w:r>
    </w:p>
    <w:p w14:paraId="3B6DF614">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当管堵采用充气管塞时，应随时检查管堵的气压，当管堵气压降低时应及时充气；</w:t>
      </w:r>
    </w:p>
    <w:p w14:paraId="118D7C81">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当管堵上、下游有水压力差时，应对管堵进行支撑，管径大于800mm的管道，宜采用固定式封堵；</w:t>
      </w:r>
    </w:p>
    <w:p w14:paraId="1C08E3D0">
      <w:pPr>
        <w:ind w:firstLine="480" w:firstLineChars="200"/>
        <w:rPr>
          <w:rFonts w:hint="default" w:ascii="Times New Roman" w:hAnsi="Times New Roman" w:cs="Times New Roman"/>
          <w:iCs/>
          <w:szCs w:val="24"/>
        </w:rPr>
      </w:pPr>
      <w:r>
        <w:rPr>
          <w:rFonts w:hint="default" w:ascii="Times New Roman" w:hAnsi="Times New Roman" w:cs="Times New Roman"/>
          <w:iCs/>
          <w:szCs w:val="24"/>
        </w:rPr>
        <w:t>4 当管堵需要长期使用时，应在上游增设1道管堵；</w:t>
      </w:r>
    </w:p>
    <w:p w14:paraId="03B0B955">
      <w:pPr>
        <w:ind w:firstLine="480" w:firstLineChars="200"/>
        <w:rPr>
          <w:rFonts w:hint="default" w:ascii="Times New Roman" w:hAnsi="Times New Roman" w:cs="Times New Roman"/>
          <w:iCs/>
          <w:szCs w:val="24"/>
        </w:rPr>
      </w:pPr>
      <w:r>
        <w:rPr>
          <w:rFonts w:hint="default" w:ascii="Times New Roman" w:hAnsi="Times New Roman" w:cs="Times New Roman"/>
          <w:iCs/>
          <w:szCs w:val="24"/>
        </w:rPr>
        <w:t>5 临时排水设施的排水能力应能确保各修复工艺的施工要求；</w:t>
      </w:r>
    </w:p>
    <w:p w14:paraId="4AAD209E">
      <w:pPr>
        <w:ind w:firstLine="480" w:firstLineChars="200"/>
        <w:rPr>
          <w:rFonts w:hint="default" w:ascii="Times New Roman" w:hAnsi="Times New Roman" w:cs="Times New Roman"/>
          <w:iCs/>
          <w:szCs w:val="24"/>
        </w:rPr>
      </w:pPr>
      <w:r>
        <w:rPr>
          <w:rFonts w:hint="default" w:ascii="Times New Roman" w:hAnsi="Times New Roman" w:cs="Times New Roman"/>
          <w:iCs/>
          <w:szCs w:val="24"/>
        </w:rPr>
        <w:t>6 污水应合规处置，不得随意排入自然水体。</w:t>
      </w:r>
    </w:p>
    <w:p w14:paraId="44FF7CCA">
      <w:pPr>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【条文说明】非开挖修复更新工程一般都需采取临时排水措施，《城镇排水管渠与泵站维护技术规程》CJJ 68中对排水管道的封堵顺序、管塞的类型、以及相应的安全措施进行了规定。</w:t>
      </w:r>
    </w:p>
    <w:p w14:paraId="032BCEE4">
      <w:pPr>
        <w:ind w:firstLine="480" w:firstLineChars="200"/>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对于不容许水流存在的修复更新工艺，如原位固化法，临时排水设施的能力应根据原有管道中的水量确定，且应抽干修复管段中的污水；对于容许一定水流存在的修复工艺，如机械制螺旋缠绕法，临时排水设施的排水能力可适当减小，且不必抽出修复管段中的污水。局部修复时管道内水位不应超过管道内径的10%，必要时应按本条规定采取临排措施。</w:t>
      </w:r>
    </w:p>
    <w:p w14:paraId="77CD2B0C">
      <w:pPr>
        <w:rPr>
          <w:rFonts w:hint="default" w:ascii="Times New Roman" w:hAnsi="Times New Roman" w:cs="Times New Roman"/>
          <w:iCs/>
          <w:szCs w:val="24"/>
        </w:rPr>
      </w:pPr>
      <w:r>
        <w:rPr>
          <w:rFonts w:hint="default" w:ascii="Times New Roman" w:hAnsi="Times New Roman" w:cs="Times New Roman"/>
          <w:b/>
          <w:bCs/>
          <w:iCs/>
          <w:szCs w:val="24"/>
        </w:rPr>
        <w:t>6.1.4</w:t>
      </w:r>
      <w:r>
        <w:rPr>
          <w:rFonts w:hint="default" w:ascii="Times New Roman" w:hAnsi="Times New Roman" w:cs="Times New Roman"/>
          <w:iCs/>
          <w:szCs w:val="24"/>
        </w:rPr>
        <w:t xml:space="preserve"> 管道修复完成后的处理,应符合下列规定：</w:t>
      </w:r>
    </w:p>
    <w:p w14:paraId="7330D510">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对管道端口、接口及管道与检查井连接处进行密封、防腐处理。如不能及时连接，应采取保护措施；</w:t>
      </w:r>
    </w:p>
    <w:p w14:paraId="0E42263A">
      <w:pPr>
        <w:ind w:firstLine="480" w:firstLineChars="200"/>
        <w:rPr>
          <w:rFonts w:hint="default" w:ascii="Times New Roman" w:hAnsi="Times New Roman" w:cs="Times New Roman"/>
          <w:iCs/>
          <w:szCs w:val="24"/>
        </w:rPr>
      </w:pPr>
      <w:r>
        <w:rPr>
          <w:rFonts w:hint="default" w:ascii="Times New Roman" w:hAnsi="Times New Roman" w:cs="Times New Roman"/>
          <w:b w:val="0"/>
          <w:bCs w:val="0"/>
          <w:iCs/>
          <w:szCs w:val="24"/>
        </w:rPr>
        <w:t>2</w:t>
      </w:r>
      <w:r>
        <w:rPr>
          <w:rFonts w:hint="default" w:ascii="Times New Roman" w:hAnsi="Times New Roman" w:cs="Times New Roman"/>
          <w:b/>
          <w:bCs/>
          <w:iCs/>
          <w:szCs w:val="24"/>
        </w:rPr>
        <w:t xml:space="preserve"> </w:t>
      </w:r>
      <w:r>
        <w:rPr>
          <w:rFonts w:hint="default" w:ascii="Times New Roman" w:hAnsi="Times New Roman" w:cs="Times New Roman"/>
          <w:iCs/>
          <w:szCs w:val="24"/>
        </w:rPr>
        <w:t xml:space="preserve">对修复管段内施工垃圾进行清理,保证无异物残留。 </w:t>
      </w:r>
    </w:p>
    <w:p w14:paraId="1EFD5B6A">
      <w:pPr>
        <w:rPr>
          <w:rFonts w:hint="default" w:ascii="Times New Roman" w:hAnsi="Times New Roman" w:cs="Times New Roman"/>
          <w:iCs/>
          <w:szCs w:val="24"/>
        </w:rPr>
      </w:pPr>
      <w:r>
        <w:rPr>
          <w:rFonts w:hint="default" w:ascii="Times New Roman" w:hAnsi="Times New Roman" w:cs="Times New Roman"/>
          <w:b/>
          <w:bCs/>
          <w:iCs/>
          <w:szCs w:val="24"/>
        </w:rPr>
        <w:t>6.1.5</w:t>
      </w:r>
      <w:r>
        <w:rPr>
          <w:rFonts w:hint="default" w:ascii="Times New Roman" w:hAnsi="Times New Roman" w:cs="Times New Roman"/>
          <w:iCs/>
          <w:szCs w:val="24"/>
        </w:rPr>
        <w:t xml:space="preserve"> 施工过程中的各项检验、记录要求，应符合下列规定：</w:t>
      </w:r>
    </w:p>
    <w:p w14:paraId="30375FD4">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在质量检验、验收中使用的计量器具和检测设备，应经计量检定、校准合格后方可使用；</w:t>
      </w:r>
    </w:p>
    <w:p w14:paraId="01C1E429">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各专业工种之间的相关工序应进行交接检验,并应记录；</w:t>
      </w:r>
    </w:p>
    <w:p w14:paraId="5C8D575F">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施工完成后，采用人工巡视检查、电视检测（CCTV）或断面轮廓扫描检测的方法（一种或多种组合）进行内部检测。</w:t>
      </w:r>
    </w:p>
    <w:p w14:paraId="634C6859">
      <w:pPr>
        <w:pStyle w:val="3"/>
        <w:jc w:val="center"/>
        <w:rPr>
          <w:rFonts w:hint="default" w:ascii="Times New Roman" w:hAnsi="Times New Roman" w:eastAsia="宋体" w:cs="Times New Roman"/>
        </w:rPr>
      </w:pPr>
      <w:bookmarkStart w:id="329" w:name="_Toc1161"/>
      <w:r>
        <w:rPr>
          <w:rFonts w:hint="default" w:ascii="Times New Roman" w:hAnsi="Times New Roman" w:eastAsia="宋体" w:cs="Times New Roman"/>
        </w:rPr>
        <w:t>6.2管道预处理</w:t>
      </w:r>
      <w:bookmarkEnd w:id="329"/>
    </w:p>
    <w:p w14:paraId="7B853637">
      <w:pPr>
        <w:rPr>
          <w:rFonts w:hint="default" w:ascii="Times New Roman" w:hAnsi="Times New Roman" w:cs="Times New Roman"/>
          <w:iCs/>
          <w:szCs w:val="24"/>
        </w:rPr>
      </w:pPr>
      <w:r>
        <w:rPr>
          <w:rFonts w:hint="default" w:ascii="Times New Roman" w:hAnsi="Times New Roman" w:cs="Times New Roman"/>
          <w:b/>
          <w:bCs/>
          <w:iCs/>
          <w:szCs w:val="24"/>
        </w:rPr>
        <w:t>6.2.1</w:t>
      </w:r>
      <w:r>
        <w:rPr>
          <w:rFonts w:hint="default" w:ascii="Times New Roman" w:hAnsi="Times New Roman" w:cs="Times New Roman"/>
          <w:iCs/>
          <w:szCs w:val="24"/>
        </w:rPr>
        <w:t>修复工程施工前，应根据管道状况、修复工艺要求对原有管道进行预处理，并应符合下列规定：</w:t>
      </w:r>
    </w:p>
    <w:p w14:paraId="35597740">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1</w:t>
      </w:r>
      <w:r>
        <w:rPr>
          <w:rFonts w:hint="default" w:ascii="Times New Roman" w:hAnsi="Times New Roman" w:cs="Times New Roman"/>
          <w:kern w:val="2"/>
          <w:szCs w:val="24"/>
        </w:rPr>
        <w:t>预处理后的管道内应无沉积物、垃圾及其他障碍物，不应有影响施工的积水和渗水现象；</w:t>
      </w:r>
    </w:p>
    <w:p w14:paraId="48BD1CB8">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2</w:t>
      </w:r>
      <w:r>
        <w:rPr>
          <w:rFonts w:hint="default" w:ascii="Times New Roman" w:hAnsi="Times New Roman" w:cs="Times New Roman"/>
          <w:kern w:val="2"/>
          <w:szCs w:val="24"/>
        </w:rPr>
        <w:t>管道内表面应洁净，应无影响内衬修复的附着物、尖锐毛刺、凸起物、台阶现象；</w:t>
      </w:r>
    </w:p>
    <w:p w14:paraId="1E6BEF50">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3</w:t>
      </w:r>
      <w:r>
        <w:rPr>
          <w:rFonts w:hint="default" w:ascii="Times New Roman" w:hAnsi="Times New Roman" w:cs="Times New Roman"/>
          <w:kern w:val="2"/>
          <w:szCs w:val="24"/>
        </w:rPr>
        <w:t>当采用局部修复法时，原有管道待修复部位及前后0.5m范围内的管道内表面应洁净，不得有附着物、尖锐毛刺和凸起物；</w:t>
      </w:r>
    </w:p>
    <w:p w14:paraId="477D43F4">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4</w:t>
      </w:r>
      <w:r>
        <w:rPr>
          <w:rFonts w:hint="default" w:ascii="Times New Roman" w:hAnsi="Times New Roman" w:cs="Times New Roman"/>
          <w:kern w:val="2"/>
          <w:szCs w:val="24"/>
        </w:rPr>
        <w:t>预处理不得对管道造成进一步的损伤和破坏。</w:t>
      </w:r>
    </w:p>
    <w:p w14:paraId="6DF07649">
      <w:pPr>
        <w:rPr>
          <w:rFonts w:hint="default" w:ascii="Times New Roman" w:hAnsi="Times New Roman" w:cs="Times New Roman"/>
          <w:kern w:val="2"/>
          <w:szCs w:val="24"/>
        </w:rPr>
      </w:pPr>
      <w:r>
        <w:rPr>
          <w:rFonts w:hint="default" w:ascii="Times New Roman" w:hAnsi="Times New Roman" w:eastAsia="楷体" w:cs="Times New Roman"/>
          <w:kern w:val="2"/>
          <w:szCs w:val="24"/>
          <w:u w:val="single"/>
        </w:rPr>
        <w:t>【条文说明】 非开挖修复更新工程施工前应对原有管道进行预处理，预处理措施包括管道清洗、障碍物的清除、管道止水封堵、缺陷处理、土体注浆、裂缝嵌补等。</w:t>
      </w:r>
    </w:p>
    <w:p w14:paraId="11C6277E">
      <w:pPr>
        <w:rPr>
          <w:rFonts w:hint="default" w:ascii="Times New Roman" w:hAnsi="Times New Roman" w:cs="Times New Roman"/>
          <w:kern w:val="2"/>
          <w:szCs w:val="24"/>
        </w:rPr>
      </w:pPr>
      <w:r>
        <w:rPr>
          <w:rFonts w:hint="default" w:ascii="Times New Roman" w:hAnsi="Times New Roman" w:cs="Times New Roman"/>
          <w:b/>
          <w:bCs/>
          <w:kern w:val="2"/>
          <w:szCs w:val="24"/>
        </w:rPr>
        <w:t>6.2.2</w:t>
      </w:r>
      <w:r>
        <w:rPr>
          <w:rFonts w:hint="default" w:ascii="Times New Roman" w:hAnsi="Times New Roman" w:cs="Times New Roman"/>
          <w:kern w:val="2"/>
          <w:szCs w:val="24"/>
        </w:rPr>
        <w:t>管道变形或破坏严重、接头错位严重的部位，应按设计要求和施工方案进行预处理。</w:t>
      </w:r>
    </w:p>
    <w:p w14:paraId="50A8EA58">
      <w:pPr>
        <w:rPr>
          <w:rFonts w:hint="default" w:ascii="Times New Roman" w:hAnsi="Times New Roman" w:cs="Times New Roman"/>
          <w:kern w:val="2"/>
          <w:szCs w:val="24"/>
        </w:rPr>
      </w:pPr>
      <w:r>
        <w:rPr>
          <w:rFonts w:hint="default" w:ascii="Times New Roman" w:hAnsi="Times New Roman" w:cs="Times New Roman"/>
          <w:b/>
          <w:bCs/>
          <w:kern w:val="2"/>
          <w:szCs w:val="24"/>
        </w:rPr>
        <w:t>6.2.3</w:t>
      </w:r>
      <w:r>
        <w:rPr>
          <w:rFonts w:hint="default" w:ascii="Times New Roman" w:hAnsi="Times New Roman" w:cs="Times New Roman"/>
          <w:kern w:val="2"/>
          <w:szCs w:val="24"/>
        </w:rPr>
        <w:t>原有管道地下水位较高，渗、漏水严重时，应通过注浆等措施对漏水点进行止水或隔水处理。</w:t>
      </w:r>
    </w:p>
    <w:p w14:paraId="167B86CE">
      <w:pPr>
        <w:rPr>
          <w:rFonts w:hint="default" w:ascii="Times New Roman" w:hAnsi="Times New Roman" w:cs="Times New Roman"/>
          <w:kern w:val="2"/>
          <w:szCs w:val="24"/>
          <w:highlight w:val="none"/>
        </w:rPr>
      </w:pPr>
      <w:r>
        <w:rPr>
          <w:rFonts w:hint="default" w:ascii="Times New Roman" w:hAnsi="Times New Roman" w:cs="Times New Roman"/>
          <w:b/>
          <w:bCs/>
          <w:kern w:val="2"/>
          <w:szCs w:val="24"/>
        </w:rPr>
        <w:t>6.2.4</w:t>
      </w:r>
      <w:r>
        <w:rPr>
          <w:rFonts w:hint="default" w:ascii="Times New Roman" w:hAnsi="Times New Roman" w:cs="Times New Roman"/>
          <w:kern w:val="2"/>
          <w:szCs w:val="24"/>
          <w:highlight w:val="none"/>
        </w:rPr>
        <w:t>内衬施工前，应由设计人员、监理人员及建设单位管理人员对预处理后的管道进行现场检查，并应保存影像、文字等资料作为隐蔽验收依据</w:t>
      </w:r>
    </w:p>
    <w:p w14:paraId="4C270424">
      <w:pPr>
        <w:rPr>
          <w:rFonts w:hint="default" w:ascii="Times New Roman" w:hAnsi="Times New Roman" w:cs="Times New Roman"/>
          <w:kern w:val="2"/>
          <w:szCs w:val="24"/>
        </w:rPr>
      </w:pPr>
      <w:r>
        <w:rPr>
          <w:rFonts w:hint="default" w:ascii="Times New Roman" w:hAnsi="Times New Roman" w:cs="Times New Roman"/>
          <w:b/>
          <w:bCs/>
          <w:kern w:val="2"/>
          <w:szCs w:val="24"/>
        </w:rPr>
        <w:t>6.2.</w:t>
      </w:r>
      <w:r>
        <w:rPr>
          <w:rFonts w:hint="default" w:ascii="Times New Roman" w:hAnsi="Times New Roman" w:cs="Times New Roman"/>
          <w:b/>
          <w:bCs/>
          <w:kern w:val="2"/>
          <w:szCs w:val="24"/>
          <w:highlight w:val="none"/>
        </w:rPr>
        <w:t>5</w:t>
      </w:r>
      <w:r>
        <w:rPr>
          <w:rFonts w:hint="default" w:ascii="Times New Roman" w:hAnsi="Times New Roman" w:cs="Times New Roman"/>
          <w:kern w:val="2"/>
          <w:szCs w:val="24"/>
          <w:highlight w:val="none"/>
        </w:rPr>
        <w:t>管道宜釆用高压水射流进行清洗。并应符合下列规定：</w:t>
      </w:r>
    </w:p>
    <w:p w14:paraId="62F294B7">
      <w:pPr>
        <w:ind w:firstLine="482" w:firstLineChars="200"/>
        <w:rPr>
          <w:rFonts w:hint="default" w:ascii="Times New Roman" w:hAnsi="Times New Roman" w:cs="Times New Roman"/>
          <w:kern w:val="2"/>
          <w:szCs w:val="24"/>
          <w:highlight w:val="none"/>
        </w:rPr>
      </w:pPr>
      <w:r>
        <w:rPr>
          <w:rFonts w:hint="default" w:ascii="Times New Roman" w:hAnsi="Times New Roman" w:cs="Times New Roman"/>
          <w:b/>
          <w:bCs/>
          <w:kern w:val="2"/>
          <w:szCs w:val="24"/>
          <w:highlight w:val="none"/>
        </w:rPr>
        <w:t>1</w:t>
      </w:r>
      <w:r>
        <w:rPr>
          <w:rFonts w:hint="default" w:ascii="Times New Roman" w:hAnsi="Times New Roman" w:cs="Times New Roman"/>
          <w:kern w:val="2"/>
          <w:szCs w:val="24"/>
          <w:highlight w:val="none"/>
        </w:rPr>
        <w:t>管道应经试喷后确定合适压力，然后方可整段清洗；</w:t>
      </w:r>
    </w:p>
    <w:p w14:paraId="13691236">
      <w:pPr>
        <w:ind w:firstLine="482" w:firstLineChars="200"/>
        <w:rPr>
          <w:rFonts w:hint="default" w:ascii="Times New Roman" w:hAnsi="Times New Roman" w:cs="Times New Roman"/>
          <w:kern w:val="2"/>
          <w:szCs w:val="24"/>
          <w:highlight w:val="none"/>
        </w:rPr>
      </w:pPr>
      <w:r>
        <w:rPr>
          <w:rFonts w:hint="default" w:ascii="Times New Roman" w:hAnsi="Times New Roman" w:cs="Times New Roman"/>
          <w:b/>
          <w:bCs/>
          <w:kern w:val="2"/>
          <w:szCs w:val="24"/>
          <w:highlight w:val="none"/>
        </w:rPr>
        <w:t>2</w:t>
      </w:r>
      <w:r>
        <w:rPr>
          <w:rFonts w:hint="default" w:ascii="Times New Roman" w:hAnsi="Times New Roman" w:cs="Times New Roman"/>
          <w:kern w:val="2"/>
          <w:szCs w:val="24"/>
          <w:highlight w:val="none"/>
        </w:rPr>
        <w:t>水流压力不得对管壁造成剥蚀、刻槽、裂缝及穿孔等损坏，当管道内有沉积碎片或碎石时，应防止碎石弹射而造成管道损坏；</w:t>
      </w:r>
    </w:p>
    <w:p w14:paraId="5EEA385B">
      <w:pPr>
        <w:ind w:firstLine="482" w:firstLineChars="200"/>
        <w:rPr>
          <w:rFonts w:hint="default" w:ascii="Times New Roman" w:hAnsi="Times New Roman" w:cs="Times New Roman"/>
          <w:kern w:val="2"/>
          <w:szCs w:val="24"/>
        </w:rPr>
      </w:pPr>
      <w:r>
        <w:rPr>
          <w:rFonts w:hint="default" w:ascii="Times New Roman" w:hAnsi="Times New Roman" w:cs="Times New Roman"/>
          <w:b/>
          <w:bCs/>
          <w:kern w:val="2"/>
          <w:szCs w:val="24"/>
        </w:rPr>
        <w:t>3</w:t>
      </w:r>
      <w:r>
        <w:rPr>
          <w:rFonts w:hint="default" w:ascii="Times New Roman" w:hAnsi="Times New Roman" w:cs="Times New Roman"/>
          <w:kern w:val="2"/>
          <w:szCs w:val="24"/>
        </w:rPr>
        <w:t>存在塌陷或空洞管段，不得用高压水流冲洗暴露的土体；</w:t>
      </w:r>
    </w:p>
    <w:p w14:paraId="3E7A79A2">
      <w:pPr>
        <w:ind w:firstLine="482" w:firstLineChars="200"/>
        <w:rPr>
          <w:rFonts w:hint="default" w:ascii="Times New Roman" w:hAnsi="Times New Roman" w:cs="Times New Roman"/>
          <w:kern w:val="2"/>
          <w:szCs w:val="24"/>
        </w:rPr>
      </w:pPr>
      <w:r>
        <w:rPr>
          <w:rFonts w:hint="default" w:ascii="Times New Roman" w:hAnsi="Times New Roman" w:cs="Times New Roman"/>
          <w:b/>
          <w:bCs/>
          <w:kern w:val="2"/>
          <w:szCs w:val="24"/>
        </w:rPr>
        <w:t>4</w:t>
      </w:r>
      <w:r>
        <w:rPr>
          <w:rFonts w:hint="default" w:ascii="Times New Roman" w:hAnsi="Times New Roman" w:cs="Times New Roman"/>
          <w:kern w:val="2"/>
          <w:szCs w:val="24"/>
        </w:rPr>
        <w:t>当管道直径大于800mm时，可采取人工进入管内进行高压水射流清洗，并应符合现行国家标准《高压水射流清洗作业安全规范》GB 26148</w:t>
      </w:r>
      <w:r>
        <w:rPr>
          <w:rFonts w:hint="default" w:ascii="Times New Roman" w:hAnsi="Times New Roman" w:cs="Times New Roman"/>
          <w:kern w:val="2"/>
          <w:szCs w:val="24"/>
          <w:highlight w:val="none"/>
        </w:rPr>
        <w:t>及《城镇排水管道维护安全技术规程》CJJ 6-2009的相关规定</w:t>
      </w:r>
      <w:r>
        <w:rPr>
          <w:rFonts w:hint="default" w:ascii="Times New Roman" w:hAnsi="Times New Roman" w:cs="Times New Roman"/>
          <w:kern w:val="2"/>
          <w:szCs w:val="24"/>
        </w:rPr>
        <w:t>的有关规定。</w:t>
      </w:r>
    </w:p>
    <w:p w14:paraId="509E1845">
      <w:pPr>
        <w:widowControl/>
        <w:jc w:val="left"/>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常用的管道清洗技术主要有高压水射流清洗、绞车清洗、清管器清洗、化学清洗等。其中高压水射流清洗是目前国内外排水管道清洗的主要方法,国内应用多且成熟。存在塌陷或空洞管段，若采用高压水射流冲洗，会导致管道破坏加剧，故规定不得采用高压水射流冲洗。</w:t>
      </w:r>
    </w:p>
    <w:p w14:paraId="54877211">
      <w:pPr>
        <w:rPr>
          <w:rFonts w:hint="default" w:ascii="Times New Roman" w:hAnsi="Times New Roman" w:cs="Times New Roman"/>
          <w:kern w:val="2"/>
          <w:szCs w:val="24"/>
          <w:highlight w:val="none"/>
        </w:rPr>
      </w:pPr>
      <w:r>
        <w:rPr>
          <w:rFonts w:hint="default" w:ascii="Times New Roman" w:hAnsi="Times New Roman" w:cs="Times New Roman"/>
          <w:b/>
          <w:bCs/>
          <w:kern w:val="2"/>
          <w:szCs w:val="24"/>
          <w:highlight w:val="none"/>
        </w:rPr>
        <w:t xml:space="preserve">6.2.6 </w:t>
      </w:r>
      <w:r>
        <w:rPr>
          <w:rFonts w:hint="default" w:ascii="Times New Roman" w:hAnsi="Times New Roman" w:cs="Times New Roman"/>
          <w:kern w:val="2"/>
          <w:szCs w:val="24"/>
          <w:highlight w:val="none"/>
        </w:rPr>
        <w:t>检查井进行内衬修复前应进行预处理，并应符合下列规定：</w:t>
      </w:r>
    </w:p>
    <w:p w14:paraId="508C00FC">
      <w:pPr>
        <w:widowControl/>
        <w:autoSpaceDE w:val="0"/>
        <w:autoSpaceDN w:val="0"/>
        <w:adjustRightInd w:val="0"/>
        <w:ind w:firstLine="480" w:firstLineChars="200"/>
        <w:jc w:val="left"/>
        <w:rPr>
          <w:rFonts w:hint="default" w:ascii="Times New Roman" w:hAnsi="Times New Roman" w:cs="Times New Roman"/>
          <w:kern w:val="2"/>
          <w:szCs w:val="24"/>
          <w:highlight w:val="none"/>
        </w:rPr>
      </w:pPr>
      <w:r>
        <w:rPr>
          <w:rFonts w:hint="default" w:ascii="Times New Roman" w:hAnsi="Times New Roman" w:cs="Times New Roman"/>
          <w:kern w:val="2"/>
          <w:szCs w:val="24"/>
          <w:highlight w:val="none"/>
        </w:rPr>
        <w:t>1 检查井清洗时应采取措施，避免井壁掉落的大块硬质杂物被冲入管道内：</w:t>
      </w:r>
    </w:p>
    <w:p w14:paraId="5DF61DF3">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highlight w:val="none"/>
        </w:rPr>
        <w:t>2 检查井清洗后暴露出的凹陷、孔洞和裂缝等缺陷应进行填充：</w:t>
      </w:r>
    </w:p>
    <w:p w14:paraId="2D433A52">
      <w:pPr>
        <w:widowControl/>
        <w:autoSpaceDE w:val="0"/>
        <w:autoSpaceDN w:val="0"/>
        <w:adjustRightInd w:val="0"/>
        <w:ind w:firstLine="480" w:firstLineChars="200"/>
        <w:jc w:val="left"/>
        <w:rPr>
          <w:rFonts w:hint="default" w:ascii="Times New Roman" w:hAnsi="Times New Roman" w:cs="Times New Roman"/>
          <w:kern w:val="2"/>
          <w:szCs w:val="24"/>
          <w:u w:val="none"/>
        </w:rPr>
      </w:pPr>
      <w:r>
        <w:rPr>
          <w:rFonts w:hint="default" w:ascii="Times New Roman" w:hAnsi="Times New Roman" w:cs="Times New Roman"/>
          <w:kern w:val="2"/>
          <w:szCs w:val="24"/>
          <w:highlight w:val="none"/>
        </w:rPr>
        <w:t>3 井壁处理后应无污泥、垃圾、油脂及有机涂层等附着物，井壁上的腐蚀层应清除干净。</w:t>
      </w:r>
    </w:p>
    <w:p w14:paraId="25ED2236">
      <w:pPr>
        <w:rPr>
          <w:rFonts w:hint="default" w:ascii="Times New Roman" w:hAnsi="Times New Roman" w:cs="Times New Roman"/>
          <w:kern w:val="2"/>
          <w:szCs w:val="24"/>
        </w:rPr>
      </w:pPr>
      <w:r>
        <w:rPr>
          <w:rFonts w:hint="default" w:ascii="Times New Roman" w:hAnsi="Times New Roman" w:cs="Times New Roman"/>
          <w:b/>
          <w:bCs/>
          <w:kern w:val="2"/>
          <w:szCs w:val="24"/>
        </w:rPr>
        <w:t>6.2.</w:t>
      </w:r>
      <w:r>
        <w:rPr>
          <w:rFonts w:hint="default" w:ascii="Times New Roman" w:hAnsi="Times New Roman" w:cs="Times New Roman"/>
          <w:b/>
          <w:bCs/>
          <w:kern w:val="2"/>
          <w:szCs w:val="24"/>
          <w:lang w:val="en-US" w:eastAsia="zh-CN"/>
        </w:rPr>
        <w:t>7</w:t>
      </w:r>
      <w:r>
        <w:rPr>
          <w:rFonts w:hint="default" w:ascii="Times New Roman" w:hAnsi="Times New Roman" w:cs="Times New Roman"/>
          <w:kern w:val="2"/>
          <w:szCs w:val="24"/>
        </w:rPr>
        <w:t xml:space="preserve">釆用障碍物软切割技术清除管道内大体积固体拥堵物时，常见障碍物切割的射水压力可按表6. 2. </w:t>
      </w:r>
      <w:r>
        <w:rPr>
          <w:rFonts w:hint="default" w:ascii="Times New Roman" w:hAnsi="Times New Roman" w:cs="Times New Roman"/>
          <w:kern w:val="2"/>
          <w:szCs w:val="24"/>
          <w:lang w:val="en-US" w:eastAsia="zh-CN"/>
        </w:rPr>
        <w:t>7</w:t>
      </w:r>
      <w:r>
        <w:rPr>
          <w:rFonts w:hint="default" w:ascii="Times New Roman" w:hAnsi="Times New Roman" w:cs="Times New Roman"/>
          <w:kern w:val="2"/>
          <w:szCs w:val="24"/>
        </w:rPr>
        <w:t>取值。</w:t>
      </w:r>
    </w:p>
    <w:p w14:paraId="57DC4CDB">
      <w:pPr>
        <w:jc w:val="center"/>
        <w:rPr>
          <w:rFonts w:hint="default" w:ascii="Times New Roman" w:hAnsi="Times New Roman" w:cs="Times New Roman"/>
          <w:b/>
          <w:bCs/>
          <w:kern w:val="2"/>
          <w:szCs w:val="24"/>
        </w:rPr>
      </w:pPr>
      <w:r>
        <w:rPr>
          <w:rFonts w:hint="default" w:ascii="Times New Roman" w:hAnsi="Times New Roman" w:cs="Times New Roman"/>
          <w:b/>
          <w:bCs/>
          <w:kern w:val="2"/>
          <w:szCs w:val="24"/>
        </w:rPr>
        <w:t>表6. 2.</w:t>
      </w:r>
      <w:r>
        <w:rPr>
          <w:rFonts w:hint="default" w:ascii="Times New Roman" w:hAnsi="Times New Roman" w:cs="Times New Roman"/>
          <w:b/>
          <w:bCs/>
          <w:kern w:val="2"/>
          <w:szCs w:val="24"/>
          <w:lang w:val="en-US" w:eastAsia="zh-CN"/>
        </w:rPr>
        <w:t>7</w:t>
      </w:r>
      <w:r>
        <w:rPr>
          <w:rFonts w:hint="default" w:ascii="Times New Roman" w:hAnsi="Times New Roman" w:cs="Times New Roman"/>
          <w:b/>
          <w:bCs/>
          <w:kern w:val="2"/>
          <w:szCs w:val="24"/>
        </w:rPr>
        <w:t>常见障碍物切割的射水压力</w:t>
      </w:r>
    </w:p>
    <w:tbl>
      <w:tblPr>
        <w:tblStyle w:val="13"/>
        <w:tblW w:w="7959" w:type="dxa"/>
        <w:jc w:val="center"/>
        <w:tblLayout w:type="fixed"/>
        <w:tblCellMar>
          <w:top w:w="0" w:type="dxa"/>
          <w:left w:w="10" w:type="dxa"/>
          <w:bottom w:w="0" w:type="dxa"/>
          <w:right w:w="10" w:type="dxa"/>
        </w:tblCellMar>
      </w:tblPr>
      <w:tblGrid>
        <w:gridCol w:w="5696"/>
        <w:gridCol w:w="2263"/>
      </w:tblGrid>
      <w:tr w14:paraId="08D2F753">
        <w:tblPrEx>
          <w:tblCellMar>
            <w:top w:w="0" w:type="dxa"/>
            <w:left w:w="10" w:type="dxa"/>
            <w:bottom w:w="0" w:type="dxa"/>
            <w:right w:w="10" w:type="dxa"/>
          </w:tblCellMar>
        </w:tblPrEx>
        <w:trPr>
          <w:trHeight w:val="501" w:hRule="exact"/>
          <w:jc w:val="center"/>
        </w:trPr>
        <w:tc>
          <w:tcPr>
            <w:tcW w:w="5696" w:type="dxa"/>
            <w:tcBorders>
              <w:top w:val="single" w:color="auto" w:sz="4" w:space="0"/>
              <w:left w:val="single" w:color="auto" w:sz="4" w:space="0"/>
            </w:tcBorders>
            <w:shd w:val="clear" w:color="auto" w:fill="FFFFFF"/>
            <w:vAlign w:val="center"/>
          </w:tcPr>
          <w:p w14:paraId="76534B8D">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障碍物类型</w:t>
            </w:r>
          </w:p>
        </w:tc>
        <w:tc>
          <w:tcPr>
            <w:tcW w:w="2263" w:type="dxa"/>
            <w:tcBorders>
              <w:top w:val="single" w:color="auto" w:sz="4" w:space="0"/>
              <w:left w:val="single" w:color="auto" w:sz="4" w:space="0"/>
              <w:right w:val="single" w:color="auto" w:sz="4" w:space="0"/>
            </w:tcBorders>
            <w:shd w:val="clear" w:color="auto" w:fill="FFFFFF"/>
            <w:vAlign w:val="center"/>
          </w:tcPr>
          <w:p w14:paraId="56A0A4B1">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射水压力（MPa）</w:t>
            </w:r>
          </w:p>
        </w:tc>
      </w:tr>
      <w:tr w14:paraId="07590D86">
        <w:tblPrEx>
          <w:tblCellMar>
            <w:top w:w="0" w:type="dxa"/>
            <w:left w:w="10" w:type="dxa"/>
            <w:bottom w:w="0" w:type="dxa"/>
            <w:right w:w="10" w:type="dxa"/>
          </w:tblCellMar>
        </w:tblPrEx>
        <w:trPr>
          <w:trHeight w:val="475" w:hRule="exact"/>
          <w:jc w:val="center"/>
        </w:trPr>
        <w:tc>
          <w:tcPr>
            <w:tcW w:w="5696" w:type="dxa"/>
            <w:tcBorders>
              <w:top w:val="single" w:color="auto" w:sz="4" w:space="0"/>
              <w:left w:val="single" w:color="auto" w:sz="4" w:space="0"/>
            </w:tcBorders>
            <w:shd w:val="clear" w:color="auto" w:fill="FFFFFF"/>
            <w:vAlign w:val="center"/>
          </w:tcPr>
          <w:p w14:paraId="7BDBDF5F">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淤泥、疏松岩层</w:t>
            </w:r>
          </w:p>
        </w:tc>
        <w:tc>
          <w:tcPr>
            <w:tcW w:w="2263" w:type="dxa"/>
            <w:tcBorders>
              <w:top w:val="single" w:color="auto" w:sz="4" w:space="0"/>
              <w:left w:val="single" w:color="auto" w:sz="4" w:space="0"/>
              <w:right w:val="single" w:color="auto" w:sz="4" w:space="0"/>
            </w:tcBorders>
            <w:shd w:val="clear" w:color="auto" w:fill="FFFFFF"/>
            <w:vAlign w:val="center"/>
          </w:tcPr>
          <w:p w14:paraId="1B861F93">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10</w:t>
            </w:r>
          </w:p>
        </w:tc>
      </w:tr>
      <w:tr w14:paraId="2F5C1E47">
        <w:tblPrEx>
          <w:tblCellMar>
            <w:top w:w="0" w:type="dxa"/>
            <w:left w:w="10" w:type="dxa"/>
            <w:bottom w:w="0" w:type="dxa"/>
            <w:right w:w="10" w:type="dxa"/>
          </w:tblCellMar>
        </w:tblPrEx>
        <w:trPr>
          <w:trHeight w:val="466" w:hRule="exact"/>
          <w:jc w:val="center"/>
        </w:trPr>
        <w:tc>
          <w:tcPr>
            <w:tcW w:w="5696" w:type="dxa"/>
            <w:tcBorders>
              <w:top w:val="single" w:color="auto" w:sz="4" w:space="0"/>
              <w:left w:val="single" w:color="auto" w:sz="4" w:space="0"/>
            </w:tcBorders>
            <w:shd w:val="clear" w:color="auto" w:fill="FFFFFF"/>
            <w:vAlign w:val="center"/>
          </w:tcPr>
          <w:p w14:paraId="71EA51C1">
            <w:pPr>
              <w:spacing w:line="240" w:lineRule="auto"/>
              <w:jc w:val="center"/>
              <w:rPr>
                <w:rFonts w:hint="default" w:ascii="Times New Roman" w:hAnsi="Times New Roman" w:cs="Times New Roman"/>
                <w:bCs/>
                <w:sz w:val="21"/>
              </w:rPr>
            </w:pPr>
            <w:r>
              <w:rPr>
                <w:rFonts w:hint="default" w:ascii="Times New Roman" w:hAnsi="Times New Roman" w:cs="Times New Roman"/>
                <w:bCs/>
                <w:sz w:val="21"/>
              </w:rPr>
              <w:t>轻度燃油残留质、铝质物体</w:t>
            </w:r>
          </w:p>
        </w:tc>
        <w:tc>
          <w:tcPr>
            <w:tcW w:w="2263" w:type="dxa"/>
            <w:tcBorders>
              <w:top w:val="single" w:color="auto" w:sz="4" w:space="0"/>
              <w:left w:val="single" w:color="auto" w:sz="4" w:space="0"/>
              <w:right w:val="single" w:color="auto" w:sz="4" w:space="0"/>
            </w:tcBorders>
            <w:shd w:val="clear" w:color="auto" w:fill="FFFFFF"/>
            <w:vAlign w:val="center"/>
          </w:tcPr>
          <w:p w14:paraId="0B9D1EC4">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21</w:t>
            </w:r>
          </w:p>
        </w:tc>
      </w:tr>
      <w:tr w14:paraId="0E91642F">
        <w:tblPrEx>
          <w:tblCellMar>
            <w:top w:w="0" w:type="dxa"/>
            <w:left w:w="10" w:type="dxa"/>
            <w:bottom w:w="0" w:type="dxa"/>
            <w:right w:w="10" w:type="dxa"/>
          </w:tblCellMar>
        </w:tblPrEx>
        <w:trPr>
          <w:trHeight w:val="466" w:hRule="exact"/>
          <w:jc w:val="center"/>
        </w:trPr>
        <w:tc>
          <w:tcPr>
            <w:tcW w:w="5696" w:type="dxa"/>
            <w:tcBorders>
              <w:top w:val="single" w:color="auto" w:sz="4" w:space="0"/>
              <w:left w:val="single" w:color="auto" w:sz="4" w:space="0"/>
            </w:tcBorders>
            <w:shd w:val="clear" w:color="auto" w:fill="FFFFFF"/>
            <w:vAlign w:val="center"/>
          </w:tcPr>
          <w:p w14:paraId="1227A689">
            <w:pPr>
              <w:spacing w:line="240" w:lineRule="auto"/>
              <w:jc w:val="center"/>
              <w:rPr>
                <w:rFonts w:hint="default" w:ascii="Times New Roman" w:hAnsi="Times New Roman" w:cs="Times New Roman"/>
                <w:bCs/>
                <w:sz w:val="21"/>
              </w:rPr>
            </w:pPr>
            <w:r>
              <w:rPr>
                <w:rFonts w:hint="default" w:ascii="Times New Roman" w:hAnsi="Times New Roman" w:cs="Times New Roman"/>
                <w:bCs/>
                <w:sz w:val="21"/>
              </w:rPr>
              <w:t>疏松混凝土、砂石和泥土层、疏松漆层锈层</w:t>
            </w:r>
          </w:p>
        </w:tc>
        <w:tc>
          <w:tcPr>
            <w:tcW w:w="2263" w:type="dxa"/>
            <w:tcBorders>
              <w:top w:val="single" w:color="auto" w:sz="4" w:space="0"/>
              <w:left w:val="single" w:color="auto" w:sz="4" w:space="0"/>
              <w:right w:val="single" w:color="auto" w:sz="4" w:space="0"/>
            </w:tcBorders>
            <w:shd w:val="clear" w:color="auto" w:fill="FFFFFF"/>
            <w:vAlign w:val="center"/>
          </w:tcPr>
          <w:p w14:paraId="0475341F">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32</w:t>
            </w:r>
          </w:p>
        </w:tc>
      </w:tr>
      <w:tr w14:paraId="7C6B59D7">
        <w:tblPrEx>
          <w:tblCellMar>
            <w:top w:w="0" w:type="dxa"/>
            <w:left w:w="10" w:type="dxa"/>
            <w:bottom w:w="0" w:type="dxa"/>
            <w:right w:w="10" w:type="dxa"/>
          </w:tblCellMar>
        </w:tblPrEx>
        <w:trPr>
          <w:trHeight w:val="475" w:hRule="exact"/>
          <w:jc w:val="center"/>
        </w:trPr>
        <w:tc>
          <w:tcPr>
            <w:tcW w:w="5696" w:type="dxa"/>
            <w:tcBorders>
              <w:top w:val="single" w:color="auto" w:sz="4" w:space="0"/>
              <w:left w:val="single" w:color="auto" w:sz="4" w:space="0"/>
            </w:tcBorders>
            <w:shd w:val="clear" w:color="auto" w:fill="FFFFFF"/>
            <w:vAlign w:val="center"/>
          </w:tcPr>
          <w:p w14:paraId="75ECCDB3">
            <w:pPr>
              <w:spacing w:line="240" w:lineRule="auto"/>
              <w:jc w:val="center"/>
              <w:rPr>
                <w:rFonts w:hint="default" w:ascii="Times New Roman" w:hAnsi="Times New Roman" w:cs="Times New Roman"/>
                <w:bCs/>
                <w:sz w:val="21"/>
              </w:rPr>
            </w:pPr>
            <w:r>
              <w:rPr>
                <w:rFonts w:hint="default" w:ascii="Times New Roman" w:hAnsi="Times New Roman" w:cs="Times New Roman"/>
                <w:bCs/>
                <w:sz w:val="21"/>
              </w:rPr>
              <w:t>管内混凝土、铸铁件模型、石灰层、石化垢层</w:t>
            </w:r>
          </w:p>
        </w:tc>
        <w:tc>
          <w:tcPr>
            <w:tcW w:w="2263" w:type="dxa"/>
            <w:tcBorders>
              <w:top w:val="single" w:color="auto" w:sz="4" w:space="0"/>
              <w:left w:val="single" w:color="auto" w:sz="4" w:space="0"/>
              <w:right w:val="single" w:color="auto" w:sz="4" w:space="0"/>
            </w:tcBorders>
            <w:shd w:val="clear" w:color="auto" w:fill="FFFFFF"/>
            <w:vAlign w:val="center"/>
          </w:tcPr>
          <w:p w14:paraId="710A458B">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42〜70</w:t>
            </w:r>
          </w:p>
        </w:tc>
      </w:tr>
      <w:tr w14:paraId="538E5F25">
        <w:tblPrEx>
          <w:tblCellMar>
            <w:top w:w="0" w:type="dxa"/>
            <w:left w:w="10" w:type="dxa"/>
            <w:bottom w:w="0" w:type="dxa"/>
            <w:right w:w="10" w:type="dxa"/>
          </w:tblCellMar>
        </w:tblPrEx>
        <w:trPr>
          <w:trHeight w:val="512" w:hRule="exact"/>
          <w:jc w:val="center"/>
        </w:trPr>
        <w:tc>
          <w:tcPr>
            <w:tcW w:w="5696" w:type="dxa"/>
            <w:tcBorders>
              <w:top w:val="single" w:color="auto" w:sz="4" w:space="0"/>
              <w:left w:val="single" w:color="auto" w:sz="4" w:space="0"/>
              <w:bottom w:val="single" w:color="auto" w:sz="4" w:space="0"/>
            </w:tcBorders>
            <w:shd w:val="clear" w:color="auto" w:fill="FFFFFF"/>
            <w:vAlign w:val="center"/>
          </w:tcPr>
          <w:p w14:paraId="7836047E">
            <w:pPr>
              <w:spacing w:line="240" w:lineRule="auto"/>
              <w:jc w:val="center"/>
              <w:rPr>
                <w:rFonts w:hint="default" w:ascii="Times New Roman" w:hAnsi="Times New Roman" w:cs="Times New Roman"/>
                <w:bCs/>
                <w:sz w:val="21"/>
              </w:rPr>
            </w:pPr>
            <w:r>
              <w:rPr>
                <w:rFonts w:hint="default" w:ascii="Times New Roman" w:hAnsi="Times New Roman" w:cs="Times New Roman"/>
                <w:bCs/>
                <w:sz w:val="21"/>
              </w:rPr>
              <w:t>混凝土、石灰石、厚层煤渣</w:t>
            </w:r>
          </w:p>
        </w:tc>
        <w:tc>
          <w:tcPr>
            <w:tcW w:w="2263" w:type="dxa"/>
            <w:tcBorders>
              <w:top w:val="single" w:color="auto" w:sz="4" w:space="0"/>
              <w:left w:val="single" w:color="auto" w:sz="4" w:space="0"/>
              <w:bottom w:val="single" w:color="auto" w:sz="4" w:space="0"/>
              <w:right w:val="single" w:color="auto" w:sz="4" w:space="0"/>
            </w:tcBorders>
            <w:shd w:val="clear" w:color="auto" w:fill="FFFFFF"/>
            <w:vAlign w:val="center"/>
          </w:tcPr>
          <w:p w14:paraId="4E722443">
            <w:pPr>
              <w:spacing w:line="240" w:lineRule="auto"/>
              <w:jc w:val="center"/>
              <w:rPr>
                <w:rFonts w:hint="default" w:ascii="Times New Roman" w:hAnsi="Times New Roman" w:cs="Times New Roman"/>
                <w:bCs/>
                <w:sz w:val="21"/>
                <w:lang w:eastAsia="en-US"/>
              </w:rPr>
            </w:pPr>
            <w:r>
              <w:rPr>
                <w:rFonts w:hint="default" w:ascii="Times New Roman" w:hAnsi="Times New Roman" w:cs="Times New Roman"/>
                <w:bCs/>
                <w:sz w:val="21"/>
                <w:lang w:eastAsia="en-US"/>
              </w:rPr>
              <w:t>70〜105</w:t>
            </w:r>
          </w:p>
        </w:tc>
      </w:tr>
    </w:tbl>
    <w:p w14:paraId="66A23FA9">
      <w:pPr>
        <w:rPr>
          <w:rFonts w:hint="default" w:ascii="Times New Roman" w:hAnsi="Times New Roman" w:cs="Times New Roman"/>
          <w:kern w:val="2"/>
          <w:szCs w:val="24"/>
        </w:rPr>
      </w:pPr>
      <w:r>
        <w:rPr>
          <w:rFonts w:hint="default" w:ascii="Times New Roman" w:hAnsi="Times New Roman" w:cs="Times New Roman"/>
          <w:b/>
          <w:bCs/>
          <w:kern w:val="2"/>
          <w:szCs w:val="24"/>
        </w:rPr>
        <w:t>6.2.</w:t>
      </w:r>
      <w:r>
        <w:rPr>
          <w:rFonts w:hint="default" w:ascii="Times New Roman" w:hAnsi="Times New Roman" w:cs="Times New Roman"/>
          <w:b/>
          <w:bCs/>
          <w:kern w:val="2"/>
          <w:szCs w:val="24"/>
          <w:lang w:val="en-US" w:eastAsia="zh-CN"/>
        </w:rPr>
        <w:t>8</w:t>
      </w:r>
      <w:r>
        <w:rPr>
          <w:rFonts w:hint="default" w:ascii="Times New Roman" w:hAnsi="Times New Roman" w:cs="Times New Roman"/>
          <w:kern w:val="2"/>
          <w:szCs w:val="24"/>
        </w:rPr>
        <w:t>管道清洗产生的污水和污物应从检查井内排出，污物处理应符合现行行业标准《城镇排水管渠与泵站运行、维护及安全技术规程》CJJ 68的有关规定，污水应合规排放至规定地点。</w:t>
      </w:r>
    </w:p>
    <w:p w14:paraId="61603156">
      <w:pPr>
        <w:rPr>
          <w:rFonts w:hint="default" w:ascii="Times New Roman" w:hAnsi="Times New Roman" w:cs="Times New Roman"/>
          <w:kern w:val="2"/>
          <w:szCs w:val="24"/>
        </w:rPr>
      </w:pPr>
      <w:r>
        <w:rPr>
          <w:rFonts w:hint="default" w:ascii="Times New Roman" w:hAnsi="Times New Roman" w:cs="Times New Roman"/>
          <w:b/>
          <w:bCs/>
          <w:kern w:val="2"/>
          <w:szCs w:val="24"/>
        </w:rPr>
        <w:t>6.2.</w:t>
      </w:r>
      <w:r>
        <w:rPr>
          <w:rFonts w:hint="default" w:ascii="Times New Roman" w:hAnsi="Times New Roman" w:cs="Times New Roman"/>
          <w:b/>
          <w:bCs/>
          <w:kern w:val="2"/>
          <w:szCs w:val="24"/>
          <w:lang w:val="en-US" w:eastAsia="zh-CN"/>
        </w:rPr>
        <w:t>9</w:t>
      </w:r>
      <w:r>
        <w:rPr>
          <w:rFonts w:hint="default" w:ascii="Times New Roman" w:hAnsi="Times New Roman" w:cs="Times New Roman"/>
          <w:kern w:val="2"/>
          <w:szCs w:val="24"/>
        </w:rPr>
        <w:t>管道内壁结构受损时应对内壁进行修补。管道内壁有附着物时，应清洗露出管道内壁，并不得损坏管道结构。</w:t>
      </w:r>
    </w:p>
    <w:p w14:paraId="71296B61">
      <w:pPr>
        <w:rPr>
          <w:rFonts w:hint="default" w:ascii="Times New Roman" w:hAnsi="Times New Roman" w:cs="Times New Roman"/>
          <w:kern w:val="2"/>
          <w:szCs w:val="24"/>
        </w:rPr>
      </w:pPr>
      <w:r>
        <w:rPr>
          <w:rFonts w:hint="default" w:ascii="Times New Roman" w:hAnsi="Times New Roman" w:cs="Times New Roman"/>
          <w:b/>
          <w:bCs/>
          <w:kern w:val="2"/>
          <w:szCs w:val="24"/>
        </w:rPr>
        <w:t>6.2.</w:t>
      </w:r>
      <w:r>
        <w:rPr>
          <w:rFonts w:hint="default" w:ascii="Times New Roman" w:hAnsi="Times New Roman" w:cs="Times New Roman"/>
          <w:b/>
          <w:bCs/>
          <w:kern w:val="2"/>
          <w:szCs w:val="24"/>
          <w:lang w:val="en-US" w:eastAsia="zh-CN"/>
        </w:rPr>
        <w:t>10</w:t>
      </w:r>
      <w:r>
        <w:rPr>
          <w:rFonts w:hint="default" w:ascii="Times New Roman" w:hAnsi="Times New Roman" w:cs="Times New Roman"/>
          <w:kern w:val="2"/>
          <w:szCs w:val="24"/>
        </w:rPr>
        <w:t>管道采用内衬钢管处理时应符合下列规定：</w:t>
      </w:r>
    </w:p>
    <w:p w14:paraId="2AAF7BB0">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1</w:t>
      </w:r>
      <w:r>
        <w:rPr>
          <w:rFonts w:hint="default" w:ascii="Times New Roman" w:hAnsi="Times New Roman" w:cs="Times New Roman"/>
          <w:kern w:val="2"/>
          <w:szCs w:val="24"/>
        </w:rPr>
        <w:t xml:space="preserve"> 应依据管道材料、破损情况、地层条件、渗漏水状况以及管道检测与评估结果确定预处理方案；</w:t>
      </w:r>
    </w:p>
    <w:p w14:paraId="49B24AB5">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2</w:t>
      </w:r>
      <w:r>
        <w:rPr>
          <w:rFonts w:hint="default" w:ascii="Times New Roman" w:hAnsi="Times New Roman" w:cs="Times New Roman"/>
          <w:kern w:val="2"/>
          <w:szCs w:val="24"/>
        </w:rPr>
        <w:t xml:space="preserve"> 对混凝土等非高分子化学建材管道，内衬钢管安装前应对管道受损部位采用注浆止水并采用不低于原管道混凝土强度的环氧砂浆进行补强预处理；</w:t>
      </w:r>
    </w:p>
    <w:p w14:paraId="2D836C04">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3</w:t>
      </w:r>
      <w:r>
        <w:rPr>
          <w:rFonts w:hint="default" w:ascii="Times New Roman" w:hAnsi="Times New Roman" w:cs="Times New Roman"/>
          <w:kern w:val="2"/>
          <w:szCs w:val="24"/>
        </w:rPr>
        <w:t xml:space="preserve"> 对高密度聚乙烯（HDPE）等高分子化学建材管道，内衬钢管安装前应对管道漏水、流砂等受损部位釆用注浆止水及管道整形预处理；</w:t>
      </w:r>
    </w:p>
    <w:p w14:paraId="3A2848A0">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4</w:t>
      </w:r>
      <w:r>
        <w:rPr>
          <w:rFonts w:hint="default" w:ascii="Times New Roman" w:hAnsi="Times New Roman" w:cs="Times New Roman"/>
          <w:kern w:val="2"/>
          <w:szCs w:val="24"/>
        </w:rPr>
        <w:t xml:space="preserve"> 钢管与钢筋混凝土管之间的空隙应采用水泥砂浆或灌浆料填充密实；</w:t>
      </w:r>
    </w:p>
    <w:p w14:paraId="6AB4C077">
      <w:pPr>
        <w:ind w:firstLine="480" w:firstLineChars="200"/>
        <w:rPr>
          <w:rFonts w:hint="default" w:ascii="Times New Roman" w:hAnsi="Times New Roman" w:cs="Times New Roman"/>
          <w:kern w:val="2"/>
          <w:szCs w:val="24"/>
        </w:rPr>
      </w:pPr>
      <w:r>
        <w:rPr>
          <w:rFonts w:hint="default" w:ascii="Times New Roman" w:hAnsi="Times New Roman" w:cs="Times New Roman"/>
          <w:b w:val="0"/>
          <w:bCs w:val="0"/>
          <w:kern w:val="2"/>
          <w:szCs w:val="24"/>
        </w:rPr>
        <w:t>5</w:t>
      </w:r>
      <w:r>
        <w:rPr>
          <w:rFonts w:hint="default" w:ascii="Times New Roman" w:hAnsi="Times New Roman" w:cs="Times New Roman"/>
          <w:kern w:val="2"/>
          <w:szCs w:val="24"/>
        </w:rPr>
        <w:t xml:space="preserve"> 釆用内衬钢管后，管道的断面损失不宜超过10%。</w:t>
      </w:r>
    </w:p>
    <w:p w14:paraId="195ADCB8">
      <w:pPr>
        <w:ind w:firstLine="241" w:firstLineChars="100"/>
        <w:rPr>
          <w:rFonts w:hint="default" w:ascii="Times New Roman" w:hAnsi="Times New Roman" w:cs="Times New Roman"/>
          <w:kern w:val="2"/>
          <w:szCs w:val="24"/>
        </w:rPr>
      </w:pPr>
      <w:r>
        <w:rPr>
          <w:rFonts w:hint="default" w:ascii="Times New Roman" w:hAnsi="Times New Roman" w:cs="Times New Roman"/>
          <w:b/>
          <w:bCs/>
          <w:kern w:val="2"/>
          <w:szCs w:val="24"/>
        </w:rPr>
        <w:t>6.2.1</w:t>
      </w:r>
      <w:r>
        <w:rPr>
          <w:rFonts w:hint="default" w:ascii="Times New Roman" w:hAnsi="Times New Roman" w:cs="Times New Roman"/>
          <w:b/>
          <w:bCs/>
          <w:kern w:val="2"/>
          <w:szCs w:val="24"/>
          <w:lang w:val="en-US" w:eastAsia="zh-CN"/>
        </w:rPr>
        <w:t>1</w:t>
      </w:r>
      <w:r>
        <w:rPr>
          <w:rFonts w:hint="default" w:ascii="Times New Roman" w:hAnsi="Times New Roman" w:cs="Times New Roman"/>
          <w:kern w:val="2"/>
          <w:szCs w:val="24"/>
        </w:rPr>
        <w:t>管道预处理的技术要求应符合表6.2.1</w:t>
      </w:r>
      <w:r>
        <w:rPr>
          <w:rFonts w:hint="default" w:ascii="Times New Roman" w:hAnsi="Times New Roman" w:cs="Times New Roman"/>
          <w:kern w:val="2"/>
          <w:szCs w:val="24"/>
          <w:lang w:val="en-US" w:eastAsia="zh-CN"/>
        </w:rPr>
        <w:t>1</w:t>
      </w:r>
      <w:r>
        <w:rPr>
          <w:rFonts w:hint="default" w:ascii="Times New Roman" w:hAnsi="Times New Roman" w:cs="Times New Roman"/>
          <w:kern w:val="2"/>
          <w:szCs w:val="24"/>
        </w:rPr>
        <w:t>的规定。</w:t>
      </w:r>
    </w:p>
    <w:p w14:paraId="76B4DECB">
      <w:pPr>
        <w:jc w:val="center"/>
        <w:rPr>
          <w:rFonts w:hint="default" w:ascii="Times New Roman" w:hAnsi="Times New Roman" w:cs="Times New Roman"/>
          <w:b/>
          <w:bCs/>
          <w:kern w:val="2"/>
          <w:szCs w:val="24"/>
        </w:rPr>
      </w:pPr>
      <w:r>
        <w:rPr>
          <w:rFonts w:hint="default" w:ascii="Times New Roman" w:hAnsi="Times New Roman" w:cs="Times New Roman"/>
          <w:b/>
          <w:bCs/>
          <w:kern w:val="2"/>
          <w:szCs w:val="24"/>
        </w:rPr>
        <w:t>表6.2.1</w:t>
      </w:r>
      <w:r>
        <w:rPr>
          <w:rFonts w:hint="default" w:ascii="Times New Roman" w:hAnsi="Times New Roman" w:cs="Times New Roman"/>
          <w:b/>
          <w:bCs/>
          <w:kern w:val="2"/>
          <w:szCs w:val="24"/>
          <w:lang w:val="en-US" w:eastAsia="zh-CN"/>
        </w:rPr>
        <w:t>1</w:t>
      </w:r>
      <w:r>
        <w:rPr>
          <w:rFonts w:hint="default" w:ascii="Times New Roman" w:hAnsi="Times New Roman" w:cs="Times New Roman"/>
          <w:b/>
          <w:bCs/>
          <w:kern w:val="2"/>
          <w:szCs w:val="24"/>
        </w:rPr>
        <w:t>管道预处理的技术要求</w:t>
      </w:r>
    </w:p>
    <w:tbl>
      <w:tblPr>
        <w:tblStyle w:val="13"/>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38"/>
        <w:gridCol w:w="6590"/>
      </w:tblGrid>
      <w:tr w14:paraId="5E15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exact"/>
          <w:jc w:val="center"/>
        </w:trPr>
        <w:tc>
          <w:tcPr>
            <w:tcW w:w="2038" w:type="dxa"/>
            <w:shd w:val="clear" w:color="auto" w:fill="FFFFFF"/>
            <w:vAlign w:val="center"/>
          </w:tcPr>
          <w:p w14:paraId="5294F5D7">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非开挖修复方法</w:t>
            </w:r>
          </w:p>
        </w:tc>
        <w:tc>
          <w:tcPr>
            <w:tcW w:w="6590" w:type="dxa"/>
            <w:shd w:val="clear" w:color="auto" w:fill="FFFFFF"/>
            <w:vAlign w:val="center"/>
          </w:tcPr>
          <w:p w14:paraId="31DC0C28">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技术要求</w:t>
            </w:r>
          </w:p>
        </w:tc>
      </w:tr>
      <w:tr w14:paraId="2F22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13456B22">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原位固化法</w:t>
            </w:r>
          </w:p>
        </w:tc>
        <w:tc>
          <w:tcPr>
            <w:tcW w:w="6590" w:type="dxa"/>
            <w:shd w:val="clear" w:color="auto" w:fill="FFFFFF"/>
            <w:vAlign w:val="center"/>
          </w:tcPr>
          <w:p w14:paraId="664E26AF">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管道表面应无明显附着物、尖锐毛剌及凸起物</w:t>
            </w:r>
          </w:p>
        </w:tc>
      </w:tr>
      <w:tr w14:paraId="17FF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66F29D77">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水泥基材料喷筑法</w:t>
            </w:r>
          </w:p>
        </w:tc>
        <w:tc>
          <w:tcPr>
            <w:tcW w:w="6590" w:type="dxa"/>
            <w:shd w:val="clear" w:color="auto" w:fill="FFFFFF"/>
            <w:vAlign w:val="center"/>
          </w:tcPr>
          <w:p w14:paraId="6775A6D4">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w:t>
            </w:r>
            <w:r>
              <w:rPr>
                <w:rFonts w:hint="default" w:ascii="Times New Roman" w:hAnsi="Times New Roman" w:cs="Times New Roman"/>
                <w:kern w:val="2"/>
                <w:sz w:val="21"/>
                <w:lang w:val="zh-CN"/>
              </w:rPr>
              <w:t>漏水，</w:t>
            </w:r>
            <w:r>
              <w:rPr>
                <w:rFonts w:hint="default" w:ascii="Times New Roman" w:hAnsi="Times New Roman" w:cs="Times New Roman"/>
                <w:kern w:val="2"/>
                <w:sz w:val="21"/>
              </w:rPr>
              <w:t>管道表面应润湿和粗糙</w:t>
            </w:r>
          </w:p>
        </w:tc>
      </w:tr>
      <w:tr w14:paraId="0FB5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612F3CD1">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机械制螺旋缠绕法</w:t>
            </w:r>
          </w:p>
        </w:tc>
        <w:tc>
          <w:tcPr>
            <w:tcW w:w="6590" w:type="dxa"/>
            <w:shd w:val="clear" w:color="auto" w:fill="FFFFFF"/>
            <w:vAlign w:val="center"/>
          </w:tcPr>
          <w:p w14:paraId="3F745151">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管道内应无沉积、结垢和障</w:t>
            </w:r>
            <w:r>
              <w:rPr>
                <w:rFonts w:hint="default" w:ascii="Times New Roman" w:hAnsi="Times New Roman" w:cs="Times New Roman"/>
                <w:kern w:val="2"/>
                <w:sz w:val="21"/>
                <w:lang w:val="zh-CN"/>
              </w:rPr>
              <w:t>碍物，</w:t>
            </w:r>
            <w:r>
              <w:rPr>
                <w:rFonts w:hint="default" w:ascii="Times New Roman" w:hAnsi="Times New Roman" w:cs="Times New Roman"/>
                <w:kern w:val="2"/>
                <w:sz w:val="21"/>
              </w:rPr>
              <w:t>水深不应超过管径的20%</w:t>
            </w:r>
          </w:p>
        </w:tc>
      </w:tr>
      <w:tr w14:paraId="00D8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8" w:hRule="exact"/>
          <w:jc w:val="center"/>
        </w:trPr>
        <w:tc>
          <w:tcPr>
            <w:tcW w:w="2038" w:type="dxa"/>
            <w:shd w:val="clear" w:color="auto" w:fill="FFFFFF"/>
            <w:vAlign w:val="center"/>
          </w:tcPr>
          <w:p w14:paraId="65611F89">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垫衬法</w:t>
            </w:r>
          </w:p>
        </w:tc>
        <w:tc>
          <w:tcPr>
            <w:tcW w:w="6590" w:type="dxa"/>
            <w:shd w:val="clear" w:color="auto" w:fill="FFFFFF"/>
            <w:vAlign w:val="center"/>
          </w:tcPr>
          <w:p w14:paraId="5DBA5D91">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管道内应无沉积、结垢和障碍物</w:t>
            </w:r>
          </w:p>
        </w:tc>
      </w:tr>
      <w:tr w14:paraId="1041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8" w:hRule="exact"/>
          <w:jc w:val="center"/>
        </w:trPr>
        <w:tc>
          <w:tcPr>
            <w:tcW w:w="2038" w:type="dxa"/>
            <w:shd w:val="clear" w:color="auto" w:fill="FFFFFF"/>
            <w:vAlign w:val="center"/>
          </w:tcPr>
          <w:p w14:paraId="225DA759">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热塑成型法</w:t>
            </w:r>
          </w:p>
        </w:tc>
        <w:tc>
          <w:tcPr>
            <w:tcW w:w="6590" w:type="dxa"/>
            <w:shd w:val="clear" w:color="auto" w:fill="FFFFFF"/>
            <w:vAlign w:val="center"/>
          </w:tcPr>
          <w:p w14:paraId="562BCD5A">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管道内应无沉积、结垢和障碍</w:t>
            </w:r>
            <w:r>
              <w:rPr>
                <w:rFonts w:hint="default" w:ascii="Times New Roman" w:hAnsi="Times New Roman" w:cs="Times New Roman"/>
                <w:kern w:val="2"/>
                <w:sz w:val="21"/>
                <w:lang w:val="zh-CN"/>
              </w:rPr>
              <w:t>物，</w:t>
            </w:r>
            <w:r>
              <w:rPr>
                <w:rFonts w:hint="default" w:ascii="Times New Roman" w:hAnsi="Times New Roman" w:cs="Times New Roman"/>
                <w:kern w:val="2"/>
                <w:sz w:val="21"/>
              </w:rPr>
              <w:t>基面应平整圆顺</w:t>
            </w:r>
          </w:p>
        </w:tc>
      </w:tr>
      <w:tr w14:paraId="39DF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3830C0B9">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管片内衬法</w:t>
            </w:r>
          </w:p>
        </w:tc>
        <w:tc>
          <w:tcPr>
            <w:tcW w:w="6590" w:type="dxa"/>
            <w:shd w:val="clear" w:color="auto" w:fill="FFFFFF"/>
            <w:vAlign w:val="center"/>
          </w:tcPr>
          <w:p w14:paraId="63937AEA">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管道内应无沉积、结垢和障碍物</w:t>
            </w:r>
          </w:p>
        </w:tc>
      </w:tr>
      <w:tr w14:paraId="62A4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67D119E4">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不锈钢双胀环法</w:t>
            </w:r>
          </w:p>
        </w:tc>
        <w:tc>
          <w:tcPr>
            <w:tcW w:w="6590" w:type="dxa"/>
            <w:vMerge w:val="restart"/>
            <w:shd w:val="clear" w:color="auto" w:fill="FFFFFF"/>
            <w:vAlign w:val="center"/>
          </w:tcPr>
          <w:p w14:paraId="492F8833">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管道内应无明显沉积、结垢和障碍物，待修复部位前后</w:t>
            </w:r>
          </w:p>
          <w:p w14:paraId="515F1400">
            <w:pPr>
              <w:spacing w:line="240" w:lineRule="auto"/>
              <w:jc w:val="center"/>
              <w:rPr>
                <w:rFonts w:hint="default" w:ascii="Times New Roman" w:hAnsi="Times New Roman" w:cs="Times New Roman"/>
                <w:kern w:val="2"/>
                <w:sz w:val="21"/>
              </w:rPr>
            </w:pPr>
            <w:r>
              <w:rPr>
                <w:rFonts w:hint="default" w:ascii="Times New Roman" w:hAnsi="Times New Roman" w:cs="Times New Roman"/>
                <w:kern w:val="2"/>
                <w:sz w:val="21"/>
              </w:rPr>
              <w:t>500mm内的管道表面应无明显附着物、尖锐毛刺及凸起物</w:t>
            </w:r>
          </w:p>
        </w:tc>
      </w:tr>
      <w:tr w14:paraId="4378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2B71102A">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不锈钢快速锁法</w:t>
            </w:r>
          </w:p>
        </w:tc>
        <w:tc>
          <w:tcPr>
            <w:tcW w:w="6590" w:type="dxa"/>
            <w:vMerge w:val="continue"/>
            <w:shd w:val="clear" w:color="auto" w:fill="FFFFFF"/>
            <w:vAlign w:val="center"/>
          </w:tcPr>
          <w:p w14:paraId="164A455D">
            <w:pPr>
              <w:spacing w:line="240" w:lineRule="auto"/>
              <w:jc w:val="center"/>
              <w:rPr>
                <w:rFonts w:hint="default" w:ascii="Times New Roman" w:hAnsi="Times New Roman" w:cs="Times New Roman"/>
                <w:kern w:val="2"/>
                <w:sz w:val="21"/>
                <w:lang w:eastAsia="en-US"/>
              </w:rPr>
            </w:pPr>
          </w:p>
        </w:tc>
      </w:tr>
      <w:tr w14:paraId="17C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6" w:hRule="exact"/>
          <w:jc w:val="center"/>
        </w:trPr>
        <w:tc>
          <w:tcPr>
            <w:tcW w:w="2038" w:type="dxa"/>
            <w:shd w:val="clear" w:color="auto" w:fill="FFFFFF"/>
            <w:vAlign w:val="center"/>
          </w:tcPr>
          <w:p w14:paraId="49E2B689">
            <w:pPr>
              <w:spacing w:line="240" w:lineRule="auto"/>
              <w:jc w:val="center"/>
              <w:rPr>
                <w:rFonts w:hint="default" w:ascii="Times New Roman" w:hAnsi="Times New Roman" w:cs="Times New Roman"/>
                <w:kern w:val="2"/>
                <w:sz w:val="21"/>
                <w:lang w:eastAsia="en-US"/>
              </w:rPr>
            </w:pPr>
            <w:r>
              <w:rPr>
                <w:rFonts w:hint="default" w:ascii="Times New Roman" w:hAnsi="Times New Roman" w:cs="Times New Roman"/>
                <w:kern w:val="2"/>
                <w:sz w:val="21"/>
                <w:lang w:eastAsia="en-US"/>
              </w:rPr>
              <w:t>点状原位固化法</w:t>
            </w:r>
          </w:p>
        </w:tc>
        <w:tc>
          <w:tcPr>
            <w:tcW w:w="6590" w:type="dxa"/>
            <w:vMerge w:val="continue"/>
            <w:shd w:val="clear" w:color="auto" w:fill="FFFFFF"/>
            <w:vAlign w:val="center"/>
          </w:tcPr>
          <w:p w14:paraId="587B3443">
            <w:pPr>
              <w:spacing w:line="240" w:lineRule="auto"/>
              <w:jc w:val="center"/>
              <w:rPr>
                <w:rFonts w:hint="default" w:ascii="Times New Roman" w:hAnsi="Times New Roman" w:cs="Times New Roman"/>
                <w:kern w:val="2"/>
                <w:sz w:val="21"/>
                <w:lang w:eastAsia="en-US"/>
              </w:rPr>
            </w:pPr>
          </w:p>
        </w:tc>
      </w:tr>
    </w:tbl>
    <w:p w14:paraId="0D3C87E7">
      <w:pPr>
        <w:rPr>
          <w:rFonts w:hint="default" w:ascii="Times New Roman" w:hAnsi="Times New Roman" w:cs="Times New Roman"/>
          <w:kern w:val="2"/>
          <w:sz w:val="21"/>
        </w:rPr>
      </w:pPr>
      <w:r>
        <w:rPr>
          <w:rFonts w:hint="default" w:ascii="Times New Roman" w:hAnsi="Times New Roman" w:cs="Times New Roman"/>
          <w:kern w:val="2"/>
          <w:sz w:val="21"/>
        </w:rPr>
        <w:t>注：1预处理后化学管道内径变形率（化学管道内径/原有管道设计内径）不大于4%；</w:t>
      </w:r>
    </w:p>
    <w:p w14:paraId="7507BF79">
      <w:pPr>
        <w:ind w:firstLine="420" w:firstLineChars="200"/>
        <w:rPr>
          <w:rFonts w:hint="default" w:ascii="Times New Roman" w:hAnsi="Times New Roman" w:cs="Times New Roman"/>
          <w:kern w:val="2"/>
          <w:sz w:val="21"/>
        </w:rPr>
      </w:pPr>
      <w:r>
        <w:rPr>
          <w:rFonts w:hint="default" w:ascii="Times New Roman" w:hAnsi="Times New Roman" w:cs="Times New Roman"/>
          <w:kern w:val="2"/>
          <w:sz w:val="21"/>
        </w:rPr>
        <w:t>2各种方法预处理具体要求见本规程各相关章节。</w:t>
      </w:r>
    </w:p>
    <w:p w14:paraId="140794C3">
      <w:pPr>
        <w:keepNext/>
        <w:keepLines/>
        <w:jc w:val="center"/>
        <w:outlineLvl w:val="1"/>
        <w:rPr>
          <w:rFonts w:hint="default" w:ascii="Times New Roman" w:hAnsi="Times New Roman" w:cs="Times New Roman"/>
          <w:b/>
          <w:bCs/>
          <w:kern w:val="2"/>
          <w:sz w:val="28"/>
          <w:szCs w:val="32"/>
        </w:rPr>
      </w:pPr>
      <w:bookmarkStart w:id="330" w:name="_Toc29605"/>
      <w:r>
        <w:rPr>
          <w:rFonts w:hint="default" w:ascii="Times New Roman" w:hAnsi="Times New Roman" w:cs="Times New Roman"/>
          <w:b/>
          <w:bCs/>
          <w:kern w:val="2"/>
          <w:sz w:val="28"/>
          <w:szCs w:val="32"/>
        </w:rPr>
        <w:t>6.3翻转式原位固化法</w:t>
      </w:r>
      <w:bookmarkEnd w:id="330"/>
    </w:p>
    <w:p w14:paraId="4E2C401A">
      <w:pPr>
        <w:rPr>
          <w:rFonts w:hint="default" w:ascii="Times New Roman" w:hAnsi="Times New Roman" w:cs="Times New Roman"/>
          <w:iCs/>
          <w:kern w:val="2"/>
          <w:szCs w:val="24"/>
        </w:rPr>
      </w:pPr>
      <w:r>
        <w:rPr>
          <w:rFonts w:hint="default" w:ascii="Times New Roman" w:hAnsi="Times New Roman" w:cs="Times New Roman"/>
          <w:b/>
          <w:bCs/>
          <w:iCs/>
          <w:kern w:val="2"/>
          <w:szCs w:val="24"/>
        </w:rPr>
        <w:t>6.3.1</w:t>
      </w:r>
      <w:r>
        <w:rPr>
          <w:rFonts w:hint="default" w:ascii="Times New Roman" w:hAnsi="Times New Roman" w:cs="Times New Roman"/>
          <w:iCs/>
          <w:kern w:val="2"/>
          <w:szCs w:val="24"/>
        </w:rPr>
        <w:t>翻转式原位固化法可采用水压或气压的方法将软管翻转置入原有管道，施工应符合下列规定：</w:t>
      </w:r>
    </w:p>
    <w:p w14:paraId="1CD58BDC">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 xml:space="preserve">1 </w:t>
      </w:r>
      <w:r>
        <w:rPr>
          <w:rFonts w:hint="default" w:ascii="Times New Roman" w:hAnsi="Times New Roman" w:cs="Times New Roman"/>
          <w:iCs/>
          <w:kern w:val="2"/>
          <w:szCs w:val="24"/>
        </w:rPr>
        <w:t>当翻转时应将软管的外层防渗塑料薄膜向内翻转成内衬管的内膜;</w:t>
      </w:r>
    </w:p>
    <w:p w14:paraId="492069FE">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2</w:t>
      </w:r>
      <w:r>
        <w:rPr>
          <w:rFonts w:hint="default" w:ascii="Times New Roman" w:hAnsi="Times New Roman" w:cs="Times New Roman"/>
          <w:iCs/>
          <w:kern w:val="2"/>
          <w:szCs w:val="24"/>
        </w:rPr>
        <w:t xml:space="preserve"> 翻转压力应控制在使软管充分扩展所需最小压力和软管所能承受的允许最大压力之间,应能使软管翻转到管道的另一端；</w:t>
      </w:r>
    </w:p>
    <w:p w14:paraId="69638CAD">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3</w:t>
      </w:r>
      <w:r>
        <w:rPr>
          <w:rFonts w:hint="default" w:ascii="Times New Roman" w:hAnsi="Times New Roman" w:cs="Times New Roman"/>
          <w:iCs/>
          <w:kern w:val="2"/>
          <w:szCs w:val="24"/>
        </w:rPr>
        <w:t xml:space="preserve"> 翻转过程中宜用润滑剂减少翻转阻力,润滑剂不得对软管和相关施工设备产生不良影响:</w:t>
      </w:r>
    </w:p>
    <w:p w14:paraId="6CB9A9A6">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4</w:t>
      </w:r>
      <w:r>
        <w:rPr>
          <w:rFonts w:hint="default" w:ascii="Times New Roman" w:hAnsi="Times New Roman" w:cs="Times New Roman"/>
          <w:iCs/>
          <w:kern w:val="2"/>
          <w:szCs w:val="24"/>
        </w:rPr>
        <w:t xml:space="preserve"> 翻转完成后软管伸出原有管道两端的长度应满足施工及取样要求。</w:t>
      </w:r>
    </w:p>
    <w:p w14:paraId="1E4DD78B">
      <w:pPr>
        <w:rPr>
          <w:rFonts w:hint="default" w:ascii="Times New Roman" w:hAnsi="Times New Roman" w:cs="Times New Roman"/>
          <w:iCs/>
          <w:kern w:val="2"/>
          <w:szCs w:val="24"/>
        </w:rPr>
      </w:pPr>
      <w:r>
        <w:rPr>
          <w:rFonts w:hint="default" w:ascii="Times New Roman" w:hAnsi="Times New Roman" w:cs="Times New Roman"/>
          <w:b/>
          <w:bCs/>
          <w:iCs/>
          <w:kern w:val="2"/>
          <w:szCs w:val="24"/>
        </w:rPr>
        <w:t>6.3.2</w:t>
      </w:r>
      <w:r>
        <w:rPr>
          <w:rFonts w:hint="default" w:ascii="Times New Roman" w:hAnsi="Times New Roman" w:cs="Times New Roman"/>
          <w:iCs/>
          <w:kern w:val="2"/>
          <w:szCs w:val="24"/>
        </w:rPr>
        <w:t>干软管的树脂浸渍及运输应符合下列规定：</w:t>
      </w:r>
    </w:p>
    <w:p w14:paraId="6970D852">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 xml:space="preserve">1 </w:t>
      </w:r>
      <w:r>
        <w:rPr>
          <w:rFonts w:hint="default" w:ascii="Times New Roman" w:hAnsi="Times New Roman" w:cs="Times New Roman"/>
          <w:iCs/>
          <w:kern w:val="2"/>
          <w:szCs w:val="24"/>
        </w:rPr>
        <w:t>浸渍树脂时用于抽真空、搅拌、传送碾压的设备应齐全、性能良好，并符合批准后的施工组织设计要求；</w:t>
      </w:r>
    </w:p>
    <w:p w14:paraId="3C2B526A">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2</w:t>
      </w:r>
      <w:r>
        <w:rPr>
          <w:rFonts w:hint="default" w:ascii="Times New Roman" w:hAnsi="Times New Roman" w:cs="Times New Roman"/>
          <w:iCs/>
          <w:kern w:val="2"/>
          <w:szCs w:val="24"/>
        </w:rPr>
        <w:t xml:space="preserve"> 浸渍树脂宜在室内完成，应采取避光，降温等措施。室内温度不应高于30℃，树脂应能在热水、热蒸汽作用下固化，且初始固化温度应低于60℃；</w:t>
      </w:r>
    </w:p>
    <w:p w14:paraId="219647A0">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3</w:t>
      </w:r>
      <w:r>
        <w:rPr>
          <w:rFonts w:hint="default" w:ascii="Times New Roman" w:hAnsi="Times New Roman" w:cs="Times New Roman"/>
          <w:iCs/>
          <w:kern w:val="2"/>
          <w:szCs w:val="24"/>
        </w:rPr>
        <w:t xml:space="preserve"> 浸渍前应对软管进行检测，确认干软管无破损；</w:t>
      </w:r>
    </w:p>
    <w:p w14:paraId="31D8DFD0">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4</w:t>
      </w:r>
      <w:r>
        <w:rPr>
          <w:rFonts w:hint="default" w:ascii="Times New Roman" w:hAnsi="Times New Roman" w:cs="Times New Roman"/>
          <w:iCs/>
          <w:kern w:val="2"/>
          <w:szCs w:val="24"/>
        </w:rPr>
        <w:t xml:space="preserve"> 干软管应在抽成真空状态下充分浸渍树脂，且不得出现气泡；</w:t>
      </w:r>
    </w:p>
    <w:p w14:paraId="55179C21">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5</w:t>
      </w:r>
      <w:r>
        <w:rPr>
          <w:rFonts w:hint="default" w:ascii="Times New Roman" w:hAnsi="Times New Roman" w:cs="Times New Roman"/>
          <w:iCs/>
          <w:kern w:val="2"/>
          <w:szCs w:val="24"/>
        </w:rPr>
        <w:t xml:space="preserve"> 在浸渍干软管之前应计算树脂的用量，树脂的各种成分应进行充分混合，实际用量应比理论用量多5%～15%；</w:t>
      </w:r>
    </w:p>
    <w:p w14:paraId="34639A39">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 xml:space="preserve">6 </w:t>
      </w:r>
      <w:r>
        <w:rPr>
          <w:rFonts w:hint="default" w:ascii="Times New Roman" w:hAnsi="Times New Roman" w:cs="Times New Roman"/>
          <w:iCs/>
          <w:kern w:val="2"/>
          <w:szCs w:val="24"/>
        </w:rPr>
        <w:t>树脂和添加剂混合后应及时进行浸渍，当不能及时浸渍时，应将树脂避光冷藏，冷藏温度和时间应根据树脂本身的稳定性和固化体系来确定；</w:t>
      </w:r>
    </w:p>
    <w:p w14:paraId="2F521230">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 xml:space="preserve">7 </w:t>
      </w:r>
      <w:r>
        <w:rPr>
          <w:rFonts w:hint="default" w:ascii="Times New Roman" w:hAnsi="Times New Roman" w:cs="Times New Roman"/>
          <w:iCs/>
          <w:kern w:val="2"/>
          <w:szCs w:val="24"/>
        </w:rPr>
        <w:t>整平、碾压湿软管时应匀速，并确定碾压厚度在设计范围内，且应控制干斑、气泡、厚度不匀、褶皱等缺陷的出现；</w:t>
      </w:r>
    </w:p>
    <w:p w14:paraId="14B98895">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8</w:t>
      </w:r>
      <w:r>
        <w:rPr>
          <w:rFonts w:hint="default" w:ascii="Times New Roman" w:hAnsi="Times New Roman" w:cs="Times New Roman"/>
          <w:iCs/>
          <w:kern w:val="2"/>
          <w:szCs w:val="24"/>
        </w:rPr>
        <w:t xml:space="preserve"> 湿软管应根据气温、运输距离和时间等情况确定存储和运输方法，存储和运输温度宜不高于20℃；存储和运输过程中应记录材料所处环境的温度和时间。</w:t>
      </w:r>
    </w:p>
    <w:p w14:paraId="382AED02">
      <w:pPr>
        <w:ind w:firstLine="480" w:firstLineChars="200"/>
        <w:rPr>
          <w:rFonts w:hint="default" w:ascii="Times New Roman" w:hAnsi="Times New Roman" w:cs="Times New Roman"/>
          <w:iCs/>
          <w:kern w:val="2"/>
          <w:szCs w:val="24"/>
        </w:rPr>
      </w:pPr>
      <w:r>
        <w:rPr>
          <w:rFonts w:hint="default" w:ascii="Times New Roman" w:hAnsi="Times New Roman" w:cs="Times New Roman"/>
          <w:b w:val="0"/>
          <w:bCs w:val="0"/>
          <w:iCs/>
          <w:kern w:val="2"/>
          <w:szCs w:val="24"/>
        </w:rPr>
        <w:t>9</w:t>
      </w:r>
      <w:r>
        <w:rPr>
          <w:rFonts w:hint="default" w:ascii="Times New Roman" w:hAnsi="Times New Roman" w:cs="Times New Roman"/>
          <w:iCs/>
          <w:kern w:val="2"/>
          <w:szCs w:val="24"/>
        </w:rPr>
        <w:t xml:space="preserve"> 湿软管在贮运和装卸过程中应避免与硬质、尖刺物体发生刮擦、碰撞。</w:t>
      </w:r>
    </w:p>
    <w:p w14:paraId="00C27247">
      <w:pPr>
        <w:rPr>
          <w:rFonts w:hint="default" w:ascii="Times New Roman" w:hAnsi="Times New Roman" w:cs="Times New Roman"/>
          <w:iCs/>
          <w:kern w:val="2"/>
          <w:szCs w:val="24"/>
        </w:rPr>
      </w:pPr>
      <w:r>
        <w:rPr>
          <w:rFonts w:hint="default" w:ascii="Times New Roman" w:hAnsi="Times New Roman" w:cs="Times New Roman"/>
          <w:b/>
          <w:bCs/>
          <w:iCs/>
          <w:kern w:val="2"/>
          <w:szCs w:val="24"/>
        </w:rPr>
        <w:t>6.3.3</w:t>
      </w:r>
      <w:r>
        <w:rPr>
          <w:rFonts w:hint="default" w:ascii="Times New Roman" w:hAnsi="Times New Roman" w:cs="Times New Roman"/>
          <w:iCs/>
          <w:kern w:val="2"/>
          <w:szCs w:val="24"/>
        </w:rPr>
        <w:t>翻转完成后应采用热水或热蒸汽对湿软管进行固化，并应符合下列规定：</w:t>
      </w:r>
    </w:p>
    <w:p w14:paraId="101A3F7E">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热水供应装置和蒸汽发生装置应装有温度测量仪，固化过程中应对温度进行跟踪测量和监控；</w:t>
      </w:r>
    </w:p>
    <w:p w14:paraId="0C44629A">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在修复段起点和终点，距离端口大于300mm处，应在湿软管与原有管道之间安装监测管壁温度变化的温度感应器；</w:t>
      </w:r>
    </w:p>
    <w:p w14:paraId="0DA1CAFC">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热水宜从标高较低的端口通入，蒸汽宜从标高较高的端口通入；</w:t>
      </w:r>
    </w:p>
    <w:p w14:paraId="78883C5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固化温度应均匀升高，固化所需的温度和时间以及温度升高速度应根据树脂材料说明书的规定调控，并应根据修复管段的材质、周围土体的热传导性、环境温度、地下水位等情况进行适当调整；</w:t>
      </w:r>
    </w:p>
    <w:p w14:paraId="2E6890CD">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5 固化过程中湿软管内的水压或气压应能使湿软管与原有管道保持紧密接触，并保持该压力值直到固化结束；</w:t>
      </w:r>
    </w:p>
    <w:p w14:paraId="171EF83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6 可通过温度感应器监测的树脂放热曲线判定树脂固化的状况。</w:t>
      </w:r>
    </w:p>
    <w:p w14:paraId="5FED9AEC">
      <w:pPr>
        <w:rPr>
          <w:rFonts w:hint="default" w:ascii="Times New Roman" w:hAnsi="Times New Roman" w:cs="Times New Roman"/>
          <w:iCs/>
          <w:kern w:val="2"/>
          <w:szCs w:val="24"/>
        </w:rPr>
      </w:pPr>
      <w:r>
        <w:rPr>
          <w:rFonts w:hint="default" w:ascii="Times New Roman" w:hAnsi="Times New Roman" w:cs="Times New Roman"/>
          <w:b/>
          <w:bCs/>
          <w:iCs/>
          <w:kern w:val="2"/>
          <w:szCs w:val="24"/>
        </w:rPr>
        <w:t>6.3.4</w:t>
      </w:r>
      <w:r>
        <w:rPr>
          <w:rFonts w:hint="default" w:ascii="Times New Roman" w:hAnsi="Times New Roman" w:cs="Times New Roman"/>
          <w:iCs/>
          <w:kern w:val="2"/>
          <w:szCs w:val="24"/>
        </w:rPr>
        <w:t>固化完成后内衬管的冷却应符合下列规定：</w:t>
      </w:r>
    </w:p>
    <w:p w14:paraId="434B660C">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应先将内衬管的温度缓慢冷却，热水宜冷却至38℃以下；蒸汽宜冷却至45℃以下；冷却时间应符合树脂材料说明书的规定；</w:t>
      </w:r>
    </w:p>
    <w:p w14:paraId="216A4A34">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采用常温水或空气替换内衬管内的热水或蒸汽进行冷却，替换过程中内衬管内不得形成负压；</w:t>
      </w:r>
    </w:p>
    <w:p w14:paraId="15F44143">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应待冷却稳定后进行后续施工；</w:t>
      </w:r>
    </w:p>
    <w:p w14:paraId="52DD25E1">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固化完成后内衬管内表面应无气泡、拉丝等状况，避免影响内衬管的结构稳固及管道内壁粗糙度。</w:t>
      </w:r>
    </w:p>
    <w:p w14:paraId="0E6A078D">
      <w:pPr>
        <w:rPr>
          <w:rFonts w:hint="default" w:ascii="Times New Roman" w:hAnsi="Times New Roman" w:cs="Times New Roman"/>
          <w:iCs/>
          <w:kern w:val="2"/>
          <w:szCs w:val="24"/>
        </w:rPr>
      </w:pPr>
      <w:r>
        <w:rPr>
          <w:rFonts w:hint="default" w:ascii="Times New Roman" w:hAnsi="Times New Roman" w:cs="Times New Roman"/>
          <w:b/>
          <w:bCs/>
          <w:iCs/>
          <w:kern w:val="2"/>
          <w:szCs w:val="24"/>
        </w:rPr>
        <w:t>6.3.5</w:t>
      </w:r>
      <w:r>
        <w:rPr>
          <w:rFonts w:hint="default" w:ascii="Times New Roman" w:hAnsi="Times New Roman" w:cs="Times New Roman"/>
          <w:iCs/>
          <w:kern w:val="2"/>
          <w:szCs w:val="24"/>
        </w:rPr>
        <w:t>内衬管与原有管道之间应充填树脂混合物进行密封，且树脂混合物应与湿软管的树脂材料相同。</w:t>
      </w:r>
    </w:p>
    <w:p w14:paraId="27D3AA12">
      <w:pPr>
        <w:rPr>
          <w:rFonts w:hint="default" w:ascii="Times New Roman" w:hAnsi="Times New Roman" w:cs="Times New Roman"/>
          <w:iCs/>
          <w:kern w:val="2"/>
          <w:szCs w:val="24"/>
        </w:rPr>
      </w:pPr>
      <w:r>
        <w:rPr>
          <w:rFonts w:hint="default" w:ascii="Times New Roman" w:hAnsi="Times New Roman" w:cs="Times New Roman"/>
          <w:b/>
          <w:bCs/>
          <w:iCs/>
          <w:kern w:val="2"/>
          <w:szCs w:val="24"/>
        </w:rPr>
        <w:t>6.3.6</w:t>
      </w:r>
      <w:r>
        <w:rPr>
          <w:rFonts w:hint="default" w:ascii="Times New Roman" w:hAnsi="Times New Roman" w:cs="Times New Roman"/>
          <w:iCs/>
          <w:kern w:val="2"/>
          <w:szCs w:val="24"/>
        </w:rPr>
        <w:t>翻转式原位固化法应做好材料生产、施工过程中的记录和检验，主控因素如表6.3.6所示。</w:t>
      </w:r>
    </w:p>
    <w:p w14:paraId="2AD873B8">
      <w:pPr>
        <w:jc w:val="center"/>
        <w:rPr>
          <w:rFonts w:hint="default" w:ascii="Times New Roman" w:hAnsi="Times New Roman" w:eastAsia="宋体" w:cs="Times New Roman"/>
          <w:b/>
          <w:bCs/>
          <w:iCs/>
          <w:kern w:val="2"/>
          <w:szCs w:val="24"/>
        </w:rPr>
      </w:pPr>
      <w:r>
        <w:rPr>
          <w:rFonts w:hint="default" w:ascii="Times New Roman" w:hAnsi="Times New Roman" w:eastAsia="宋体" w:cs="Times New Roman"/>
          <w:b/>
          <w:bCs/>
          <w:iCs/>
          <w:kern w:val="2"/>
          <w:szCs w:val="24"/>
        </w:rPr>
        <w:t>表6.3.6 翻转式原位固化法材料生产和施工过程中主控因素</w:t>
      </w:r>
    </w:p>
    <w:tbl>
      <w:tblPr>
        <w:tblStyle w:val="14"/>
        <w:tblW w:w="7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6674"/>
      </w:tblGrid>
      <w:tr w14:paraId="4A0E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07" w:type="dxa"/>
          </w:tcPr>
          <w:p w14:paraId="5852919D">
            <w:pPr>
              <w:spacing w:line="240" w:lineRule="auto"/>
              <w:jc w:val="center"/>
              <w:rPr>
                <w:rFonts w:hint="default" w:ascii="Times New Roman" w:hAnsi="Times New Roman" w:eastAsia="宋体" w:cs="Times New Roman"/>
                <w:iCs/>
                <w:kern w:val="2"/>
                <w:sz w:val="21"/>
              </w:rPr>
            </w:pPr>
            <w:r>
              <w:rPr>
                <w:rFonts w:hint="default" w:ascii="Times New Roman" w:hAnsi="Times New Roman" w:eastAsia="宋体" w:cs="Times New Roman"/>
                <w:iCs/>
                <w:kern w:val="2"/>
                <w:sz w:val="21"/>
              </w:rPr>
              <w:t>工序</w:t>
            </w:r>
          </w:p>
        </w:tc>
        <w:tc>
          <w:tcPr>
            <w:tcW w:w="6674" w:type="dxa"/>
          </w:tcPr>
          <w:p w14:paraId="2AC737C0">
            <w:pPr>
              <w:spacing w:line="240" w:lineRule="auto"/>
              <w:jc w:val="center"/>
              <w:rPr>
                <w:rFonts w:hint="default" w:ascii="Times New Roman" w:hAnsi="Times New Roman" w:eastAsia="宋体" w:cs="Times New Roman"/>
                <w:iCs/>
                <w:kern w:val="2"/>
                <w:sz w:val="21"/>
              </w:rPr>
            </w:pPr>
            <w:r>
              <w:rPr>
                <w:rFonts w:hint="default" w:ascii="Times New Roman" w:hAnsi="Times New Roman" w:eastAsia="宋体" w:cs="Times New Roman"/>
                <w:iCs/>
                <w:kern w:val="2"/>
                <w:sz w:val="21"/>
              </w:rPr>
              <w:t>主控因素</w:t>
            </w:r>
          </w:p>
        </w:tc>
      </w:tr>
      <w:tr w14:paraId="6C15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tcPr>
          <w:p w14:paraId="704D0EF1">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压料</w:t>
            </w:r>
          </w:p>
        </w:tc>
        <w:tc>
          <w:tcPr>
            <w:tcW w:w="6674" w:type="dxa"/>
          </w:tcPr>
          <w:p w14:paraId="3EE68767">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树脂和固化剂种类和用量、湿软管浸渍停留时间和使用长度，温度</w:t>
            </w:r>
          </w:p>
        </w:tc>
      </w:tr>
      <w:tr w14:paraId="1795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07" w:type="dxa"/>
          </w:tcPr>
          <w:p w14:paraId="67603B53">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存储</w:t>
            </w:r>
          </w:p>
        </w:tc>
        <w:tc>
          <w:tcPr>
            <w:tcW w:w="6674" w:type="dxa"/>
          </w:tcPr>
          <w:p w14:paraId="3E1D8F00">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温度、时间</w:t>
            </w:r>
          </w:p>
        </w:tc>
      </w:tr>
      <w:tr w14:paraId="157C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07" w:type="dxa"/>
          </w:tcPr>
          <w:p w14:paraId="3FEEDF5F">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运输</w:t>
            </w:r>
          </w:p>
        </w:tc>
        <w:tc>
          <w:tcPr>
            <w:tcW w:w="6674" w:type="dxa"/>
          </w:tcPr>
          <w:p w14:paraId="7F3103C0">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温度、时间</w:t>
            </w:r>
          </w:p>
        </w:tc>
      </w:tr>
      <w:tr w14:paraId="1FD7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07" w:type="dxa"/>
          </w:tcPr>
          <w:p w14:paraId="0861BD96">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翻转</w:t>
            </w:r>
          </w:p>
        </w:tc>
        <w:tc>
          <w:tcPr>
            <w:tcW w:w="6674" w:type="dxa"/>
          </w:tcPr>
          <w:p w14:paraId="265A198A">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温度、时间、压力</w:t>
            </w:r>
          </w:p>
        </w:tc>
      </w:tr>
      <w:tr w14:paraId="33F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07" w:type="dxa"/>
          </w:tcPr>
          <w:p w14:paraId="4394E31A">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固化</w:t>
            </w:r>
          </w:p>
        </w:tc>
        <w:tc>
          <w:tcPr>
            <w:tcW w:w="6674" w:type="dxa"/>
          </w:tcPr>
          <w:p w14:paraId="01A05174">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温度、时间、压力</w:t>
            </w:r>
          </w:p>
        </w:tc>
      </w:tr>
      <w:tr w14:paraId="203C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07" w:type="dxa"/>
          </w:tcPr>
          <w:p w14:paraId="632A6D61">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冷却</w:t>
            </w:r>
          </w:p>
        </w:tc>
        <w:tc>
          <w:tcPr>
            <w:tcW w:w="6674" w:type="dxa"/>
          </w:tcPr>
          <w:p w14:paraId="21AB1DFC">
            <w:pPr>
              <w:spacing w:line="240" w:lineRule="auto"/>
              <w:rPr>
                <w:rFonts w:hint="default" w:ascii="Times New Roman" w:hAnsi="Times New Roman" w:cs="Times New Roman"/>
                <w:iCs/>
                <w:kern w:val="2"/>
                <w:sz w:val="21"/>
              </w:rPr>
            </w:pPr>
            <w:r>
              <w:rPr>
                <w:rFonts w:hint="default" w:ascii="Times New Roman" w:hAnsi="Times New Roman" w:cs="Times New Roman"/>
                <w:iCs/>
                <w:kern w:val="2"/>
                <w:sz w:val="21"/>
              </w:rPr>
              <w:t>温度、时间、压力</w:t>
            </w:r>
          </w:p>
        </w:tc>
      </w:tr>
    </w:tbl>
    <w:p w14:paraId="354174CB">
      <w:pPr>
        <w:keepNext/>
        <w:keepLines/>
        <w:jc w:val="center"/>
        <w:outlineLvl w:val="1"/>
        <w:rPr>
          <w:rFonts w:hint="default" w:ascii="Times New Roman" w:hAnsi="Times New Roman" w:cs="Times New Roman"/>
          <w:b/>
          <w:bCs/>
          <w:kern w:val="2"/>
          <w:sz w:val="28"/>
          <w:szCs w:val="32"/>
        </w:rPr>
      </w:pPr>
      <w:bookmarkStart w:id="331" w:name="_Toc315"/>
      <w:r>
        <w:rPr>
          <w:rFonts w:hint="default" w:ascii="Times New Roman" w:hAnsi="Times New Roman" w:cs="Times New Roman"/>
          <w:b/>
          <w:bCs/>
          <w:kern w:val="2"/>
          <w:sz w:val="28"/>
          <w:szCs w:val="32"/>
        </w:rPr>
        <w:t>6.4紫外光原位固化法</w:t>
      </w:r>
      <w:bookmarkEnd w:id="331"/>
    </w:p>
    <w:p w14:paraId="14E67EC8">
      <w:pPr>
        <w:rPr>
          <w:rFonts w:hint="default" w:ascii="Times New Roman" w:hAnsi="Times New Roman" w:cs="Times New Roman"/>
        </w:rPr>
      </w:pPr>
      <w:r>
        <w:rPr>
          <w:rFonts w:hint="default" w:ascii="Times New Roman" w:hAnsi="Times New Roman" w:cs="Times New Roman"/>
          <w:b/>
          <w:bCs/>
        </w:rPr>
        <w:t>6.4.1</w:t>
      </w:r>
      <w:r>
        <w:rPr>
          <w:rFonts w:hint="default" w:ascii="Times New Roman" w:hAnsi="Times New Roman" w:cs="Times New Roman"/>
        </w:rPr>
        <w:t>拉入软管之前应在原有管道内铺设垫膜,垫膜应符合下列规定：</w:t>
      </w:r>
    </w:p>
    <w:p w14:paraId="0E870C81">
      <w:pPr>
        <w:ind w:firstLine="480" w:firstLineChars="200"/>
        <w:rPr>
          <w:rFonts w:hint="default" w:ascii="Times New Roman" w:hAnsi="Times New Roman" w:cs="Times New Roman"/>
        </w:rPr>
      </w:pPr>
      <w:r>
        <w:rPr>
          <w:rFonts w:hint="default" w:ascii="Times New Roman" w:hAnsi="Times New Roman" w:cs="Times New Roman"/>
        </w:rPr>
        <w:t>1 垫膜应置于原有管道底部；</w:t>
      </w:r>
    </w:p>
    <w:p w14:paraId="23A4C6BC">
      <w:pPr>
        <w:ind w:firstLine="480" w:firstLineChars="200"/>
        <w:rPr>
          <w:rFonts w:hint="default" w:ascii="Times New Roman" w:hAnsi="Times New Roman" w:cs="Times New Roman"/>
        </w:rPr>
      </w:pPr>
      <w:r>
        <w:rPr>
          <w:rFonts w:hint="default" w:ascii="Times New Roman" w:hAnsi="Times New Roman" w:cs="Times New Roman"/>
        </w:rPr>
        <w:t>2 垫膜应覆盖大于 1/3 的管道周长；</w:t>
      </w:r>
    </w:p>
    <w:p w14:paraId="08D323D1">
      <w:pPr>
        <w:ind w:firstLine="480" w:firstLineChars="200"/>
        <w:rPr>
          <w:rFonts w:hint="default" w:ascii="Times New Roman" w:hAnsi="Times New Roman" w:cs="Times New Roman"/>
        </w:rPr>
      </w:pPr>
      <w:r>
        <w:rPr>
          <w:rFonts w:hint="default" w:ascii="Times New Roman" w:hAnsi="Times New Roman" w:cs="Times New Roman"/>
        </w:rPr>
        <w:t>3 垫膜应在原有管道两端进行固定。</w:t>
      </w:r>
    </w:p>
    <w:p w14:paraId="4812970A">
      <w:pPr>
        <w:rPr>
          <w:rFonts w:hint="default" w:ascii="Times New Roman" w:hAnsi="Times New Roman" w:cs="Times New Roman"/>
          <w:iCs/>
          <w:kern w:val="2"/>
          <w:szCs w:val="24"/>
        </w:rPr>
      </w:pPr>
      <w:r>
        <w:rPr>
          <w:rFonts w:hint="default" w:ascii="Times New Roman" w:hAnsi="Times New Roman" w:cs="Times New Roman"/>
          <w:b/>
          <w:bCs/>
          <w:iCs/>
          <w:kern w:val="2"/>
          <w:szCs w:val="24"/>
        </w:rPr>
        <w:t>6.4.2</w:t>
      </w:r>
      <w:r>
        <w:rPr>
          <w:rFonts w:hint="default" w:ascii="Times New Roman" w:hAnsi="Times New Roman" w:cs="Times New Roman"/>
          <w:iCs/>
          <w:kern w:val="2"/>
          <w:szCs w:val="24"/>
        </w:rPr>
        <w:t>湿软管的储存和运输应符合下列规定：</w:t>
      </w:r>
    </w:p>
    <w:p w14:paraId="4D943E84">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湿软管材料应附有测试合格的检测报告；</w:t>
      </w:r>
    </w:p>
    <w:p w14:paraId="27DF1E93">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紫外光固化玻纤湿软管应在避光、适宜的温度环境下存储和运输，应符合生产厂商的要求。</w:t>
      </w:r>
    </w:p>
    <w:p w14:paraId="7B0BFA4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在运输、装卸和保管过程中，不得损坏湿软管材料。</w:t>
      </w:r>
    </w:p>
    <w:p w14:paraId="110FA521">
      <w:pPr>
        <w:rPr>
          <w:rFonts w:hint="default" w:ascii="Times New Roman" w:hAnsi="Times New Roman" w:cs="Times New Roman"/>
          <w:iCs/>
          <w:kern w:val="2"/>
          <w:szCs w:val="24"/>
        </w:rPr>
      </w:pPr>
      <w:r>
        <w:rPr>
          <w:rFonts w:hint="default" w:ascii="Times New Roman" w:hAnsi="Times New Roman" w:cs="Times New Roman"/>
          <w:b/>
          <w:bCs/>
          <w:iCs/>
          <w:kern w:val="2"/>
          <w:szCs w:val="24"/>
        </w:rPr>
        <w:t>6.4.3</w:t>
      </w:r>
      <w:r>
        <w:rPr>
          <w:rFonts w:hint="default" w:ascii="Times New Roman" w:hAnsi="Times New Roman" w:cs="Times New Roman"/>
          <w:iCs/>
          <w:kern w:val="2"/>
          <w:szCs w:val="24"/>
        </w:rPr>
        <w:t>湿软管拉入应符合下列规定：</w:t>
      </w:r>
    </w:p>
    <w:p w14:paraId="4804F3E6">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在拉入前，应检查垫膜，不得磨损或划伤湿软管，并应准备好分散拉力用的万向吊环；</w:t>
      </w:r>
    </w:p>
    <w:p w14:paraId="538B9D68">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应沿管底的垫膜将湿软管平稳、缓慢地拉入原有管道，牵引速度和牵引力应根据制造商提供的数值而定，拉入内衬软管的速度不应大于5m/min；</w:t>
      </w:r>
    </w:p>
    <w:p w14:paraId="321EDD3B">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拉入的拉力不应大于湿软管承受的最大拉力；</w:t>
      </w:r>
    </w:p>
    <w:p w14:paraId="153E736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湿软管两端端口伸出原有管道的长度应符合表6.4.3-1要求；</w:t>
      </w:r>
    </w:p>
    <w:p w14:paraId="607C6A51">
      <w:pPr>
        <w:jc w:val="center"/>
        <w:rPr>
          <w:rFonts w:hint="default" w:ascii="Times New Roman" w:hAnsi="Times New Roman" w:cs="Times New Roman"/>
          <w:b/>
          <w:bCs/>
          <w:iCs/>
          <w:kern w:val="2"/>
          <w:szCs w:val="24"/>
        </w:rPr>
      </w:pPr>
      <w:r>
        <w:rPr>
          <w:rFonts w:hint="default" w:ascii="Times New Roman" w:hAnsi="Times New Roman" w:cs="Times New Roman"/>
          <w:b/>
          <w:bCs/>
          <w:iCs/>
          <w:kern w:val="2"/>
          <w:szCs w:val="24"/>
        </w:rPr>
        <w:t>表6.4.3-1湿软管两端端口分别伸出长度</w:t>
      </w:r>
    </w:p>
    <w:tbl>
      <w:tblPr>
        <w:tblStyle w:val="14"/>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3360"/>
      </w:tblGrid>
      <w:tr w14:paraId="35EF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14:paraId="7A768408">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湿软管管径</w:t>
            </w:r>
          </w:p>
        </w:tc>
        <w:tc>
          <w:tcPr>
            <w:tcW w:w="3360" w:type="dxa"/>
          </w:tcPr>
          <w:p w14:paraId="02E92D26">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端口分别伸出长度</w:t>
            </w:r>
          </w:p>
        </w:tc>
      </w:tr>
      <w:tr w14:paraId="0705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14:paraId="67C63F89">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Dr≤500mm</w:t>
            </w:r>
          </w:p>
        </w:tc>
        <w:tc>
          <w:tcPr>
            <w:tcW w:w="3360" w:type="dxa"/>
          </w:tcPr>
          <w:p w14:paraId="13127551">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≥500mm</w:t>
            </w:r>
          </w:p>
        </w:tc>
      </w:tr>
      <w:tr w14:paraId="0BE8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14:paraId="2D645088">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500＜Dr≤800mm</w:t>
            </w:r>
          </w:p>
        </w:tc>
        <w:tc>
          <w:tcPr>
            <w:tcW w:w="3360" w:type="dxa"/>
          </w:tcPr>
          <w:p w14:paraId="7ECED69D">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≥800mm</w:t>
            </w:r>
          </w:p>
        </w:tc>
      </w:tr>
      <w:tr w14:paraId="1891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14:paraId="289BC35D">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Dr＞800mm</w:t>
            </w:r>
          </w:p>
        </w:tc>
        <w:tc>
          <w:tcPr>
            <w:tcW w:w="3360" w:type="dxa"/>
          </w:tcPr>
          <w:p w14:paraId="483B392F">
            <w:pPr>
              <w:spacing w:line="240" w:lineRule="auto"/>
              <w:jc w:val="center"/>
              <w:rPr>
                <w:rFonts w:hint="default" w:ascii="Times New Roman" w:hAnsi="Times New Roman" w:cs="Times New Roman"/>
                <w:iCs/>
                <w:kern w:val="2"/>
                <w:sz w:val="21"/>
              </w:rPr>
            </w:pPr>
            <w:r>
              <w:rPr>
                <w:rFonts w:hint="default" w:ascii="Times New Roman" w:hAnsi="Times New Roman" w:cs="Times New Roman"/>
                <w:iCs/>
                <w:kern w:val="2"/>
                <w:sz w:val="21"/>
              </w:rPr>
              <w:t>≥1000mm</w:t>
            </w:r>
          </w:p>
        </w:tc>
      </w:tr>
    </w:tbl>
    <w:p w14:paraId="3EBDB179">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5 湿软管拉入过程中控制的最大拉力宜符合表6.4.3-2中规定；</w:t>
      </w:r>
    </w:p>
    <w:p w14:paraId="7164CC2C">
      <w:pPr>
        <w:jc w:val="center"/>
        <w:rPr>
          <w:rFonts w:hint="default" w:ascii="Times New Roman" w:hAnsi="Times New Roman" w:cs="Times New Roman"/>
          <w:b/>
          <w:bCs/>
          <w:iCs/>
          <w:kern w:val="2"/>
          <w:szCs w:val="24"/>
        </w:rPr>
      </w:pPr>
      <w:r>
        <w:rPr>
          <w:rFonts w:hint="default" w:ascii="Times New Roman" w:hAnsi="Times New Roman" w:cs="Times New Roman"/>
          <w:b/>
          <w:bCs/>
          <w:iCs/>
          <w:kern w:val="2"/>
          <w:szCs w:val="24"/>
        </w:rPr>
        <w:t>表6.4.3-2湿软管承受的最大拉力</w:t>
      </w:r>
    </w:p>
    <w:tbl>
      <w:tblPr>
        <w:tblStyle w:val="13"/>
        <w:tblW w:w="6627" w:type="dxa"/>
        <w:jc w:val="center"/>
        <w:tblLayout w:type="fixed"/>
        <w:tblCellMar>
          <w:top w:w="0" w:type="dxa"/>
          <w:left w:w="108" w:type="dxa"/>
          <w:bottom w:w="0" w:type="dxa"/>
          <w:right w:w="108" w:type="dxa"/>
        </w:tblCellMar>
      </w:tblPr>
      <w:tblGrid>
        <w:gridCol w:w="3345"/>
        <w:gridCol w:w="3282"/>
      </w:tblGrid>
      <w:tr w14:paraId="691C12A9">
        <w:tblPrEx>
          <w:tblCellMar>
            <w:top w:w="0" w:type="dxa"/>
            <w:left w:w="108" w:type="dxa"/>
            <w:bottom w:w="0" w:type="dxa"/>
            <w:right w:w="108" w:type="dxa"/>
          </w:tblCellMar>
        </w:tblPrEx>
        <w:trPr>
          <w:trHeight w:val="303" w:hRule="atLeast"/>
          <w:jc w:val="center"/>
        </w:trPr>
        <w:tc>
          <w:tcPr>
            <w:tcW w:w="3345" w:type="dxa"/>
            <w:tcBorders>
              <w:top w:val="single" w:color="000000" w:sz="8" w:space="0"/>
              <w:left w:val="single" w:color="000000" w:sz="8" w:space="0"/>
              <w:bottom w:val="single" w:color="000000" w:sz="8" w:space="0"/>
              <w:right w:val="single" w:color="000000" w:sz="8" w:space="0"/>
            </w:tcBorders>
            <w:vAlign w:val="center"/>
          </w:tcPr>
          <w:p w14:paraId="0C88F795">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管径×壁厚（mm）</w:t>
            </w:r>
          </w:p>
        </w:tc>
        <w:tc>
          <w:tcPr>
            <w:tcW w:w="3282" w:type="dxa"/>
            <w:tcBorders>
              <w:top w:val="single" w:color="000000" w:sz="8" w:space="0"/>
              <w:left w:val="single" w:color="000000" w:sz="8" w:space="0"/>
              <w:bottom w:val="single" w:color="000000" w:sz="8" w:space="0"/>
              <w:right w:val="single" w:color="000000" w:sz="8" w:space="0"/>
            </w:tcBorders>
            <w:vAlign w:val="center"/>
          </w:tcPr>
          <w:p w14:paraId="58348E9B">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最大拉力（kN）</w:t>
            </w:r>
          </w:p>
        </w:tc>
      </w:tr>
      <w:tr w14:paraId="73E7820E">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7FB69818">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DN300×4</w:t>
            </w:r>
          </w:p>
        </w:tc>
        <w:tc>
          <w:tcPr>
            <w:tcW w:w="3282" w:type="dxa"/>
            <w:tcBorders>
              <w:top w:val="nil"/>
              <w:left w:val="single" w:color="000000" w:sz="8" w:space="0"/>
              <w:bottom w:val="single" w:color="000000" w:sz="8" w:space="0"/>
              <w:right w:val="single" w:color="000000" w:sz="8" w:space="0"/>
            </w:tcBorders>
            <w:vAlign w:val="center"/>
          </w:tcPr>
          <w:p w14:paraId="2894D964">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40</w:t>
            </w:r>
          </w:p>
        </w:tc>
      </w:tr>
      <w:tr w14:paraId="29DBADDA">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035B44A0">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DN400×5</w:t>
            </w:r>
          </w:p>
        </w:tc>
        <w:tc>
          <w:tcPr>
            <w:tcW w:w="3282" w:type="dxa"/>
            <w:tcBorders>
              <w:top w:val="nil"/>
              <w:left w:val="single" w:color="000000" w:sz="8" w:space="0"/>
              <w:bottom w:val="single" w:color="000000" w:sz="8" w:space="0"/>
              <w:right w:val="single" w:color="000000" w:sz="8" w:space="0"/>
            </w:tcBorders>
            <w:vAlign w:val="center"/>
          </w:tcPr>
          <w:p w14:paraId="0477F6EC">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55</w:t>
            </w:r>
          </w:p>
        </w:tc>
      </w:tr>
      <w:tr w14:paraId="72848C04">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26DA2EC5">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DN500×6</w:t>
            </w:r>
          </w:p>
        </w:tc>
        <w:tc>
          <w:tcPr>
            <w:tcW w:w="3282" w:type="dxa"/>
            <w:tcBorders>
              <w:top w:val="nil"/>
              <w:left w:val="single" w:color="000000" w:sz="8" w:space="0"/>
              <w:bottom w:val="single" w:color="000000" w:sz="8" w:space="0"/>
              <w:right w:val="single" w:color="000000" w:sz="8" w:space="0"/>
            </w:tcBorders>
            <w:vAlign w:val="center"/>
          </w:tcPr>
          <w:p w14:paraId="6A17F980">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100</w:t>
            </w:r>
          </w:p>
        </w:tc>
      </w:tr>
      <w:tr w14:paraId="45D57841">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616C6DE5">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DN600×6</w:t>
            </w:r>
          </w:p>
        </w:tc>
        <w:tc>
          <w:tcPr>
            <w:tcW w:w="3282" w:type="dxa"/>
            <w:tcBorders>
              <w:top w:val="nil"/>
              <w:left w:val="single" w:color="000000" w:sz="8" w:space="0"/>
              <w:bottom w:val="single" w:color="000000" w:sz="8" w:space="0"/>
              <w:right w:val="single" w:color="000000" w:sz="8" w:space="0"/>
            </w:tcBorders>
            <w:vAlign w:val="center"/>
          </w:tcPr>
          <w:p w14:paraId="4976C72B">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125</w:t>
            </w:r>
          </w:p>
        </w:tc>
      </w:tr>
      <w:tr w14:paraId="0D274F9D">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5F6AA60E">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DN700×8</w:t>
            </w:r>
          </w:p>
        </w:tc>
        <w:tc>
          <w:tcPr>
            <w:tcW w:w="3282" w:type="dxa"/>
            <w:tcBorders>
              <w:top w:val="nil"/>
              <w:left w:val="single" w:color="000000" w:sz="8" w:space="0"/>
              <w:bottom w:val="single" w:color="000000" w:sz="8" w:space="0"/>
              <w:right w:val="single" w:color="000000" w:sz="8" w:space="0"/>
            </w:tcBorders>
            <w:vAlign w:val="center"/>
          </w:tcPr>
          <w:p w14:paraId="569CDD9D">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190</w:t>
            </w:r>
          </w:p>
        </w:tc>
      </w:tr>
      <w:tr w14:paraId="6250759C">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26273CE8">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DN800×8</w:t>
            </w:r>
          </w:p>
        </w:tc>
        <w:tc>
          <w:tcPr>
            <w:tcW w:w="3282" w:type="dxa"/>
            <w:tcBorders>
              <w:top w:val="nil"/>
              <w:left w:val="single" w:color="000000" w:sz="8" w:space="0"/>
              <w:bottom w:val="single" w:color="000000" w:sz="8" w:space="0"/>
              <w:right w:val="single" w:color="000000" w:sz="8" w:space="0"/>
            </w:tcBorders>
            <w:vAlign w:val="center"/>
          </w:tcPr>
          <w:p w14:paraId="7C60B99A">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225</w:t>
            </w:r>
          </w:p>
        </w:tc>
      </w:tr>
      <w:tr w14:paraId="0E9D939F">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1E7102CA">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DN1000×10</w:t>
            </w:r>
          </w:p>
        </w:tc>
        <w:tc>
          <w:tcPr>
            <w:tcW w:w="3282" w:type="dxa"/>
            <w:tcBorders>
              <w:top w:val="nil"/>
              <w:left w:val="single" w:color="000000" w:sz="8" w:space="0"/>
              <w:bottom w:val="single" w:color="000000" w:sz="8" w:space="0"/>
              <w:right w:val="single" w:color="000000" w:sz="8" w:space="0"/>
            </w:tcBorders>
            <w:vAlign w:val="center"/>
          </w:tcPr>
          <w:p w14:paraId="0A9CCF14">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340</w:t>
            </w:r>
          </w:p>
        </w:tc>
      </w:tr>
      <w:tr w14:paraId="2241CAD7">
        <w:tblPrEx>
          <w:tblCellMar>
            <w:top w:w="0" w:type="dxa"/>
            <w:left w:w="108" w:type="dxa"/>
            <w:bottom w:w="0" w:type="dxa"/>
            <w:right w:w="108" w:type="dxa"/>
          </w:tblCellMar>
        </w:tblPrEx>
        <w:trPr>
          <w:trHeight w:val="303" w:hRule="atLeast"/>
          <w:jc w:val="center"/>
        </w:trPr>
        <w:tc>
          <w:tcPr>
            <w:tcW w:w="3345" w:type="dxa"/>
            <w:tcBorders>
              <w:top w:val="nil"/>
              <w:left w:val="single" w:color="000000" w:sz="8" w:space="0"/>
              <w:bottom w:val="single" w:color="000000" w:sz="8" w:space="0"/>
              <w:right w:val="single" w:color="000000" w:sz="8" w:space="0"/>
            </w:tcBorders>
            <w:vAlign w:val="center"/>
          </w:tcPr>
          <w:p w14:paraId="58BA3415">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DN（1200～1600）×12</w:t>
            </w:r>
          </w:p>
        </w:tc>
        <w:tc>
          <w:tcPr>
            <w:tcW w:w="3282" w:type="dxa"/>
            <w:tcBorders>
              <w:top w:val="nil"/>
              <w:left w:val="single" w:color="000000" w:sz="8" w:space="0"/>
              <w:bottom w:val="single" w:color="000000" w:sz="8" w:space="0"/>
              <w:right w:val="single" w:color="000000" w:sz="8" w:space="0"/>
            </w:tcBorders>
            <w:vAlign w:val="center"/>
          </w:tcPr>
          <w:p w14:paraId="5BAEB3B4">
            <w:pPr>
              <w:spacing w:line="240" w:lineRule="auto"/>
              <w:ind w:firstLine="0" w:firstLineChars="0"/>
              <w:jc w:val="center"/>
              <w:rPr>
                <w:rFonts w:hint="default" w:ascii="Times New Roman" w:hAnsi="Times New Roman" w:cs="Times New Roman"/>
                <w:iCs/>
                <w:kern w:val="2"/>
                <w:sz w:val="21"/>
              </w:rPr>
            </w:pPr>
            <w:r>
              <w:rPr>
                <w:rFonts w:hint="default" w:ascii="Times New Roman" w:hAnsi="Times New Roman" w:cs="Times New Roman"/>
                <w:iCs/>
                <w:kern w:val="2"/>
                <w:sz w:val="21"/>
              </w:rPr>
              <w:t>500</w:t>
            </w:r>
          </w:p>
        </w:tc>
      </w:tr>
    </w:tbl>
    <w:p w14:paraId="755B9F2D">
      <w:pPr>
        <w:ind w:firstLine="1440" w:firstLineChars="600"/>
        <w:rPr>
          <w:rFonts w:hint="default" w:ascii="Times New Roman" w:hAnsi="Times New Roman" w:cs="Times New Roman"/>
          <w:iCs/>
          <w:kern w:val="2"/>
          <w:szCs w:val="24"/>
        </w:rPr>
      </w:pPr>
      <w:r>
        <w:rPr>
          <w:rFonts w:hint="default" w:ascii="Times New Roman" w:hAnsi="Times New Roman" w:cs="Times New Roman"/>
          <w:iCs/>
          <w:kern w:val="2"/>
          <w:szCs w:val="24"/>
        </w:rPr>
        <w:t>注：其它壁厚的产品，也宜按同管径的参数控制。</w:t>
      </w:r>
    </w:p>
    <w:p w14:paraId="37756112">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6 湿软管拉入原有管道之后，宜对折放置在垫膜上。</w:t>
      </w:r>
    </w:p>
    <w:p w14:paraId="206C4824">
      <w:pPr>
        <w:rPr>
          <w:rFonts w:hint="default" w:ascii="Times New Roman" w:hAnsi="Times New Roman" w:eastAsia="楷体" w:cs="Times New Roman"/>
          <w:iCs/>
          <w:kern w:val="2"/>
          <w:szCs w:val="24"/>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iCs/>
          <w:kern w:val="2"/>
          <w:szCs w:val="24"/>
          <w:u w:val="single"/>
        </w:rPr>
        <w:t>本条参照《Standard Practice for Rehabilitation of Existing Pipelines and Conduits by the Pulled in Place Installation of Glass Reinforced Plastic (GRP) Cured-in-Place Thermosetting Resin Pipe (CIPP)》 ASTM F2019 对软管的拉入作了规定，保证软管比原有管道长 300mm~600mm，是为了安装进入口集合管，其在固化过程中安装温度压力传感器</w:t>
      </w:r>
      <w:r>
        <w:rPr>
          <w:rFonts w:hint="default" w:ascii="Times New Roman" w:hAnsi="Times New Roman" w:eastAsia="楷体" w:cs="Times New Roman"/>
          <w:iCs/>
          <w:kern w:val="2"/>
          <w:szCs w:val="24"/>
          <w:highlight w:val="none"/>
          <w:u w:val="single"/>
        </w:rPr>
        <w:t xml:space="preserve">，图 </w:t>
      </w:r>
      <w:r>
        <w:rPr>
          <w:rFonts w:hint="default" w:ascii="Times New Roman" w:hAnsi="Times New Roman" w:eastAsia="楷体" w:cs="Times New Roman"/>
          <w:iCs/>
          <w:kern w:val="2"/>
          <w:szCs w:val="24"/>
          <w:highlight w:val="none"/>
          <w:u w:val="single"/>
          <w:lang w:val="en-US" w:eastAsia="zh-CN"/>
        </w:rPr>
        <w:t>6.4.3</w:t>
      </w:r>
      <w:r>
        <w:rPr>
          <w:rFonts w:hint="default" w:ascii="Times New Roman" w:hAnsi="Times New Roman" w:eastAsia="楷体" w:cs="Times New Roman"/>
          <w:iCs/>
          <w:kern w:val="2"/>
          <w:szCs w:val="24"/>
          <w:highlight w:val="none"/>
          <w:u w:val="single"/>
        </w:rPr>
        <w:t xml:space="preserve"> 为</w:t>
      </w:r>
      <w:r>
        <w:rPr>
          <w:rFonts w:hint="default" w:ascii="Times New Roman" w:hAnsi="Times New Roman" w:eastAsia="楷体" w:cs="Times New Roman"/>
          <w:iCs/>
          <w:kern w:val="2"/>
          <w:szCs w:val="24"/>
          <w:u w:val="single"/>
        </w:rPr>
        <w:t>软管拉入后的示意图。</w:t>
      </w:r>
    </w:p>
    <w:p w14:paraId="6612DCA5">
      <w:pPr>
        <w:ind w:firstLine="480" w:firstLineChars="200"/>
        <w:jc w:val="center"/>
        <w:rPr>
          <w:rFonts w:hint="default" w:ascii="Times New Roman" w:hAnsi="Times New Roman" w:cs="Times New Roman"/>
          <w:iCs/>
          <w:kern w:val="2"/>
          <w:szCs w:val="24"/>
        </w:rPr>
      </w:pPr>
      <w:r>
        <w:rPr>
          <w:rFonts w:hint="default" w:ascii="Times New Roman" w:hAnsi="Times New Roman" w:cs="Times New Roman"/>
          <w:iCs/>
          <w:kern w:val="2"/>
          <w:szCs w:val="24"/>
        </w:rPr>
        <w:drawing>
          <wp:inline distT="0" distB="0" distL="114300" distR="114300">
            <wp:extent cx="2995930" cy="1684655"/>
            <wp:effectExtent l="0" t="0" r="13970" b="10795"/>
            <wp:docPr id="1" name="图片 1" descr="图片清晰化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清晰化处理"/>
                    <pic:cNvPicPr>
                      <a:picLocks noChangeAspect="1"/>
                    </pic:cNvPicPr>
                  </pic:nvPicPr>
                  <pic:blipFill>
                    <a:blip r:embed="rId62"/>
                    <a:stretch>
                      <a:fillRect/>
                    </a:stretch>
                  </pic:blipFill>
                  <pic:spPr>
                    <a:xfrm>
                      <a:off x="0" y="0"/>
                      <a:ext cx="2995930" cy="1684655"/>
                    </a:xfrm>
                    <a:prstGeom prst="rect">
                      <a:avLst/>
                    </a:prstGeom>
                  </pic:spPr>
                </pic:pic>
              </a:graphicData>
            </a:graphic>
          </wp:inline>
        </w:drawing>
      </w:r>
    </w:p>
    <w:p w14:paraId="749B8C1E">
      <w:pPr>
        <w:ind w:firstLine="480" w:firstLineChars="200"/>
        <w:jc w:val="center"/>
        <w:rPr>
          <w:rFonts w:hint="default" w:ascii="Times New Roman" w:hAnsi="Times New Roman" w:cs="Times New Roman"/>
          <w:iCs/>
          <w:kern w:val="2"/>
          <w:szCs w:val="24"/>
        </w:rPr>
      </w:pPr>
      <w:r>
        <w:rPr>
          <w:rFonts w:hint="default" w:ascii="Times New Roman" w:hAnsi="Times New Roman" w:cs="Times New Roman"/>
          <w:iCs/>
          <w:kern w:val="2"/>
          <w:szCs w:val="24"/>
          <w:highlight w:val="none"/>
        </w:rPr>
        <w:t xml:space="preserve">图 </w:t>
      </w:r>
      <w:r>
        <w:rPr>
          <w:rFonts w:hint="default" w:ascii="Times New Roman" w:hAnsi="Times New Roman" w:cs="Times New Roman"/>
          <w:iCs/>
          <w:kern w:val="2"/>
          <w:szCs w:val="24"/>
          <w:highlight w:val="none"/>
          <w:lang w:val="en-US" w:eastAsia="zh-CN"/>
        </w:rPr>
        <w:t>6.4.3</w:t>
      </w:r>
      <w:r>
        <w:rPr>
          <w:rFonts w:hint="default" w:ascii="Times New Roman" w:hAnsi="Times New Roman" w:cs="Times New Roman"/>
          <w:iCs/>
          <w:kern w:val="2"/>
          <w:szCs w:val="24"/>
          <w:highlight w:val="none"/>
        </w:rPr>
        <w:t xml:space="preserve"> 软管</w:t>
      </w:r>
      <w:r>
        <w:rPr>
          <w:rFonts w:hint="default" w:ascii="Times New Roman" w:hAnsi="Times New Roman" w:cs="Times New Roman"/>
          <w:iCs/>
          <w:kern w:val="2"/>
          <w:szCs w:val="24"/>
        </w:rPr>
        <w:t>拉入示意图</w:t>
      </w:r>
    </w:p>
    <w:p w14:paraId="43D0685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1—固化后内衬管；2—端口固定装置；3—拉人后的软管； 4—垫膜； 5—原有管道； 6—压缩空气</w:t>
      </w:r>
    </w:p>
    <w:p w14:paraId="2F18B59B">
      <w:pPr>
        <w:rPr>
          <w:rFonts w:hint="default" w:ascii="Times New Roman" w:hAnsi="Times New Roman" w:cs="Times New Roman"/>
          <w:iCs/>
          <w:kern w:val="2"/>
          <w:szCs w:val="24"/>
        </w:rPr>
      </w:pPr>
      <w:r>
        <w:rPr>
          <w:rFonts w:hint="default" w:ascii="Times New Roman" w:hAnsi="Times New Roman" w:cs="Times New Roman"/>
          <w:b/>
          <w:bCs/>
          <w:iCs/>
          <w:kern w:val="2"/>
          <w:szCs w:val="24"/>
        </w:rPr>
        <w:t>6.4.4</w:t>
      </w:r>
      <w:r>
        <w:rPr>
          <w:rFonts w:hint="default" w:ascii="Times New Roman" w:hAnsi="Times New Roman" w:cs="Times New Roman"/>
          <w:iCs/>
          <w:kern w:val="2"/>
          <w:szCs w:val="24"/>
        </w:rPr>
        <w:t>湿软管的扩展应采用压缩空气，并应符合下列规定：</w:t>
      </w:r>
    </w:p>
    <w:p w14:paraId="69AD466A">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应将扎头安装在湿软管端部准确位置，并应将护套、湿软管与扎头绑扎牢固；</w:t>
      </w:r>
    </w:p>
    <w:p w14:paraId="74E88FBB">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充气装置扎头和测压管宜安装在湿软管入口端，且应装有控制和显示压缩空气压力的装置；</w:t>
      </w:r>
    </w:p>
    <w:p w14:paraId="7BA24897">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充气前应检查湿软管各连接处的密封性，湿软管末端宜安装调压阀；</w:t>
      </w:r>
    </w:p>
    <w:p w14:paraId="56FDBCA3">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压缩空气压力应能使湿软管充分膨胀扩张紧贴原有管道内壁，压力值应根据产品说明书设定。</w:t>
      </w:r>
    </w:p>
    <w:p w14:paraId="3575313D">
      <w:pPr>
        <w:rPr>
          <w:rFonts w:hint="default" w:ascii="Times New Roman" w:hAnsi="Times New Roman" w:cs="Times New Roman"/>
          <w:iCs/>
          <w:kern w:val="2"/>
          <w:szCs w:val="24"/>
        </w:rPr>
      </w:pPr>
      <w:r>
        <w:rPr>
          <w:rFonts w:hint="default" w:ascii="Times New Roman" w:hAnsi="Times New Roman" w:cs="Times New Roman"/>
          <w:b/>
          <w:bCs/>
          <w:iCs/>
          <w:kern w:val="2"/>
          <w:szCs w:val="24"/>
        </w:rPr>
        <w:t>6.4.5</w:t>
      </w:r>
      <w:r>
        <w:rPr>
          <w:rFonts w:hint="default" w:ascii="Times New Roman" w:hAnsi="Times New Roman" w:cs="Times New Roman"/>
          <w:iCs/>
          <w:kern w:val="2"/>
          <w:szCs w:val="24"/>
        </w:rPr>
        <w:t>采用紫外光固化时应符合下列规定：</w:t>
      </w:r>
    </w:p>
    <w:p w14:paraId="23D8CC98">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紫外灯安装应避免损伤内膜，大于DN800 的管道应设置空气锁/空气闸；</w:t>
      </w:r>
    </w:p>
    <w:p w14:paraId="1CD27872">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压力应根据内衬管的管径与壁厚，按湿软管内衬生产商所给出的参数表选用，压力达到参数表规定的压力时，应保持不少于10min；</w:t>
      </w:r>
    </w:p>
    <w:p w14:paraId="3AAA0867">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应按湿软管内衬生产商提出的产品要求采用紫外光灯架型号、功率、数量以及固化巡航速；</w:t>
      </w:r>
    </w:p>
    <w:p w14:paraId="10DCF0A2">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固化巡航时，应测量湿软管内表面上软管内衬固化时的温度；</w:t>
      </w:r>
    </w:p>
    <w:p w14:paraId="105813D1">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5 湿软管固化完成后，应缓慢降低管内压力至大气压，降压速度不大于0.01MPa/min。</w:t>
      </w:r>
    </w:p>
    <w:p w14:paraId="1ECE17AF">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6.4.6 </w:t>
      </w:r>
      <w:r>
        <w:rPr>
          <w:rFonts w:hint="default" w:ascii="Times New Roman" w:hAnsi="Times New Roman" w:cs="Times New Roman"/>
          <w:iCs/>
          <w:kern w:val="2"/>
          <w:szCs w:val="24"/>
        </w:rPr>
        <w:t>紫外光原位固化应做好湿软管拉入长度、扩展压缩空气压力、湿软管固化温度、时间和压力、紫外灯的巡航速度、内衬管冷却温度、时间、压力等内容的记录和检验。</w:t>
      </w:r>
    </w:p>
    <w:p w14:paraId="3EEA169F">
      <w:pPr>
        <w:rPr>
          <w:rFonts w:hint="default" w:ascii="Times New Roman" w:hAnsi="Times New Roman" w:eastAsia="楷体" w:cs="Times New Roman"/>
          <w:iCs w:val="0"/>
          <w:kern w:val="2"/>
          <w:szCs w:val="24"/>
          <w:u w:val="single"/>
        </w:rPr>
      </w:pPr>
      <w:r>
        <w:rPr>
          <w:rFonts w:hint="default" w:ascii="Times New Roman" w:hAnsi="Times New Roman" w:eastAsia="楷体" w:cs="Times New Roman"/>
          <w:iCs w:val="0"/>
          <w:kern w:val="2"/>
          <w:szCs w:val="24"/>
          <w:u w:val="single"/>
        </w:rPr>
        <w:t>【条文说明】紫外光固化工艺采用的树脂体系是光固化树脂体系，紫外光的吸收率决定着树脂固化效果，内衬管管径越大、壁厚越厚越不利于树脂的固化，因此应通过合理控制紫外光灯前进速度使树脂充分固化。</w:t>
      </w:r>
    </w:p>
    <w:p w14:paraId="76CF5E9E">
      <w:pPr>
        <w:keepNext/>
        <w:keepLines/>
        <w:jc w:val="center"/>
        <w:outlineLvl w:val="1"/>
        <w:rPr>
          <w:rFonts w:hint="default" w:ascii="Times New Roman" w:hAnsi="Times New Roman" w:cs="Times New Roman"/>
          <w:b/>
          <w:bCs/>
          <w:kern w:val="2"/>
          <w:sz w:val="28"/>
          <w:szCs w:val="32"/>
        </w:rPr>
      </w:pPr>
      <w:bookmarkStart w:id="332" w:name="_Toc11883"/>
      <w:r>
        <w:rPr>
          <w:rFonts w:hint="default" w:ascii="Times New Roman" w:hAnsi="Times New Roman" w:cs="Times New Roman"/>
          <w:b/>
          <w:bCs/>
          <w:kern w:val="2"/>
          <w:sz w:val="28"/>
          <w:szCs w:val="28"/>
        </w:rPr>
        <w:t>6.5管片内衬法</w:t>
      </w:r>
      <w:bookmarkEnd w:id="332"/>
    </w:p>
    <w:p w14:paraId="79018CEB">
      <w:pPr>
        <w:rPr>
          <w:rFonts w:hint="default" w:ascii="Times New Roman" w:hAnsi="Times New Roman" w:cs="Times New Roman"/>
          <w:iCs/>
          <w:szCs w:val="24"/>
        </w:rPr>
      </w:pPr>
      <w:r>
        <w:rPr>
          <w:rFonts w:hint="default" w:ascii="Times New Roman" w:hAnsi="Times New Roman" w:cs="Times New Roman"/>
          <w:b/>
          <w:bCs/>
          <w:iCs/>
          <w:szCs w:val="24"/>
        </w:rPr>
        <w:t>6.5.1</w:t>
      </w:r>
      <w:r>
        <w:rPr>
          <w:rFonts w:hint="default" w:ascii="Times New Roman" w:hAnsi="Times New Roman" w:cs="Times New Roman"/>
          <w:iCs/>
          <w:szCs w:val="24"/>
        </w:rPr>
        <w:t xml:space="preserve"> 采用管片内衬法修复管道时，应对管片内衬管和原有管道之间的空隙进行注浆填充。</w:t>
      </w:r>
    </w:p>
    <w:p w14:paraId="7AE9370A">
      <w:pPr>
        <w:rPr>
          <w:rFonts w:hint="default" w:ascii="Times New Roman" w:hAnsi="Times New Roman" w:cs="Times New Roman"/>
          <w:iCs/>
          <w:szCs w:val="24"/>
        </w:rPr>
      </w:pPr>
      <w:r>
        <w:rPr>
          <w:rFonts w:hint="default" w:ascii="Times New Roman" w:hAnsi="Times New Roman" w:cs="Times New Roman"/>
          <w:b/>
          <w:bCs/>
          <w:iCs/>
          <w:szCs w:val="24"/>
        </w:rPr>
        <w:t>6.5.2</w:t>
      </w:r>
      <w:r>
        <w:rPr>
          <w:rFonts w:hint="default" w:ascii="Times New Roman" w:hAnsi="Times New Roman" w:cs="Times New Roman"/>
          <w:iCs/>
          <w:szCs w:val="24"/>
        </w:rPr>
        <w:t xml:space="preserve"> 管片内衬法施工应包括管内清洗、组装结构增强材料、模块拼装、模块搬运、管道拼装、支管开孔、设置支撑、注浆撤除支撑、管口处理等步骤。</w:t>
      </w:r>
    </w:p>
    <w:p w14:paraId="1F53D0F0">
      <w:pPr>
        <w:rPr>
          <w:rFonts w:hint="default" w:ascii="Times New Roman" w:hAnsi="Times New Roman" w:cs="Times New Roman"/>
          <w:iCs/>
          <w:szCs w:val="24"/>
        </w:rPr>
      </w:pPr>
      <w:r>
        <w:rPr>
          <w:rFonts w:hint="default" w:ascii="Times New Roman" w:hAnsi="Times New Roman" w:cs="Times New Roman"/>
          <w:b/>
          <w:bCs/>
          <w:iCs/>
          <w:szCs w:val="24"/>
        </w:rPr>
        <w:t>6.5.3</w:t>
      </w:r>
      <w:r>
        <w:rPr>
          <w:rFonts w:hint="default" w:ascii="Times New Roman" w:hAnsi="Times New Roman" w:cs="Times New Roman"/>
          <w:iCs/>
          <w:szCs w:val="24"/>
        </w:rPr>
        <w:t xml:space="preserve"> 当采用人工进入管道内进行施工时，管内水位不得超过管道垂直高度的30%和500mm。地面人员应保持同井下人员之间的联络。同时应满足《四川省有限空间作业安全管理规定》和《房屋市政工程有限空间识别及施工安全作业指南 (试行)》等规定。</w:t>
      </w:r>
    </w:p>
    <w:p w14:paraId="5FBBE8EB">
      <w:pPr>
        <w:rPr>
          <w:rFonts w:hint="default" w:ascii="Times New Roman" w:hAnsi="Times New Roman" w:cs="Times New Roman"/>
          <w:iCs/>
          <w:szCs w:val="24"/>
        </w:rPr>
      </w:pPr>
      <w:r>
        <w:rPr>
          <w:rFonts w:hint="default" w:ascii="Times New Roman" w:hAnsi="Times New Roman" w:cs="Times New Roman"/>
          <w:b/>
          <w:bCs/>
          <w:iCs/>
          <w:szCs w:val="24"/>
        </w:rPr>
        <w:t>6.5.4</w:t>
      </w:r>
      <w:r>
        <w:rPr>
          <w:rFonts w:hint="default" w:ascii="Times New Roman" w:hAnsi="Times New Roman" w:cs="Times New Roman"/>
          <w:iCs/>
          <w:szCs w:val="24"/>
        </w:rPr>
        <w:t xml:space="preserve"> 将管片通过检查井运入管内。管片下井和管内运输过程中，管内人员不得站在运输物下方，以确保安全。</w:t>
      </w:r>
    </w:p>
    <w:p w14:paraId="103447C8">
      <w:pPr>
        <w:rPr>
          <w:rFonts w:hint="default" w:ascii="Times New Roman" w:hAnsi="Times New Roman" w:cs="Times New Roman"/>
          <w:iCs/>
          <w:szCs w:val="24"/>
        </w:rPr>
      </w:pPr>
      <w:r>
        <w:rPr>
          <w:rFonts w:hint="default" w:ascii="Times New Roman" w:hAnsi="Times New Roman" w:cs="Times New Roman"/>
          <w:b/>
          <w:bCs/>
          <w:iCs/>
          <w:szCs w:val="24"/>
        </w:rPr>
        <w:t>6.5.5</w:t>
      </w:r>
      <w:r>
        <w:rPr>
          <w:rFonts w:hint="default" w:ascii="Times New Roman" w:hAnsi="Times New Roman" w:cs="Times New Roman"/>
          <w:iCs/>
          <w:szCs w:val="24"/>
        </w:rPr>
        <w:t xml:space="preserve"> 采用人工或机器的方法在管内将管片拼装成一体。管片与管片之间采用连接键或焊接连接时，应注入密封胶和粘结剂，确保水密性。</w:t>
      </w:r>
    </w:p>
    <w:p w14:paraId="3486BA1E">
      <w:pPr>
        <w:rPr>
          <w:rFonts w:hint="default" w:ascii="Times New Roman" w:hAnsi="Times New Roman" w:cs="Times New Roman"/>
          <w:iCs/>
          <w:szCs w:val="24"/>
        </w:rPr>
      </w:pPr>
      <w:r>
        <w:rPr>
          <w:rFonts w:hint="default" w:ascii="Times New Roman" w:hAnsi="Times New Roman" w:cs="Times New Roman"/>
          <w:b/>
          <w:bCs/>
          <w:iCs/>
          <w:szCs w:val="24"/>
        </w:rPr>
        <w:t>6.5.6</w:t>
      </w:r>
      <w:r>
        <w:rPr>
          <w:rFonts w:hint="default" w:ascii="Times New Roman" w:hAnsi="Times New Roman" w:cs="Times New Roman"/>
          <w:iCs/>
          <w:szCs w:val="24"/>
        </w:rPr>
        <w:t xml:space="preserve"> 管片连接完成后，注浆之前，应对管道进行支护工作，以确保安全。</w:t>
      </w:r>
    </w:p>
    <w:p w14:paraId="60BD03D9">
      <w:pPr>
        <w:rPr>
          <w:rFonts w:hint="default" w:ascii="Times New Roman" w:hAnsi="Times New Roman" w:cs="Times New Roman"/>
          <w:iCs/>
          <w:szCs w:val="24"/>
        </w:rPr>
      </w:pPr>
      <w:r>
        <w:rPr>
          <w:rFonts w:hint="default" w:ascii="Times New Roman" w:hAnsi="Times New Roman" w:cs="Times New Roman"/>
          <w:b/>
          <w:bCs/>
          <w:iCs/>
          <w:szCs w:val="24"/>
        </w:rPr>
        <w:t>6.5.7</w:t>
      </w:r>
      <w:r>
        <w:rPr>
          <w:rFonts w:hint="default" w:ascii="Times New Roman" w:hAnsi="Times New Roman" w:cs="Times New Roman"/>
          <w:iCs/>
          <w:szCs w:val="24"/>
        </w:rPr>
        <w:t xml:space="preserve"> 管片拼装完成后对原有管道与既有管道之间填充砂浆应符合下列规定：</w:t>
      </w:r>
    </w:p>
    <w:p w14:paraId="44D3257C">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注浆材料应具有抗离析，抗膨胀、抗开裂等性能，宜满足表6.5.7的规定；环境温度（高温或低温）会显著影响砂浆的流动性、凝结时间、强度发展及与基层的粘结性。需针对性调整配合比、施工工艺及保护措施，确保填充密实、无空鼓开裂，且后期强度达标；</w:t>
      </w:r>
    </w:p>
    <w:p w14:paraId="3B44B998">
      <w:pPr>
        <w:ind w:firstLine="482" w:firstLineChars="200"/>
        <w:jc w:val="center"/>
        <w:rPr>
          <w:rFonts w:hint="default" w:ascii="Times New Roman" w:hAnsi="Times New Roman" w:cs="Times New Roman"/>
          <w:b/>
          <w:bCs/>
          <w:iCs/>
          <w:szCs w:val="24"/>
        </w:rPr>
      </w:pPr>
      <w:r>
        <w:rPr>
          <w:rFonts w:hint="default" w:ascii="Times New Roman" w:hAnsi="Times New Roman" w:cs="Times New Roman"/>
          <w:b/>
          <w:bCs/>
          <w:iCs/>
          <w:szCs w:val="24"/>
        </w:rPr>
        <w:t>表6.5.7注浆材料性能</w:t>
      </w:r>
    </w:p>
    <w:tbl>
      <w:tblPr>
        <w:tblStyle w:val="13"/>
        <w:tblW w:w="4991" w:type="dxa"/>
        <w:jc w:val="center"/>
        <w:tblLayout w:type="fixed"/>
        <w:tblCellMar>
          <w:top w:w="0" w:type="dxa"/>
          <w:left w:w="108" w:type="dxa"/>
          <w:bottom w:w="0" w:type="dxa"/>
          <w:right w:w="108" w:type="dxa"/>
        </w:tblCellMar>
      </w:tblPr>
      <w:tblGrid>
        <w:gridCol w:w="2400"/>
        <w:gridCol w:w="2591"/>
      </w:tblGrid>
      <w:tr w14:paraId="46C9B22E">
        <w:trPr>
          <w:trHeight w:val="363" w:hRule="atLeast"/>
          <w:jc w:val="center"/>
        </w:trPr>
        <w:tc>
          <w:tcPr>
            <w:tcW w:w="2400" w:type="dxa"/>
            <w:tcBorders>
              <w:top w:val="single" w:color="000000" w:sz="8" w:space="0"/>
              <w:left w:val="single" w:color="000000" w:sz="8" w:space="0"/>
              <w:bottom w:val="single" w:color="000000" w:sz="8" w:space="0"/>
              <w:right w:val="single" w:color="000000" w:sz="8" w:space="0"/>
            </w:tcBorders>
            <w:vAlign w:val="center"/>
          </w:tcPr>
          <w:p w14:paraId="0B0CBF40">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性    能</w:t>
            </w:r>
          </w:p>
        </w:tc>
        <w:tc>
          <w:tcPr>
            <w:tcW w:w="2591" w:type="dxa"/>
            <w:tcBorders>
              <w:top w:val="single" w:color="000000" w:sz="8" w:space="0"/>
              <w:left w:val="single" w:color="000000" w:sz="8" w:space="0"/>
              <w:bottom w:val="single" w:color="000000" w:sz="8" w:space="0"/>
              <w:right w:val="single" w:color="000000" w:sz="8" w:space="0"/>
            </w:tcBorders>
            <w:vAlign w:val="center"/>
          </w:tcPr>
          <w:p w14:paraId="2BC5FB5B">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指    标</w:t>
            </w:r>
          </w:p>
        </w:tc>
      </w:tr>
      <w:tr w14:paraId="35E9EAAA">
        <w:tblPrEx>
          <w:tblCellMar>
            <w:top w:w="0" w:type="dxa"/>
            <w:left w:w="108" w:type="dxa"/>
            <w:bottom w:w="0" w:type="dxa"/>
            <w:right w:w="108" w:type="dxa"/>
          </w:tblCellMar>
        </w:tblPrEx>
        <w:trPr>
          <w:trHeight w:val="363" w:hRule="atLeast"/>
          <w:jc w:val="center"/>
        </w:trPr>
        <w:tc>
          <w:tcPr>
            <w:tcW w:w="2400" w:type="dxa"/>
            <w:tcBorders>
              <w:top w:val="nil"/>
              <w:left w:val="single" w:color="000000" w:sz="8" w:space="0"/>
              <w:bottom w:val="single" w:color="000000" w:sz="8" w:space="0"/>
              <w:right w:val="single" w:color="000000" w:sz="8" w:space="0"/>
            </w:tcBorders>
            <w:vAlign w:val="center"/>
          </w:tcPr>
          <w:p w14:paraId="73FACDA2">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抗压强度等级</w:t>
            </w:r>
          </w:p>
        </w:tc>
        <w:tc>
          <w:tcPr>
            <w:tcW w:w="2591" w:type="dxa"/>
            <w:tcBorders>
              <w:top w:val="nil"/>
              <w:left w:val="single" w:color="000000" w:sz="8" w:space="0"/>
              <w:bottom w:val="single" w:color="000000" w:sz="8" w:space="0"/>
              <w:right w:val="single" w:color="000000" w:sz="8" w:space="0"/>
            </w:tcBorders>
            <w:vAlign w:val="center"/>
          </w:tcPr>
          <w:p w14:paraId="4774FA6F">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＞C30</w:t>
            </w:r>
          </w:p>
        </w:tc>
      </w:tr>
      <w:tr w14:paraId="37EF4C73">
        <w:tblPrEx>
          <w:tblCellMar>
            <w:top w:w="0" w:type="dxa"/>
            <w:left w:w="108" w:type="dxa"/>
            <w:bottom w:w="0" w:type="dxa"/>
            <w:right w:w="108" w:type="dxa"/>
          </w:tblCellMar>
        </w:tblPrEx>
        <w:trPr>
          <w:trHeight w:val="363" w:hRule="atLeast"/>
          <w:jc w:val="center"/>
        </w:trPr>
        <w:tc>
          <w:tcPr>
            <w:tcW w:w="2400" w:type="dxa"/>
            <w:tcBorders>
              <w:top w:val="nil"/>
              <w:left w:val="single" w:color="000000" w:sz="8" w:space="0"/>
              <w:bottom w:val="single" w:color="000000" w:sz="8" w:space="0"/>
              <w:right w:val="single" w:color="000000" w:sz="8" w:space="0"/>
            </w:tcBorders>
            <w:vAlign w:val="center"/>
          </w:tcPr>
          <w:p w14:paraId="70406B65">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流动度（mm）</w:t>
            </w:r>
          </w:p>
        </w:tc>
        <w:tc>
          <w:tcPr>
            <w:tcW w:w="2591" w:type="dxa"/>
            <w:tcBorders>
              <w:top w:val="nil"/>
              <w:left w:val="single" w:color="000000" w:sz="8" w:space="0"/>
              <w:bottom w:val="single" w:color="000000" w:sz="8" w:space="0"/>
              <w:right w:val="single" w:color="000000" w:sz="8" w:space="0"/>
            </w:tcBorders>
            <w:vAlign w:val="center"/>
          </w:tcPr>
          <w:p w14:paraId="5FD6916F">
            <w:pPr>
              <w:spacing w:line="240" w:lineRule="auto"/>
              <w:jc w:val="center"/>
              <w:rPr>
                <w:rFonts w:hint="default" w:ascii="Times New Roman" w:hAnsi="Times New Roman" w:cs="Times New Roman"/>
                <w:iCs/>
                <w:szCs w:val="24"/>
              </w:rPr>
            </w:pPr>
            <w:r>
              <w:rPr>
                <w:rFonts w:hint="default" w:ascii="Times New Roman" w:hAnsi="Times New Roman" w:cs="Times New Roman"/>
                <w:iCs/>
                <w:szCs w:val="24"/>
              </w:rPr>
              <w:t>＞270</w:t>
            </w:r>
          </w:p>
        </w:tc>
      </w:tr>
    </w:tbl>
    <w:p w14:paraId="6B409D83">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注浆时，注浆压力应随时根据现场情况进行调节，必要时可根据材料的承载能力分次进行注浆，并且需对每次注浆进行制作试块试验；</w:t>
      </w:r>
    </w:p>
    <w:p w14:paraId="4CAB90F3">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注浆泵应采用可调节流量的连续注浆设备（最大50L/min）；</w:t>
      </w:r>
    </w:p>
    <w:p w14:paraId="5F530C44">
      <w:pPr>
        <w:ind w:firstLine="480" w:firstLineChars="200"/>
        <w:rPr>
          <w:rFonts w:hint="default" w:ascii="Times New Roman" w:hAnsi="Times New Roman" w:cs="Times New Roman"/>
          <w:iCs/>
          <w:szCs w:val="24"/>
        </w:rPr>
      </w:pPr>
      <w:r>
        <w:rPr>
          <w:rFonts w:hint="default" w:ascii="Times New Roman" w:hAnsi="Times New Roman" w:cs="Times New Roman"/>
          <w:iCs/>
          <w:szCs w:val="24"/>
        </w:rPr>
        <w:t>4 最终注浆阶段的注浆压力不应大于0.02MPa，流量不应大于15L/min；</w:t>
      </w:r>
    </w:p>
    <w:p w14:paraId="191F51CB">
      <w:pPr>
        <w:ind w:firstLine="480" w:firstLineChars="200"/>
        <w:rPr>
          <w:rFonts w:hint="default" w:ascii="Times New Roman" w:hAnsi="Times New Roman" w:cs="Times New Roman"/>
          <w:iCs/>
          <w:szCs w:val="24"/>
        </w:rPr>
      </w:pPr>
      <w:r>
        <w:rPr>
          <w:rFonts w:hint="default" w:ascii="Times New Roman" w:hAnsi="Times New Roman" w:cs="Times New Roman"/>
          <w:iCs/>
          <w:szCs w:val="24"/>
        </w:rPr>
        <w:t>5 注浆完毕后，应按导流管中流出的砂浆比重确认注浆结束。</w:t>
      </w:r>
    </w:p>
    <w:p w14:paraId="15BA8752">
      <w:pPr>
        <w:rPr>
          <w:rFonts w:hint="default" w:ascii="Times New Roman" w:hAnsi="Times New Roman" w:cs="Times New Roman"/>
          <w:iCs/>
          <w:szCs w:val="24"/>
        </w:rPr>
      </w:pPr>
      <w:r>
        <w:rPr>
          <w:rFonts w:hint="default" w:ascii="Times New Roman" w:hAnsi="Times New Roman" w:cs="Times New Roman"/>
          <w:b/>
          <w:bCs/>
          <w:iCs/>
          <w:szCs w:val="24"/>
        </w:rPr>
        <w:t>6.5.8</w:t>
      </w:r>
      <w:r>
        <w:rPr>
          <w:rFonts w:hint="default" w:ascii="Times New Roman" w:hAnsi="Times New Roman" w:cs="Times New Roman"/>
          <w:iCs/>
          <w:szCs w:val="24"/>
        </w:rPr>
        <w:t xml:space="preserve"> 注浆结束后，应对注浆口及管口进行处理。应在保持原管长度不变的情况下进行管口处理，管口应平滑完整。</w:t>
      </w:r>
    </w:p>
    <w:p w14:paraId="70645089">
      <w:pPr>
        <w:rPr>
          <w:rFonts w:hint="default" w:ascii="Times New Roman" w:hAnsi="Times New Roman" w:cs="Times New Roman"/>
          <w:kern w:val="2"/>
          <w:szCs w:val="24"/>
        </w:rPr>
      </w:pPr>
      <w:r>
        <w:rPr>
          <w:rFonts w:hint="default" w:ascii="Times New Roman" w:hAnsi="Times New Roman" w:cs="Times New Roman"/>
          <w:b/>
          <w:bCs/>
          <w:iCs/>
          <w:szCs w:val="24"/>
        </w:rPr>
        <w:t>6.5.9</w:t>
      </w:r>
      <w:r>
        <w:rPr>
          <w:rFonts w:hint="default" w:ascii="Times New Roman" w:hAnsi="Times New Roman" w:cs="Times New Roman"/>
          <w:iCs/>
          <w:szCs w:val="24"/>
        </w:rPr>
        <w:t xml:space="preserve"> 施工过程中应对路面交通、井下封闭空间作业、设备起吊的操作、井下作业水流等采取安全措施。</w:t>
      </w:r>
    </w:p>
    <w:p w14:paraId="6A9BEA05">
      <w:pPr>
        <w:keepNext/>
        <w:keepLines/>
        <w:jc w:val="center"/>
        <w:outlineLvl w:val="1"/>
        <w:rPr>
          <w:rFonts w:hint="default" w:ascii="Times New Roman" w:hAnsi="Times New Roman" w:cs="Times New Roman"/>
          <w:b/>
          <w:bCs/>
          <w:kern w:val="2"/>
          <w:sz w:val="28"/>
          <w:szCs w:val="28"/>
        </w:rPr>
      </w:pPr>
      <w:bookmarkStart w:id="333" w:name="_Toc12532"/>
      <w:r>
        <w:rPr>
          <w:rFonts w:hint="default" w:ascii="Times New Roman" w:hAnsi="Times New Roman" w:cs="Times New Roman"/>
          <w:b/>
          <w:bCs/>
          <w:kern w:val="2"/>
          <w:sz w:val="28"/>
          <w:szCs w:val="28"/>
        </w:rPr>
        <w:t>6.6短管内衬法</w:t>
      </w:r>
      <w:bookmarkEnd w:id="333"/>
    </w:p>
    <w:p w14:paraId="4EA2A310">
      <w:pPr>
        <w:rPr>
          <w:rFonts w:hint="default" w:ascii="Times New Roman" w:hAnsi="Times New Roman" w:cs="Times New Roman"/>
          <w:iCs/>
          <w:szCs w:val="24"/>
        </w:rPr>
      </w:pPr>
      <w:r>
        <w:rPr>
          <w:rFonts w:hint="default" w:ascii="Times New Roman" w:hAnsi="Times New Roman" w:cs="Times New Roman"/>
          <w:b/>
          <w:bCs/>
          <w:iCs/>
          <w:szCs w:val="24"/>
        </w:rPr>
        <w:t xml:space="preserve">6.6.1 </w:t>
      </w:r>
      <w:r>
        <w:rPr>
          <w:rFonts w:hint="default" w:ascii="Times New Roman" w:hAnsi="Times New Roman" w:cs="Times New Roman"/>
          <w:iCs/>
          <w:szCs w:val="24"/>
        </w:rPr>
        <w:t>内衬管可通过牵引、顶推或两者结合的方法置入原有管道中。动力设备牵引、顶推速度与内衬管送入原有管道应配合同步，内衬管道受力应与管道轴线重合或平行。</w:t>
      </w:r>
    </w:p>
    <w:p w14:paraId="774CE1F5">
      <w:pPr>
        <w:rPr>
          <w:rFonts w:hint="default" w:ascii="Times New Roman" w:hAnsi="Times New Roman" w:cs="Times New Roman"/>
          <w:iCs/>
          <w:szCs w:val="24"/>
        </w:rPr>
      </w:pPr>
      <w:r>
        <w:rPr>
          <w:rFonts w:hint="default" w:ascii="Times New Roman" w:hAnsi="Times New Roman" w:cs="Times New Roman"/>
          <w:b/>
          <w:bCs/>
          <w:iCs/>
          <w:szCs w:val="24"/>
        </w:rPr>
        <w:t>6.6.2</w:t>
      </w:r>
      <w:r>
        <w:rPr>
          <w:rFonts w:hint="default" w:ascii="Times New Roman" w:hAnsi="Times New Roman" w:cs="Times New Roman"/>
          <w:iCs/>
          <w:szCs w:val="24"/>
        </w:rPr>
        <w:t xml:space="preserve"> 内衬管穿插时，应对原有管道端口、牵引或顶推连接端、内衬传送接触部位采取保护措施，不得损伤内衬管。</w:t>
      </w:r>
    </w:p>
    <w:p w14:paraId="0388FBA0">
      <w:pPr>
        <w:rPr>
          <w:rFonts w:hint="default" w:ascii="Times New Roman" w:hAnsi="Times New Roman" w:cs="Times New Roman"/>
          <w:iCs/>
          <w:szCs w:val="24"/>
        </w:rPr>
      </w:pPr>
      <w:r>
        <w:rPr>
          <w:rFonts w:hint="default" w:ascii="Times New Roman" w:hAnsi="Times New Roman" w:cs="Times New Roman"/>
          <w:b/>
          <w:bCs/>
          <w:iCs/>
          <w:szCs w:val="24"/>
        </w:rPr>
        <w:t>6.6.3</w:t>
      </w:r>
      <w:r>
        <w:rPr>
          <w:rFonts w:hint="default" w:ascii="Times New Roman" w:hAnsi="Times New Roman" w:cs="Times New Roman"/>
          <w:iCs/>
          <w:szCs w:val="24"/>
        </w:rPr>
        <w:t xml:space="preserve"> 短管内衬采用聚乙烯（PE）管时，连接断面应采用倒榫子母口形式或其他可以保证接口密封的形式。其它管材接口型式按4.4.1执行。</w:t>
      </w:r>
    </w:p>
    <w:p w14:paraId="055DE46D">
      <w:pPr>
        <w:rPr>
          <w:rFonts w:hint="default" w:ascii="Times New Roman" w:hAnsi="Times New Roman" w:cs="Times New Roman"/>
          <w:iCs/>
          <w:szCs w:val="24"/>
        </w:rPr>
      </w:pPr>
      <w:r>
        <w:rPr>
          <w:rFonts w:hint="default" w:ascii="Times New Roman" w:hAnsi="Times New Roman" w:cs="Times New Roman"/>
          <w:b/>
          <w:bCs/>
          <w:iCs/>
          <w:szCs w:val="24"/>
        </w:rPr>
        <w:t>6.6.4</w:t>
      </w:r>
      <w:r>
        <w:rPr>
          <w:rFonts w:hint="default" w:ascii="Times New Roman" w:hAnsi="Times New Roman" w:cs="Times New Roman"/>
          <w:iCs/>
          <w:szCs w:val="24"/>
        </w:rPr>
        <w:t xml:space="preserve"> 不连续内衬管（短管）穿插施工应符合下列规定：</w:t>
      </w:r>
    </w:p>
    <w:p w14:paraId="642743A0">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内衬管顶推或牵拉时应匀速、可控；一个施工管段宜在同一连续作业时段内完成；</w:t>
      </w:r>
    </w:p>
    <w:p w14:paraId="5398592B">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顶推或牵拉时最大作用力不应大于内衬管的设计压力或拉力以及接口的允许最小拉力，无设计值时最大顶推或牵拉力不应大于内衬管允许压力或拉力的 50%；</w:t>
      </w:r>
    </w:p>
    <w:p w14:paraId="148F8F15">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内衬管道顶推或牵拉就位应考虑应力变形和热胀冷缩的变形量；就位后宜经过 24h 的应力恢复后方可进行后续操作；</w:t>
      </w:r>
    </w:p>
    <w:p w14:paraId="5CF11538">
      <w:pPr>
        <w:ind w:firstLine="480" w:firstLineChars="200"/>
        <w:rPr>
          <w:rFonts w:hint="default" w:ascii="Times New Roman" w:hAnsi="Times New Roman" w:cs="Times New Roman"/>
          <w:iCs/>
          <w:szCs w:val="24"/>
        </w:rPr>
      </w:pPr>
      <w:r>
        <w:rPr>
          <w:rFonts w:hint="default" w:ascii="Times New Roman" w:hAnsi="Times New Roman" w:cs="Times New Roman"/>
          <w:iCs/>
          <w:szCs w:val="24"/>
        </w:rPr>
        <w:t>4 顶推作业应保证形成的内衬管平顺，不宜出现“蛇形”变形和起伏；</w:t>
      </w:r>
    </w:p>
    <w:p w14:paraId="7BDF2C08">
      <w:pPr>
        <w:ind w:firstLine="480" w:firstLineChars="200"/>
        <w:rPr>
          <w:rFonts w:hint="default" w:ascii="Times New Roman" w:hAnsi="Times New Roman" w:cs="Times New Roman"/>
          <w:iCs/>
          <w:szCs w:val="24"/>
        </w:rPr>
      </w:pPr>
      <w:r>
        <w:rPr>
          <w:rFonts w:hint="default" w:ascii="Times New Roman" w:hAnsi="Times New Roman" w:cs="Times New Roman"/>
          <w:iCs/>
          <w:szCs w:val="24"/>
        </w:rPr>
        <w:t>5 接口连接时，连接方式和操作应符合设计、工艺或加工厂家的要求。</w:t>
      </w:r>
    </w:p>
    <w:p w14:paraId="653A2698">
      <w:pPr>
        <w:rPr>
          <w:rFonts w:hint="default" w:ascii="Times New Roman" w:hAnsi="Times New Roman" w:cs="Times New Roman"/>
          <w:iCs/>
          <w:szCs w:val="24"/>
        </w:rPr>
      </w:pPr>
      <w:r>
        <w:rPr>
          <w:rFonts w:hint="default" w:ascii="Times New Roman" w:hAnsi="Times New Roman" w:cs="Times New Roman"/>
          <w:b/>
          <w:bCs/>
          <w:iCs/>
          <w:szCs w:val="24"/>
        </w:rPr>
        <w:t>6.6.5</w:t>
      </w:r>
      <w:r>
        <w:rPr>
          <w:rFonts w:hint="default" w:ascii="Times New Roman" w:hAnsi="Times New Roman" w:cs="Times New Roman"/>
          <w:iCs/>
          <w:szCs w:val="24"/>
        </w:rPr>
        <w:t xml:space="preserve"> 穿插管工艺带水作业时，水位和流速应根据作业安全和修复质量要求确定。</w:t>
      </w:r>
    </w:p>
    <w:p w14:paraId="494EFF4F">
      <w:pPr>
        <w:rPr>
          <w:rFonts w:hint="default" w:ascii="Times New Roman" w:hAnsi="Times New Roman" w:cs="Times New Roman"/>
          <w:iCs/>
          <w:szCs w:val="24"/>
        </w:rPr>
      </w:pPr>
      <w:r>
        <w:rPr>
          <w:rFonts w:hint="default" w:ascii="Times New Roman" w:hAnsi="Times New Roman" w:cs="Times New Roman"/>
          <w:b/>
          <w:bCs/>
          <w:iCs/>
          <w:szCs w:val="24"/>
        </w:rPr>
        <w:t>6.6.6</w:t>
      </w:r>
      <w:r>
        <w:rPr>
          <w:rFonts w:hint="default" w:ascii="Times New Roman" w:hAnsi="Times New Roman" w:cs="Times New Roman"/>
          <w:iCs/>
          <w:szCs w:val="24"/>
        </w:rPr>
        <w:t xml:space="preserve"> 内衬管穿插完成后，应将管道两端切割整齐，在修复管道端部处应对原有管道和内衬管之间的环状间隙进行密封处理。</w:t>
      </w:r>
    </w:p>
    <w:p w14:paraId="6A608424">
      <w:pPr>
        <w:rPr>
          <w:rFonts w:hint="default" w:ascii="Times New Roman" w:hAnsi="Times New Roman" w:cs="Times New Roman"/>
          <w:iCs/>
          <w:szCs w:val="24"/>
        </w:rPr>
      </w:pPr>
      <w:r>
        <w:rPr>
          <w:rFonts w:hint="default" w:ascii="Times New Roman" w:hAnsi="Times New Roman" w:cs="Times New Roman"/>
          <w:b/>
          <w:bCs/>
          <w:iCs/>
          <w:szCs w:val="24"/>
        </w:rPr>
        <w:t>6.6.7</w:t>
      </w:r>
      <w:r>
        <w:rPr>
          <w:rFonts w:hint="default" w:ascii="Times New Roman" w:hAnsi="Times New Roman" w:cs="Times New Roman"/>
          <w:iCs/>
          <w:szCs w:val="24"/>
        </w:rPr>
        <w:t xml:space="preserve"> 内衬管与原管道的环状间隙注浆应符合下列规定：</w:t>
      </w:r>
    </w:p>
    <w:p w14:paraId="5CD70F2D">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注浆材料的性能应满足相关要求；</w:t>
      </w:r>
    </w:p>
    <w:p w14:paraId="6A26779E">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注浆前应采取保护措施避免浆液泄漏进入支管或从注浆孔、内衬接头处泄漏；注浆后应密封注浆孔，并对管道端口进行处理，使其平整；</w:t>
      </w:r>
    </w:p>
    <w:p w14:paraId="6FF98ED4">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注浆压力应小于内衬管可承受的外压力；如条件不能满足时，应对内衬管进行支护或采取其他保护措施；</w:t>
      </w:r>
    </w:p>
    <w:p w14:paraId="39B20A95">
      <w:pPr>
        <w:ind w:firstLine="480" w:firstLineChars="200"/>
        <w:rPr>
          <w:rFonts w:hint="default" w:ascii="Times New Roman" w:hAnsi="Times New Roman" w:cs="Times New Roman"/>
          <w:iCs/>
          <w:szCs w:val="24"/>
        </w:rPr>
      </w:pPr>
      <w:r>
        <w:rPr>
          <w:rFonts w:hint="default" w:ascii="Times New Roman" w:hAnsi="Times New Roman" w:cs="Times New Roman"/>
          <w:iCs/>
          <w:szCs w:val="24"/>
        </w:rPr>
        <w:t>4 浆液应具有较强的流动性，并应满足固化过程收缩量小、放热量低的要求；</w:t>
      </w:r>
    </w:p>
    <w:p w14:paraId="35763D17">
      <w:pPr>
        <w:ind w:firstLine="480" w:firstLineChars="200"/>
        <w:rPr>
          <w:rFonts w:hint="default" w:ascii="Times New Roman" w:hAnsi="Times New Roman" w:cs="Times New Roman"/>
          <w:iCs/>
          <w:szCs w:val="24"/>
        </w:rPr>
      </w:pPr>
      <w:r>
        <w:rPr>
          <w:rFonts w:hint="default" w:ascii="Times New Roman" w:hAnsi="Times New Roman" w:cs="Times New Roman"/>
          <w:iCs/>
          <w:szCs w:val="24"/>
        </w:rPr>
        <w:t>5 注浆应饱满、无空隙，并不得造成内衬管的移动和变形；每一作业管段的注浆均应一次完成。</w:t>
      </w:r>
    </w:p>
    <w:p w14:paraId="627A97BF">
      <w:pPr>
        <w:rPr>
          <w:rFonts w:hint="default" w:ascii="Times New Roman" w:hAnsi="Times New Roman" w:cs="Times New Roman"/>
          <w:iCs/>
          <w:szCs w:val="24"/>
        </w:rPr>
      </w:pPr>
      <w:r>
        <w:rPr>
          <w:rFonts w:hint="default" w:ascii="Times New Roman" w:hAnsi="Times New Roman" w:cs="Times New Roman"/>
          <w:b/>
          <w:bCs/>
          <w:iCs/>
          <w:szCs w:val="24"/>
        </w:rPr>
        <w:t>6.6.8</w:t>
      </w:r>
      <w:r>
        <w:rPr>
          <w:rFonts w:hint="default" w:ascii="Times New Roman" w:hAnsi="Times New Roman" w:cs="Times New Roman"/>
          <w:iCs/>
          <w:szCs w:val="24"/>
        </w:rPr>
        <w:t xml:space="preserve"> 施工中应同步完成包括牵引或顶推力大小和速度、内衬管长度和拉伸率、就位后静置时间、内衬管与原有管道间隙注浆量等相关记录和检验。</w:t>
      </w:r>
    </w:p>
    <w:p w14:paraId="2F41DCE0">
      <w:pPr>
        <w:rPr>
          <w:rFonts w:hint="default" w:ascii="Times New Roman" w:hAnsi="Times New Roman" w:cs="Times New Roman"/>
          <w:iCs/>
          <w:szCs w:val="24"/>
        </w:rPr>
      </w:pPr>
      <w:r>
        <w:rPr>
          <w:rFonts w:hint="default" w:ascii="Times New Roman" w:hAnsi="Times New Roman" w:cs="Times New Roman"/>
          <w:b/>
          <w:bCs/>
          <w:iCs/>
          <w:szCs w:val="24"/>
        </w:rPr>
        <w:t xml:space="preserve">6.6.9 </w:t>
      </w:r>
      <w:r>
        <w:rPr>
          <w:rFonts w:hint="default" w:ascii="Times New Roman" w:hAnsi="Times New Roman" w:cs="Times New Roman"/>
          <w:iCs/>
          <w:szCs w:val="24"/>
        </w:rPr>
        <w:t>原有管道内影响内衬施工的障碍宜采用专用工具或局部开挖的方式进行清除。</w:t>
      </w:r>
    </w:p>
    <w:p w14:paraId="735BF029">
      <w:pPr>
        <w:rPr>
          <w:rFonts w:hint="default" w:ascii="Times New Roman" w:hAnsi="Times New Roman" w:cs="Times New Roman"/>
          <w:iCs/>
          <w:szCs w:val="24"/>
        </w:rPr>
      </w:pPr>
      <w:r>
        <w:rPr>
          <w:rFonts w:hint="default" w:ascii="Times New Roman" w:hAnsi="Times New Roman" w:cs="Times New Roman"/>
          <w:b/>
          <w:bCs/>
          <w:iCs/>
          <w:szCs w:val="24"/>
        </w:rPr>
        <w:t>6.6.10</w:t>
      </w:r>
      <w:r>
        <w:rPr>
          <w:rFonts w:hint="default" w:ascii="Times New Roman" w:hAnsi="Times New Roman" w:cs="Times New Roman"/>
          <w:iCs/>
          <w:szCs w:val="24"/>
        </w:rPr>
        <w:t xml:space="preserve"> 原有管道预处理完成后，应采用电视检测（CCTV)设备进行管道内部视频检测，并保存影像资料。</w:t>
      </w:r>
    </w:p>
    <w:p w14:paraId="67B274CD">
      <w:pPr>
        <w:rPr>
          <w:rFonts w:hint="default" w:ascii="Times New Roman" w:hAnsi="Times New Roman" w:cs="Times New Roman"/>
          <w:iCs/>
          <w:szCs w:val="24"/>
        </w:rPr>
      </w:pPr>
      <w:r>
        <w:rPr>
          <w:rFonts w:hint="default" w:ascii="Times New Roman" w:hAnsi="Times New Roman" w:cs="Times New Roman"/>
          <w:b/>
          <w:bCs/>
          <w:iCs/>
          <w:szCs w:val="24"/>
        </w:rPr>
        <w:t xml:space="preserve">6.6.11 </w:t>
      </w:r>
      <w:r>
        <w:rPr>
          <w:rFonts w:hint="default" w:ascii="Times New Roman" w:hAnsi="Times New Roman" w:cs="Times New Roman"/>
          <w:iCs/>
          <w:szCs w:val="24"/>
        </w:rPr>
        <w:t>混凝土后背及设备安装应满足下列要求：</w:t>
      </w:r>
    </w:p>
    <w:p w14:paraId="5D275234">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保护井墙的混凝土后背厚度不应小于15cm ，后背平面尺寸应能满足最大顶力的需要；顶镐应与混凝土后背贴实紧密，保证受力均匀；</w:t>
      </w:r>
    </w:p>
    <w:p w14:paraId="7B056730">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油管与顶镐、油压泵连接牢靠，顶进前进行试机，确保顶镐伸缩自由，具备足够的牵引和推力；</w:t>
      </w:r>
    </w:p>
    <w:p w14:paraId="2F4969C5">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辅助工具的要求及使用：切实保证提高施工质量，且不会对管道产生损伤和破坏，经评估鉴定后方可使用。</w:t>
      </w:r>
    </w:p>
    <w:p w14:paraId="30039379">
      <w:pPr>
        <w:rPr>
          <w:rFonts w:hint="default" w:ascii="Times New Roman" w:hAnsi="Times New Roman" w:cs="Times New Roman"/>
          <w:iCs/>
          <w:szCs w:val="24"/>
        </w:rPr>
      </w:pPr>
      <w:r>
        <w:rPr>
          <w:rFonts w:hint="default" w:ascii="Times New Roman" w:hAnsi="Times New Roman" w:cs="Times New Roman"/>
          <w:b/>
          <w:bCs/>
          <w:iCs/>
          <w:szCs w:val="24"/>
        </w:rPr>
        <w:t xml:space="preserve">6.6.12 </w:t>
      </w:r>
      <w:r>
        <w:rPr>
          <w:rFonts w:hint="default" w:ascii="Times New Roman" w:hAnsi="Times New Roman" w:cs="Times New Roman"/>
          <w:iCs/>
          <w:szCs w:val="24"/>
        </w:rPr>
        <w:t>管道推进、管口拼接及处理应满足下列要求：</w:t>
      </w:r>
    </w:p>
    <w:p w14:paraId="7DB0C922">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应在无水的条件下进行作业；</w:t>
      </w:r>
    </w:p>
    <w:p w14:paraId="0364935E">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推顶（牵拉）内衬短管时，应对短管末端放置硬橡胶挡板对管口进行保护，顶镐应缓慢匀速推进；</w:t>
      </w:r>
    </w:p>
    <w:p w14:paraId="633EE624">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应在每个子口的规定位置安装遇水膨胀止水胶圈一道，并将子母口擦拭干净， 满涂密封胶，保证管口完全密封；</w:t>
      </w:r>
    </w:p>
    <w:p w14:paraId="1B267890">
      <w:pPr>
        <w:ind w:firstLine="480" w:firstLineChars="200"/>
        <w:rPr>
          <w:rFonts w:hint="default" w:ascii="Times New Roman" w:hAnsi="Times New Roman" w:cs="Times New Roman"/>
          <w:iCs/>
          <w:szCs w:val="24"/>
        </w:rPr>
      </w:pPr>
      <w:r>
        <w:rPr>
          <w:rFonts w:hint="default" w:ascii="Times New Roman" w:hAnsi="Times New Roman" w:cs="Times New Roman"/>
          <w:iCs/>
          <w:szCs w:val="24"/>
        </w:rPr>
        <w:t>4 井段更新完成后，将工作井与目标井的管端进行切削处理，并将管口打磨光滑，使用速凝水泥对环形间隙进行密封，并在管顶预留注浆孔、出浆孔。</w:t>
      </w:r>
    </w:p>
    <w:p w14:paraId="2E6CBF45">
      <w:pPr>
        <w:rPr>
          <w:rFonts w:hint="default" w:ascii="Times New Roman" w:hAnsi="Times New Roman" w:cs="Times New Roman"/>
          <w:iCs/>
          <w:szCs w:val="24"/>
        </w:rPr>
      </w:pPr>
      <w:r>
        <w:rPr>
          <w:rFonts w:hint="default" w:ascii="Times New Roman" w:hAnsi="Times New Roman" w:cs="Times New Roman"/>
          <w:b/>
          <w:bCs/>
          <w:iCs/>
          <w:szCs w:val="24"/>
        </w:rPr>
        <w:t xml:space="preserve">6.6.13 </w:t>
      </w:r>
      <w:r>
        <w:rPr>
          <w:rFonts w:hint="default" w:ascii="Times New Roman" w:hAnsi="Times New Roman" w:cs="Times New Roman"/>
          <w:iCs/>
          <w:szCs w:val="24"/>
        </w:rPr>
        <w:t>环状间隙注浆处理应满足下列要求：</w:t>
      </w:r>
    </w:p>
    <w:p w14:paraId="735C281A">
      <w:pPr>
        <w:ind w:firstLine="480" w:firstLineChars="200"/>
        <w:rPr>
          <w:rFonts w:hint="default" w:ascii="Times New Roman" w:hAnsi="Times New Roman" w:cs="Times New Roman"/>
          <w:iCs/>
          <w:szCs w:val="24"/>
        </w:rPr>
      </w:pPr>
      <w:r>
        <w:rPr>
          <w:rFonts w:hint="default" w:ascii="Times New Roman" w:hAnsi="Times New Roman" w:cs="Times New Roman"/>
          <w:iCs/>
          <w:szCs w:val="24"/>
        </w:rPr>
        <w:t>1 严格控制浆液配比，注浆压力不应大于 0.4Mpa；</w:t>
      </w:r>
    </w:p>
    <w:p w14:paraId="73ADCCD5">
      <w:pPr>
        <w:ind w:firstLine="480" w:firstLineChars="200"/>
        <w:rPr>
          <w:rFonts w:hint="default" w:ascii="Times New Roman" w:hAnsi="Times New Roman" w:cs="Times New Roman"/>
          <w:iCs/>
          <w:szCs w:val="24"/>
        </w:rPr>
      </w:pPr>
      <w:r>
        <w:rPr>
          <w:rFonts w:hint="default" w:ascii="Times New Roman" w:hAnsi="Times New Roman" w:cs="Times New Roman"/>
          <w:iCs/>
          <w:szCs w:val="24"/>
        </w:rPr>
        <w:t>2 注浆后的环形间隙应充满，无松散、空洞等现象；</w:t>
      </w:r>
    </w:p>
    <w:p w14:paraId="489099EC">
      <w:pPr>
        <w:ind w:firstLine="480" w:firstLineChars="200"/>
        <w:rPr>
          <w:rFonts w:hint="default" w:ascii="Times New Roman" w:hAnsi="Times New Roman" w:cs="Times New Roman"/>
          <w:iCs/>
          <w:szCs w:val="24"/>
        </w:rPr>
      </w:pPr>
      <w:r>
        <w:rPr>
          <w:rFonts w:hint="default" w:ascii="Times New Roman" w:hAnsi="Times New Roman" w:cs="Times New Roman"/>
          <w:iCs/>
          <w:szCs w:val="24"/>
        </w:rPr>
        <w:t>3 注浆完成后应对两端端口进行封闭处理，保证封口平滑、密封良好。</w:t>
      </w:r>
    </w:p>
    <w:p w14:paraId="147A4E06">
      <w:pPr>
        <w:keepNext/>
        <w:keepLines/>
        <w:jc w:val="center"/>
        <w:outlineLvl w:val="1"/>
        <w:rPr>
          <w:rFonts w:hint="default" w:ascii="Times New Roman" w:hAnsi="Times New Roman" w:cs="Times New Roman"/>
          <w:b/>
          <w:bCs/>
          <w:kern w:val="2"/>
          <w:sz w:val="28"/>
          <w:szCs w:val="32"/>
        </w:rPr>
      </w:pPr>
      <w:bookmarkStart w:id="334" w:name="_Toc10046"/>
      <w:r>
        <w:rPr>
          <w:rFonts w:hint="default" w:ascii="Times New Roman" w:hAnsi="Times New Roman" w:cs="Times New Roman"/>
          <w:b/>
          <w:bCs/>
          <w:kern w:val="2"/>
          <w:sz w:val="28"/>
          <w:szCs w:val="28"/>
        </w:rPr>
        <w:t>6.7机械</w:t>
      </w:r>
      <w:r>
        <w:rPr>
          <w:rFonts w:hint="default" w:ascii="Times New Roman" w:hAnsi="Times New Roman" w:cs="Times New Roman"/>
          <w:b/>
          <w:bCs/>
          <w:kern w:val="2"/>
          <w:sz w:val="28"/>
          <w:szCs w:val="28"/>
          <w:lang w:val="en-US" w:eastAsia="zh-CN"/>
        </w:rPr>
        <w:t>制</w:t>
      </w:r>
      <w:r>
        <w:rPr>
          <w:rFonts w:hint="default" w:ascii="Times New Roman" w:hAnsi="Times New Roman" w:cs="Times New Roman"/>
          <w:b/>
          <w:bCs/>
          <w:kern w:val="2"/>
          <w:sz w:val="28"/>
          <w:szCs w:val="28"/>
        </w:rPr>
        <w:t>螺旋缠绕法</w:t>
      </w:r>
      <w:bookmarkEnd w:id="334"/>
    </w:p>
    <w:p w14:paraId="20CFD90D">
      <w:pPr>
        <w:rPr>
          <w:rFonts w:hint="default" w:ascii="Times New Roman" w:hAnsi="Times New Roman" w:cs="Times New Roman"/>
          <w:bCs/>
          <w:szCs w:val="24"/>
        </w:rPr>
      </w:pPr>
      <w:bookmarkStart w:id="335" w:name="OLE_LINK3"/>
      <w:r>
        <w:rPr>
          <w:rFonts w:hint="default" w:ascii="Times New Roman" w:hAnsi="Times New Roman" w:cs="Times New Roman"/>
          <w:b/>
          <w:szCs w:val="24"/>
        </w:rPr>
        <w:t xml:space="preserve">6.7.1 </w:t>
      </w:r>
      <w:r>
        <w:rPr>
          <w:rFonts w:hint="default" w:ascii="Times New Roman" w:hAnsi="Times New Roman" w:cs="Times New Roman"/>
          <w:bCs/>
          <w:szCs w:val="24"/>
        </w:rPr>
        <w:t>螺旋缠绕工艺带水作业时，管道内水流应符合下列规定：</w:t>
      </w:r>
    </w:p>
    <w:p w14:paraId="693ED711">
      <w:pPr>
        <w:ind w:firstLine="480" w:firstLineChars="200"/>
        <w:rPr>
          <w:rFonts w:hint="default" w:ascii="Times New Roman" w:hAnsi="Times New Roman" w:cs="Times New Roman"/>
          <w:bCs/>
          <w:szCs w:val="24"/>
        </w:rPr>
      </w:pPr>
      <w:r>
        <w:rPr>
          <w:rFonts w:hint="default" w:ascii="Times New Roman" w:hAnsi="Times New Roman" w:cs="Times New Roman"/>
          <w:bCs/>
          <w:szCs w:val="24"/>
        </w:rPr>
        <w:t>1 管道内水深不宜超过300mm；</w:t>
      </w:r>
    </w:p>
    <w:p w14:paraId="70EBF283">
      <w:pPr>
        <w:ind w:firstLine="480" w:firstLineChars="200"/>
        <w:rPr>
          <w:rFonts w:hint="default" w:ascii="Times New Roman" w:hAnsi="Times New Roman" w:cs="Times New Roman"/>
          <w:bCs/>
          <w:szCs w:val="24"/>
        </w:rPr>
      </w:pPr>
      <w:r>
        <w:rPr>
          <w:rFonts w:hint="default" w:ascii="Times New Roman" w:hAnsi="Times New Roman" w:cs="Times New Roman"/>
          <w:bCs/>
          <w:szCs w:val="24"/>
        </w:rPr>
        <w:t>2 水流速度不宜超过0.5m/s；</w:t>
      </w:r>
    </w:p>
    <w:p w14:paraId="34B1DCB1">
      <w:pPr>
        <w:ind w:firstLine="480" w:firstLineChars="200"/>
        <w:rPr>
          <w:rFonts w:hint="default" w:ascii="Times New Roman" w:hAnsi="Times New Roman" w:cs="Times New Roman"/>
          <w:bCs/>
          <w:color w:val="EE0000"/>
          <w:szCs w:val="24"/>
        </w:rPr>
      </w:pPr>
      <w:r>
        <w:rPr>
          <w:rFonts w:hint="default" w:ascii="Times New Roman" w:hAnsi="Times New Roman" w:cs="Times New Roman"/>
          <w:bCs/>
          <w:szCs w:val="24"/>
        </w:rPr>
        <w:t>3 充满度不宜超过50%。</w:t>
      </w:r>
    </w:p>
    <w:p w14:paraId="55ACD873">
      <w:pPr>
        <w:rPr>
          <w:rFonts w:hint="default" w:ascii="Times New Roman" w:hAnsi="Times New Roman" w:eastAsia="楷体" w:cs="Times New Roman"/>
          <w:bCs/>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bCs/>
          <w:szCs w:val="24"/>
          <w:u w:val="single"/>
        </w:rPr>
        <w:t>机械制螺旋缠绕法具有可带水作业、占地面积较小、组装便捷、施工速度快、施工机动灵活等优点，适合在复杂地理环境下施工，适合长距离的管道修复。</w:t>
      </w:r>
    </w:p>
    <w:p w14:paraId="63F49C52">
      <w:pPr>
        <w:rPr>
          <w:rFonts w:hint="default" w:ascii="Times New Roman" w:hAnsi="Times New Roman" w:cs="Times New Roman"/>
          <w:bCs/>
          <w:szCs w:val="24"/>
        </w:rPr>
      </w:pPr>
      <w:r>
        <w:rPr>
          <w:rFonts w:hint="default" w:ascii="Times New Roman" w:hAnsi="Times New Roman" w:cs="Times New Roman"/>
          <w:b/>
          <w:szCs w:val="24"/>
        </w:rPr>
        <w:t xml:space="preserve">6.7.2 </w:t>
      </w:r>
      <w:r>
        <w:rPr>
          <w:rFonts w:hint="default" w:ascii="Times New Roman" w:hAnsi="Times New Roman" w:cs="Times New Roman"/>
          <w:bCs/>
          <w:szCs w:val="24"/>
        </w:rPr>
        <w:t>扩张法螺旋缠绕工艺应符合下列规定：</w:t>
      </w:r>
    </w:p>
    <w:p w14:paraId="3014E3D1">
      <w:pPr>
        <w:ind w:firstLine="480" w:firstLineChars="200"/>
        <w:rPr>
          <w:rFonts w:hint="default" w:ascii="Times New Roman" w:hAnsi="Times New Roman" w:cs="Times New Roman"/>
          <w:bCs/>
          <w:szCs w:val="24"/>
        </w:rPr>
      </w:pPr>
      <w:r>
        <w:rPr>
          <w:rFonts w:hint="default" w:ascii="Times New Roman" w:hAnsi="Times New Roman" w:cs="Times New Roman"/>
          <w:bCs/>
          <w:szCs w:val="24"/>
        </w:rPr>
        <w:t>1 螺旋缠绕设备应固定在起始检查井中，且设备轴线应与管道轴线一致；</w:t>
      </w:r>
    </w:p>
    <w:p w14:paraId="4903FCAD">
      <w:pPr>
        <w:ind w:firstLine="480" w:firstLineChars="200"/>
        <w:rPr>
          <w:rFonts w:hint="default" w:ascii="Times New Roman" w:hAnsi="Times New Roman" w:cs="Times New Roman"/>
          <w:bCs/>
          <w:szCs w:val="24"/>
        </w:rPr>
      </w:pPr>
      <w:r>
        <w:rPr>
          <w:rFonts w:hint="default" w:ascii="Times New Roman" w:hAnsi="Times New Roman" w:cs="Times New Roman"/>
          <w:bCs/>
          <w:szCs w:val="24"/>
        </w:rPr>
        <w:t>2 内衬管的缠绕成型及推入过程应同步进行，直到内衬管到达目标工作坑或检查井；</w:t>
      </w:r>
    </w:p>
    <w:p w14:paraId="4ABAC5D8">
      <w:pPr>
        <w:ind w:firstLine="480" w:firstLineChars="200"/>
        <w:rPr>
          <w:rFonts w:hint="default" w:ascii="Times New Roman" w:hAnsi="Times New Roman" w:cs="Times New Roman"/>
          <w:bCs/>
          <w:szCs w:val="24"/>
        </w:rPr>
      </w:pPr>
      <w:r>
        <w:rPr>
          <w:rFonts w:hint="default" w:ascii="Times New Roman" w:hAnsi="Times New Roman" w:cs="Times New Roman"/>
          <w:bCs/>
          <w:szCs w:val="24"/>
        </w:rPr>
        <w:t>3 内衬管缠绕过程中，应在主锁扣和次锁扣间放置钢丝并在主锁扣中注入密封剂和胶粘剂；</w:t>
      </w:r>
    </w:p>
    <w:p w14:paraId="54729846">
      <w:pPr>
        <w:ind w:firstLine="480" w:firstLineChars="200"/>
        <w:rPr>
          <w:rFonts w:hint="default" w:ascii="Times New Roman" w:hAnsi="Times New Roman" w:cs="Times New Roman"/>
          <w:bCs/>
          <w:szCs w:val="24"/>
        </w:rPr>
      </w:pPr>
      <w:r>
        <w:rPr>
          <w:rFonts w:hint="default" w:ascii="Times New Roman" w:hAnsi="Times New Roman" w:cs="Times New Roman"/>
          <w:bCs/>
          <w:szCs w:val="24"/>
        </w:rPr>
        <w:t>4 内衬管在扩张前应将端口固定；</w:t>
      </w:r>
    </w:p>
    <w:p w14:paraId="52FD67F9">
      <w:pPr>
        <w:ind w:firstLine="480" w:firstLineChars="200"/>
        <w:rPr>
          <w:rFonts w:hint="default" w:ascii="Times New Roman" w:hAnsi="Times New Roman" w:cs="Times New Roman"/>
          <w:bCs/>
          <w:szCs w:val="24"/>
        </w:rPr>
      </w:pPr>
      <w:r>
        <w:rPr>
          <w:rFonts w:hint="default" w:ascii="Times New Roman" w:hAnsi="Times New Roman" w:cs="Times New Roman"/>
          <w:bCs/>
          <w:szCs w:val="24"/>
        </w:rPr>
        <w:t>5 扩张工艺的钢丝抽拉和螺旋缠绕操作应同步进行，直至整个施工段内衬管扩张完毕；</w:t>
      </w:r>
    </w:p>
    <w:p w14:paraId="66B3F2A5">
      <w:pPr>
        <w:ind w:firstLine="480" w:firstLineChars="200"/>
        <w:rPr>
          <w:rFonts w:hint="default" w:ascii="Times New Roman" w:hAnsi="Times New Roman" w:cs="Times New Roman"/>
          <w:bCs/>
          <w:szCs w:val="24"/>
        </w:rPr>
      </w:pPr>
      <w:r>
        <w:rPr>
          <w:rFonts w:hint="default" w:ascii="Times New Roman" w:hAnsi="Times New Roman" w:cs="Times New Roman"/>
          <w:bCs/>
          <w:szCs w:val="24"/>
        </w:rPr>
        <w:t>6 扩张前应在管两端的环形间隙内注入聚氨酯发泡胶，扩张完成后应对端头和检查井用快干水泥进行抹平。</w:t>
      </w:r>
    </w:p>
    <w:p w14:paraId="137B4F3B">
      <w:pPr>
        <w:rPr>
          <w:rFonts w:hint="default" w:ascii="Times New Roman" w:hAnsi="Times New Roman" w:cs="Times New Roman"/>
          <w:bCs/>
          <w:szCs w:val="24"/>
        </w:rPr>
      </w:pPr>
      <w:r>
        <w:rPr>
          <w:rFonts w:hint="default" w:ascii="Times New Roman" w:hAnsi="Times New Roman" w:cs="Times New Roman"/>
          <w:b/>
          <w:szCs w:val="24"/>
        </w:rPr>
        <w:t xml:space="preserve">6.7.3 </w:t>
      </w:r>
      <w:r>
        <w:rPr>
          <w:rFonts w:hint="default" w:ascii="Times New Roman" w:hAnsi="Times New Roman" w:cs="Times New Roman"/>
          <w:bCs/>
          <w:szCs w:val="24"/>
        </w:rPr>
        <w:t>钢塑加强法螺旋缠绕工艺应符合下列规定：</w:t>
      </w:r>
    </w:p>
    <w:p w14:paraId="5C347236">
      <w:pPr>
        <w:ind w:firstLine="480" w:firstLineChars="200"/>
        <w:rPr>
          <w:rFonts w:hint="default" w:ascii="Times New Roman" w:hAnsi="Times New Roman" w:cs="Times New Roman"/>
          <w:bCs/>
          <w:szCs w:val="24"/>
        </w:rPr>
      </w:pPr>
      <w:r>
        <w:rPr>
          <w:rFonts w:hint="default" w:ascii="Times New Roman" w:hAnsi="Times New Roman" w:cs="Times New Roman"/>
          <w:bCs/>
          <w:szCs w:val="24"/>
        </w:rPr>
        <w:t>1 螺旋缠绕设备应固定在起始检查井中，且设备轴线应与管道轴线一致；</w:t>
      </w:r>
    </w:p>
    <w:p w14:paraId="242E1825">
      <w:pPr>
        <w:ind w:firstLine="480" w:firstLineChars="200"/>
        <w:rPr>
          <w:rFonts w:hint="default" w:ascii="Times New Roman" w:hAnsi="Times New Roman" w:cs="Times New Roman"/>
          <w:bCs/>
          <w:szCs w:val="24"/>
        </w:rPr>
      </w:pPr>
      <w:r>
        <w:rPr>
          <w:rFonts w:hint="default" w:ascii="Times New Roman" w:hAnsi="Times New Roman" w:cs="Times New Roman"/>
          <w:bCs/>
          <w:szCs w:val="24"/>
        </w:rPr>
        <w:t>2 内衬管的缠绕成型及推入过程应同步进行，直到内衬管到达目标工作坑或检查井；</w:t>
      </w:r>
    </w:p>
    <w:p w14:paraId="37A98C95">
      <w:pPr>
        <w:ind w:firstLine="480" w:firstLineChars="200"/>
        <w:rPr>
          <w:rFonts w:hint="default" w:ascii="Times New Roman" w:hAnsi="Times New Roman" w:cs="Times New Roman"/>
          <w:bCs/>
          <w:szCs w:val="24"/>
        </w:rPr>
      </w:pPr>
      <w:r>
        <w:rPr>
          <w:rFonts w:hint="default" w:ascii="Times New Roman" w:hAnsi="Times New Roman" w:cs="Times New Roman"/>
          <w:bCs/>
          <w:szCs w:val="24"/>
        </w:rPr>
        <w:t>3 内衬管缠绕过程中，钢带应同步安装在带状型材外表面，并应与型材公母锁扣处嵌合牢固；</w:t>
      </w:r>
    </w:p>
    <w:p w14:paraId="3911A601">
      <w:pPr>
        <w:ind w:firstLine="480" w:firstLineChars="200"/>
        <w:rPr>
          <w:rFonts w:hint="default" w:ascii="Times New Roman" w:hAnsi="Times New Roman" w:cs="Times New Roman"/>
          <w:bCs/>
          <w:szCs w:val="24"/>
        </w:rPr>
      </w:pPr>
      <w:r>
        <w:rPr>
          <w:rFonts w:hint="default" w:ascii="Times New Roman" w:hAnsi="Times New Roman" w:cs="Times New Roman"/>
          <w:bCs/>
          <w:szCs w:val="24"/>
        </w:rPr>
        <w:t>4 当型材截断后进行再连接时，焊缝翻边应均匀，焊接应牢固。</w:t>
      </w:r>
    </w:p>
    <w:p w14:paraId="30EA4210">
      <w:pPr>
        <w:rPr>
          <w:rFonts w:hint="default" w:ascii="Times New Roman" w:hAnsi="Times New Roman" w:cs="Times New Roman"/>
          <w:bCs/>
          <w:i/>
          <w:iCs/>
          <w:szCs w:val="24"/>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bCs/>
          <w:szCs w:val="24"/>
          <w:u w:val="single"/>
        </w:rPr>
        <w:t>公母锁扣处嵌合应牢固，如图</w:t>
      </w:r>
      <w:r>
        <w:rPr>
          <w:rFonts w:hint="default" w:ascii="Times New Roman" w:hAnsi="Times New Roman" w:eastAsia="楷体" w:cs="Times New Roman"/>
          <w:bCs/>
          <w:szCs w:val="24"/>
          <w:u w:val="single"/>
          <w:lang w:val="en-US" w:eastAsia="zh-CN"/>
        </w:rPr>
        <w:t>6.7.3</w:t>
      </w:r>
      <w:r>
        <w:rPr>
          <w:rFonts w:hint="default" w:ascii="Times New Roman" w:hAnsi="Times New Roman" w:eastAsia="楷体" w:cs="Times New Roman"/>
          <w:bCs/>
          <w:szCs w:val="24"/>
          <w:u w:val="single"/>
        </w:rPr>
        <w:t>所示。</w:t>
      </w:r>
    </w:p>
    <w:p w14:paraId="43E7EE49">
      <w:pPr>
        <w:jc w:val="center"/>
        <w:rPr>
          <w:rFonts w:hint="default" w:ascii="Times New Roman" w:hAnsi="Times New Roman" w:cs="Times New Roman"/>
          <w:bCs/>
          <w:color w:val="EE0000"/>
          <w:szCs w:val="24"/>
        </w:rPr>
      </w:pPr>
      <w:r>
        <w:rPr>
          <w:rFonts w:hint="default" w:ascii="Times New Roman" w:hAnsi="Times New Roman" w:cs="Times New Roman"/>
          <w:bCs/>
          <w:color w:val="EE0000"/>
          <w:szCs w:val="24"/>
        </w:rPr>
        <w:drawing>
          <wp:inline distT="0" distB="0" distL="0" distR="0">
            <wp:extent cx="3983355" cy="1958975"/>
            <wp:effectExtent l="0" t="0" r="17145" b="3175"/>
            <wp:docPr id="1668914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4239" name="图片 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006384" cy="1970392"/>
                    </a:xfrm>
                    <a:prstGeom prst="rect">
                      <a:avLst/>
                    </a:prstGeom>
                  </pic:spPr>
                </pic:pic>
              </a:graphicData>
            </a:graphic>
          </wp:inline>
        </w:drawing>
      </w:r>
    </w:p>
    <w:p w14:paraId="7A0F8910">
      <w:pPr>
        <w:jc w:val="center"/>
        <w:rPr>
          <w:rFonts w:hint="default" w:ascii="Times New Roman" w:hAnsi="Times New Roman" w:cs="Times New Roman"/>
          <w:b/>
          <w:bCs w:val="0"/>
          <w:color w:val="auto"/>
          <w:szCs w:val="24"/>
        </w:rPr>
      </w:pPr>
      <w:r>
        <w:rPr>
          <w:rFonts w:hint="default" w:ascii="Times New Roman" w:hAnsi="Times New Roman" w:cs="Times New Roman"/>
          <w:b/>
          <w:bCs w:val="0"/>
          <w:color w:val="auto"/>
          <w:szCs w:val="24"/>
          <w:highlight w:val="none"/>
        </w:rPr>
        <w:t>图</w:t>
      </w:r>
      <w:r>
        <w:rPr>
          <w:rFonts w:hint="default" w:ascii="Times New Roman" w:hAnsi="Times New Roman" w:cs="Times New Roman"/>
          <w:b/>
          <w:bCs w:val="0"/>
          <w:color w:val="auto"/>
          <w:szCs w:val="24"/>
          <w:highlight w:val="none"/>
          <w:lang w:val="en-US" w:eastAsia="zh-CN"/>
        </w:rPr>
        <w:t>6.7.3</w:t>
      </w:r>
      <w:r>
        <w:rPr>
          <w:rFonts w:hint="default" w:ascii="Times New Roman" w:hAnsi="Times New Roman" w:cs="Times New Roman"/>
          <w:b/>
          <w:bCs w:val="0"/>
          <w:color w:val="auto"/>
          <w:szCs w:val="24"/>
          <w:highlight w:val="none"/>
        </w:rPr>
        <w:t xml:space="preserve"> 公母锁</w:t>
      </w:r>
      <w:r>
        <w:rPr>
          <w:rFonts w:hint="default" w:ascii="Times New Roman" w:hAnsi="Times New Roman" w:cs="Times New Roman"/>
          <w:b/>
          <w:bCs w:val="0"/>
          <w:color w:val="auto"/>
          <w:szCs w:val="24"/>
        </w:rPr>
        <w:t>扣处嵌合牢固</w:t>
      </w:r>
    </w:p>
    <w:p w14:paraId="74E8431D">
      <w:pPr>
        <w:rPr>
          <w:rFonts w:hint="default" w:ascii="Times New Roman" w:hAnsi="Times New Roman" w:cs="Times New Roman"/>
          <w:bCs/>
          <w:szCs w:val="24"/>
        </w:rPr>
      </w:pPr>
      <w:r>
        <w:rPr>
          <w:rFonts w:hint="default" w:ascii="Times New Roman" w:hAnsi="Times New Roman" w:cs="Times New Roman"/>
          <w:b/>
          <w:szCs w:val="24"/>
        </w:rPr>
        <w:t xml:space="preserve">6.7.4 </w:t>
      </w:r>
      <w:r>
        <w:rPr>
          <w:rFonts w:hint="default" w:ascii="Times New Roman" w:hAnsi="Times New Roman" w:cs="Times New Roman"/>
          <w:bCs/>
          <w:szCs w:val="24"/>
        </w:rPr>
        <w:t>机头行走法螺旋缠绕工艺应符合下列规定：</w:t>
      </w:r>
    </w:p>
    <w:p w14:paraId="7C0D36BE">
      <w:pPr>
        <w:ind w:firstLine="480" w:firstLineChars="200"/>
        <w:rPr>
          <w:rFonts w:hint="default" w:ascii="Times New Roman" w:hAnsi="Times New Roman" w:cs="Times New Roman"/>
          <w:bCs/>
          <w:szCs w:val="24"/>
        </w:rPr>
      </w:pPr>
      <w:r>
        <w:rPr>
          <w:rFonts w:hint="default" w:ascii="Times New Roman" w:hAnsi="Times New Roman" w:cs="Times New Roman"/>
          <w:bCs/>
          <w:szCs w:val="24"/>
        </w:rPr>
        <w:t>1 螺旋缠绕设备安装在管道内时，设备轴线应与原有管道轴线对正；</w:t>
      </w:r>
    </w:p>
    <w:p w14:paraId="408D337C">
      <w:pPr>
        <w:ind w:firstLine="480" w:firstLineChars="200"/>
        <w:rPr>
          <w:rFonts w:hint="default" w:ascii="Times New Roman" w:hAnsi="Times New Roman" w:cs="Times New Roman"/>
          <w:bCs/>
          <w:szCs w:val="24"/>
        </w:rPr>
      </w:pPr>
      <w:r>
        <w:rPr>
          <w:rFonts w:hint="default" w:ascii="Times New Roman" w:hAnsi="Times New Roman" w:cs="Times New Roman"/>
          <w:bCs/>
          <w:szCs w:val="24"/>
        </w:rPr>
        <w:t>2 可通过调整螺旋缠绕设备获得所需要的内衬管直径；</w:t>
      </w:r>
    </w:p>
    <w:p w14:paraId="1AFEFAE1">
      <w:pPr>
        <w:ind w:firstLine="480" w:firstLineChars="200"/>
        <w:rPr>
          <w:rFonts w:hint="default" w:ascii="Times New Roman" w:hAnsi="Times New Roman" w:cs="Times New Roman"/>
          <w:bCs/>
          <w:szCs w:val="24"/>
        </w:rPr>
      </w:pPr>
      <w:r>
        <w:rPr>
          <w:rFonts w:hint="default" w:ascii="Times New Roman" w:hAnsi="Times New Roman" w:cs="Times New Roman"/>
          <w:bCs/>
          <w:szCs w:val="24"/>
        </w:rPr>
        <w:t>3 螺旋缠绕设备的缠绕与行走应同步进行；</w:t>
      </w:r>
    </w:p>
    <w:p w14:paraId="1D85DEF9">
      <w:pPr>
        <w:ind w:firstLine="480" w:firstLineChars="200"/>
        <w:rPr>
          <w:rFonts w:hint="default" w:ascii="Times New Roman" w:hAnsi="Times New Roman" w:cs="Times New Roman"/>
          <w:bCs/>
          <w:szCs w:val="24"/>
        </w:rPr>
      </w:pPr>
      <w:r>
        <w:rPr>
          <w:rFonts w:hint="default" w:ascii="Times New Roman" w:hAnsi="Times New Roman" w:cs="Times New Roman"/>
          <w:bCs/>
          <w:szCs w:val="24"/>
        </w:rPr>
        <w:t>4 螺旋缠绕作业应平稳、匀速进行，锁扣应嵌合、连接牢固；</w:t>
      </w:r>
    </w:p>
    <w:p w14:paraId="52C81A84">
      <w:pPr>
        <w:ind w:firstLine="480" w:firstLineChars="200"/>
        <w:rPr>
          <w:rFonts w:hint="default" w:ascii="Times New Roman" w:hAnsi="Times New Roman" w:cs="Times New Roman"/>
          <w:bCs/>
          <w:szCs w:val="24"/>
        </w:rPr>
      </w:pPr>
      <w:r>
        <w:rPr>
          <w:rFonts w:hint="default" w:ascii="Times New Roman" w:hAnsi="Times New Roman" w:cs="Times New Roman"/>
          <w:bCs/>
          <w:szCs w:val="24"/>
        </w:rPr>
        <w:t>5 当型材截断后再连接时，应通过自带的钢片插人另一边型材完成。</w:t>
      </w:r>
    </w:p>
    <w:p w14:paraId="2B85305A">
      <w:pPr>
        <w:rPr>
          <w:rFonts w:hint="default" w:ascii="Times New Roman" w:hAnsi="Times New Roman" w:cs="Times New Roman"/>
          <w:szCs w:val="24"/>
        </w:rPr>
      </w:pPr>
      <w:r>
        <w:rPr>
          <w:rFonts w:hint="default" w:ascii="Times New Roman" w:hAnsi="Times New Roman" w:cs="Times New Roman"/>
          <w:b/>
          <w:szCs w:val="24"/>
        </w:rPr>
        <w:t xml:space="preserve">6.7.5 </w:t>
      </w:r>
      <w:r>
        <w:rPr>
          <w:rFonts w:hint="default" w:ascii="Times New Roman" w:hAnsi="Times New Roman" w:cs="Times New Roman"/>
          <w:szCs w:val="24"/>
        </w:rPr>
        <w:t>螺旋缠绕法所用缠绕机应能在地面拆分、井下组装。</w:t>
      </w:r>
    </w:p>
    <w:p w14:paraId="3DE0D4EA">
      <w:pPr>
        <w:rPr>
          <w:rFonts w:hint="default" w:ascii="Times New Roman" w:hAnsi="Times New Roman" w:cs="Times New Roman"/>
          <w:bCs/>
          <w:szCs w:val="24"/>
        </w:rPr>
      </w:pPr>
      <w:r>
        <w:rPr>
          <w:rFonts w:hint="default" w:ascii="Times New Roman" w:hAnsi="Times New Roman" w:cs="Times New Roman"/>
          <w:b/>
          <w:szCs w:val="24"/>
        </w:rPr>
        <w:t xml:space="preserve">6.7.6 </w:t>
      </w:r>
      <w:r>
        <w:rPr>
          <w:rFonts w:hint="default" w:ascii="Times New Roman" w:hAnsi="Times New Roman" w:cs="Times New Roman"/>
          <w:bCs/>
          <w:szCs w:val="24"/>
        </w:rPr>
        <w:t>内衬管两端与原有管道间的环状空隙应进行密封处理，且密封材料与内衬管道相兼容。</w:t>
      </w:r>
    </w:p>
    <w:p w14:paraId="56970741">
      <w:pPr>
        <w:rPr>
          <w:rFonts w:hint="default" w:ascii="Times New Roman" w:hAnsi="Times New Roman" w:cs="Times New Roman"/>
          <w:bCs/>
          <w:szCs w:val="24"/>
        </w:rPr>
      </w:pPr>
      <w:r>
        <w:rPr>
          <w:rFonts w:hint="default" w:ascii="Times New Roman" w:hAnsi="Times New Roman" w:cs="Times New Roman"/>
          <w:b/>
          <w:szCs w:val="24"/>
        </w:rPr>
        <w:t>6.7.7</w:t>
      </w:r>
      <w:r>
        <w:rPr>
          <w:rFonts w:hint="default" w:ascii="Times New Roman" w:hAnsi="Times New Roman" w:cs="Times New Roman"/>
          <w:bCs/>
          <w:szCs w:val="24"/>
        </w:rPr>
        <w:t xml:space="preserve"> 当原管道内部已有内衬管道、原管道内有弯曲、错台等导致缠绕管无法到达接收检查井时，可以在原管道中间进行对接，对接时两段管道的距离不应超过20cm，对接处表面应进行防腐处理。</w:t>
      </w:r>
    </w:p>
    <w:p w14:paraId="0D0CEA91">
      <w:pPr>
        <w:ind w:firstLine="0" w:firstLineChars="0"/>
        <w:rPr>
          <w:rFonts w:hint="default" w:ascii="Times New Roman" w:hAnsi="Times New Roman" w:cs="Times New Roman"/>
          <w:bCs/>
          <w:szCs w:val="24"/>
        </w:rPr>
      </w:pPr>
      <w:r>
        <w:rPr>
          <w:rFonts w:hint="default" w:ascii="Times New Roman" w:hAnsi="Times New Roman" w:cs="Times New Roman"/>
          <w:b/>
          <w:szCs w:val="24"/>
        </w:rPr>
        <w:t xml:space="preserve">6.7.8 </w:t>
      </w:r>
      <w:r>
        <w:rPr>
          <w:rFonts w:hint="default" w:ascii="Times New Roman" w:hAnsi="Times New Roman" w:cs="Times New Roman"/>
          <w:bCs/>
          <w:szCs w:val="24"/>
        </w:rPr>
        <w:t>螺旋内衬管道贴合原有管道的环状空隙宜进行注浆处理，内衬管不贴合原有管道的环状间隙应进行注浆处理，注浆工艺应符合本规程6.6.7条的规定。</w:t>
      </w:r>
    </w:p>
    <w:p w14:paraId="41DB5549">
      <w:pPr>
        <w:rPr>
          <w:rFonts w:hint="default" w:ascii="Times New Roman" w:hAnsi="Times New Roman" w:eastAsia="楷体" w:cs="Times New Roman"/>
          <w:bCs/>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bCs/>
          <w:szCs w:val="24"/>
          <w:u w:val="single"/>
        </w:rPr>
        <w:t>螺旋内衬管道贴合原有管道，由于设计是由内衬管完全承受荷载，因此可不进行注浆处理;当内衬管不贴合原有管道时，必须对环状间隙进行注浆处理，将内衬管、注浆体和原有管道作为复合管结构。当内衬管不足以承受注浆压力时，注浆前应对内衬管进行支护或采取其他保护措施。</w:t>
      </w:r>
    </w:p>
    <w:p w14:paraId="5BE1DC70">
      <w:pPr>
        <w:rPr>
          <w:rFonts w:hint="default" w:ascii="Times New Roman" w:hAnsi="Times New Roman" w:cs="Times New Roman"/>
          <w:iCs/>
          <w:szCs w:val="24"/>
        </w:rPr>
      </w:pPr>
      <w:r>
        <w:rPr>
          <w:rFonts w:hint="default" w:ascii="Times New Roman" w:hAnsi="Times New Roman" w:cs="Times New Roman"/>
          <w:b/>
          <w:szCs w:val="24"/>
        </w:rPr>
        <w:t xml:space="preserve">6.7.9 </w:t>
      </w:r>
      <w:r>
        <w:rPr>
          <w:rFonts w:hint="default" w:ascii="Times New Roman" w:hAnsi="Times New Roman" w:cs="Times New Roman"/>
          <w:bCs/>
          <w:szCs w:val="24"/>
        </w:rPr>
        <w:t>机械制螺旋缠绕法施工应对缠绕和行走速度、主锁口密封剂和次锁口胶粘剂注入量、内衬管与原有管道间隙注浆量等进行记录和检验。</w:t>
      </w:r>
      <w:bookmarkEnd w:id="335"/>
    </w:p>
    <w:p w14:paraId="6771388D">
      <w:pPr>
        <w:keepNext/>
        <w:keepLines/>
        <w:jc w:val="center"/>
        <w:outlineLvl w:val="1"/>
        <w:rPr>
          <w:rFonts w:hint="default" w:ascii="Times New Roman" w:hAnsi="Times New Roman" w:cs="Times New Roman"/>
          <w:b/>
          <w:bCs/>
          <w:kern w:val="2"/>
          <w:sz w:val="28"/>
          <w:szCs w:val="32"/>
        </w:rPr>
      </w:pPr>
      <w:bookmarkStart w:id="336" w:name="_Toc13859"/>
      <w:r>
        <w:rPr>
          <w:rFonts w:hint="default" w:ascii="Times New Roman" w:hAnsi="Times New Roman" w:cs="Times New Roman"/>
          <w:b/>
          <w:bCs/>
          <w:kern w:val="2"/>
          <w:sz w:val="28"/>
          <w:szCs w:val="28"/>
        </w:rPr>
        <w:t>6.8水泥基材料</w:t>
      </w:r>
      <w:r>
        <w:rPr>
          <w:rFonts w:hint="default" w:ascii="Times New Roman" w:hAnsi="Times New Roman" w:cs="Times New Roman"/>
          <w:b/>
          <w:bCs/>
          <w:kern w:val="2"/>
          <w:sz w:val="28"/>
          <w:szCs w:val="28"/>
          <w:lang w:val="en-US" w:eastAsia="zh-CN"/>
        </w:rPr>
        <w:t>喷筑</w:t>
      </w:r>
      <w:r>
        <w:rPr>
          <w:rFonts w:hint="default" w:ascii="Times New Roman" w:hAnsi="Times New Roman" w:cs="Times New Roman"/>
          <w:b/>
          <w:bCs/>
          <w:kern w:val="2"/>
          <w:sz w:val="28"/>
          <w:szCs w:val="28"/>
        </w:rPr>
        <w:t>法</w:t>
      </w:r>
      <w:bookmarkEnd w:id="336"/>
    </w:p>
    <w:p w14:paraId="61D7B423">
      <w:pPr>
        <w:rPr>
          <w:rFonts w:hint="default" w:ascii="Times New Roman" w:hAnsi="Times New Roman" w:cs="Times New Roman"/>
          <w:iCs/>
          <w:kern w:val="2"/>
          <w:szCs w:val="24"/>
        </w:rPr>
      </w:pPr>
      <w:r>
        <w:rPr>
          <w:rFonts w:hint="default" w:ascii="Times New Roman" w:hAnsi="Times New Roman" w:cs="Times New Roman"/>
          <w:b/>
          <w:bCs/>
          <w:iCs/>
          <w:kern w:val="2"/>
          <w:szCs w:val="24"/>
        </w:rPr>
        <w:t>6.8.1</w:t>
      </w:r>
      <w:r>
        <w:rPr>
          <w:rFonts w:hint="default" w:ascii="Times New Roman" w:hAnsi="Times New Roman" w:cs="Times New Roman"/>
          <w:iCs/>
          <w:kern w:val="2"/>
          <w:szCs w:val="24"/>
        </w:rPr>
        <w:t>水泥基材料喷筑法按工艺可分为离心喷筑和人工喷筑两种方式，离心喷筑法可用于DN300~DN3000的圆形管道及检查井井壁的修复；人工喷筑法可用于人能进人的管道、检查井、各类箱涵、砼室等各类断面形式结构的修复。</w:t>
      </w:r>
    </w:p>
    <w:p w14:paraId="4A8D0625">
      <w:pPr>
        <w:rPr>
          <w:rFonts w:hint="default" w:ascii="Times New Roman" w:hAnsi="Times New Roman" w:cs="Times New Roman"/>
          <w:iCs/>
          <w:kern w:val="2"/>
          <w:szCs w:val="24"/>
        </w:rPr>
      </w:pPr>
      <w:r>
        <w:rPr>
          <w:rFonts w:hint="default" w:ascii="Times New Roman" w:hAnsi="Times New Roman" w:cs="Times New Roman"/>
          <w:b/>
          <w:bCs/>
          <w:iCs/>
          <w:kern w:val="2"/>
          <w:szCs w:val="24"/>
        </w:rPr>
        <w:t>6.8.2</w:t>
      </w:r>
      <w:r>
        <w:rPr>
          <w:rFonts w:hint="default" w:ascii="Times New Roman" w:hAnsi="Times New Roman" w:cs="Times New Roman"/>
          <w:iCs/>
          <w:kern w:val="2"/>
          <w:szCs w:val="24"/>
        </w:rPr>
        <w:t>进入施工现场水泥基材料应符合设计规定，内衬材料进场应附有出厂检测报告；当单项工程材料用量≥10t时，应对进场材料按表4.6.1进行抽样复检。</w:t>
      </w:r>
    </w:p>
    <w:p w14:paraId="74CEBD16">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6.8.3 </w:t>
      </w:r>
      <w:r>
        <w:rPr>
          <w:rFonts w:hint="default" w:ascii="Times New Roman" w:hAnsi="Times New Roman" w:cs="Times New Roman"/>
          <w:iCs/>
          <w:kern w:val="2"/>
          <w:szCs w:val="24"/>
        </w:rPr>
        <w:t>应按材料供应商推荐的水灰比搅拌内衬浆料，拌料用水应为洁净的清水，搅拌时间不宜少于3min；搅拌好的浆料应在45min内使用完，超过使用期的浆料严禁再次使用。</w:t>
      </w:r>
    </w:p>
    <w:p w14:paraId="702EE879">
      <w:pPr>
        <w:rPr>
          <w:rFonts w:hint="default" w:ascii="Times New Roman" w:hAnsi="Times New Roman" w:cs="Times New Roman"/>
          <w:iCs/>
          <w:kern w:val="2"/>
          <w:szCs w:val="24"/>
        </w:rPr>
      </w:pPr>
      <w:r>
        <w:rPr>
          <w:rFonts w:hint="default" w:ascii="Times New Roman" w:hAnsi="Times New Roman" w:cs="Times New Roman"/>
          <w:b/>
          <w:bCs/>
          <w:iCs/>
          <w:kern w:val="2"/>
          <w:szCs w:val="24"/>
        </w:rPr>
        <w:t>6.8.4</w:t>
      </w:r>
      <w:r>
        <w:rPr>
          <w:rFonts w:hint="default" w:ascii="Times New Roman" w:hAnsi="Times New Roman" w:cs="Times New Roman"/>
          <w:iCs/>
          <w:kern w:val="2"/>
          <w:szCs w:val="24"/>
        </w:rPr>
        <w:t>喷筑施工前，应保证基底处于湿润状态、不得有明显水滴或流水；当环境温度高于35℃时，应采取降温措施；当环境温度低于0℃时，不宜进行喷筑施工或应采取保温措施。</w:t>
      </w:r>
    </w:p>
    <w:p w14:paraId="5A89A88E">
      <w:pPr>
        <w:numPr>
          <w:ilvl w:val="2"/>
          <w:numId w:val="1"/>
        </w:numPr>
        <w:rPr>
          <w:rFonts w:hint="default" w:ascii="Times New Roman" w:hAnsi="Times New Roman" w:cs="Times New Roman"/>
          <w:iCs/>
          <w:kern w:val="2"/>
          <w:szCs w:val="24"/>
        </w:rPr>
      </w:pPr>
      <w:r>
        <w:rPr>
          <w:rFonts w:hint="default" w:ascii="Times New Roman" w:hAnsi="Times New Roman" w:cs="Times New Roman"/>
          <w:iCs/>
          <w:kern w:val="2"/>
          <w:szCs w:val="24"/>
        </w:rPr>
        <w:t>采用离心喷筑法修复管道时，应按如下步骤实施：</w:t>
      </w:r>
    </w:p>
    <w:p w14:paraId="3C1EA83A">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将旋喷器在机架固定后，连接料管和气管，摆设在待修复管段的末端部位，调整旋喷器轴线高度;根据管道尺寸及砂浆的泵送排量，调节旋喷器的旋转速度，确保喷筑到管道内壁的砂浆内衬均匀、平整。</w:t>
      </w:r>
    </w:p>
    <w:p w14:paraId="67FC7505">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2根据管道直径，选用适宜的砂浆泵排量及旋喷器行走速度，控制每层喷筑厚度满足设计要求，单层厚度宜在10~20mm；当设计厚度大于10mm时，可分多层喷筑。</w:t>
      </w:r>
    </w:p>
    <w:p w14:paraId="276DC3DC">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6.8.6 </w:t>
      </w:r>
      <w:r>
        <w:rPr>
          <w:rFonts w:hint="default" w:ascii="Times New Roman" w:hAnsi="Times New Roman" w:cs="Times New Roman"/>
          <w:iCs/>
          <w:kern w:val="2"/>
          <w:szCs w:val="24"/>
        </w:rPr>
        <w:t>采用人工喷筑法修复检查井或管道时，应符合下列规定。</w:t>
      </w:r>
    </w:p>
    <w:p w14:paraId="2018A3E9">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应先调节喷筑气压和浆量，浆料应均匀分散喷出；</w:t>
      </w:r>
    </w:p>
    <w:p w14:paraId="1F5AB6B1">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合理控制喷枪与基面距离，喷枪移动规律、平稳；</w:t>
      </w:r>
    </w:p>
    <w:p w14:paraId="53B0E1F6">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可一次或分多次喷筑到设计厚度，但厚度超过20mm时，应多次完成；</w:t>
      </w:r>
    </w:p>
    <w:p w14:paraId="204D48FC">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喷筑完成后，可根据要求将喷筑层进行压抹，但同一部位不得反复压抹。</w:t>
      </w:r>
    </w:p>
    <w:p w14:paraId="591AF84D">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6.8.7 </w:t>
      </w:r>
      <w:r>
        <w:rPr>
          <w:rFonts w:hint="default" w:ascii="Times New Roman" w:hAnsi="Times New Roman" w:cs="Times New Roman"/>
          <w:iCs/>
          <w:kern w:val="2"/>
          <w:szCs w:val="24"/>
        </w:rPr>
        <w:t>采用水泥基材料喷筑法修复，砂浆内衬的最小厚度不应小于10mm；水泥基材料施工完成后6h内不宜受激烈的水流冲刷，且应在无风、潮湿的环境下养护，以免因水分过快蒸发造成内衬开裂；在施工过程及施工后的24h内，砂浆内衬不应结冰。</w:t>
      </w:r>
    </w:p>
    <w:p w14:paraId="1A403E4E">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6.8.8 </w:t>
      </w:r>
      <w:r>
        <w:rPr>
          <w:rFonts w:hint="default" w:ascii="Times New Roman" w:hAnsi="Times New Roman" w:cs="Times New Roman"/>
          <w:lang w:bidi="ar"/>
        </w:rPr>
        <w:t>水泥基砂浆喷筑法施工应做好砂浆、水及添加剂用量、搅拌时间、搅拌温度、喷筑次数、喷筑厚度、养护时间等记录</w:t>
      </w:r>
      <w:r>
        <w:rPr>
          <w:rFonts w:hint="default" w:ascii="Times New Roman" w:hAnsi="Times New Roman" w:cs="Times New Roman"/>
          <w:iCs/>
          <w:kern w:val="2"/>
          <w:szCs w:val="24"/>
        </w:rPr>
        <w:t>。</w:t>
      </w:r>
    </w:p>
    <w:p w14:paraId="55AD8F5C">
      <w:pPr>
        <w:keepNext/>
        <w:keepLines/>
        <w:jc w:val="center"/>
        <w:outlineLvl w:val="1"/>
        <w:rPr>
          <w:rFonts w:hint="default" w:ascii="Times New Roman" w:hAnsi="Times New Roman" w:cs="Times New Roman"/>
          <w:b/>
          <w:bCs/>
          <w:kern w:val="2"/>
          <w:sz w:val="28"/>
          <w:szCs w:val="32"/>
        </w:rPr>
      </w:pPr>
      <w:bookmarkStart w:id="337" w:name="_Toc12762"/>
      <w:r>
        <w:rPr>
          <w:rFonts w:hint="default" w:ascii="Times New Roman" w:hAnsi="Times New Roman" w:cs="Times New Roman"/>
          <w:b/>
          <w:bCs/>
          <w:kern w:val="2"/>
          <w:sz w:val="28"/>
          <w:szCs w:val="28"/>
        </w:rPr>
        <w:t>6.9垫衬法</w:t>
      </w:r>
      <w:bookmarkEnd w:id="337"/>
    </w:p>
    <w:p w14:paraId="15A6D718">
      <w:pPr>
        <w:rPr>
          <w:rFonts w:hint="default" w:ascii="Times New Roman" w:hAnsi="Times New Roman" w:cs="Times New Roman"/>
          <w:kern w:val="2"/>
          <w:szCs w:val="24"/>
        </w:rPr>
      </w:pPr>
      <w:r>
        <w:rPr>
          <w:rFonts w:hint="default" w:ascii="Times New Roman" w:hAnsi="Times New Roman" w:cs="Times New Roman"/>
          <w:b/>
          <w:bCs/>
          <w:kern w:val="2"/>
          <w:szCs w:val="24"/>
        </w:rPr>
        <w:t>6.9.1</w:t>
      </w:r>
      <w:r>
        <w:rPr>
          <w:rFonts w:hint="default" w:ascii="Times New Roman" w:hAnsi="Times New Roman" w:cs="Times New Roman"/>
          <w:kern w:val="2"/>
          <w:szCs w:val="24"/>
        </w:rPr>
        <w:t>衬垫及灌浆材料的运输与贮存应符合下列规定：</w:t>
      </w:r>
    </w:p>
    <w:p w14:paraId="02D3ADC9">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衬垫与气囊在运输、装卸与贮存的过程中，应避免</w:t>
      </w:r>
      <w:r>
        <w:rPr>
          <w:rFonts w:hint="default" w:ascii="Times New Roman" w:hAnsi="Times New Roman" w:cs="Times New Roman"/>
          <w:color w:val="auto"/>
          <w:kern w:val="2"/>
          <w:szCs w:val="24"/>
        </w:rPr>
        <w:t>阳光直射、远离火源</w:t>
      </w:r>
      <w:r>
        <w:rPr>
          <w:rFonts w:hint="default" w:ascii="Times New Roman" w:hAnsi="Times New Roman" w:cs="Times New Roman"/>
          <w:kern w:val="2"/>
          <w:szCs w:val="24"/>
        </w:rPr>
        <w:t>、与硬质、尖锐物体发生刮擦、碰撞；</w:t>
      </w:r>
    </w:p>
    <w:p w14:paraId="58EAF246">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灌浆材料在运输与贮存时应远离潮湿环境，保持干燥，贮存期不应超过6个月。</w:t>
      </w:r>
    </w:p>
    <w:p w14:paraId="0C770BCB">
      <w:pPr>
        <w:rPr>
          <w:rFonts w:hint="default" w:ascii="Times New Roman" w:hAnsi="Times New Roman" w:cs="Times New Roman"/>
          <w:kern w:val="2"/>
          <w:szCs w:val="24"/>
        </w:rPr>
      </w:pPr>
      <w:r>
        <w:rPr>
          <w:rFonts w:hint="default" w:ascii="Times New Roman" w:hAnsi="Times New Roman" w:cs="Times New Roman"/>
          <w:b/>
          <w:bCs/>
          <w:kern w:val="2"/>
          <w:szCs w:val="24"/>
        </w:rPr>
        <w:t>6.9.2</w:t>
      </w:r>
      <w:r>
        <w:rPr>
          <w:rFonts w:hint="default" w:ascii="Times New Roman" w:hAnsi="Times New Roman" w:cs="Times New Roman"/>
          <w:kern w:val="2"/>
          <w:szCs w:val="24"/>
        </w:rPr>
        <w:t xml:space="preserve"> 衬垫安装应符合下列规定：</w:t>
      </w:r>
    </w:p>
    <w:p w14:paraId="074ACEAE">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衬垫安装前应对衬垫的外观质量、规格进行检查；</w:t>
      </w:r>
    </w:p>
    <w:p w14:paraId="03B87311">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衬垫牵拉前应用无纺布类材料将衬垫端头包裹保护，防止牵拉时损坏；</w:t>
      </w:r>
    </w:p>
    <w:p w14:paraId="72C975C5">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3 衬垫牵拉速度不宜超过5m/min；</w:t>
      </w:r>
    </w:p>
    <w:p w14:paraId="1247670C">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4 进入管道的衬垫应保持平整，不得扭曲；</w:t>
      </w:r>
    </w:p>
    <w:p w14:paraId="5386DE21">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5 衬垫拉入到原管道后，两端应各伸出原管道50mm-100mm；</w:t>
      </w:r>
    </w:p>
    <w:p w14:paraId="4FC27B70">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6 采用气囊作灌浆支撑时，气囊可与衬垫同时牵拉进入管道；</w:t>
      </w:r>
    </w:p>
    <w:p w14:paraId="3619BB93">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7 衬垫内端应与原管道固定密封，并安装灌浆管、排气管等配件；</w:t>
      </w:r>
    </w:p>
    <w:p w14:paraId="1CC56510">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8 衬垫内部注满水支撑，并保持水压力恒定；</w:t>
      </w:r>
    </w:p>
    <w:p w14:paraId="40DA0633">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9 对于可进人的管道、渠涵也可采用支模板等方法进行支撑；</w:t>
      </w:r>
    </w:p>
    <w:p w14:paraId="09A090C8">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10 需用锚固垫片固定衬垫时，锚固垫片采用机械固定的方式与原结构连接，衬垫与锚固垫片进行焊接。</w:t>
      </w:r>
    </w:p>
    <w:p w14:paraId="372EFCDA">
      <w:pPr>
        <w:widowControl/>
        <w:autoSpaceDE w:val="0"/>
        <w:autoSpaceDN w:val="0"/>
        <w:adjustRightInd w:val="0"/>
        <w:jc w:val="left"/>
        <w:rPr>
          <w:rFonts w:hint="default" w:ascii="Times New Roman" w:hAnsi="Times New Roman" w:cs="Times New Roman"/>
          <w:kern w:val="2"/>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szCs w:val="24"/>
          <w:u w:val="single"/>
        </w:rPr>
        <w:t>对于多个井段连续修复施工的，施工后切割中间井的井内内衬部分；对于两井之间修复施工的，施工后切割同步施工的伸出工作井井壁多余内衬部分。</w:t>
      </w:r>
    </w:p>
    <w:p w14:paraId="12FAAA8C">
      <w:pPr>
        <w:rPr>
          <w:rFonts w:hint="default" w:ascii="Times New Roman" w:hAnsi="Times New Roman" w:cs="Times New Roman"/>
          <w:kern w:val="2"/>
          <w:szCs w:val="24"/>
        </w:rPr>
      </w:pPr>
      <w:r>
        <w:rPr>
          <w:rFonts w:hint="default" w:ascii="Times New Roman" w:hAnsi="Times New Roman" w:cs="Times New Roman"/>
          <w:b/>
          <w:bCs/>
          <w:kern w:val="2"/>
          <w:szCs w:val="24"/>
        </w:rPr>
        <w:t xml:space="preserve">6.9.3 </w:t>
      </w:r>
      <w:r>
        <w:rPr>
          <w:rFonts w:hint="default" w:ascii="Times New Roman" w:hAnsi="Times New Roman" w:cs="Times New Roman"/>
          <w:kern w:val="2"/>
          <w:szCs w:val="24"/>
        </w:rPr>
        <w:t>灌浆施工应符合下列规定：</w:t>
      </w:r>
    </w:p>
    <w:p w14:paraId="259D3F72">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灌浆前应检查衬垫支撑结构的安全状况，注水支撑时不得出现渗漏现象；</w:t>
      </w:r>
    </w:p>
    <w:p w14:paraId="4D08F089">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应按工艺要求对灌浆材料进行混合搅拌，达到规定搅拌时间后方可进行灌浆。制备水泥基浆体时，使用的搅拌机转速应大于1400转/min；</w:t>
      </w:r>
    </w:p>
    <w:p w14:paraId="4B67C4E7">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3 制浆完毕应立即进行灌浆施工，灌浆应连续进行，不能连续进行灌浆时应做好分次灌浆方案；</w:t>
      </w:r>
    </w:p>
    <w:p w14:paraId="28EABF62">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4 对灌浆断面直径大于1200mm或灌浆距离大于60m的箱涵或方沟，宜采取分段分次灌浆、先底后顶灌浆的措施；</w:t>
      </w:r>
    </w:p>
    <w:p w14:paraId="2E8E77D5">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5 灌浆过程中应留取浆料样品，观察浆体固化情况；</w:t>
      </w:r>
    </w:p>
    <w:p w14:paraId="42B9C6DD">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6 宜选用自重灌浆法或压力灌浆法进行灌浆，灌浆压力</w:t>
      </w:r>
      <w:r>
        <w:rPr>
          <w:rFonts w:hint="default" w:ascii="Times New Roman" w:hAnsi="Times New Roman" w:cs="Times New Roman"/>
          <w:color w:val="auto"/>
          <w:kern w:val="2"/>
          <w:szCs w:val="24"/>
        </w:rPr>
        <w:t>满</w:t>
      </w:r>
      <w:r>
        <w:rPr>
          <w:rFonts w:hint="default" w:ascii="Times New Roman" w:hAnsi="Times New Roman" w:cs="Times New Roman"/>
          <w:kern w:val="2"/>
          <w:szCs w:val="24"/>
        </w:rPr>
        <w:t>足施工或设计要求；</w:t>
      </w:r>
    </w:p>
    <w:p w14:paraId="72A6F7E9">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7 排气管的管顶标高应至少高出原管道最高内顶1m；</w:t>
      </w:r>
    </w:p>
    <w:p w14:paraId="251C2653">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8 当灌浆浆体到达排气管管口充盈注出后，可停止灌浆，如浆体高度下降，继续灌浆，待排气管内浆体高度稳定后，停止灌浆，进行闭浆。</w:t>
      </w:r>
    </w:p>
    <w:p w14:paraId="7C192654">
      <w:pPr>
        <w:widowControl/>
        <w:adjustRightInd w:val="0"/>
        <w:snapToGrid w:val="0"/>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w:t>
      </w:r>
    </w:p>
    <w:p w14:paraId="3A07F94E">
      <w:pPr>
        <w:widowControl/>
        <w:adjustRightInd w:val="0"/>
        <w:snapToGrid w:val="0"/>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1 根据管道长度、地质特征等因素确定灌浆漏斗的高度，管道长度小于或等于50m时，灌浆漏斗的最小高度应为5m；</w:t>
      </w:r>
    </w:p>
    <w:p w14:paraId="72EC4B02">
      <w:pPr>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2  当管道长度大于50m时，灌浆漏斗高度应按下式计算：</w:t>
      </w:r>
    </w:p>
    <w:p w14:paraId="59311ABE">
      <w:pPr>
        <w:ind w:firstLine="480" w:firstLineChars="200"/>
        <w:jc w:val="right"/>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object>
          <v:shape id="_x0000_i1047" o:spt="75" type="#_x0000_t75" style="height:12.85pt;width:64.85pt;" o:ole="t" filled="f" o:preferrelative="t" stroked="f" coordsize="21600,21600">
            <v:path/>
            <v:fill on="f" focussize="0,0"/>
            <v:stroke on="f" joinstyle="miter"/>
            <v:imagedata r:id="rId65" o:title=""/>
            <o:lock v:ext="edit" aspectratio="t"/>
            <w10:wrap type="none"/>
            <w10:anchorlock/>
          </v:shape>
          <o:OLEObject Type="Embed" ProgID="Equation.DSMT4" ShapeID="_x0000_i1047" DrawAspect="Content" ObjectID="_1468075746" r:id="rId64">
            <o:LockedField>false</o:LockedField>
          </o:OLEObject>
        </w:object>
      </w:r>
      <w:r>
        <w:rPr>
          <w:rFonts w:hint="default" w:ascii="Times New Roman" w:hAnsi="Times New Roman" w:eastAsia="楷体" w:cs="Times New Roman"/>
          <w:szCs w:val="24"/>
          <w:u w:val="single"/>
        </w:rPr>
        <w:t xml:space="preserve">                             （1）</w:t>
      </w:r>
    </w:p>
    <w:p w14:paraId="1E093842">
      <w:pPr>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式中：P——灌浆漏斗高度（m）；</w:t>
      </w:r>
    </w:p>
    <w:p w14:paraId="7F494495">
      <w:pPr>
        <w:ind w:firstLine="1200" w:firstLineChars="5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H——灌浆漏斗距管底的最低高度，宜为5m；</w:t>
      </w:r>
    </w:p>
    <w:p w14:paraId="3BF50456">
      <w:pPr>
        <w:ind w:firstLine="1200" w:firstLineChars="5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object>
          <v:shape id="_x0000_i1048" o:spt="75" type="#_x0000_t75" style="height:12.85pt;width:7.15pt;" o:ole="t" filled="f" o:preferrelative="t" stroked="f" coordsize="21600,21600">
            <v:path/>
            <v:fill on="f" focussize="0,0"/>
            <v:stroke on="f" joinstyle="miter"/>
            <v:imagedata r:id="rId67" o:title=""/>
            <o:lock v:ext="edit" aspectratio="t"/>
            <w10:wrap type="none"/>
            <w10:anchorlock/>
          </v:shape>
          <o:OLEObject Type="Embed" ProgID="Equation.DSMT4" ShapeID="_x0000_i1048" DrawAspect="Content" ObjectID="_1468075747" r:id="rId66">
            <o:LockedField>false</o:LockedField>
          </o:OLEObject>
        </w:object>
      </w:r>
      <w:r>
        <w:rPr>
          <w:rFonts w:hint="default" w:ascii="Times New Roman" w:hAnsi="Times New Roman" w:eastAsia="楷体" w:cs="Times New Roman"/>
          <w:szCs w:val="24"/>
          <w:u w:val="single"/>
        </w:rPr>
        <w:t>——原有管道坡度；</w:t>
      </w:r>
    </w:p>
    <w:p w14:paraId="2D17976A">
      <w:pPr>
        <w:ind w:firstLine="1200" w:firstLineChars="5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L——管道长度（m）。</w:t>
      </w:r>
    </w:p>
    <w:p w14:paraId="0EABDDE0">
      <w:pPr>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3  采用压力法灌浆时，应将高位漏斗灌浆方法计算的数值换算成压力值，灌浆压力不应大于塑料衬垫内衬的内水压力，最大灌浆压力不得大于内水压力；</w:t>
      </w:r>
    </w:p>
    <w:p w14:paraId="79E42218">
      <w:pPr>
        <w:widowControl/>
        <w:adjustRightInd w:val="0"/>
        <w:snapToGrid w:val="0"/>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4  灌浆料与水应按材料使用说明书的比例进行调配，应在搅拌机中高速搅拌5min，搅拌后的灌浆料应在20min内用完或按灌浆料的技术要求执行；</w:t>
      </w:r>
    </w:p>
    <w:p w14:paraId="1A740634">
      <w:pPr>
        <w:widowControl/>
        <w:adjustRightInd w:val="0"/>
        <w:snapToGrid w:val="0"/>
        <w:ind w:firstLine="480" w:firstLineChars="200"/>
        <w:jc w:val="left"/>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5 灌浆过程中，灌浆应快速持续进行，当闭浆管返出浆料且浆料高度保持不变时即可闭浆；</w:t>
      </w:r>
    </w:p>
    <w:p w14:paraId="01A23AA1">
      <w:pPr>
        <w:widowControl/>
        <w:adjustRightInd w:val="0"/>
        <w:snapToGrid w:val="0"/>
        <w:ind w:firstLine="480" w:firstLineChars="200"/>
        <w:jc w:val="left"/>
        <w:rPr>
          <w:rFonts w:hint="default" w:ascii="Times New Roman" w:hAnsi="Times New Roman" w:eastAsia="楷体" w:cs="Times New Roman"/>
          <w:b/>
          <w:szCs w:val="28"/>
          <w:u w:val="single"/>
        </w:rPr>
      </w:pPr>
      <w:r>
        <w:rPr>
          <w:rFonts w:hint="default" w:ascii="Times New Roman" w:hAnsi="Times New Roman" w:eastAsia="楷体" w:cs="Times New Roman"/>
          <w:szCs w:val="24"/>
          <w:u w:val="single"/>
        </w:rPr>
        <w:t>6 闭浆管高度应高出进浆口1.5m。</w:t>
      </w:r>
    </w:p>
    <w:p w14:paraId="363825F0">
      <w:pPr>
        <w:adjustRightInd w:val="0"/>
        <w:snapToGrid w:val="0"/>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灌浆前，管道内壁应保持湿润状态，便于灌浆料的流动。灌浆平台控制高度根据管道长度确定，长度在50m以内的管道，灌浆平台高度为5m，长度超过50m的管道，平台高度相对应提高（管道增加10m，灌浆平台相应增加1m），然后制备浆料，从灌浆孔中注入浆料，使浆料填充衬垫与混凝土管道之间的间隙，从而使衬垫与管道形成一个整体，灌浆结束后，进行闭浆，闭浆管高度比上游管道口顶部高出1.5m，待闭浆管出浆即可。</w:t>
      </w:r>
    </w:p>
    <w:p w14:paraId="75D84ABE">
      <w:pPr>
        <w:adjustRightInd w:val="0"/>
        <w:snapToGrid w:val="0"/>
        <w:ind w:firstLine="480" w:firstLineChars="200"/>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灌浆采用水平衡原理，利用灌浆料的自重推动浆料流动并充满管道。制浆机容量不小于200L，转速为1440r/min，搅拌时间为5min～6min。</w:t>
      </w:r>
    </w:p>
    <w:p w14:paraId="4C905F98">
      <w:pPr>
        <w:adjustRightInd w:val="0"/>
        <w:snapToGrid w:val="0"/>
        <w:ind w:firstLine="480" w:firstLineChars="200"/>
        <w:rPr>
          <w:rFonts w:hint="default" w:ascii="Times New Roman" w:hAnsi="Times New Roman" w:cs="Times New Roman"/>
          <w:kern w:val="2"/>
          <w:szCs w:val="24"/>
          <w:u w:val="single"/>
        </w:rPr>
      </w:pPr>
      <w:r>
        <w:rPr>
          <w:rFonts w:hint="default" w:ascii="Times New Roman" w:hAnsi="Times New Roman" w:eastAsia="楷体" w:cs="Times New Roman"/>
          <w:szCs w:val="24"/>
          <w:u w:val="single"/>
        </w:rPr>
        <w:t>灌浆完成后，一段时间后方可将气囊膜拆除，拆除时间与空气温度、湿度等因素有关。一般情况下，夏季至少为24h，冬季至少为48h。</w:t>
      </w:r>
    </w:p>
    <w:p w14:paraId="4313C64F">
      <w:pPr>
        <w:rPr>
          <w:rFonts w:hint="default" w:ascii="Times New Roman" w:hAnsi="Times New Roman" w:cs="Times New Roman"/>
          <w:kern w:val="2"/>
          <w:szCs w:val="24"/>
        </w:rPr>
      </w:pPr>
      <w:r>
        <w:rPr>
          <w:rFonts w:hint="default" w:ascii="Times New Roman" w:hAnsi="Times New Roman" w:cs="Times New Roman"/>
          <w:b/>
          <w:bCs/>
          <w:kern w:val="2"/>
          <w:szCs w:val="24"/>
        </w:rPr>
        <w:t xml:space="preserve">6.9.4 </w:t>
      </w:r>
      <w:r>
        <w:rPr>
          <w:rFonts w:hint="default" w:ascii="Times New Roman" w:hAnsi="Times New Roman" w:cs="Times New Roman"/>
          <w:kern w:val="2"/>
          <w:szCs w:val="24"/>
        </w:rPr>
        <w:t>端部处理应符合下列规定：</w:t>
      </w:r>
    </w:p>
    <w:p w14:paraId="3D053718">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灌浆完成后，堵头的拆除时间应根据灌浆材料的凝固时间或设计要求确定；</w:t>
      </w:r>
    </w:p>
    <w:p w14:paraId="4AD0C28C">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堵头拆除后，应进行端部处理，灌浆管、排气管、排水管等管件端部的切口应平整；</w:t>
      </w:r>
    </w:p>
    <w:p w14:paraId="014C1471">
      <w:pPr>
        <w:rPr>
          <w:rFonts w:hint="default" w:ascii="Times New Roman" w:hAnsi="Times New Roman" w:cs="Times New Roman"/>
          <w:kern w:val="2"/>
          <w:szCs w:val="24"/>
        </w:rPr>
      </w:pPr>
      <w:r>
        <w:rPr>
          <w:rFonts w:hint="default" w:ascii="Times New Roman" w:hAnsi="Times New Roman" w:cs="Times New Roman"/>
          <w:b/>
          <w:bCs/>
          <w:kern w:val="2"/>
          <w:szCs w:val="24"/>
        </w:rPr>
        <w:t xml:space="preserve">6.9.5 </w:t>
      </w:r>
      <w:r>
        <w:rPr>
          <w:rFonts w:hint="default" w:ascii="Times New Roman" w:hAnsi="Times New Roman" w:cs="Times New Roman"/>
          <w:kern w:val="2"/>
          <w:szCs w:val="24"/>
        </w:rPr>
        <w:t>垫衬法施工应做好衬垫尺寸规格、焊接质量、支撑形式、冲水压力、衬垫与原有管道间隙注浆量以及注浆压力等记录和检验。</w:t>
      </w:r>
    </w:p>
    <w:p w14:paraId="45DD2DB7">
      <w:pPr>
        <w:keepNext/>
        <w:keepLines/>
        <w:jc w:val="center"/>
        <w:outlineLvl w:val="1"/>
        <w:rPr>
          <w:rFonts w:hint="default" w:ascii="Times New Roman" w:hAnsi="Times New Roman" w:cs="Times New Roman"/>
          <w:b/>
          <w:bCs/>
          <w:kern w:val="2"/>
          <w:sz w:val="28"/>
          <w:szCs w:val="32"/>
        </w:rPr>
      </w:pPr>
      <w:bookmarkStart w:id="338" w:name="_Toc3189"/>
      <w:r>
        <w:rPr>
          <w:rFonts w:hint="default" w:ascii="Times New Roman" w:hAnsi="Times New Roman" w:cs="Times New Roman"/>
          <w:b/>
          <w:bCs/>
          <w:kern w:val="2"/>
          <w:sz w:val="28"/>
          <w:szCs w:val="28"/>
        </w:rPr>
        <w:t>6.10点状原位固化法</w:t>
      </w:r>
      <w:bookmarkEnd w:id="338"/>
    </w:p>
    <w:p w14:paraId="4F92C4AD">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6.10.1 </w:t>
      </w:r>
      <w:r>
        <w:rPr>
          <w:rFonts w:hint="default" w:ascii="Times New Roman" w:hAnsi="Times New Roman" w:cs="Times New Roman"/>
          <w:iCs/>
          <w:kern w:val="2"/>
          <w:szCs w:val="24"/>
        </w:rPr>
        <w:t>点状原位固化法的内衬筒长度应能覆盖待修复缺陷，且覆盖缺陷部位以外的轴向前、后超出长度均应大于200mm。</w:t>
      </w:r>
    </w:p>
    <w:p w14:paraId="4E469070">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6.10.2 </w:t>
      </w:r>
      <w:r>
        <w:rPr>
          <w:rFonts w:hint="default" w:ascii="Times New Roman" w:hAnsi="Times New Roman" w:cs="Times New Roman"/>
          <w:iCs/>
          <w:kern w:val="2"/>
          <w:szCs w:val="24"/>
        </w:rPr>
        <w:t>点状原位固化法修复气囊的安装应符合下列规定：</w:t>
      </w:r>
    </w:p>
    <w:p w14:paraId="51FEB162">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浸渍树脂后的纤维材料缠绕在修复气囊后应做临时绑扎，缠绕材料前应对修复气囊进行检查；</w:t>
      </w:r>
    </w:p>
    <w:p w14:paraId="0B64EF92">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修复气囊的工作压力和修复管径范围及各项技术指标应符合气囊设备规定的技术要求；</w:t>
      </w:r>
    </w:p>
    <w:p w14:paraId="00BC6F66">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将绑扎材料后的修复气囊运送到待修复位置时，应采用 CCTV等措施实时监测和辅助定位。</w:t>
      </w:r>
    </w:p>
    <w:p w14:paraId="35435A26">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6.10.3 </w:t>
      </w:r>
      <w:r>
        <w:rPr>
          <w:rFonts w:hint="default" w:ascii="Times New Roman" w:hAnsi="Times New Roman" w:cs="Times New Roman"/>
          <w:iCs/>
          <w:kern w:val="2"/>
          <w:szCs w:val="24"/>
        </w:rPr>
        <w:t>修复气囊膨胀及固化应符合下列规定：</w:t>
      </w:r>
    </w:p>
    <w:p w14:paraId="01631F8B">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1 施工时，修复气囊宜充入空气进行膨胀，并应根据施工段的直径、长度和现场条件确定固化时间；</w:t>
      </w:r>
    </w:p>
    <w:p w14:paraId="560CDA3A">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2 修复气囊内的气体压力应保证软管紧贴原有管道内壁，并不得超过软管材料所能承受的最大压力；</w:t>
      </w:r>
    </w:p>
    <w:p w14:paraId="0EFE26C4">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3 修复过程中应每隔15min对气囊内气压进行记录，压力应在0.08MPa~0.20MPa之间；</w:t>
      </w:r>
    </w:p>
    <w:p w14:paraId="72E55E87">
      <w:pPr>
        <w:ind w:firstLine="480" w:firstLineChars="200"/>
        <w:rPr>
          <w:rFonts w:hint="default" w:ascii="Times New Roman" w:hAnsi="Times New Roman" w:cs="Times New Roman"/>
          <w:iCs/>
          <w:kern w:val="2"/>
          <w:szCs w:val="24"/>
        </w:rPr>
      </w:pPr>
      <w:r>
        <w:rPr>
          <w:rFonts w:hint="default" w:ascii="Times New Roman" w:hAnsi="Times New Roman" w:cs="Times New Roman"/>
          <w:iCs/>
          <w:kern w:val="2"/>
          <w:szCs w:val="24"/>
        </w:rPr>
        <w:t>4 固化完成后应缓慢释放气囊内的压力。</w:t>
      </w:r>
    </w:p>
    <w:p w14:paraId="7EA1A653">
      <w:pPr>
        <w:rPr>
          <w:rFonts w:hint="default" w:ascii="Times New Roman" w:hAnsi="Times New Roman" w:cs="Times New Roman"/>
          <w:iCs/>
          <w:kern w:val="2"/>
          <w:szCs w:val="24"/>
        </w:rPr>
      </w:pPr>
      <w:r>
        <w:rPr>
          <w:rFonts w:hint="default" w:ascii="Times New Roman" w:hAnsi="Times New Roman" w:cs="Times New Roman"/>
          <w:b/>
          <w:bCs/>
          <w:iCs/>
          <w:kern w:val="2"/>
          <w:szCs w:val="24"/>
        </w:rPr>
        <w:t xml:space="preserve">6.10.4 </w:t>
      </w:r>
      <w:r>
        <w:rPr>
          <w:rFonts w:hint="default" w:ascii="Times New Roman" w:hAnsi="Times New Roman" w:cs="Times New Roman"/>
          <w:iCs/>
          <w:kern w:val="2"/>
          <w:szCs w:val="24"/>
        </w:rPr>
        <w:t>点状原位固化法修复施工中应做好树脂存储温度和时间、树脂用量、纤维材料浸渍停留时间和使用长度、气囊压力、固化时间等施工记录。</w:t>
      </w:r>
    </w:p>
    <w:p w14:paraId="6F7F58E0">
      <w:pPr>
        <w:keepNext/>
        <w:keepLines/>
        <w:jc w:val="center"/>
        <w:outlineLvl w:val="1"/>
        <w:rPr>
          <w:rFonts w:hint="default" w:ascii="Times New Roman" w:hAnsi="Times New Roman" w:cs="Times New Roman"/>
          <w:b/>
          <w:bCs/>
          <w:kern w:val="2"/>
          <w:sz w:val="28"/>
          <w:szCs w:val="32"/>
        </w:rPr>
      </w:pPr>
      <w:bookmarkStart w:id="339" w:name="_Toc32402"/>
      <w:r>
        <w:rPr>
          <w:rFonts w:hint="default" w:ascii="Times New Roman" w:hAnsi="Times New Roman" w:cs="Times New Roman"/>
          <w:b/>
          <w:bCs/>
          <w:kern w:val="2"/>
          <w:sz w:val="28"/>
          <w:szCs w:val="28"/>
        </w:rPr>
        <w:t>6.11不锈钢双胀环法</w:t>
      </w:r>
      <w:bookmarkEnd w:id="339"/>
    </w:p>
    <w:p w14:paraId="1744C675">
      <w:pPr>
        <w:rPr>
          <w:rFonts w:hint="default" w:ascii="Times New Roman" w:hAnsi="Times New Roman" w:cs="Times New Roman"/>
          <w:szCs w:val="24"/>
        </w:rPr>
      </w:pPr>
      <w:r>
        <w:rPr>
          <w:rFonts w:hint="default" w:ascii="Times New Roman" w:hAnsi="Times New Roman" w:cs="Times New Roman"/>
          <w:b/>
          <w:bCs/>
          <w:szCs w:val="24"/>
        </w:rPr>
        <w:t>6.11.1</w:t>
      </w:r>
      <w:r>
        <w:rPr>
          <w:rFonts w:hint="default" w:ascii="Times New Roman" w:hAnsi="Times New Roman" w:cs="Times New Roman"/>
          <w:szCs w:val="24"/>
        </w:rPr>
        <w:t xml:space="preserve"> 不锈钢双胀环应由不锈钢胀环和止水橡胶带构成。</w:t>
      </w:r>
    </w:p>
    <w:p w14:paraId="1CBF0CE3">
      <w:pPr>
        <w:rPr>
          <w:rFonts w:hint="default" w:ascii="Times New Roman" w:hAnsi="Times New Roman" w:cs="Times New Roman"/>
          <w:szCs w:val="24"/>
        </w:rPr>
      </w:pPr>
      <w:r>
        <w:rPr>
          <w:rFonts w:hint="default" w:ascii="Times New Roman" w:hAnsi="Times New Roman" w:cs="Times New Roman"/>
          <w:b/>
          <w:bCs/>
          <w:szCs w:val="24"/>
        </w:rPr>
        <w:t>6.11.2</w:t>
      </w:r>
      <w:r>
        <w:rPr>
          <w:rFonts w:hint="default" w:ascii="Times New Roman" w:hAnsi="Times New Roman" w:cs="Times New Roman"/>
          <w:szCs w:val="24"/>
        </w:rPr>
        <w:t xml:space="preserve"> 不锈钢胀环厚度不应小于5 mm，宽度不应小于50 mm。</w:t>
      </w:r>
    </w:p>
    <w:p w14:paraId="59340697">
      <w:pPr>
        <w:rPr>
          <w:rFonts w:hint="default" w:ascii="Times New Roman" w:hAnsi="Times New Roman" w:cs="Times New Roman"/>
          <w:szCs w:val="24"/>
        </w:rPr>
      </w:pPr>
      <w:r>
        <w:rPr>
          <w:rFonts w:hint="default" w:ascii="Times New Roman" w:hAnsi="Times New Roman" w:cs="Times New Roman"/>
          <w:b/>
          <w:bCs/>
          <w:szCs w:val="24"/>
        </w:rPr>
        <w:t>6.11.3</w:t>
      </w:r>
      <w:r>
        <w:rPr>
          <w:rFonts w:hint="default" w:ascii="Times New Roman" w:hAnsi="Times New Roman" w:cs="Times New Roman"/>
          <w:szCs w:val="24"/>
        </w:rPr>
        <w:t xml:space="preserve"> 止水橡胶带应符合下列规定：</w:t>
      </w:r>
    </w:p>
    <w:p w14:paraId="70406EEC">
      <w:pPr>
        <w:ind w:firstLine="480" w:firstLineChars="200"/>
        <w:rPr>
          <w:rFonts w:hint="default" w:ascii="Times New Roman" w:hAnsi="Times New Roman" w:cs="Times New Roman"/>
          <w:szCs w:val="24"/>
        </w:rPr>
      </w:pPr>
      <w:r>
        <w:rPr>
          <w:rFonts w:hint="default" w:ascii="Times New Roman" w:hAnsi="Times New Roman" w:cs="Times New Roman"/>
          <w:szCs w:val="24"/>
        </w:rPr>
        <w:t>1橡胶带宽度应按照设计要求制作，宜为300mm~400mm；</w:t>
      </w:r>
    </w:p>
    <w:p w14:paraId="00C2767A">
      <w:pPr>
        <w:ind w:firstLine="480" w:firstLineChars="200"/>
        <w:rPr>
          <w:rFonts w:hint="default" w:ascii="Times New Roman" w:hAnsi="Times New Roman" w:cs="Times New Roman"/>
          <w:szCs w:val="24"/>
        </w:rPr>
      </w:pPr>
      <w:r>
        <w:rPr>
          <w:rFonts w:hint="default" w:ascii="Times New Roman" w:hAnsi="Times New Roman" w:cs="Times New Roman"/>
          <w:szCs w:val="24"/>
        </w:rPr>
        <w:t>2 橡胶带两侧应有不锈钢胀环压槽,压槽背面应有齿状止水条，止水条高度宜为8mm~10 mm；</w:t>
      </w:r>
    </w:p>
    <w:p w14:paraId="77CFFB23">
      <w:pPr>
        <w:ind w:firstLine="480" w:firstLineChars="200"/>
        <w:rPr>
          <w:rFonts w:hint="default" w:ascii="Times New Roman" w:hAnsi="Times New Roman" w:cs="Times New Roman"/>
          <w:szCs w:val="24"/>
        </w:rPr>
      </w:pPr>
      <w:r>
        <w:rPr>
          <w:rFonts w:hint="default" w:ascii="Times New Roman" w:hAnsi="Times New Roman" w:cs="Times New Roman"/>
          <w:szCs w:val="24"/>
        </w:rPr>
        <w:t>3 橡胶带表面应平整、无缺陷。</w:t>
      </w:r>
    </w:p>
    <w:p w14:paraId="336A75EA">
      <w:pPr>
        <w:rPr>
          <w:rFonts w:hint="default" w:ascii="Times New Roman" w:hAnsi="Times New Roman" w:cs="Times New Roman"/>
          <w:szCs w:val="24"/>
        </w:rPr>
      </w:pPr>
      <w:r>
        <w:rPr>
          <w:rFonts w:hint="default" w:ascii="Times New Roman" w:hAnsi="Times New Roman" w:cs="Times New Roman"/>
          <w:b/>
          <w:bCs/>
          <w:szCs w:val="24"/>
        </w:rPr>
        <w:t xml:space="preserve">6.11.4 </w:t>
      </w:r>
      <w:r>
        <w:rPr>
          <w:rFonts w:hint="default" w:ascii="Times New Roman" w:hAnsi="Times New Roman" w:cs="Times New Roman"/>
          <w:szCs w:val="24"/>
        </w:rPr>
        <w:t>不锈钢双胀环法修复施工应符合下列规定：</w:t>
      </w:r>
    </w:p>
    <w:p w14:paraId="4D7D569C">
      <w:pPr>
        <w:ind w:firstLine="480" w:firstLineChars="200"/>
        <w:rPr>
          <w:rFonts w:hint="default" w:ascii="Times New Roman" w:hAnsi="Times New Roman" w:cs="Times New Roman"/>
          <w:szCs w:val="24"/>
        </w:rPr>
      </w:pPr>
      <w:r>
        <w:rPr>
          <w:rFonts w:hint="default" w:ascii="Times New Roman" w:hAnsi="Times New Roman" w:cs="Times New Roman"/>
          <w:szCs w:val="24"/>
        </w:rPr>
        <w:t>1 双胀圈点状修复前，管周存在空洞或土体松散时，应对管周土体进行注浆加固；</w:t>
      </w:r>
    </w:p>
    <w:p w14:paraId="19805690">
      <w:pPr>
        <w:ind w:firstLine="480" w:firstLineChars="200"/>
        <w:rPr>
          <w:rFonts w:hint="default" w:ascii="Times New Roman" w:hAnsi="Times New Roman" w:cs="Times New Roman"/>
          <w:szCs w:val="24"/>
        </w:rPr>
      </w:pPr>
      <w:r>
        <w:rPr>
          <w:rFonts w:hint="default" w:ascii="Times New Roman" w:hAnsi="Times New Roman" w:cs="Times New Roman"/>
          <w:szCs w:val="24"/>
        </w:rPr>
        <w:t>2 不锈钢双胀环应完全覆盖管道缺陷处，且轴向前后应比待修复缺陷长不小于100mm；</w:t>
      </w:r>
    </w:p>
    <w:p w14:paraId="51462901">
      <w:pPr>
        <w:ind w:firstLine="480" w:firstLineChars="200"/>
        <w:rPr>
          <w:rFonts w:hint="default" w:ascii="Times New Roman" w:hAnsi="Times New Roman" w:cs="Times New Roman"/>
          <w:szCs w:val="24"/>
        </w:rPr>
      </w:pPr>
      <w:r>
        <w:rPr>
          <w:rFonts w:hint="default" w:ascii="Times New Roman" w:hAnsi="Times New Roman" w:cs="Times New Roman"/>
          <w:szCs w:val="24"/>
        </w:rPr>
        <w:t>3 橡胶带宜采用人工沿管道环向平铺于管道内壁的方式进行，平铺后应完全覆盖管道缺陷处，橡胶带表面应平整、无褶皱，内壁紧贴原有管道；</w:t>
      </w:r>
    </w:p>
    <w:p w14:paraId="0EA04560">
      <w:pPr>
        <w:ind w:firstLine="480" w:firstLineChars="200"/>
        <w:rPr>
          <w:rFonts w:hint="default" w:ascii="Times New Roman" w:hAnsi="Times New Roman" w:cs="Times New Roman"/>
          <w:szCs w:val="24"/>
        </w:rPr>
      </w:pPr>
      <w:r>
        <w:rPr>
          <w:rFonts w:hint="default" w:ascii="Times New Roman" w:hAnsi="Times New Roman" w:cs="Times New Roman"/>
          <w:szCs w:val="24"/>
        </w:rPr>
        <w:t>4 不锈钢胀环应沿橡胶带的压槽安装，安装时不锈钢胀环应垂直无倾斜，牢固可靠；</w:t>
      </w:r>
    </w:p>
    <w:p w14:paraId="216553B2">
      <w:pPr>
        <w:ind w:firstLine="480" w:firstLineChars="200"/>
        <w:rPr>
          <w:rFonts w:hint="default" w:ascii="Times New Roman" w:hAnsi="Times New Roman" w:cs="Times New Roman"/>
          <w:szCs w:val="24"/>
        </w:rPr>
      </w:pPr>
      <w:r>
        <w:rPr>
          <w:rFonts w:hint="default" w:ascii="Times New Roman" w:hAnsi="Times New Roman" w:cs="Times New Roman"/>
          <w:szCs w:val="24"/>
        </w:rPr>
        <w:t>5 安装完成后应拆除胀环上焊接的液压设备支撑点，拆除时应沿环向施力拆除，不得沿纵向用力拆除。</w:t>
      </w:r>
    </w:p>
    <w:p w14:paraId="5E05993B">
      <w:pPr>
        <w:widowControl/>
        <w:adjustRightInd w:val="0"/>
        <w:snapToGrid w:val="0"/>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szCs w:val="24"/>
          <w:u w:val="single"/>
        </w:rPr>
        <w:t>在修复管道的底部两侧使用钻机进行钻孔，然后埋入注浆管进行压密注浆，待管道顶部有浆液流出结束。使注浆液充满土层内部及空隙，形成防渗帷幕，加强管周围的土体稳定，提高管基土体承载力。</w:t>
      </w:r>
    </w:p>
    <w:p w14:paraId="0F495E5C">
      <w:pPr>
        <w:rPr>
          <w:rFonts w:hint="default" w:ascii="Times New Roman" w:hAnsi="Times New Roman" w:eastAsia="楷体" w:cs="Times New Roman"/>
          <w:szCs w:val="24"/>
          <w:u w:val="single"/>
        </w:rPr>
      </w:pPr>
      <w:r>
        <w:rPr>
          <w:rFonts w:hint="default" w:ascii="Times New Roman" w:hAnsi="Times New Roman" w:eastAsia="楷体" w:cs="Times New Roman"/>
          <w:szCs w:val="24"/>
          <w:u w:val="single"/>
        </w:rPr>
        <w:t>若采用两片安装，安装时一边以承插安装，另外一边以专用液压设备分别顶在胀环的两侧接口处，通过液压设备的撑力，将两侧接口分开至设计宽度后，插入与两侧接口同宽度的固定塞片，从而完成安装。若采用三片安装，其中一片采用两边承插安装，另外两片均采用单侧承插安装，最后这两片的接口再按照上述方式采用千斤顶安装固定。</w:t>
      </w:r>
    </w:p>
    <w:p w14:paraId="06D24316">
      <w:pPr>
        <w:rPr>
          <w:rFonts w:hint="default" w:ascii="Times New Roman" w:hAnsi="Times New Roman" w:cs="Times New Roman"/>
          <w:szCs w:val="24"/>
        </w:rPr>
      </w:pPr>
      <w:r>
        <w:rPr>
          <w:rFonts w:hint="default" w:ascii="Times New Roman" w:hAnsi="Times New Roman" w:cs="Times New Roman"/>
          <w:b/>
          <w:bCs/>
          <w:szCs w:val="24"/>
        </w:rPr>
        <w:t>6.11.5</w:t>
      </w:r>
      <w:r>
        <w:rPr>
          <w:rFonts w:hint="default" w:ascii="Times New Roman" w:hAnsi="Times New Roman" w:cs="Times New Roman"/>
          <w:szCs w:val="24"/>
        </w:rPr>
        <w:t xml:space="preserve"> 修复施工中应对不锈钢双胀环安装位置、螺栓及卡口锁定、液压设备的撑力、修复前后的渗水程度等进行记录。</w:t>
      </w:r>
    </w:p>
    <w:p w14:paraId="50B9B466">
      <w:pPr>
        <w:keepNext/>
        <w:keepLines/>
        <w:jc w:val="center"/>
        <w:outlineLvl w:val="1"/>
        <w:rPr>
          <w:rFonts w:hint="default" w:ascii="Times New Roman" w:hAnsi="Times New Roman" w:cs="Times New Roman"/>
          <w:b/>
          <w:bCs/>
          <w:kern w:val="2"/>
          <w:sz w:val="28"/>
          <w:szCs w:val="28"/>
        </w:rPr>
      </w:pPr>
      <w:bookmarkStart w:id="340" w:name="_Toc8419"/>
      <w:r>
        <w:rPr>
          <w:rFonts w:hint="default" w:ascii="Times New Roman" w:hAnsi="Times New Roman" w:cs="Times New Roman"/>
          <w:b/>
          <w:bCs/>
          <w:kern w:val="2"/>
          <w:sz w:val="28"/>
          <w:szCs w:val="28"/>
        </w:rPr>
        <w:t>6.12不锈钢快速锁法</w:t>
      </w:r>
      <w:bookmarkEnd w:id="340"/>
    </w:p>
    <w:p w14:paraId="4BAD29B9">
      <w:pPr>
        <w:rPr>
          <w:rFonts w:hint="default" w:ascii="Times New Roman" w:hAnsi="Times New Roman" w:cs="Times New Roman"/>
          <w:szCs w:val="24"/>
        </w:rPr>
      </w:pPr>
      <w:r>
        <w:rPr>
          <w:rFonts w:hint="default" w:ascii="Times New Roman" w:hAnsi="Times New Roman" w:cs="Times New Roman"/>
          <w:b/>
          <w:bCs/>
          <w:szCs w:val="24"/>
        </w:rPr>
        <w:t>6.12.1</w:t>
      </w:r>
      <w:r>
        <w:rPr>
          <w:rFonts w:hint="default" w:ascii="Times New Roman" w:hAnsi="Times New Roman" w:cs="Times New Roman"/>
          <w:szCs w:val="24"/>
        </w:rPr>
        <w:t xml:space="preserve"> 管径DN600以下的快速锁应采用专用气囊安装，管径DN600mm及以上的快速锁宜采用多片式快速锁结构人工安装。</w:t>
      </w:r>
    </w:p>
    <w:p w14:paraId="0353E6D1">
      <w:pPr>
        <w:rPr>
          <w:rFonts w:hint="default" w:ascii="Times New Roman" w:hAnsi="Times New Roman" w:eastAsia="楷体" w:cs="Times New Roman"/>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szCs w:val="24"/>
          <w:u w:val="single"/>
        </w:rPr>
        <w:t>不锈钢快速锁安装状态见下图。</w:t>
      </w:r>
    </w:p>
    <w:p w14:paraId="2F7C3191">
      <w:pPr>
        <w:jc w:val="center"/>
        <w:rPr>
          <w:rFonts w:hint="default" w:ascii="Times New Roman" w:hAnsi="Times New Roman" w:cs="Times New Roman"/>
          <w:color w:val="EE0000"/>
          <w:szCs w:val="24"/>
        </w:rPr>
      </w:pPr>
      <w:r>
        <w:rPr>
          <w:rFonts w:hint="default" w:ascii="Times New Roman" w:hAnsi="Times New Roman" w:cs="Times New Roman"/>
          <w:i/>
          <w:iCs/>
          <w:color w:val="EE0000"/>
          <w:szCs w:val="24"/>
        </w:rPr>
        <w:drawing>
          <wp:inline distT="0" distB="0" distL="0" distR="0">
            <wp:extent cx="5274310" cy="1995170"/>
            <wp:effectExtent l="0" t="0" r="2540" b="0"/>
            <wp:docPr id="75074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477" name="图片 23"/>
                    <pic:cNvPicPr>
                      <a:picLocks noChangeAspect="1" noChangeArrowheads="1"/>
                    </pic:cNvPicPr>
                  </pic:nvPicPr>
                  <pic:blipFill>
                    <a:blip r:embed="rId68">
                      <a:extLst>
                        <a:ext uri="{28A0092B-C50C-407E-A947-70E740481C1C}">
                          <a14:useLocalDpi xmlns:a14="http://schemas.microsoft.com/office/drawing/2010/main" val="0"/>
                        </a:ext>
                      </a:extLst>
                    </a:blip>
                    <a:srcRect b="10457"/>
                    <a:stretch>
                      <a:fillRect/>
                    </a:stretch>
                  </pic:blipFill>
                  <pic:spPr>
                    <a:xfrm>
                      <a:off x="0" y="0"/>
                      <a:ext cx="5274310" cy="1995777"/>
                    </a:xfrm>
                    <a:prstGeom prst="rect">
                      <a:avLst/>
                    </a:prstGeom>
                    <a:noFill/>
                    <a:ln>
                      <a:noFill/>
                    </a:ln>
                  </pic:spPr>
                </pic:pic>
              </a:graphicData>
            </a:graphic>
          </wp:inline>
        </w:drawing>
      </w:r>
    </w:p>
    <w:p w14:paraId="1A0719A4">
      <w:pPr>
        <w:jc w:val="center"/>
        <w:rPr>
          <w:rFonts w:hint="default" w:ascii="Times New Roman" w:hAnsi="Times New Roman" w:cs="Times New Roman"/>
          <w:b/>
          <w:bCs/>
          <w:i w:val="0"/>
          <w:iCs w:val="0"/>
          <w:color w:val="auto"/>
          <w:szCs w:val="24"/>
        </w:rPr>
      </w:pPr>
      <w:r>
        <w:rPr>
          <w:rFonts w:hint="default" w:ascii="Times New Roman" w:hAnsi="Times New Roman" w:cs="Times New Roman"/>
          <w:b/>
          <w:bCs/>
          <w:color w:val="auto"/>
          <w:szCs w:val="24"/>
        </w:rPr>
        <w:t>图3 不锈钢快速锁安装状态示意图</w:t>
      </w:r>
    </w:p>
    <w:p w14:paraId="0DD4ED13">
      <w:pPr>
        <w:rPr>
          <w:rFonts w:hint="default" w:ascii="Times New Roman" w:hAnsi="Times New Roman" w:cs="Times New Roman"/>
          <w:szCs w:val="24"/>
        </w:rPr>
      </w:pPr>
      <w:r>
        <w:rPr>
          <w:rFonts w:hint="default" w:ascii="Times New Roman" w:hAnsi="Times New Roman" w:cs="Times New Roman"/>
          <w:b/>
          <w:bCs/>
          <w:szCs w:val="24"/>
        </w:rPr>
        <w:t xml:space="preserve">6.12.2 </w:t>
      </w:r>
      <w:r>
        <w:rPr>
          <w:rFonts w:hint="default" w:ascii="Times New Roman" w:hAnsi="Times New Roman" w:cs="Times New Roman"/>
          <w:szCs w:val="24"/>
        </w:rPr>
        <w:t>不锈钢快速锁应覆盖待修复缺陷，且轴向前后应比待修复缺陷长不小于100mm；当缺陷轴向长度超过单个快速锁长度时，可采用多个快速锁搭接的方式安装，安装时后一个快速锁的橡胶套应压住前一个快速锁超出的橡胶套。</w:t>
      </w:r>
    </w:p>
    <w:p w14:paraId="0F9A1398">
      <w:pPr>
        <w:rPr>
          <w:rFonts w:hint="default" w:ascii="Times New Roman" w:hAnsi="Times New Roman" w:cs="Times New Roman"/>
          <w:szCs w:val="24"/>
        </w:rPr>
      </w:pPr>
      <w:r>
        <w:rPr>
          <w:rFonts w:hint="default" w:ascii="Times New Roman" w:hAnsi="Times New Roman" w:cs="Times New Roman"/>
          <w:b/>
          <w:bCs/>
          <w:szCs w:val="24"/>
        </w:rPr>
        <w:t>6.12.3</w:t>
      </w:r>
      <w:r>
        <w:rPr>
          <w:rFonts w:hint="default" w:ascii="Times New Roman" w:hAnsi="Times New Roman" w:cs="Times New Roman"/>
          <w:szCs w:val="24"/>
        </w:rPr>
        <w:t xml:space="preserve"> 采用气囊安装的不锈钢快速锁不得采用搭接方式，并应按下列步骤操作。</w:t>
      </w:r>
    </w:p>
    <w:p w14:paraId="073CFCE5">
      <w:pPr>
        <w:ind w:firstLine="480" w:firstLineChars="200"/>
        <w:rPr>
          <w:rFonts w:hint="default" w:ascii="Times New Roman" w:hAnsi="Times New Roman" w:cs="Times New Roman"/>
          <w:szCs w:val="24"/>
        </w:rPr>
      </w:pPr>
      <w:r>
        <w:rPr>
          <w:rFonts w:hint="default" w:ascii="Times New Roman" w:hAnsi="Times New Roman" w:cs="Times New Roman"/>
          <w:szCs w:val="24"/>
        </w:rPr>
        <w:t>1 在地面将不锈钢套筒和橡胶套预先套好，并检查确认锁紧装置可正常工作；</w:t>
      </w:r>
    </w:p>
    <w:p w14:paraId="2A626B21">
      <w:pPr>
        <w:ind w:firstLine="480" w:firstLineChars="200"/>
        <w:rPr>
          <w:rFonts w:hint="default" w:ascii="Times New Roman" w:hAnsi="Times New Roman" w:cs="Times New Roman"/>
          <w:szCs w:val="24"/>
        </w:rPr>
      </w:pPr>
      <w:r>
        <w:rPr>
          <w:rFonts w:hint="default" w:ascii="Times New Roman" w:hAnsi="Times New Roman" w:cs="Times New Roman"/>
          <w:szCs w:val="24"/>
        </w:rPr>
        <w:t>2 分别在待修复位置前后检查井各安装一个卷扬机，将快速锁固定在带轮子的专用气囊上，然后在电视检测（CCTV）或潜望镜检测（QV）等可视化设备的辅助下将气囊拉入至待修复位置；</w:t>
      </w:r>
    </w:p>
    <w:p w14:paraId="3C21FC02">
      <w:pPr>
        <w:ind w:firstLine="480" w:firstLineChars="200"/>
        <w:rPr>
          <w:rFonts w:hint="default" w:ascii="Times New Roman" w:hAnsi="Times New Roman" w:cs="Times New Roman"/>
          <w:szCs w:val="24"/>
        </w:rPr>
      </w:pPr>
      <w:r>
        <w:rPr>
          <w:rFonts w:hint="default" w:ascii="Times New Roman" w:hAnsi="Times New Roman" w:cs="Times New Roman"/>
          <w:szCs w:val="24"/>
        </w:rPr>
        <w:t>3 在电视检测(CCTV)或潜望镜检测(QV)等可视化设备的监控下，应缓慢向气囊内充气，使不锈钢快速锁缓慢扩展开并紧贴原有管道内壁，气囊压力宜为0.35MPa~0.4MPa；</w:t>
      </w:r>
    </w:p>
    <w:p w14:paraId="6A38E6DB">
      <w:pPr>
        <w:ind w:firstLine="480" w:firstLineChars="200"/>
        <w:rPr>
          <w:rFonts w:hint="default" w:ascii="Times New Roman" w:hAnsi="Times New Roman" w:cs="Times New Roman"/>
          <w:szCs w:val="24"/>
        </w:rPr>
      </w:pPr>
      <w:r>
        <w:rPr>
          <w:rFonts w:hint="default" w:ascii="Times New Roman" w:hAnsi="Times New Roman" w:cs="Times New Roman"/>
          <w:szCs w:val="24"/>
        </w:rPr>
        <w:t>4 当确认不锈钢快速锁完全张开后，方可卸掉气囊压力撤出。</w:t>
      </w:r>
    </w:p>
    <w:p w14:paraId="51032226">
      <w:pPr>
        <w:rPr>
          <w:rFonts w:hint="default" w:ascii="Times New Roman" w:hAnsi="Times New Roman" w:cs="Times New Roman"/>
          <w:szCs w:val="24"/>
        </w:rPr>
      </w:pPr>
      <w:r>
        <w:rPr>
          <w:rFonts w:hint="default" w:ascii="Times New Roman" w:hAnsi="Times New Roman" w:cs="Times New Roman"/>
          <w:b/>
          <w:bCs/>
          <w:szCs w:val="24"/>
        </w:rPr>
        <w:t>6.12.4</w:t>
      </w:r>
      <w:r>
        <w:rPr>
          <w:rFonts w:hint="default" w:ascii="Times New Roman" w:hAnsi="Times New Roman" w:cs="Times New Roman"/>
          <w:szCs w:val="24"/>
        </w:rPr>
        <w:t xml:space="preserve"> 采用人工方式安装的不锈钢快速锁，应按下列步骤操作：</w:t>
      </w:r>
    </w:p>
    <w:p w14:paraId="7FB3F00B">
      <w:pPr>
        <w:ind w:firstLine="480" w:firstLineChars="200"/>
        <w:rPr>
          <w:rFonts w:hint="default" w:ascii="Times New Roman" w:hAnsi="Times New Roman" w:cs="Times New Roman"/>
          <w:szCs w:val="24"/>
        </w:rPr>
      </w:pPr>
      <w:r>
        <w:rPr>
          <w:rFonts w:hint="default" w:ascii="Times New Roman" w:hAnsi="Times New Roman" w:cs="Times New Roman"/>
          <w:szCs w:val="24"/>
        </w:rPr>
        <w:t>1 将不锈钢环片、橡胶套等装置从检查井送到待修复位置；</w:t>
      </w:r>
    </w:p>
    <w:p w14:paraId="096FFED7">
      <w:pPr>
        <w:ind w:firstLine="480" w:firstLineChars="200"/>
        <w:rPr>
          <w:rFonts w:hint="default" w:ascii="Times New Roman" w:hAnsi="Times New Roman" w:cs="Times New Roman"/>
          <w:szCs w:val="24"/>
        </w:rPr>
      </w:pPr>
      <w:r>
        <w:rPr>
          <w:rFonts w:hint="default" w:ascii="Times New Roman" w:hAnsi="Times New Roman" w:cs="Times New Roman"/>
          <w:szCs w:val="24"/>
        </w:rPr>
        <w:t>2 先将不锈钢环片预拼装成小直径钢套，再将橡胶套套在不锈钢套上，安装时橡胶套迎水坡边朝来水方向；</w:t>
      </w:r>
    </w:p>
    <w:p w14:paraId="3A7B4577">
      <w:pPr>
        <w:ind w:firstLine="480" w:firstLineChars="200"/>
        <w:rPr>
          <w:rFonts w:hint="default" w:ascii="Times New Roman" w:hAnsi="Times New Roman" w:cs="Times New Roman"/>
          <w:szCs w:val="24"/>
        </w:rPr>
      </w:pPr>
      <w:r>
        <w:rPr>
          <w:rFonts w:hint="default" w:ascii="Times New Roman" w:hAnsi="Times New Roman" w:cs="Times New Roman"/>
          <w:szCs w:val="24"/>
        </w:rPr>
        <w:t>3 将预拼装好的不锈钢快速锁放置在待修复位置，采用专用扩张器对快速锁进行扩张，待扩张到橡胶套密封台接近管壁时，使用扩张器上的辅助扩张丝杆缓慢扩张，在扩张过程中可用橡胶锤环向振击快速锁，确认各个部位与原管壁紧密贴合后锁死紧固栓，完成安装。</w:t>
      </w:r>
    </w:p>
    <w:p w14:paraId="23728E17">
      <w:pPr>
        <w:rPr>
          <w:rFonts w:hint="default" w:ascii="Times New Roman" w:hAnsi="Times New Roman" w:cs="Times New Roman"/>
          <w:szCs w:val="24"/>
        </w:rPr>
      </w:pPr>
      <w:r>
        <w:rPr>
          <w:rFonts w:hint="default" w:ascii="Times New Roman" w:hAnsi="Times New Roman" w:cs="Times New Roman"/>
          <w:b/>
          <w:bCs/>
          <w:szCs w:val="24"/>
        </w:rPr>
        <w:t>6.12.5</w:t>
      </w:r>
      <w:r>
        <w:rPr>
          <w:rFonts w:hint="default" w:ascii="Times New Roman" w:hAnsi="Times New Roman" w:cs="Times New Roman"/>
          <w:szCs w:val="24"/>
        </w:rPr>
        <w:t xml:space="preserve"> 修复施工中应对不锈钢快速锁的安装位置，安装方向等进行记录。</w:t>
      </w:r>
    </w:p>
    <w:p w14:paraId="4FCC9306">
      <w:pPr>
        <w:keepNext/>
        <w:keepLines/>
        <w:jc w:val="center"/>
        <w:outlineLvl w:val="1"/>
        <w:rPr>
          <w:rFonts w:hint="default" w:ascii="Times New Roman" w:hAnsi="Times New Roman" w:cs="Times New Roman"/>
          <w:b/>
          <w:bCs/>
          <w:kern w:val="2"/>
          <w:sz w:val="28"/>
          <w:szCs w:val="28"/>
        </w:rPr>
      </w:pPr>
      <w:bookmarkStart w:id="341" w:name="_Toc5283"/>
      <w:r>
        <w:rPr>
          <w:rFonts w:hint="default" w:ascii="Times New Roman" w:hAnsi="Times New Roman" w:cs="Times New Roman"/>
          <w:b/>
          <w:bCs/>
          <w:kern w:val="2"/>
          <w:sz w:val="28"/>
          <w:szCs w:val="28"/>
        </w:rPr>
        <w:t>6.13检查井修复</w:t>
      </w:r>
      <w:bookmarkEnd w:id="341"/>
    </w:p>
    <w:p w14:paraId="07C737B5">
      <w:pPr>
        <w:rPr>
          <w:rFonts w:hint="default" w:ascii="Times New Roman" w:hAnsi="Times New Roman" w:cs="Times New Roman"/>
          <w:kern w:val="2"/>
          <w:szCs w:val="24"/>
        </w:rPr>
      </w:pPr>
      <w:r>
        <w:rPr>
          <w:rFonts w:hint="default" w:ascii="Times New Roman" w:hAnsi="Times New Roman" w:cs="Times New Roman"/>
          <w:b/>
          <w:bCs/>
          <w:kern w:val="2"/>
          <w:szCs w:val="24"/>
        </w:rPr>
        <w:t xml:space="preserve">6.13.1 </w:t>
      </w:r>
      <w:r>
        <w:rPr>
          <w:rFonts w:hint="default" w:ascii="Times New Roman" w:hAnsi="Times New Roman" w:cs="Times New Roman"/>
          <w:kern w:val="2"/>
          <w:szCs w:val="24"/>
        </w:rPr>
        <w:t>检查井进行内衬修复前应进行预处理，并应符合下列规定：</w:t>
      </w:r>
    </w:p>
    <w:p w14:paraId="2DE8C96F">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检查井清洗时应采取措施，避免井壁掉落的大块硬质杂物被冲入管道内</w:t>
      </w:r>
      <w:r>
        <w:rPr>
          <w:rFonts w:hint="default" w:ascii="Times New Roman" w:hAnsi="Times New Roman" w:cs="Times New Roman"/>
          <w:color w:val="auto"/>
          <w:kern w:val="2"/>
          <w:szCs w:val="24"/>
        </w:rPr>
        <w:t>；</w:t>
      </w:r>
    </w:p>
    <w:p w14:paraId="58CE9FBA">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检查井清洗后暴露出的凹陷、孔洞和裂缝等缺陷应进行填充</w:t>
      </w:r>
      <w:r>
        <w:rPr>
          <w:rFonts w:hint="default" w:ascii="Times New Roman" w:hAnsi="Times New Roman" w:cs="Times New Roman"/>
          <w:color w:val="auto"/>
          <w:kern w:val="2"/>
          <w:szCs w:val="24"/>
        </w:rPr>
        <w:t>；</w:t>
      </w:r>
    </w:p>
    <w:p w14:paraId="2A3F7797">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3 井壁处理后应无污泥、垃圾、油脂及有机涂层等附着物，井壁上的腐蚀层应清除干净</w:t>
      </w:r>
      <w:r>
        <w:rPr>
          <w:rFonts w:hint="default" w:ascii="Times New Roman" w:hAnsi="Times New Roman" w:cs="Times New Roman"/>
          <w:color w:val="auto"/>
          <w:kern w:val="2"/>
          <w:szCs w:val="24"/>
        </w:rPr>
        <w:t>；</w:t>
      </w:r>
    </w:p>
    <w:p w14:paraId="2133D8B1">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4 井壁有渗漏水时应进行止水处理。</w:t>
      </w:r>
    </w:p>
    <w:p w14:paraId="414CF73E">
      <w:pPr>
        <w:rPr>
          <w:rFonts w:hint="default" w:ascii="Times New Roman" w:hAnsi="Times New Roman" w:cs="Times New Roman"/>
          <w:kern w:val="2"/>
          <w:szCs w:val="24"/>
        </w:rPr>
      </w:pPr>
      <w:r>
        <w:rPr>
          <w:rFonts w:hint="default" w:ascii="Times New Roman" w:hAnsi="Times New Roman" w:cs="Times New Roman"/>
          <w:b/>
          <w:bCs/>
          <w:kern w:val="2"/>
          <w:szCs w:val="24"/>
        </w:rPr>
        <w:t>6.13.2</w:t>
      </w:r>
      <w:r>
        <w:rPr>
          <w:rFonts w:hint="default" w:ascii="Times New Roman" w:hAnsi="Times New Roman" w:cs="Times New Roman"/>
          <w:kern w:val="2"/>
          <w:szCs w:val="24"/>
        </w:rPr>
        <w:t xml:space="preserve"> 检查井井周的空洞宜采取注浆方式填充密实，</w:t>
      </w:r>
      <w:r>
        <w:rPr>
          <w:rFonts w:hint="default" w:ascii="Times New Roman" w:hAnsi="Times New Roman" w:cs="Times New Roman"/>
          <w:color w:val="auto"/>
          <w:kern w:val="2"/>
          <w:szCs w:val="24"/>
        </w:rPr>
        <w:t>应根据周边管线布设情况，通过试验合理确定注浆压力、注浆量、注浆范围</w:t>
      </w:r>
      <w:r>
        <w:rPr>
          <w:rFonts w:hint="default" w:ascii="Times New Roman" w:hAnsi="Times New Roman" w:cs="Times New Roman"/>
          <w:kern w:val="2"/>
          <w:szCs w:val="24"/>
        </w:rPr>
        <w:t>。</w:t>
      </w:r>
    </w:p>
    <w:p w14:paraId="3EB11D2E">
      <w:pPr>
        <w:rPr>
          <w:rFonts w:hint="default" w:ascii="Times New Roman" w:hAnsi="Times New Roman" w:cs="Times New Roman"/>
          <w:kern w:val="2"/>
          <w:szCs w:val="24"/>
        </w:rPr>
      </w:pPr>
      <w:r>
        <w:rPr>
          <w:rFonts w:hint="default" w:ascii="Times New Roman" w:hAnsi="Times New Roman" w:cs="Times New Roman"/>
          <w:b/>
          <w:bCs/>
          <w:kern w:val="2"/>
          <w:szCs w:val="24"/>
        </w:rPr>
        <w:t>6.13.3</w:t>
      </w:r>
      <w:r>
        <w:rPr>
          <w:rFonts w:hint="default" w:ascii="Times New Roman" w:hAnsi="Times New Roman" w:cs="Times New Roman"/>
          <w:kern w:val="2"/>
          <w:szCs w:val="24"/>
        </w:rPr>
        <w:t xml:space="preserve"> 检查井内爬梯的更新应在内衬修复前完成。</w:t>
      </w:r>
    </w:p>
    <w:p w14:paraId="4DEFE432">
      <w:pPr>
        <w:rPr>
          <w:rFonts w:hint="default" w:ascii="Times New Roman" w:hAnsi="Times New Roman" w:cs="Times New Roman"/>
          <w:kern w:val="2"/>
          <w:szCs w:val="24"/>
        </w:rPr>
      </w:pPr>
      <w:r>
        <w:rPr>
          <w:rFonts w:hint="default" w:ascii="Times New Roman" w:hAnsi="Times New Roman" w:cs="Times New Roman"/>
          <w:b/>
          <w:bCs/>
          <w:kern w:val="2"/>
          <w:szCs w:val="24"/>
        </w:rPr>
        <w:t>6.13.4</w:t>
      </w:r>
      <w:r>
        <w:rPr>
          <w:rFonts w:hint="default" w:ascii="Times New Roman" w:hAnsi="Times New Roman" w:cs="Times New Roman"/>
          <w:kern w:val="2"/>
          <w:szCs w:val="24"/>
        </w:rPr>
        <w:t xml:space="preserve"> 采用水泥砂浆离心喷涂修复时应符合下列规定：</w:t>
      </w:r>
    </w:p>
    <w:p w14:paraId="381DD2A4">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1 应将离心旋喷器居中置于井内，待旋喷器运行平稳后方可喷涂施工；</w:t>
      </w:r>
    </w:p>
    <w:p w14:paraId="6F9FC278">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2 在离心喷涂过程中旋喷器下放和提升速度不宜大于3m/min;</w:t>
      </w:r>
    </w:p>
    <w:p w14:paraId="6D432B56">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3 若离心喷涂过程因故中断应及时清理设备，避免堵塞；</w:t>
      </w:r>
    </w:p>
    <w:p w14:paraId="0873188B">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4 喷涂完成后可保留内衬原始形态，也可根据要求对表面进行压抹。</w:t>
      </w:r>
    </w:p>
    <w:p w14:paraId="79A58AC9">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5 喷涂施工前应保证基底处于湿润状态，但不得有明显水滴或流水。</w:t>
      </w:r>
    </w:p>
    <w:p w14:paraId="53E404DE">
      <w:pPr>
        <w:widowControl/>
        <w:autoSpaceDE w:val="0"/>
        <w:autoSpaceDN w:val="0"/>
        <w:adjustRightInd w:val="0"/>
        <w:ind w:firstLine="480" w:firstLineChars="200"/>
        <w:jc w:val="left"/>
        <w:rPr>
          <w:rFonts w:hint="default" w:ascii="Times New Roman" w:hAnsi="Times New Roman" w:cs="Times New Roman"/>
          <w:kern w:val="2"/>
          <w:szCs w:val="24"/>
        </w:rPr>
      </w:pPr>
      <w:r>
        <w:rPr>
          <w:rFonts w:hint="default" w:ascii="Times New Roman" w:hAnsi="Times New Roman" w:cs="Times New Roman"/>
          <w:kern w:val="2"/>
          <w:szCs w:val="24"/>
        </w:rPr>
        <w:t>6 当环境温度低于0℃时不宜进行喷涂施工</w:t>
      </w:r>
      <w:r>
        <w:rPr>
          <w:rFonts w:hint="default" w:ascii="Times New Roman" w:hAnsi="Times New Roman" w:cs="Times New Roman"/>
          <w:color w:val="auto"/>
          <w:kern w:val="2"/>
          <w:szCs w:val="24"/>
        </w:rPr>
        <w:t>或采取保温措施</w:t>
      </w:r>
      <w:r>
        <w:rPr>
          <w:rFonts w:hint="default" w:ascii="Times New Roman" w:hAnsi="Times New Roman" w:cs="Times New Roman"/>
          <w:kern w:val="2"/>
          <w:szCs w:val="24"/>
        </w:rPr>
        <w:t>；当环境温度高于35℃时应采取降温措施。</w:t>
      </w:r>
    </w:p>
    <w:p w14:paraId="36367E4B">
      <w:pPr>
        <w:rPr>
          <w:rFonts w:hint="default" w:ascii="Times New Roman" w:hAnsi="Times New Roman" w:cs="Times New Roman"/>
          <w:kern w:val="2"/>
          <w:szCs w:val="24"/>
        </w:rPr>
      </w:pPr>
      <w:r>
        <w:rPr>
          <w:rFonts w:hint="default" w:ascii="Times New Roman" w:hAnsi="Times New Roman" w:cs="Times New Roman"/>
          <w:b/>
          <w:bCs/>
          <w:kern w:val="2"/>
          <w:szCs w:val="24"/>
        </w:rPr>
        <w:t>6.13.5</w:t>
      </w:r>
      <w:r>
        <w:rPr>
          <w:rFonts w:hint="default" w:ascii="Times New Roman" w:hAnsi="Times New Roman" w:cs="Times New Roman"/>
          <w:kern w:val="2"/>
          <w:szCs w:val="24"/>
        </w:rPr>
        <w:t xml:space="preserve"> 修复检查井的井底与井壁结合部位应采取倒圆过渡，井底内衬厚度不应小于 20 mm。</w:t>
      </w:r>
    </w:p>
    <w:p w14:paraId="17BF6AF6">
      <w:pPr>
        <w:rPr>
          <w:rFonts w:hint="default" w:ascii="Times New Roman" w:hAnsi="Times New Roman" w:cs="Times New Roman"/>
          <w:kern w:val="2"/>
          <w:szCs w:val="24"/>
        </w:rPr>
      </w:pPr>
      <w:r>
        <w:rPr>
          <w:rFonts w:hint="default" w:ascii="Times New Roman" w:hAnsi="Times New Roman" w:cs="Times New Roman"/>
          <w:b/>
          <w:bCs/>
          <w:kern w:val="2"/>
          <w:szCs w:val="24"/>
        </w:rPr>
        <w:t xml:space="preserve">6.13.6 </w:t>
      </w:r>
      <w:r>
        <w:rPr>
          <w:rFonts w:hint="default" w:ascii="Times New Roman" w:hAnsi="Times New Roman" w:cs="Times New Roman"/>
          <w:kern w:val="2"/>
          <w:szCs w:val="24"/>
        </w:rPr>
        <w:t>喷涂法检查井修复施工应对喷涂材料用量、喷涂厚度、施工温度等进行记录。</w:t>
      </w:r>
    </w:p>
    <w:p w14:paraId="6B59FA9A">
      <w:pPr>
        <w:spacing w:line="360" w:lineRule="auto"/>
        <w:ind w:left="0" w:leftChars="0" w:firstLine="0" w:firstLineChars="0"/>
        <w:rPr>
          <w:rFonts w:hint="default" w:ascii="Times New Roman" w:hAnsi="Times New Roman" w:cs="Times New Roman"/>
          <w:color w:val="auto"/>
          <w:kern w:val="2"/>
          <w:sz w:val="28"/>
          <w:szCs w:val="28"/>
        </w:rPr>
      </w:pPr>
      <w:r>
        <w:rPr>
          <w:rFonts w:hint="default" w:ascii="Times New Roman" w:hAnsi="Times New Roman" w:cs="Times New Roman"/>
          <w:b/>
          <w:bCs/>
          <w:kern w:val="2"/>
          <w:szCs w:val="24"/>
        </w:rPr>
        <w:t xml:space="preserve">6.13.7 </w:t>
      </w:r>
      <w:r>
        <w:rPr>
          <w:rFonts w:hint="default" w:ascii="Times New Roman" w:hAnsi="Times New Roman" w:cs="Times New Roman"/>
          <w:color w:val="auto"/>
          <w:kern w:val="2"/>
          <w:szCs w:val="24"/>
        </w:rPr>
        <w:t>当检查井的结构、材料等损坏严重或尺寸不能满足非开挖修复的施工要求时，应及时进行拆除、重建，有条件时可与工作坑合并设置</w:t>
      </w:r>
      <w:r>
        <w:rPr>
          <w:rFonts w:hint="default" w:ascii="Times New Roman" w:hAnsi="Times New Roman" w:cs="Times New Roman"/>
          <w:kern w:val="2"/>
          <w:szCs w:val="24"/>
        </w:rPr>
        <w:t>。</w:t>
      </w:r>
    </w:p>
    <w:p w14:paraId="3B5AC950">
      <w:pPr>
        <w:spacing w:line="360" w:lineRule="auto"/>
        <w:ind w:firstLine="0" w:firstLineChars="0"/>
        <w:rPr>
          <w:rFonts w:hint="default" w:ascii="Times New Roman" w:hAnsi="Times New Roman" w:cs="Times New Roman"/>
          <w:color w:val="auto"/>
          <w:kern w:val="2"/>
          <w:sz w:val="28"/>
          <w:szCs w:val="28"/>
        </w:rPr>
        <w:sectPr>
          <w:pgSz w:w="11906" w:h="16838"/>
          <w:pgMar w:top="1440" w:right="1800" w:bottom="1440" w:left="1800" w:header="851" w:footer="992" w:gutter="0"/>
          <w:pgNumType w:fmt="decimal"/>
          <w:cols w:space="425" w:num="1"/>
          <w:docGrid w:type="lines" w:linePitch="312" w:charSpace="0"/>
        </w:sectPr>
      </w:pPr>
    </w:p>
    <w:p w14:paraId="17151488">
      <w:pPr>
        <w:spacing w:line="360" w:lineRule="auto"/>
        <w:jc w:val="center"/>
        <w:outlineLvl w:val="0"/>
        <w:rPr>
          <w:rFonts w:hint="default" w:ascii="Times New Roman" w:hAnsi="Times New Roman" w:eastAsia="宋体" w:cs="Times New Roman"/>
          <w:b/>
          <w:bCs/>
          <w:color w:val="auto"/>
          <w:kern w:val="2"/>
          <w:sz w:val="32"/>
          <w:szCs w:val="32"/>
          <w:lang w:eastAsia="zh-CN"/>
        </w:rPr>
      </w:pPr>
      <w:bookmarkStart w:id="342" w:name="_Toc6968"/>
      <w:r>
        <w:rPr>
          <w:rFonts w:hint="default" w:ascii="Times New Roman" w:hAnsi="Times New Roman" w:cs="Times New Roman"/>
          <w:b/>
          <w:bCs/>
          <w:color w:val="auto"/>
          <w:kern w:val="2"/>
          <w:sz w:val="32"/>
          <w:szCs w:val="32"/>
          <w:lang w:val="en-US" w:eastAsia="zh-CN"/>
        </w:rPr>
        <w:t>7</w:t>
      </w:r>
      <w:r>
        <w:rPr>
          <w:rFonts w:hint="default" w:ascii="Times New Roman" w:hAnsi="Times New Roman" w:cs="Times New Roman"/>
          <w:b/>
          <w:bCs/>
          <w:color w:val="auto"/>
          <w:kern w:val="2"/>
          <w:sz w:val="32"/>
          <w:szCs w:val="32"/>
        </w:rPr>
        <w:t xml:space="preserve"> </w:t>
      </w:r>
      <w:r>
        <w:rPr>
          <w:rFonts w:hint="default" w:ascii="Times New Roman" w:hAnsi="Times New Roman" w:cs="Times New Roman"/>
          <w:b/>
          <w:bCs/>
          <w:color w:val="auto"/>
          <w:kern w:val="2"/>
          <w:sz w:val="32"/>
          <w:szCs w:val="32"/>
          <w:lang w:val="en-US" w:eastAsia="zh-CN"/>
        </w:rPr>
        <w:t>验收</w:t>
      </w:r>
      <w:bookmarkEnd w:id="342"/>
    </w:p>
    <w:p w14:paraId="5BEA9EF1">
      <w:pPr>
        <w:pStyle w:val="3"/>
        <w:jc w:val="center"/>
        <w:rPr>
          <w:rFonts w:hint="default" w:ascii="Times New Roman" w:hAnsi="Times New Roman" w:eastAsia="宋体" w:cs="Times New Roman"/>
          <w:lang w:eastAsia="zh-CN"/>
        </w:rPr>
      </w:pPr>
      <w:bookmarkStart w:id="343" w:name="_Toc19499"/>
      <w:r>
        <w:rPr>
          <w:rFonts w:hint="default" w:ascii="Times New Roman" w:hAnsi="Times New Roman" w:eastAsia="宋体" w:cs="Times New Roman"/>
          <w:lang w:val="en-US" w:eastAsia="zh-CN"/>
        </w:rPr>
        <w:t>7</w:t>
      </w:r>
      <w:r>
        <w:rPr>
          <w:rFonts w:hint="default" w:ascii="Times New Roman" w:hAnsi="Times New Roman" w:eastAsia="宋体" w:cs="Times New Roman"/>
        </w:rPr>
        <w:t>.1一般规定</w:t>
      </w:r>
      <w:bookmarkEnd w:id="343"/>
    </w:p>
    <w:p w14:paraId="52770033">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1</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排水管道非开挖修复工程质量验收应符合现行国家标准《建筑与市政工程施工质量控制通用规范》GB55032和《给水排水管道工程施工及验收规范》GB50268的有关规定。</w:t>
      </w:r>
    </w:p>
    <w:p w14:paraId="21C020C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2</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管道非开挖修复工程的分项、分部和单位工程的划分宜符合</w:t>
      </w:r>
      <w:r>
        <w:rPr>
          <w:rFonts w:hint="default" w:ascii="Times New Roman" w:hAnsi="Times New Roman" w:cs="Times New Roman"/>
          <w:color w:val="auto"/>
          <w:kern w:val="2"/>
          <w:sz w:val="24"/>
          <w:szCs w:val="24"/>
          <w:lang w:val="en-US" w:eastAsia="zh-CN"/>
        </w:rPr>
        <w:t>表7.1.2</w:t>
      </w:r>
      <w:r>
        <w:rPr>
          <w:rFonts w:hint="default" w:ascii="Times New Roman" w:hAnsi="Times New Roman" w:cs="Times New Roman"/>
          <w:color w:val="auto"/>
          <w:kern w:val="2"/>
          <w:sz w:val="24"/>
          <w:szCs w:val="24"/>
        </w:rPr>
        <w:t>的规定。</w:t>
      </w:r>
    </w:p>
    <w:p w14:paraId="614D82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2"/>
          <w:sz w:val="24"/>
          <w:szCs w:val="24"/>
          <w:highlight w:val="none"/>
        </w:rPr>
      </w:pPr>
      <w:r>
        <w:rPr>
          <w:rFonts w:hint="default" w:ascii="Times New Roman" w:hAnsi="Times New Roman" w:cs="Times New Roman"/>
          <w:b/>
          <w:bCs/>
          <w:color w:val="auto"/>
          <w:kern w:val="2"/>
          <w:sz w:val="24"/>
          <w:szCs w:val="24"/>
          <w:highlight w:val="none"/>
        </w:rPr>
        <w:t>表</w:t>
      </w:r>
      <w:r>
        <w:rPr>
          <w:rFonts w:hint="default" w:ascii="Times New Roman" w:hAnsi="Times New Roman" w:cs="Times New Roman"/>
          <w:b/>
          <w:bCs/>
          <w:color w:val="auto"/>
          <w:kern w:val="2"/>
          <w:sz w:val="24"/>
          <w:szCs w:val="24"/>
          <w:highlight w:val="none"/>
          <w:lang w:val="en-US" w:eastAsia="zh-CN"/>
        </w:rPr>
        <w:t>7</w:t>
      </w:r>
      <w:r>
        <w:rPr>
          <w:rFonts w:hint="default" w:ascii="Times New Roman" w:hAnsi="Times New Roman" w:cs="Times New Roman"/>
          <w:b/>
          <w:bCs/>
          <w:color w:val="auto"/>
          <w:kern w:val="2"/>
          <w:sz w:val="24"/>
          <w:szCs w:val="24"/>
          <w:highlight w:val="none"/>
        </w:rPr>
        <w:t>.1.</w:t>
      </w:r>
      <w:r>
        <w:rPr>
          <w:rFonts w:hint="default" w:ascii="Times New Roman" w:hAnsi="Times New Roman" w:cs="Times New Roman"/>
          <w:b/>
          <w:bCs/>
          <w:color w:val="auto"/>
          <w:kern w:val="2"/>
          <w:sz w:val="24"/>
          <w:szCs w:val="24"/>
          <w:highlight w:val="none"/>
          <w:lang w:val="en-US" w:eastAsia="zh-CN"/>
        </w:rPr>
        <w:t>2</w:t>
      </w:r>
      <w:r>
        <w:rPr>
          <w:rFonts w:hint="default" w:ascii="Times New Roman" w:hAnsi="Times New Roman" w:cs="Times New Roman"/>
          <w:b/>
          <w:bCs/>
          <w:color w:val="auto"/>
          <w:kern w:val="2"/>
          <w:sz w:val="24"/>
          <w:szCs w:val="24"/>
          <w:highlight w:val="none"/>
        </w:rPr>
        <w:t xml:space="preserve"> 管道非开挖修复工程的分项、分部和单位工程划分</w:t>
      </w:r>
    </w:p>
    <w:tbl>
      <w:tblPr>
        <w:tblStyle w:val="13"/>
        <w:tblW w:w="83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5"/>
        <w:gridCol w:w="2700"/>
        <w:gridCol w:w="3488"/>
        <w:gridCol w:w="1517"/>
      </w:tblGrid>
      <w:tr w14:paraId="36D17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8390" w:type="dxa"/>
            <w:gridSpan w:val="4"/>
            <w:tcBorders>
              <w:top w:val="single" w:color="474747" w:sz="8" w:space="0"/>
              <w:left w:val="single" w:color="474747" w:sz="8" w:space="0"/>
              <w:bottom w:val="single" w:color="888E93" w:sz="8" w:space="0"/>
              <w:right w:val="single" w:color="474747" w:sz="8" w:space="0"/>
            </w:tcBorders>
            <w:shd w:val="clear" w:color="auto" w:fill="FFFFFF"/>
            <w:vAlign w:val="center"/>
          </w:tcPr>
          <w:p w14:paraId="64DBCD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单位工程</w:t>
            </w:r>
          </w:p>
          <w:p w14:paraId="6161F4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（1个施工合同或视工程规模按1个路段、1种施工工艺，分为1个或若干个单位工程）</w:t>
            </w:r>
          </w:p>
        </w:tc>
      </w:tr>
      <w:tr w14:paraId="10F4A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3385" w:type="dxa"/>
            <w:gridSpan w:val="2"/>
            <w:tcBorders>
              <w:top w:val="single" w:color="888E93" w:sz="8" w:space="0"/>
              <w:left w:val="single" w:color="474747" w:sz="8" w:space="0"/>
              <w:bottom w:val="single" w:color="888E93" w:sz="8" w:space="0"/>
              <w:right w:val="single" w:color="888E93" w:sz="8" w:space="0"/>
            </w:tcBorders>
            <w:shd w:val="clear" w:color="auto" w:fill="FFFFFF"/>
            <w:vAlign w:val="center"/>
          </w:tcPr>
          <w:p w14:paraId="1830AB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分部工程</w:t>
            </w:r>
            <w:r>
              <w:rPr>
                <w:rFonts w:hint="default" w:ascii="Times New Roman" w:hAnsi="Times New Roman" w:cs="Times New Roman"/>
                <w:color w:val="auto"/>
                <w:kern w:val="2"/>
                <w:sz w:val="24"/>
                <w:szCs w:val="24"/>
                <w:lang w:val="en-US" w:eastAsia="zh-CN"/>
              </w:rPr>
              <w:br w:type="textWrapping"/>
            </w:r>
            <w:r>
              <w:rPr>
                <w:rFonts w:hint="default" w:ascii="Times New Roman" w:hAnsi="Times New Roman" w:cs="Times New Roman"/>
                <w:color w:val="auto"/>
                <w:kern w:val="2"/>
                <w:sz w:val="24"/>
                <w:szCs w:val="24"/>
                <w:lang w:val="en-US" w:eastAsia="zh-CN"/>
              </w:rPr>
              <w:t>（子分部工程）</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500BF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分项工程</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F9B5D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检验批</w:t>
            </w:r>
          </w:p>
        </w:tc>
      </w:tr>
      <w:tr w14:paraId="76A5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85" w:type="dxa"/>
            <w:vMerge w:val="restart"/>
            <w:tcBorders>
              <w:top w:val="single" w:color="888E93" w:sz="8" w:space="0"/>
              <w:left w:val="single" w:color="474747" w:sz="8" w:space="0"/>
              <w:bottom w:val="single" w:color="888E93" w:sz="8" w:space="0"/>
              <w:right w:val="single" w:color="888E93" w:sz="8" w:space="0"/>
            </w:tcBorders>
            <w:shd w:val="clear" w:color="auto" w:fill="FFFFFF"/>
            <w:vAlign w:val="center"/>
          </w:tcPr>
          <w:p w14:paraId="2B7E088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管道</w:t>
            </w:r>
          </w:p>
          <w:p w14:paraId="7B82B12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修复</w:t>
            </w: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4F10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管道预处理</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DECE1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临时封堵、导水、管道清洗、管道清掏和支撑、注浆、裂缝嵌补</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5A97E7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7BCA8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3911D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1EF84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翻转式原位固化法修复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E9C7D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软管翻转置入与软管固化、端口处理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54632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52A0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06FF74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7BD66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紫外光原位固化法修复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DCFBB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软管牵拉置入与软管固化、端口处理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CDF53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67AB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C0A2AB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4A7B27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管片内衬法修复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15797D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拼装制管、注浆、端口处理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D449B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7EACC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7A06A9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9E0B4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短管内衬法修复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54EEC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穿插置入、管节连接、注浆、端口处理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74703B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439DE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4AFC3F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C07758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机械螺旋缠绕法修复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3557EE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接卸螺旋缠绕、注浆、端口处理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67A7E14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3F2D9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2E1D84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EE53F2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水泥基喷筑法修复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7B4A86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喷涂、端口处理</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30228E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每个管段</w:t>
            </w:r>
          </w:p>
        </w:tc>
      </w:tr>
      <w:tr w14:paraId="1291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63E665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000F40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垫衬法修复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653936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46D78F6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每个点位</w:t>
            </w:r>
          </w:p>
        </w:tc>
      </w:tr>
      <w:tr w14:paraId="25780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57AF9D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1DDAB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点状原位固化法修复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FBA0F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4B85B6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每个点位</w:t>
            </w:r>
          </w:p>
        </w:tc>
      </w:tr>
      <w:tr w14:paraId="21092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76C0E83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CCCB7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不锈钢双胀环法修复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639C2D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675C4A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每个点位</w:t>
            </w:r>
          </w:p>
        </w:tc>
      </w:tr>
      <w:tr w14:paraId="742B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685" w:type="dxa"/>
            <w:vMerge w:val="continue"/>
            <w:tcBorders>
              <w:top w:val="single" w:color="888E93" w:sz="8" w:space="0"/>
              <w:left w:val="single" w:color="474747" w:sz="8" w:space="0"/>
              <w:bottom w:val="single" w:color="888E93" w:sz="8" w:space="0"/>
              <w:right w:val="single" w:color="888E93" w:sz="8" w:space="0"/>
            </w:tcBorders>
            <w:shd w:val="clear" w:color="auto" w:fill="FFFFFF"/>
            <w:vAlign w:val="center"/>
          </w:tcPr>
          <w:p w14:paraId="084349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3E022F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不锈钢快速锁法修复</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54BA9C4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50AE1D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每个点位</w:t>
            </w:r>
          </w:p>
        </w:tc>
      </w:tr>
      <w:tr w14:paraId="0021C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685" w:type="dxa"/>
            <w:vMerge w:val="restart"/>
            <w:tcBorders>
              <w:top w:val="single" w:color="888E93" w:sz="8" w:space="0"/>
              <w:left w:val="single" w:color="474747" w:sz="8" w:space="0"/>
              <w:bottom w:val="single" w:color="474747" w:sz="8" w:space="0"/>
              <w:right w:val="single" w:color="888E93" w:sz="8" w:space="0"/>
            </w:tcBorders>
            <w:shd w:val="clear" w:color="auto" w:fill="FFFFFF"/>
            <w:vAlign w:val="center"/>
          </w:tcPr>
          <w:p w14:paraId="08417E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检查井修复</w:t>
            </w:r>
          </w:p>
        </w:tc>
        <w:tc>
          <w:tcPr>
            <w:tcW w:w="2700"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02CC70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检查井地基加固</w:t>
            </w:r>
          </w:p>
        </w:tc>
        <w:tc>
          <w:tcPr>
            <w:tcW w:w="3488" w:type="dxa"/>
            <w:tcBorders>
              <w:top w:val="single" w:color="888E93" w:sz="8" w:space="0"/>
              <w:left w:val="single" w:color="888E93" w:sz="8" w:space="0"/>
              <w:bottom w:val="single" w:color="888E93" w:sz="8" w:space="0"/>
              <w:right w:val="single" w:color="888E93" w:sz="8" w:space="0"/>
            </w:tcBorders>
            <w:shd w:val="clear" w:color="auto" w:fill="FFFFFF"/>
            <w:vAlign w:val="center"/>
          </w:tcPr>
          <w:p w14:paraId="2ABF98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517" w:type="dxa"/>
            <w:tcBorders>
              <w:top w:val="single" w:color="888E93" w:sz="8" w:space="0"/>
              <w:left w:val="single" w:color="888E93" w:sz="8" w:space="0"/>
              <w:bottom w:val="single" w:color="888E93" w:sz="8" w:space="0"/>
              <w:right w:val="single" w:color="474747" w:sz="8" w:space="0"/>
            </w:tcBorders>
            <w:shd w:val="clear" w:color="auto" w:fill="FFFFFF"/>
            <w:vAlign w:val="center"/>
          </w:tcPr>
          <w:p w14:paraId="4F124C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每座检查井</w:t>
            </w:r>
          </w:p>
        </w:tc>
      </w:tr>
      <w:tr w14:paraId="2FED7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685" w:type="dxa"/>
            <w:vMerge w:val="continue"/>
            <w:tcBorders>
              <w:top w:val="single" w:color="888E93" w:sz="8" w:space="0"/>
              <w:left w:val="single" w:color="474747" w:sz="8" w:space="0"/>
              <w:bottom w:val="single" w:color="474747" w:sz="8" w:space="0"/>
              <w:right w:val="single" w:color="888E93" w:sz="8" w:space="0"/>
            </w:tcBorders>
            <w:shd w:val="clear" w:color="auto" w:fill="FFFFFF"/>
            <w:vAlign w:val="center"/>
          </w:tcPr>
          <w:p w14:paraId="3D4C19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p>
        </w:tc>
        <w:tc>
          <w:tcPr>
            <w:tcW w:w="2700"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29B609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检查井结构修复</w:t>
            </w:r>
          </w:p>
        </w:tc>
        <w:tc>
          <w:tcPr>
            <w:tcW w:w="3488" w:type="dxa"/>
            <w:tcBorders>
              <w:top w:val="single" w:color="888E93" w:sz="8" w:space="0"/>
              <w:left w:val="single" w:color="888E93" w:sz="8" w:space="0"/>
              <w:bottom w:val="single" w:color="474747" w:sz="8" w:space="0"/>
              <w:right w:val="single" w:color="888E93" w:sz="8" w:space="0"/>
            </w:tcBorders>
            <w:shd w:val="clear" w:color="auto" w:fill="FFFFFF"/>
            <w:vAlign w:val="center"/>
          </w:tcPr>
          <w:p w14:paraId="3DD064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检查井预处理、检查井结构修复</w:t>
            </w:r>
          </w:p>
        </w:tc>
        <w:tc>
          <w:tcPr>
            <w:tcW w:w="1517" w:type="dxa"/>
            <w:tcBorders>
              <w:top w:val="single" w:color="888E93" w:sz="8" w:space="0"/>
              <w:left w:val="single" w:color="888E93" w:sz="8" w:space="0"/>
              <w:bottom w:val="single" w:color="474747" w:sz="8" w:space="0"/>
              <w:right w:val="single" w:color="474747" w:sz="8" w:space="0"/>
            </w:tcBorders>
            <w:shd w:val="clear" w:color="auto" w:fill="FFFFFF"/>
            <w:vAlign w:val="center"/>
          </w:tcPr>
          <w:p w14:paraId="47AE6BD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每座检查井</w:t>
            </w:r>
          </w:p>
        </w:tc>
      </w:tr>
    </w:tbl>
    <w:p w14:paraId="56781E2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7.1.2本条中非开挖修复工程的单位、分项、分部工程的划分，参照了《城镇排水管道非开挖修复更新工程技术规程》CJJ/T210的有关规定并结合本规程管道修复技术分类。</w:t>
      </w:r>
    </w:p>
    <w:p w14:paraId="1D29764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rPr>
        <w:t>7.1.3</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单位工程、分部工程、分项工程以及分项工程验收批的质量验收记录应符合现行国家标准《给水排水管道工程施工及验收规范》GB50268的有关规定。</w:t>
      </w:r>
    </w:p>
    <w:p w14:paraId="11CD0F5D">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b/>
          <w:bCs/>
          <w:color w:val="auto"/>
          <w:kern w:val="2"/>
          <w:sz w:val="24"/>
          <w:szCs w:val="24"/>
        </w:rPr>
        <w:t>7.1.</w:t>
      </w:r>
      <w:r>
        <w:rPr>
          <w:rFonts w:hint="default" w:ascii="Times New Roman" w:hAnsi="Times New Roman" w:cs="Times New Roman"/>
          <w:b/>
          <w:bCs/>
          <w:color w:val="auto"/>
          <w:kern w:val="2"/>
          <w:sz w:val="24"/>
          <w:szCs w:val="24"/>
          <w:lang w:val="en-US" w:eastAsia="zh-CN"/>
        </w:rPr>
        <w:t>4</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进</w:t>
      </w:r>
      <w:r>
        <w:rPr>
          <w:rFonts w:hint="default" w:ascii="Times New Roman" w:hAnsi="Times New Roman" w:cs="Times New Roman"/>
          <w:color w:val="auto"/>
          <w:kern w:val="2"/>
          <w:sz w:val="24"/>
          <w:szCs w:val="24"/>
          <w:lang w:val="en-US" w:eastAsia="zh-CN"/>
        </w:rPr>
        <w:t>入</w:t>
      </w:r>
      <w:r>
        <w:rPr>
          <w:rFonts w:hint="default" w:ascii="Times New Roman" w:hAnsi="Times New Roman" w:cs="Times New Roman"/>
          <w:color w:val="auto"/>
          <w:kern w:val="2"/>
          <w:sz w:val="24"/>
          <w:szCs w:val="24"/>
        </w:rPr>
        <w:t>施工现场所用的主要原材料、各类型材和管材的</w:t>
      </w:r>
      <w:r>
        <w:rPr>
          <w:rFonts w:hint="default" w:ascii="Times New Roman" w:hAnsi="Times New Roman" w:cs="Times New Roman"/>
          <w:color w:val="auto"/>
          <w:kern w:val="2"/>
          <w:sz w:val="24"/>
          <w:szCs w:val="24"/>
          <w:lang w:val="en-US" w:eastAsia="zh-CN"/>
        </w:rPr>
        <w:t>规格</w:t>
      </w:r>
      <w:r>
        <w:rPr>
          <w:rFonts w:hint="default" w:ascii="Times New Roman" w:hAnsi="Times New Roman" w:cs="Times New Roman"/>
          <w:color w:val="auto"/>
          <w:kern w:val="2"/>
          <w:sz w:val="24"/>
          <w:szCs w:val="24"/>
        </w:rPr>
        <w:t>、尺寸、性能等应</w:t>
      </w:r>
      <w:r>
        <w:rPr>
          <w:rFonts w:hint="default" w:ascii="Times New Roman" w:hAnsi="Times New Roman" w:cs="Times New Roman"/>
          <w:color w:val="auto"/>
          <w:kern w:val="2"/>
          <w:sz w:val="24"/>
          <w:szCs w:val="24"/>
          <w:highlight w:val="none"/>
        </w:rPr>
        <w:t>符合本规程第4章的规定和设计要求，每一个单位工程的同一生产厂家、同一批次产品均应</w:t>
      </w:r>
      <w:r>
        <w:rPr>
          <w:rFonts w:hint="default" w:ascii="Times New Roman" w:hAnsi="Times New Roman" w:cs="Times New Roman"/>
          <w:color w:val="auto"/>
          <w:kern w:val="2"/>
          <w:sz w:val="24"/>
          <w:szCs w:val="24"/>
          <w:highlight w:val="none"/>
          <w:lang w:val="en-US" w:eastAsia="zh-CN"/>
        </w:rPr>
        <w:t>按</w:t>
      </w:r>
      <w:r>
        <w:rPr>
          <w:rFonts w:hint="default" w:ascii="Times New Roman" w:hAnsi="Times New Roman" w:cs="Times New Roman"/>
          <w:color w:val="auto"/>
          <w:kern w:val="2"/>
          <w:sz w:val="24"/>
          <w:szCs w:val="24"/>
          <w:highlight w:val="none"/>
        </w:rPr>
        <w:t>设计要求</w:t>
      </w:r>
      <w:r>
        <w:rPr>
          <w:rFonts w:hint="default" w:ascii="Times New Roman" w:hAnsi="Times New Roman" w:cs="Times New Roman"/>
          <w:color w:val="auto"/>
          <w:kern w:val="2"/>
          <w:sz w:val="24"/>
          <w:szCs w:val="24"/>
          <w:highlight w:val="none"/>
          <w:lang w:val="en-US" w:eastAsia="zh-CN"/>
        </w:rPr>
        <w:t>进行</w:t>
      </w:r>
      <w:r>
        <w:rPr>
          <w:rFonts w:hint="default" w:ascii="Times New Roman" w:hAnsi="Times New Roman" w:cs="Times New Roman"/>
          <w:color w:val="auto"/>
          <w:kern w:val="2"/>
          <w:sz w:val="24"/>
          <w:szCs w:val="24"/>
          <w:highlight w:val="none"/>
        </w:rPr>
        <w:t>性能</w:t>
      </w:r>
      <w:r>
        <w:rPr>
          <w:rFonts w:hint="default" w:ascii="Times New Roman" w:hAnsi="Times New Roman" w:cs="Times New Roman"/>
          <w:color w:val="auto"/>
          <w:kern w:val="2"/>
          <w:sz w:val="24"/>
          <w:szCs w:val="24"/>
          <w:highlight w:val="none"/>
          <w:lang w:val="en-US" w:eastAsia="zh-CN"/>
        </w:rPr>
        <w:t>复测</w:t>
      </w:r>
      <w:r>
        <w:rPr>
          <w:rFonts w:hint="default" w:ascii="Times New Roman" w:hAnsi="Times New Roman" w:cs="Times New Roman"/>
          <w:color w:val="auto"/>
          <w:kern w:val="2"/>
          <w:sz w:val="24"/>
          <w:szCs w:val="24"/>
          <w:highlight w:val="none"/>
        </w:rPr>
        <w:t>，并应符合下列规定：</w:t>
      </w:r>
    </w:p>
    <w:p w14:paraId="0E4D7A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kern w:val="2"/>
          <w:sz w:val="24"/>
          <w:szCs w:val="24"/>
          <w:highlight w:val="none"/>
        </w:rPr>
      </w:pPr>
      <w:r>
        <w:rPr>
          <w:rFonts w:hint="default" w:ascii="Times New Roman" w:hAnsi="Times New Roman" w:cs="Times New Roman"/>
          <w:b w:val="0"/>
          <w:bCs w:val="0"/>
          <w:color w:val="auto"/>
          <w:kern w:val="2"/>
          <w:sz w:val="24"/>
          <w:szCs w:val="24"/>
          <w:highlight w:val="none"/>
        </w:rPr>
        <w:t>1</w:t>
      </w:r>
      <w:r>
        <w:rPr>
          <w:rFonts w:hint="default" w:ascii="Times New Roman" w:hAnsi="Times New Roman" w:cs="Times New Roman"/>
          <w:b w:val="0"/>
          <w:bCs w:val="0"/>
          <w:color w:val="auto"/>
          <w:kern w:val="2"/>
          <w:sz w:val="24"/>
          <w:szCs w:val="24"/>
          <w:highlight w:val="none"/>
          <w:lang w:val="en-US" w:eastAsia="zh-CN"/>
        </w:rPr>
        <w:t xml:space="preserve">  </w:t>
      </w:r>
      <w:r>
        <w:rPr>
          <w:rFonts w:hint="default" w:ascii="Times New Roman" w:hAnsi="Times New Roman" w:cs="Times New Roman"/>
          <w:b w:val="0"/>
          <w:bCs w:val="0"/>
          <w:color w:val="auto"/>
          <w:kern w:val="2"/>
          <w:sz w:val="24"/>
          <w:szCs w:val="24"/>
          <w:highlight w:val="none"/>
        </w:rPr>
        <w:t>PE管材的性能</w:t>
      </w:r>
      <w:r>
        <w:rPr>
          <w:rFonts w:hint="default" w:ascii="Times New Roman" w:hAnsi="Times New Roman" w:cs="Times New Roman"/>
          <w:b w:val="0"/>
          <w:bCs w:val="0"/>
          <w:color w:val="auto"/>
          <w:kern w:val="2"/>
          <w:sz w:val="24"/>
          <w:szCs w:val="24"/>
          <w:highlight w:val="none"/>
          <w:lang w:val="en-US" w:eastAsia="zh-CN"/>
        </w:rPr>
        <w:t>复测</w:t>
      </w:r>
      <w:r>
        <w:rPr>
          <w:rFonts w:hint="default" w:ascii="Times New Roman" w:hAnsi="Times New Roman" w:cs="Times New Roman"/>
          <w:b w:val="0"/>
          <w:bCs w:val="0"/>
          <w:color w:val="auto"/>
          <w:kern w:val="2"/>
          <w:sz w:val="24"/>
          <w:szCs w:val="24"/>
          <w:highlight w:val="none"/>
        </w:rPr>
        <w:t>应</w:t>
      </w:r>
      <w:r>
        <w:rPr>
          <w:rFonts w:hint="default" w:ascii="Times New Roman" w:hAnsi="Times New Roman" w:cs="Times New Roman"/>
          <w:b w:val="0"/>
          <w:bCs w:val="0"/>
          <w:color w:val="auto"/>
          <w:kern w:val="2"/>
          <w:sz w:val="24"/>
          <w:szCs w:val="24"/>
          <w:highlight w:val="none"/>
          <w:lang w:val="en-US" w:eastAsia="zh-CN"/>
        </w:rPr>
        <w:t>包括</w:t>
      </w:r>
      <w:r>
        <w:rPr>
          <w:rFonts w:hint="default" w:ascii="Times New Roman" w:hAnsi="Times New Roman" w:cs="Times New Roman"/>
          <w:b w:val="0"/>
          <w:bCs w:val="0"/>
          <w:color w:val="auto"/>
          <w:kern w:val="2"/>
          <w:sz w:val="24"/>
          <w:szCs w:val="24"/>
          <w:highlight w:val="none"/>
        </w:rPr>
        <w:t>管环刚度、环柔</w:t>
      </w:r>
      <w:r>
        <w:rPr>
          <w:rFonts w:hint="default" w:ascii="Times New Roman" w:hAnsi="Times New Roman" w:cs="Times New Roman"/>
          <w:b w:val="0"/>
          <w:bCs w:val="0"/>
          <w:color w:val="auto"/>
          <w:kern w:val="2"/>
          <w:sz w:val="24"/>
          <w:szCs w:val="24"/>
          <w:highlight w:val="none"/>
          <w:lang w:val="en-US" w:eastAsia="zh-CN"/>
        </w:rPr>
        <w:t>性</w:t>
      </w:r>
      <w:r>
        <w:rPr>
          <w:rFonts w:hint="default" w:ascii="Times New Roman" w:hAnsi="Times New Roman" w:cs="Times New Roman"/>
          <w:b w:val="0"/>
          <w:bCs w:val="0"/>
          <w:color w:val="auto"/>
          <w:kern w:val="2"/>
          <w:sz w:val="24"/>
          <w:szCs w:val="24"/>
          <w:highlight w:val="none"/>
        </w:rPr>
        <w:t>、</w:t>
      </w:r>
      <w:r>
        <w:rPr>
          <w:rFonts w:hint="default" w:ascii="Times New Roman" w:hAnsi="Times New Roman" w:cs="Times New Roman"/>
          <w:b w:val="0"/>
          <w:bCs w:val="0"/>
          <w:color w:val="auto"/>
          <w:kern w:val="2"/>
          <w:sz w:val="24"/>
          <w:szCs w:val="24"/>
          <w:highlight w:val="none"/>
          <w:lang w:val="en-US" w:eastAsia="zh-CN"/>
        </w:rPr>
        <w:t>拉伸</w:t>
      </w:r>
      <w:r>
        <w:rPr>
          <w:rFonts w:hint="default" w:ascii="Times New Roman" w:hAnsi="Times New Roman" w:cs="Times New Roman"/>
          <w:b w:val="0"/>
          <w:bCs w:val="0"/>
          <w:color w:val="auto"/>
          <w:kern w:val="2"/>
          <w:sz w:val="24"/>
          <w:szCs w:val="24"/>
          <w:highlight w:val="none"/>
        </w:rPr>
        <w:t>屈服应力等；</w:t>
      </w:r>
    </w:p>
    <w:p w14:paraId="582C83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b w:val="0"/>
          <w:bCs w:val="0"/>
          <w:color w:val="auto"/>
          <w:kern w:val="2"/>
          <w:sz w:val="24"/>
          <w:szCs w:val="24"/>
          <w:highlight w:val="none"/>
        </w:rPr>
        <w:t>2</w:t>
      </w:r>
      <w:r>
        <w:rPr>
          <w:rFonts w:hint="default" w:ascii="Times New Roman" w:hAnsi="Times New Roman" w:cs="Times New Roman"/>
          <w:b w:val="0"/>
          <w:bCs w:val="0"/>
          <w:color w:val="auto"/>
          <w:kern w:val="2"/>
          <w:sz w:val="24"/>
          <w:szCs w:val="24"/>
          <w:highlight w:val="none"/>
          <w:lang w:val="en-US" w:eastAsia="zh-CN"/>
        </w:rPr>
        <w:t xml:space="preserve"> </w:t>
      </w: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color w:val="auto"/>
          <w:kern w:val="2"/>
          <w:sz w:val="24"/>
          <w:szCs w:val="24"/>
          <w:highlight w:val="none"/>
        </w:rPr>
        <w:t>PVC-U</w:t>
      </w:r>
      <w:r>
        <w:rPr>
          <w:rFonts w:hint="default" w:ascii="Times New Roman" w:hAnsi="Times New Roman" w:cs="Times New Roman"/>
          <w:color w:val="auto"/>
          <w:kern w:val="2"/>
          <w:sz w:val="24"/>
          <w:szCs w:val="24"/>
        </w:rPr>
        <w:t>管材的性能</w:t>
      </w:r>
      <w:r>
        <w:rPr>
          <w:rFonts w:hint="default" w:ascii="Times New Roman" w:hAnsi="Times New Roman" w:cs="Times New Roman"/>
          <w:color w:val="auto"/>
          <w:kern w:val="2"/>
          <w:sz w:val="24"/>
          <w:szCs w:val="24"/>
          <w:lang w:val="en-US" w:eastAsia="zh-CN"/>
        </w:rPr>
        <w:t>复测</w:t>
      </w:r>
      <w:r>
        <w:rPr>
          <w:rFonts w:hint="default" w:ascii="Times New Roman" w:hAnsi="Times New Roman" w:cs="Times New Roman"/>
          <w:color w:val="auto"/>
          <w:kern w:val="2"/>
          <w:sz w:val="24"/>
          <w:szCs w:val="24"/>
        </w:rPr>
        <w:t>应</w:t>
      </w:r>
      <w:r>
        <w:rPr>
          <w:rFonts w:hint="default" w:ascii="Times New Roman" w:hAnsi="Times New Roman" w:cs="Times New Roman"/>
          <w:color w:val="auto"/>
          <w:kern w:val="2"/>
          <w:sz w:val="24"/>
          <w:szCs w:val="24"/>
          <w:lang w:val="en-US" w:eastAsia="zh-CN"/>
        </w:rPr>
        <w:t>包括</w:t>
      </w:r>
      <w:r>
        <w:rPr>
          <w:rFonts w:hint="default" w:ascii="Times New Roman" w:hAnsi="Times New Roman" w:cs="Times New Roman"/>
          <w:color w:val="auto"/>
          <w:kern w:val="2"/>
          <w:sz w:val="24"/>
          <w:szCs w:val="24"/>
        </w:rPr>
        <w:t>管环刚度、环柔</w:t>
      </w:r>
      <w:r>
        <w:rPr>
          <w:rFonts w:hint="default" w:ascii="Times New Roman" w:hAnsi="Times New Roman" w:cs="Times New Roman"/>
          <w:color w:val="auto"/>
          <w:kern w:val="2"/>
          <w:sz w:val="24"/>
          <w:szCs w:val="24"/>
          <w:lang w:val="en-US" w:eastAsia="zh-CN"/>
        </w:rPr>
        <w:t>性</w:t>
      </w:r>
      <w:r>
        <w:rPr>
          <w:rFonts w:hint="default" w:ascii="Times New Roman" w:hAnsi="Times New Roman" w:cs="Times New Roman"/>
          <w:color w:val="auto"/>
          <w:kern w:val="2"/>
          <w:sz w:val="24"/>
          <w:szCs w:val="24"/>
        </w:rPr>
        <w:t>、抗冲击强度</w:t>
      </w:r>
      <w:r>
        <w:rPr>
          <w:rFonts w:hint="default"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密度</w:t>
      </w:r>
      <w:r>
        <w:rPr>
          <w:rFonts w:hint="default" w:ascii="Times New Roman" w:hAnsi="Times New Roman" w:cs="Times New Roman"/>
          <w:color w:val="auto"/>
          <w:kern w:val="2"/>
          <w:sz w:val="24"/>
          <w:szCs w:val="24"/>
          <w:lang w:val="en-US" w:eastAsia="zh-CN"/>
        </w:rPr>
        <w:t>和维卡软化温度</w:t>
      </w:r>
      <w:r>
        <w:rPr>
          <w:rFonts w:hint="default" w:ascii="Times New Roman" w:hAnsi="Times New Roman" w:cs="Times New Roman"/>
          <w:color w:val="auto"/>
          <w:kern w:val="2"/>
          <w:sz w:val="24"/>
          <w:szCs w:val="24"/>
          <w:lang w:eastAsia="zh-CN"/>
        </w:rPr>
        <w:t>。</w:t>
      </w:r>
    </w:p>
    <w:p w14:paraId="4099C753">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5</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管道非开挖修复工程的主要材料现场取样应符合下列规定</w:t>
      </w:r>
      <w:r>
        <w:rPr>
          <w:rFonts w:hint="default" w:ascii="Times New Roman" w:hAnsi="Times New Roman" w:cs="Times New Roman"/>
          <w:color w:val="auto"/>
          <w:kern w:val="2"/>
          <w:sz w:val="24"/>
          <w:szCs w:val="24"/>
          <w:lang w:eastAsia="zh-CN"/>
        </w:rPr>
        <w:t>：</w:t>
      </w:r>
    </w:p>
    <w:p w14:paraId="6319916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rPr>
        <w:t>1</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rPr>
        <w:t>现场取样材料的规格及尺寸应满足检测要求</w:t>
      </w:r>
      <w:r>
        <w:rPr>
          <w:rFonts w:hint="default" w:ascii="Times New Roman" w:hAnsi="Times New Roman" w:cs="Times New Roman"/>
          <w:b w:val="0"/>
          <w:bCs w:val="0"/>
          <w:color w:val="auto"/>
          <w:kern w:val="2"/>
          <w:sz w:val="24"/>
          <w:szCs w:val="24"/>
          <w:lang w:eastAsia="zh-CN"/>
        </w:rPr>
        <w:t>；</w:t>
      </w:r>
    </w:p>
    <w:p w14:paraId="572716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lang w:val="en-US" w:eastAsia="zh-CN"/>
        </w:rPr>
        <w:t>2</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rPr>
        <w:t>采用翻转式原位固化法、紫外光原位固化法施工时，每一个单位工程在相同施工条件下的同一批次产品均应现场制作样品管进行取样检测</w:t>
      </w:r>
      <w:r>
        <w:rPr>
          <w:rFonts w:hint="default" w:ascii="Times New Roman" w:hAnsi="Times New Roman" w:cs="Times New Roman"/>
          <w:b w:val="0"/>
          <w:bCs w:val="0"/>
          <w:color w:val="auto"/>
          <w:kern w:val="2"/>
          <w:sz w:val="24"/>
          <w:szCs w:val="24"/>
          <w:lang w:eastAsia="zh-CN"/>
        </w:rPr>
        <w:t>；</w:t>
      </w:r>
    </w:p>
    <w:p w14:paraId="183B6F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lang w:val="en-US" w:eastAsia="zh-CN"/>
        </w:rPr>
        <w:t>3</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rPr>
        <w:t>采用点状原位固化法、管片内衬法进行局部修复施工时，每一个单位工程在相同施工条件下的同一批次产品应现场制作样品板进行取样检测。</w:t>
      </w:r>
    </w:p>
    <w:p w14:paraId="76E8C1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kern w:val="2"/>
          <w:sz w:val="24"/>
          <w:szCs w:val="24"/>
          <w:lang w:eastAsia="zh-CN"/>
        </w:rPr>
      </w:pPr>
      <w:r>
        <w:rPr>
          <w:rFonts w:hint="default" w:ascii="Times New Roman" w:hAnsi="Times New Roman" w:cs="Times New Roman"/>
          <w:b w:val="0"/>
          <w:bCs w:val="0"/>
          <w:color w:val="auto"/>
          <w:kern w:val="2"/>
          <w:sz w:val="24"/>
          <w:szCs w:val="24"/>
          <w:highlight w:val="none"/>
          <w:lang w:val="en-US" w:eastAsia="zh-CN"/>
        </w:rPr>
        <w:t>4</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rPr>
        <w:t>短管内衬法和</w:t>
      </w:r>
      <w:r>
        <w:rPr>
          <w:rFonts w:hint="default" w:ascii="Times New Roman" w:hAnsi="Times New Roman" w:cs="Times New Roman"/>
          <w:b w:val="0"/>
          <w:bCs w:val="0"/>
          <w:color w:val="auto"/>
          <w:kern w:val="2"/>
          <w:sz w:val="24"/>
          <w:szCs w:val="24"/>
          <w:lang w:val="en-US" w:eastAsia="zh-CN"/>
        </w:rPr>
        <w:t>机械</w:t>
      </w:r>
      <w:r>
        <w:rPr>
          <w:rFonts w:hint="default" w:ascii="Times New Roman" w:hAnsi="Times New Roman" w:cs="Times New Roman"/>
          <w:b w:val="0"/>
          <w:bCs w:val="0"/>
          <w:color w:val="auto"/>
          <w:kern w:val="2"/>
          <w:sz w:val="24"/>
          <w:szCs w:val="24"/>
        </w:rPr>
        <w:t>螺旋缠绕法施工时</w:t>
      </w:r>
      <w:r>
        <w:rPr>
          <w:rFonts w:hint="default" w:ascii="Times New Roman" w:hAnsi="Times New Roman" w:cs="Times New Roman"/>
          <w:b w:val="0"/>
          <w:bCs w:val="0"/>
          <w:color w:val="auto"/>
          <w:kern w:val="2"/>
          <w:sz w:val="24"/>
          <w:szCs w:val="24"/>
          <w:lang w:eastAsia="zh-CN"/>
        </w:rPr>
        <w:t>，</w:t>
      </w:r>
      <w:r>
        <w:rPr>
          <w:rFonts w:hint="default" w:ascii="Times New Roman" w:hAnsi="Times New Roman" w:cs="Times New Roman"/>
          <w:b w:val="0"/>
          <w:bCs w:val="0"/>
          <w:color w:val="auto"/>
          <w:kern w:val="2"/>
          <w:sz w:val="24"/>
          <w:szCs w:val="24"/>
        </w:rPr>
        <w:t>同一生产厂家、同一批次产品现场取样不应少于1组</w:t>
      </w:r>
      <w:r>
        <w:rPr>
          <w:rFonts w:hint="default" w:ascii="Times New Roman" w:hAnsi="Times New Roman" w:cs="Times New Roman"/>
          <w:b w:val="0"/>
          <w:bCs w:val="0"/>
          <w:color w:val="auto"/>
          <w:kern w:val="2"/>
          <w:sz w:val="24"/>
          <w:szCs w:val="24"/>
          <w:lang w:eastAsia="zh-CN"/>
        </w:rPr>
        <w:t>。</w:t>
      </w:r>
    </w:p>
    <w:p w14:paraId="4B65EC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7.1.5 管道非开挖修复涉及的材料种类繁多，本标准仅对主要材料的现场取样做了基本规定，材料的具体取样要求尚需符合现行国家标准的有关规定。</w:t>
      </w:r>
    </w:p>
    <w:p w14:paraId="79E6E4FA">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lang w:eastAsia="zh-CN"/>
        </w:rPr>
      </w:pPr>
      <w:r>
        <w:rPr>
          <w:rFonts w:hint="default" w:ascii="Times New Roman" w:hAnsi="Times New Roman" w:cs="Times New Roman"/>
          <w:b/>
          <w:bCs/>
          <w:color w:val="auto"/>
          <w:kern w:val="2"/>
          <w:sz w:val="24"/>
          <w:szCs w:val="24"/>
          <w:lang w:eastAsia="zh-CN"/>
        </w:rPr>
        <w:t>7.1.</w:t>
      </w:r>
      <w:r>
        <w:rPr>
          <w:rFonts w:hint="default" w:ascii="Times New Roman" w:hAnsi="Times New Roman" w:cs="Times New Roman"/>
          <w:b/>
          <w:bCs/>
          <w:color w:val="auto"/>
          <w:kern w:val="2"/>
          <w:sz w:val="24"/>
          <w:szCs w:val="24"/>
          <w:lang w:val="en-US" w:eastAsia="zh-CN"/>
        </w:rPr>
        <w:t xml:space="preserve">6 </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lang w:eastAsia="zh-CN"/>
        </w:rPr>
        <w:t>修复后内衬管内表面质量应符合以下规定：</w:t>
      </w:r>
    </w:p>
    <w:p w14:paraId="60658E7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lang w:eastAsia="zh-CN"/>
        </w:rPr>
        <w:t>1</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lang w:eastAsia="zh-CN"/>
        </w:rPr>
        <w:t>内衬管表面应光洁、平整，无局部划伤、裂纹、磨损、孔洞、起泡、干斑、褶皱、拉伸变形和软弱带等影响管道结构、使用功能的损伤和缺陷；</w:t>
      </w:r>
    </w:p>
    <w:p w14:paraId="54BBEF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lang w:eastAsia="zh-CN"/>
        </w:rPr>
        <w:t>2</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lang w:eastAsia="zh-CN"/>
        </w:rPr>
        <w:t>当采用翻转式原位固化法、紫外光原位固化法、管片内衬法、</w:t>
      </w:r>
      <w:r>
        <w:rPr>
          <w:rFonts w:hint="default" w:ascii="Times New Roman" w:hAnsi="Times New Roman" w:cs="Times New Roman"/>
          <w:b w:val="0"/>
          <w:bCs w:val="0"/>
          <w:color w:val="auto"/>
          <w:kern w:val="2"/>
          <w:sz w:val="24"/>
          <w:szCs w:val="24"/>
          <w:lang w:val="en-US" w:eastAsia="zh-CN"/>
        </w:rPr>
        <w:t>短管内衬法</w:t>
      </w:r>
      <w:r>
        <w:rPr>
          <w:rFonts w:hint="default" w:ascii="Times New Roman" w:hAnsi="Times New Roman" w:cs="Times New Roman"/>
          <w:b w:val="0"/>
          <w:bCs w:val="0"/>
          <w:color w:val="auto"/>
          <w:kern w:val="2"/>
          <w:sz w:val="24"/>
          <w:szCs w:val="24"/>
          <w:lang w:eastAsia="zh-CN"/>
        </w:rPr>
        <w:t>、不锈钢</w:t>
      </w:r>
      <w:r>
        <w:rPr>
          <w:rFonts w:hint="default" w:ascii="Times New Roman" w:hAnsi="Times New Roman" w:cs="Times New Roman"/>
          <w:b w:val="0"/>
          <w:bCs w:val="0"/>
          <w:color w:val="auto"/>
          <w:kern w:val="2"/>
          <w:sz w:val="24"/>
          <w:szCs w:val="24"/>
          <w:lang w:val="en-US" w:eastAsia="zh-CN"/>
        </w:rPr>
        <w:t>双胀环法、不锈钢快速锁法</w:t>
      </w:r>
      <w:r>
        <w:rPr>
          <w:rFonts w:hint="default" w:ascii="Times New Roman" w:hAnsi="Times New Roman" w:cs="Times New Roman"/>
          <w:b w:val="0"/>
          <w:bCs w:val="0"/>
          <w:color w:val="auto"/>
          <w:kern w:val="2"/>
          <w:sz w:val="24"/>
          <w:szCs w:val="24"/>
          <w:lang w:eastAsia="zh-CN"/>
        </w:rPr>
        <w:t>时，内衬管应与原有管道贴附紧密；</w:t>
      </w:r>
    </w:p>
    <w:p w14:paraId="0A4EEA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color w:val="auto"/>
          <w:kern w:val="2"/>
          <w:sz w:val="24"/>
          <w:szCs w:val="24"/>
          <w:lang w:eastAsia="zh-CN"/>
        </w:rPr>
      </w:pPr>
      <w:r>
        <w:rPr>
          <w:rFonts w:hint="default" w:ascii="Times New Roman" w:hAnsi="Times New Roman" w:cs="Times New Roman"/>
          <w:b w:val="0"/>
          <w:bCs w:val="0"/>
          <w:color w:val="auto"/>
          <w:kern w:val="2"/>
          <w:sz w:val="24"/>
          <w:szCs w:val="24"/>
          <w:highlight w:val="none"/>
          <w:lang w:eastAsia="zh-CN"/>
        </w:rPr>
        <w:t>3</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lang w:eastAsia="zh-CN"/>
        </w:rPr>
        <w:t>当采用管片内衬法、点状原位固化法、不锈钢</w:t>
      </w:r>
      <w:r>
        <w:rPr>
          <w:rFonts w:hint="default" w:ascii="Times New Roman" w:hAnsi="Times New Roman" w:cs="Times New Roman"/>
          <w:b w:val="0"/>
          <w:bCs w:val="0"/>
          <w:color w:val="auto"/>
          <w:kern w:val="2"/>
          <w:sz w:val="24"/>
          <w:szCs w:val="24"/>
          <w:lang w:val="en-US" w:eastAsia="zh-CN"/>
        </w:rPr>
        <w:t>双胀环法、不锈钢快速锁法</w:t>
      </w:r>
      <w:r>
        <w:rPr>
          <w:rFonts w:hint="default" w:ascii="Times New Roman" w:hAnsi="Times New Roman" w:cs="Times New Roman"/>
          <w:b w:val="0"/>
          <w:bCs w:val="0"/>
          <w:color w:val="auto"/>
          <w:kern w:val="2"/>
          <w:sz w:val="24"/>
          <w:szCs w:val="24"/>
          <w:lang w:eastAsia="zh-CN"/>
        </w:rPr>
        <w:t>时，内衬管应与原管道贴附紧密，管内应无明显突起、凹陷、错台、空鼓等现象；内衬应完整、搭接平顺、牢固；</w:t>
      </w:r>
    </w:p>
    <w:p w14:paraId="3B2E69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kern w:val="2"/>
          <w:sz w:val="24"/>
          <w:szCs w:val="24"/>
          <w:lang w:eastAsia="zh-CN"/>
        </w:rPr>
      </w:pPr>
      <w:r>
        <w:rPr>
          <w:rFonts w:hint="default" w:ascii="Times New Roman" w:hAnsi="Times New Roman" w:cs="Times New Roman"/>
          <w:b w:val="0"/>
          <w:bCs w:val="0"/>
          <w:color w:val="auto"/>
          <w:kern w:val="2"/>
          <w:sz w:val="24"/>
          <w:szCs w:val="24"/>
          <w:highlight w:val="none"/>
          <w:lang w:eastAsia="zh-CN"/>
        </w:rPr>
        <w:t>4</w:t>
      </w:r>
      <w:r>
        <w:rPr>
          <w:rFonts w:hint="default" w:ascii="Times New Roman" w:hAnsi="Times New Roman" w:cs="Times New Roman"/>
          <w:b w:val="0"/>
          <w:bCs w:val="0"/>
          <w:color w:val="auto"/>
          <w:kern w:val="2"/>
          <w:sz w:val="24"/>
          <w:szCs w:val="24"/>
          <w:lang w:val="en-US" w:eastAsia="zh-CN"/>
        </w:rPr>
        <w:t xml:space="preserve">  </w:t>
      </w:r>
      <w:r>
        <w:rPr>
          <w:rFonts w:hint="default" w:ascii="Times New Roman" w:hAnsi="Times New Roman" w:cs="Times New Roman"/>
          <w:b w:val="0"/>
          <w:bCs w:val="0"/>
          <w:color w:val="auto"/>
          <w:kern w:val="2"/>
          <w:sz w:val="24"/>
          <w:szCs w:val="24"/>
          <w:lang w:eastAsia="zh-CN"/>
        </w:rPr>
        <w:t>当采</w:t>
      </w:r>
      <w:r>
        <w:rPr>
          <w:rFonts w:hint="default" w:ascii="Times New Roman" w:hAnsi="Times New Roman" w:cs="Times New Roman"/>
          <w:color w:val="auto"/>
          <w:kern w:val="2"/>
          <w:sz w:val="24"/>
          <w:szCs w:val="24"/>
          <w:lang w:eastAsia="zh-CN"/>
        </w:rPr>
        <w:t>用机械螺旋缠绕法时，接缝应嵌合严密、连接牢固，并应无明显突起、凹陷、错台等现象，不得出现纵向隆起、环向扁平、接缝脱离等现象。</w:t>
      </w:r>
    </w:p>
    <w:p w14:paraId="539DE0C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修复后的管道内应无明显湿渍、渗水</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严禁</w:t>
      </w:r>
      <w:r>
        <w:rPr>
          <w:rFonts w:hint="default" w:ascii="Times New Roman" w:hAnsi="Times New Roman" w:cs="Times New Roman"/>
          <w:color w:val="auto"/>
          <w:kern w:val="2"/>
          <w:sz w:val="24"/>
          <w:szCs w:val="24"/>
          <w:lang w:val="en-US" w:eastAsia="zh-CN"/>
        </w:rPr>
        <w:t>出现</w:t>
      </w:r>
      <w:r>
        <w:rPr>
          <w:rFonts w:hint="default" w:ascii="Times New Roman" w:hAnsi="Times New Roman" w:cs="Times New Roman"/>
          <w:color w:val="auto"/>
          <w:kern w:val="2"/>
          <w:sz w:val="24"/>
          <w:szCs w:val="24"/>
        </w:rPr>
        <w:t>滴漏、线漏等现象。</w:t>
      </w:r>
    </w:p>
    <w:p w14:paraId="63D9C20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7.1.7 滴漏、线漏等为管道渗漏结构性缺陷，修复后的管道如果仍然存在管道结构性缺陷，则未达到修复目的，故此处为严禁。</w:t>
      </w:r>
    </w:p>
    <w:p w14:paraId="6736E8F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8</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根据不同的修复方法</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应对管道非开挖修复施工过程中的检查验收资料进行核实</w:t>
      </w:r>
      <w:r>
        <w:rPr>
          <w:rFonts w:hint="default"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符合设计、施工要求的管道方可进行管道功能性试验。</w:t>
      </w:r>
    </w:p>
    <w:p w14:paraId="5146A8D5">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cs="Times New Roman"/>
          <w:b/>
          <w:bCs/>
          <w:color w:val="auto"/>
          <w:kern w:val="2"/>
          <w:sz w:val="24"/>
          <w:szCs w:val="24"/>
          <w:lang w:val="en-US" w:eastAsia="zh-CN"/>
        </w:rPr>
        <w:t xml:space="preserve">7.1.9 </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val="en-US" w:eastAsia="zh-CN"/>
        </w:rPr>
        <w:t>排水</w:t>
      </w:r>
      <w:r>
        <w:rPr>
          <w:rFonts w:hint="default" w:ascii="Times New Roman" w:hAnsi="Times New Roman" w:cs="Times New Roman"/>
          <w:color w:val="auto"/>
          <w:kern w:val="2"/>
          <w:sz w:val="24"/>
          <w:szCs w:val="24"/>
        </w:rPr>
        <w:t>管道非开挖修复</w:t>
      </w:r>
      <w:r>
        <w:rPr>
          <w:rFonts w:hint="default" w:ascii="Times New Roman" w:hAnsi="Times New Roman" w:cs="Times New Roman"/>
          <w:color w:val="auto"/>
          <w:kern w:val="2"/>
          <w:sz w:val="24"/>
          <w:szCs w:val="24"/>
          <w:lang w:val="en-US" w:eastAsia="zh-CN"/>
        </w:rPr>
        <w:t>后的</w:t>
      </w:r>
      <w:r>
        <w:rPr>
          <w:rFonts w:hint="default" w:ascii="Times New Roman" w:hAnsi="Times New Roman" w:cs="Times New Roman"/>
          <w:color w:val="auto"/>
          <w:kern w:val="2"/>
          <w:sz w:val="24"/>
          <w:szCs w:val="24"/>
        </w:rPr>
        <w:t>闭水试验等功能性</w:t>
      </w:r>
      <w:r>
        <w:rPr>
          <w:rFonts w:hint="default" w:ascii="Times New Roman" w:hAnsi="Times New Roman" w:cs="Times New Roman"/>
          <w:color w:val="auto"/>
          <w:kern w:val="2"/>
          <w:sz w:val="24"/>
          <w:szCs w:val="24"/>
          <w:lang w:val="en-US" w:eastAsia="zh-CN"/>
        </w:rPr>
        <w:t>试验</w:t>
      </w:r>
      <w:r>
        <w:rPr>
          <w:rFonts w:hint="default" w:ascii="Times New Roman" w:hAnsi="Times New Roman" w:cs="Times New Roman"/>
          <w:color w:val="auto"/>
          <w:kern w:val="2"/>
          <w:sz w:val="24"/>
          <w:szCs w:val="24"/>
        </w:rPr>
        <w:t>按现行国家标准《给水排水管道工程施工及验收规范》GB 50268无压管道闭水试验的有关规定执行</w:t>
      </w:r>
      <w:r>
        <w:rPr>
          <w:rFonts w:hint="default" w:ascii="Times New Roman" w:hAnsi="Times New Roman" w:cs="Times New Roman"/>
          <w:color w:val="auto"/>
          <w:kern w:val="2"/>
          <w:sz w:val="24"/>
          <w:szCs w:val="24"/>
          <w:lang w:eastAsia="zh-CN"/>
        </w:rPr>
        <w:t>。</w:t>
      </w:r>
    </w:p>
    <w:p w14:paraId="0CCF28E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7.1.10</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修复工程的质量验收不合格时，应按下列规定处理：</w:t>
      </w:r>
    </w:p>
    <w:p w14:paraId="14CD9D4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kern w:val="2"/>
          <w:sz w:val="24"/>
          <w:szCs w:val="24"/>
          <w:highlight w:val="none"/>
          <w:lang w:val="en-US" w:eastAsia="zh-CN"/>
        </w:rPr>
        <w:t>1</w:t>
      </w:r>
      <w:r>
        <w:rPr>
          <w:rFonts w:hint="default" w:ascii="Times New Roman" w:hAnsi="Times New Roman" w:cs="Times New Roman"/>
          <w:b w:val="0"/>
          <w:bCs w:val="0"/>
          <w:sz w:val="24"/>
          <w:szCs w:val="24"/>
          <w:highlight w:val="none"/>
        </w:rPr>
        <w:t xml:space="preserve"> </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rPr>
        <w:t>经返工或更换管节、管件、管道设备等的验收批，应重新进行验收；</w:t>
      </w:r>
    </w:p>
    <w:p w14:paraId="5311AA0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kern w:val="2"/>
          <w:sz w:val="24"/>
          <w:szCs w:val="24"/>
          <w:highlight w:val="none"/>
          <w:lang w:val="en-US" w:eastAsia="zh-CN"/>
        </w:rPr>
        <w:t>2</w:t>
      </w:r>
      <w:r>
        <w:rPr>
          <w:rFonts w:hint="default" w:ascii="Times New Roman" w:hAnsi="Times New Roman" w:cs="Times New Roman"/>
          <w:b w:val="0"/>
          <w:bCs w:val="0"/>
          <w:sz w:val="24"/>
          <w:szCs w:val="24"/>
          <w:highlight w:val="none"/>
        </w:rPr>
        <w:t xml:space="preserve"> </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rPr>
        <w:t>经有相应资质的检测单位检测鉴定能够达到设计要求的验收批，可予以验收；</w:t>
      </w:r>
    </w:p>
    <w:p w14:paraId="4DE2CCD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kern w:val="2"/>
          <w:sz w:val="24"/>
          <w:szCs w:val="24"/>
          <w:highlight w:val="none"/>
          <w:lang w:val="en-US" w:eastAsia="zh-CN"/>
        </w:rPr>
        <w:t>3</w:t>
      </w:r>
      <w:r>
        <w:rPr>
          <w:rFonts w:hint="default" w:ascii="Times New Roman" w:hAnsi="Times New Roman" w:cs="Times New Roman"/>
          <w:b w:val="0"/>
          <w:bCs w:val="0"/>
          <w:sz w:val="24"/>
          <w:szCs w:val="24"/>
          <w:highlight w:val="none"/>
        </w:rPr>
        <w:t xml:space="preserve"> </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rPr>
        <w:t>经有相应资质的检测单位检测鉴定达不到设计要求，但经原设计单位验算认可，能够满足结构安全和使用功能要求的验收批，可予以验收；</w:t>
      </w:r>
    </w:p>
    <w:p w14:paraId="1705D14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b w:val="0"/>
          <w:bCs w:val="0"/>
          <w:kern w:val="2"/>
          <w:sz w:val="24"/>
          <w:szCs w:val="24"/>
          <w:highlight w:val="none"/>
          <w:lang w:val="en-US" w:eastAsia="zh-CN"/>
        </w:rPr>
        <w:t>4</w:t>
      </w:r>
      <w:r>
        <w:rPr>
          <w:rFonts w:hint="default" w:ascii="Times New Roman" w:hAnsi="Times New Roman" w:cs="Times New Roman"/>
          <w:b w:val="0"/>
          <w:bCs w:val="0"/>
          <w:sz w:val="24"/>
          <w:szCs w:val="24"/>
          <w:highlight w:val="none"/>
        </w:rPr>
        <w:t xml:space="preserve"> </w:t>
      </w:r>
      <w:r>
        <w:rPr>
          <w:rFonts w:hint="default"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rPr>
        <w:t>经返修或加固处理的分项工程、分部（子分部）工程，改变外形尺寸但仍能满足结构</w:t>
      </w:r>
      <w:r>
        <w:rPr>
          <w:rFonts w:hint="default" w:ascii="Times New Roman" w:hAnsi="Times New Roman" w:cs="Times New Roman"/>
          <w:sz w:val="24"/>
          <w:szCs w:val="24"/>
        </w:rPr>
        <w:t>安全和使用功能要求，可按技术处理方案文件和协商文件进行验收。</w:t>
      </w:r>
    </w:p>
    <w:p w14:paraId="5E6695CC">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7.1.11</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通过返修或加固处理仍不能满足结构安全或使用功能要求的分部（子分部）工程、单位（子单位）工程，严禁验收。</w:t>
      </w:r>
    </w:p>
    <w:p w14:paraId="673EDCAC">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kern w:val="2"/>
          <w:sz w:val="24"/>
          <w:szCs w:val="24"/>
        </w:rPr>
      </w:pP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.1.</w:t>
      </w:r>
      <w:r>
        <w:rPr>
          <w:rFonts w:hint="default" w:ascii="Times New Roman" w:hAnsi="Times New Roman" w:cs="Times New Roman"/>
          <w:b/>
          <w:bCs/>
          <w:color w:val="auto"/>
          <w:kern w:val="2"/>
          <w:sz w:val="24"/>
          <w:szCs w:val="24"/>
          <w:lang w:val="en-US" w:eastAsia="zh-CN"/>
        </w:rPr>
        <w:t>12</w:t>
      </w:r>
      <w:r>
        <w:rPr>
          <w:rFonts w:hint="default" w:ascii="Times New Roman" w:hAnsi="Times New Roman" w:cs="Times New Roman"/>
          <w:color w:val="auto"/>
          <w:kern w:val="2"/>
          <w:sz w:val="24"/>
          <w:szCs w:val="24"/>
          <w:lang w:val="en-US" w:eastAsia="zh-CN"/>
        </w:rPr>
        <w:t xml:space="preserve">  </w:t>
      </w:r>
      <w:r>
        <w:rPr>
          <w:rFonts w:hint="default" w:ascii="Times New Roman" w:hAnsi="Times New Roman" w:cs="Times New Roman"/>
          <w:color w:val="auto"/>
          <w:kern w:val="2"/>
          <w:sz w:val="24"/>
          <w:szCs w:val="24"/>
        </w:rPr>
        <w:t>管道非开挖修复完成后应按现行行业标准《城镇排水管道检测与评估技术规程》CJJ181的有关规定对修复管道进行检测。</w:t>
      </w:r>
    </w:p>
    <w:p w14:paraId="6BAE7B0F">
      <w:pPr>
        <w:pStyle w:val="3"/>
        <w:jc w:val="center"/>
        <w:rPr>
          <w:rFonts w:hint="default" w:ascii="Times New Roman" w:hAnsi="Times New Roman" w:eastAsia="宋体" w:cs="Times New Roman"/>
          <w:lang w:val="en-US" w:eastAsia="zh-CN"/>
        </w:rPr>
      </w:pPr>
      <w:bookmarkStart w:id="344" w:name="_Toc27821"/>
      <w:r>
        <w:rPr>
          <w:rFonts w:hint="default" w:ascii="Times New Roman" w:hAnsi="Times New Roman" w:eastAsia="宋体" w:cs="Times New Roman"/>
          <w:lang w:val="en-US" w:eastAsia="zh-CN"/>
        </w:rPr>
        <w:t>7</w:t>
      </w:r>
      <w:r>
        <w:rPr>
          <w:rFonts w:hint="default" w:ascii="Times New Roman" w:hAnsi="Times New Roman" w:eastAsia="宋体" w:cs="Times New Roman"/>
        </w:rPr>
        <w:t>.2</w:t>
      </w:r>
      <w:r>
        <w:rPr>
          <w:rFonts w:hint="default" w:ascii="Times New Roman" w:hAnsi="Times New Roman" w:eastAsia="宋体" w:cs="Times New Roman"/>
          <w:lang w:val="en-US" w:eastAsia="zh-CN"/>
        </w:rPr>
        <w:t>管道预处理</w:t>
      </w:r>
      <w:bookmarkEnd w:id="344"/>
    </w:p>
    <w:p w14:paraId="5E458D8B">
      <w:pPr>
        <w:spacing w:line="360" w:lineRule="auto"/>
        <w:ind w:left="0" w:leftChars="0" w:firstLine="0" w:firstLineChars="0"/>
        <w:jc w:val="center"/>
        <w:rPr>
          <w:rFonts w:hint="default" w:ascii="Times New Roman" w:hAnsi="Times New Roman" w:cs="Times New Roman"/>
          <w:b w:val="0"/>
          <w:bCs w:val="0"/>
          <w:i w:val="0"/>
          <w:iCs/>
          <w:color w:val="auto"/>
          <w:sz w:val="24"/>
          <w:szCs w:val="24"/>
          <w:lang w:val="en-US" w:eastAsia="zh-CN"/>
        </w:rPr>
      </w:pPr>
      <w:r>
        <w:rPr>
          <w:rFonts w:hint="default" w:ascii="Times New Roman" w:hAnsi="Times New Roman" w:cs="Times New Roman"/>
          <w:b w:val="0"/>
          <w:bCs w:val="0"/>
          <w:sz w:val="24"/>
          <w:szCs w:val="24"/>
        </w:rPr>
        <w:t xml:space="preserve">Ⅰ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i w:val="0"/>
          <w:iCs/>
          <w:color w:val="auto"/>
          <w:sz w:val="24"/>
          <w:szCs w:val="24"/>
          <w:lang w:val="en-US" w:eastAsia="zh-CN"/>
        </w:rPr>
        <w:t>主控项目</w:t>
      </w:r>
    </w:p>
    <w:p w14:paraId="30B147DB">
      <w:pPr>
        <w:spacing w:line="360" w:lineRule="auto"/>
        <w:ind w:left="0" w:leftChars="0" w:firstLine="0" w:firstLineChars="0"/>
        <w:jc w:val="both"/>
        <w:rPr>
          <w:rFonts w:hint="default" w:ascii="Times New Roman" w:hAnsi="Times New Roman" w:cs="Times New Roman"/>
          <w:i w:val="0"/>
          <w:iCs/>
          <w:color w:val="auto"/>
          <w:sz w:val="24"/>
          <w:szCs w:val="24"/>
          <w:lang w:val="en-US" w:eastAsia="zh-CN"/>
        </w:rPr>
      </w:pPr>
      <w:r>
        <w:rPr>
          <w:rFonts w:hint="default" w:ascii="Times New Roman" w:hAnsi="Times New Roman" w:cs="Times New Roman"/>
          <w:b/>
          <w:bCs/>
          <w:i w:val="0"/>
          <w:iCs/>
          <w:color w:val="auto"/>
          <w:sz w:val="24"/>
          <w:szCs w:val="24"/>
          <w:lang w:val="en-US" w:eastAsia="zh-CN"/>
        </w:rPr>
        <w:t>7.2.1</w:t>
      </w:r>
      <w:r>
        <w:rPr>
          <w:rFonts w:hint="default" w:ascii="Times New Roman" w:hAnsi="Times New Roman" w:cs="Times New Roman"/>
          <w:i w:val="0"/>
          <w:iCs/>
          <w:color w:val="auto"/>
          <w:sz w:val="24"/>
          <w:szCs w:val="24"/>
          <w:lang w:val="en-US" w:eastAsia="zh-CN"/>
        </w:rPr>
        <w:t xml:space="preserve">  原有管道经检查，其损坏程度和施工修复方案应满足设计要求。</w:t>
      </w:r>
    </w:p>
    <w:p w14:paraId="5F8B946D">
      <w:pPr>
        <w:spacing w:line="360" w:lineRule="auto"/>
        <w:ind w:left="0" w:leftChars="0" w:firstLine="480" w:firstLineChars="200"/>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检查方法：按现行行业标准《城镇排水管道检测与评估技术规程》CJJ 181的有关规定进行检查；对照设计文件检查施工方案；检查原有管道检测与评估报告。</w:t>
      </w:r>
    </w:p>
    <w:p w14:paraId="7154275E">
      <w:pPr>
        <w:spacing w:line="360" w:lineRule="auto"/>
        <w:ind w:left="0" w:leftChars="0" w:firstLine="480" w:firstLineChars="200"/>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检查数量：全数检查。</w:t>
      </w:r>
    </w:p>
    <w:p w14:paraId="0B4BA4DF">
      <w:pPr>
        <w:spacing w:line="360" w:lineRule="auto"/>
        <w:ind w:left="0" w:leftChars="0" w:firstLine="0" w:firstLineChars="0"/>
        <w:rPr>
          <w:rFonts w:hint="default" w:ascii="Times New Roman" w:hAnsi="Times New Roman" w:cs="Times New Roman"/>
          <w:i w:val="0"/>
          <w:iCs/>
          <w:color w:val="auto"/>
          <w:sz w:val="24"/>
          <w:szCs w:val="24"/>
          <w:lang w:val="en-US" w:eastAsia="zh-CN"/>
        </w:rPr>
      </w:pPr>
      <w:r>
        <w:rPr>
          <w:rFonts w:hint="default" w:ascii="Times New Roman" w:hAnsi="Times New Roman" w:cs="Times New Roman"/>
          <w:b/>
          <w:bCs/>
          <w:i w:val="0"/>
          <w:iCs/>
          <w:color w:val="auto"/>
          <w:sz w:val="24"/>
          <w:szCs w:val="24"/>
          <w:lang w:val="en-US" w:eastAsia="zh-CN"/>
        </w:rPr>
        <w:t>7.2.2</w:t>
      </w:r>
      <w:r>
        <w:rPr>
          <w:rFonts w:hint="default" w:ascii="Times New Roman" w:hAnsi="Times New Roman" w:cs="Times New Roman"/>
          <w:i w:val="0"/>
          <w:iCs/>
          <w:color w:val="auto"/>
          <w:sz w:val="24"/>
          <w:szCs w:val="24"/>
          <w:lang w:val="en-US" w:eastAsia="zh-CN"/>
        </w:rPr>
        <w:t xml:space="preserve">  原有管道经预处理后，应无影响修复施工工艺的缺陷，管道内表面应无附着物、尖锐毛刺和突起。</w:t>
      </w:r>
    </w:p>
    <w:p w14:paraId="67443AD2">
      <w:pPr>
        <w:spacing w:line="360" w:lineRule="auto"/>
        <w:ind w:left="0" w:leftChars="0" w:firstLine="480" w:firstLineChars="200"/>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检查方法：观察、电视检查（CCTV）或潜望镜检测（QV）等可视化设备检查；检查预处理施工记录及相关技术处理记录。</w:t>
      </w:r>
    </w:p>
    <w:p w14:paraId="6DC176B5">
      <w:pPr>
        <w:spacing w:line="360" w:lineRule="auto"/>
        <w:ind w:left="0" w:leftChars="0" w:firstLine="480" w:firstLineChars="200"/>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检查数量：全数检查。</w:t>
      </w:r>
    </w:p>
    <w:p w14:paraId="6772169A">
      <w:pPr>
        <w:spacing w:line="360" w:lineRule="auto"/>
        <w:ind w:left="0" w:leftChars="0" w:firstLine="0" w:firstLineChars="0"/>
        <w:jc w:val="center"/>
        <w:rPr>
          <w:rFonts w:hint="default" w:ascii="Times New Roman" w:hAnsi="Times New Roman" w:cs="Times New Roman"/>
          <w:b w:val="0"/>
          <w:bCs w:val="0"/>
          <w:i w:val="0"/>
          <w:iCs/>
          <w:color w:val="auto"/>
          <w:sz w:val="24"/>
          <w:szCs w:val="24"/>
          <w:lang w:val="en-US" w:eastAsia="zh-CN"/>
        </w:rPr>
      </w:pPr>
      <w:r>
        <w:rPr>
          <w:rFonts w:hint="default" w:ascii="Times New Roman" w:hAnsi="Times New Roman" w:cs="Times New Roman"/>
          <w:b w:val="0"/>
          <w:bCs w:val="0"/>
          <w:sz w:val="24"/>
          <w:szCs w:val="24"/>
        </w:rPr>
        <w:t xml:space="preserve">Ⅱ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i w:val="0"/>
          <w:iCs/>
          <w:color w:val="auto"/>
          <w:sz w:val="24"/>
          <w:szCs w:val="24"/>
          <w:lang w:val="en-US" w:eastAsia="zh-CN"/>
        </w:rPr>
        <w:t>一般项目</w:t>
      </w:r>
    </w:p>
    <w:p w14:paraId="4B8CF0F6">
      <w:pPr>
        <w:spacing w:line="360" w:lineRule="auto"/>
        <w:ind w:left="0" w:leftChars="0" w:firstLine="0" w:firstLineChars="0"/>
        <w:jc w:val="both"/>
        <w:rPr>
          <w:rFonts w:hint="default" w:ascii="Times New Roman" w:hAnsi="Times New Roman" w:cs="Times New Roman"/>
          <w:i w:val="0"/>
          <w:iCs/>
          <w:color w:val="auto"/>
          <w:sz w:val="24"/>
          <w:szCs w:val="24"/>
          <w:lang w:val="en-US" w:eastAsia="zh-CN"/>
        </w:rPr>
      </w:pPr>
      <w:r>
        <w:rPr>
          <w:rFonts w:hint="default" w:ascii="Times New Roman" w:hAnsi="Times New Roman" w:cs="Times New Roman"/>
          <w:b/>
          <w:bCs/>
          <w:i w:val="0"/>
          <w:iCs/>
          <w:color w:val="auto"/>
          <w:sz w:val="24"/>
          <w:szCs w:val="24"/>
          <w:lang w:val="en-US" w:eastAsia="zh-CN"/>
        </w:rPr>
        <w:t>7.2.3</w:t>
      </w:r>
      <w:r>
        <w:rPr>
          <w:rFonts w:hint="default" w:ascii="Times New Roman" w:hAnsi="Times New Roman" w:cs="Times New Roman"/>
          <w:i w:val="0"/>
          <w:iCs/>
          <w:color w:val="auto"/>
          <w:sz w:val="24"/>
          <w:szCs w:val="24"/>
          <w:lang w:val="en-US" w:eastAsia="zh-CN"/>
        </w:rPr>
        <w:t xml:space="preserve">  原有管道的预处理应符合设计和施工方案的要求</w:t>
      </w:r>
    </w:p>
    <w:p w14:paraId="436E81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检查方法：对照设计文件和施工方案检查管道预处理记录，检查施工材料的质量保证资料和施工检验记录或报告。</w:t>
      </w:r>
    </w:p>
    <w:p w14:paraId="1DB0A5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i w:val="0"/>
          <w:iCs/>
          <w:color w:val="auto"/>
          <w:sz w:val="24"/>
          <w:szCs w:val="24"/>
          <w:lang w:val="en-US" w:eastAsia="zh-CN"/>
        </w:rPr>
      </w:pPr>
      <w:r>
        <w:rPr>
          <w:rFonts w:hint="default" w:ascii="Times New Roman" w:hAnsi="Times New Roman" w:cs="Times New Roman"/>
          <w:i w:val="0"/>
          <w:iCs/>
          <w:color w:val="auto"/>
          <w:sz w:val="24"/>
          <w:szCs w:val="24"/>
          <w:lang w:val="en-US" w:eastAsia="zh-CN"/>
        </w:rPr>
        <w:t>检查数量：全数检查。</w:t>
      </w:r>
    </w:p>
    <w:p w14:paraId="44F537D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i w:val="0"/>
          <w:iCs/>
          <w:color w:val="auto"/>
          <w:sz w:val="24"/>
          <w:szCs w:val="24"/>
          <w:lang w:val="en-US" w:eastAsia="zh-CN"/>
        </w:rPr>
      </w:pPr>
      <w:r>
        <w:rPr>
          <w:rFonts w:hint="default" w:ascii="Times New Roman" w:hAnsi="Times New Roman" w:cs="Times New Roman"/>
          <w:b/>
          <w:bCs/>
          <w:i w:val="0"/>
          <w:iCs/>
          <w:color w:val="auto"/>
          <w:sz w:val="24"/>
          <w:szCs w:val="24"/>
          <w:lang w:val="en-US" w:eastAsia="zh-CN"/>
        </w:rPr>
        <w:t>7.2.4</w:t>
      </w:r>
      <w:r>
        <w:rPr>
          <w:rFonts w:hint="default" w:ascii="Times New Roman" w:hAnsi="Times New Roman" w:cs="Times New Roman"/>
          <w:i w:val="0"/>
          <w:iCs/>
          <w:color w:val="auto"/>
          <w:sz w:val="24"/>
          <w:szCs w:val="24"/>
          <w:lang w:val="en-US" w:eastAsia="zh-CN"/>
        </w:rPr>
        <w:t xml:space="preserve">  原有管道范围</w:t>
      </w:r>
      <w:r>
        <w:rPr>
          <w:rFonts w:hint="default" w:ascii="Times New Roman" w:hAnsi="Times New Roman" w:eastAsia="宋体" w:cs="Times New Roman"/>
          <w:i w:val="0"/>
          <w:iCs/>
          <w:color w:val="auto"/>
          <w:sz w:val="24"/>
          <w:szCs w:val="24"/>
          <w:lang w:val="en-US" w:eastAsia="zh-CN"/>
        </w:rPr>
        <w:t>内的检查井经处理应满足施工要求</w:t>
      </w:r>
    </w:p>
    <w:p w14:paraId="1AC796C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i w:val="0"/>
          <w:iCs/>
          <w:color w:val="auto"/>
          <w:sz w:val="24"/>
          <w:szCs w:val="24"/>
          <w:lang w:val="en-US" w:eastAsia="zh-CN"/>
        </w:rPr>
      </w:pPr>
      <w:r>
        <w:rPr>
          <w:rFonts w:hint="default" w:ascii="Times New Roman" w:hAnsi="Times New Roman" w:eastAsia="宋体" w:cs="Times New Roman"/>
          <w:i w:val="0"/>
          <w:iCs/>
          <w:color w:val="auto"/>
          <w:sz w:val="24"/>
          <w:szCs w:val="24"/>
          <w:lang w:val="en-US" w:eastAsia="zh-CN"/>
        </w:rPr>
        <w:t>检查方法：观察或潜望镜检测（QV）</w:t>
      </w:r>
      <w:r>
        <w:rPr>
          <w:rFonts w:hint="default" w:ascii="Times New Roman" w:hAnsi="Times New Roman" w:cs="Times New Roman"/>
          <w:i w:val="0"/>
          <w:iCs/>
          <w:color w:val="auto"/>
          <w:sz w:val="24"/>
          <w:szCs w:val="24"/>
          <w:lang w:val="en-US" w:eastAsia="zh-CN"/>
        </w:rPr>
        <w:t>；</w:t>
      </w:r>
      <w:r>
        <w:rPr>
          <w:rFonts w:hint="default" w:ascii="Times New Roman" w:hAnsi="Times New Roman" w:eastAsia="宋体" w:cs="Times New Roman"/>
          <w:i w:val="0"/>
          <w:iCs/>
          <w:color w:val="auto"/>
          <w:sz w:val="24"/>
          <w:szCs w:val="24"/>
          <w:lang w:val="en-US" w:eastAsia="zh-CN"/>
        </w:rPr>
        <w:t>检测施工记录及对原有管道预处理验收的技术要求作出规定。</w:t>
      </w:r>
    </w:p>
    <w:p w14:paraId="52627E1E">
      <w:pPr>
        <w:pStyle w:val="3"/>
        <w:jc w:val="center"/>
        <w:rPr>
          <w:rFonts w:hint="default" w:ascii="Times New Roman" w:hAnsi="Times New Roman" w:eastAsia="宋体" w:cs="Times New Roman"/>
          <w:lang w:val="en-US" w:eastAsia="zh-CN"/>
        </w:rPr>
      </w:pPr>
      <w:bookmarkStart w:id="345" w:name="_Toc11460"/>
      <w:r>
        <w:rPr>
          <w:rFonts w:hint="default" w:ascii="Times New Roman" w:hAnsi="Times New Roman" w:eastAsia="宋体" w:cs="Times New Roman"/>
          <w:lang w:val="en-US" w:eastAsia="zh-CN"/>
        </w:rPr>
        <w:t>7</w:t>
      </w:r>
      <w:r>
        <w:rPr>
          <w:rFonts w:hint="default" w:ascii="Times New Roman" w:hAnsi="Times New Roman" w:eastAsia="宋体" w:cs="Times New Roman"/>
        </w:rPr>
        <w:t>.3</w:t>
      </w:r>
      <w:r>
        <w:rPr>
          <w:rFonts w:hint="default" w:ascii="Times New Roman" w:hAnsi="Times New Roman" w:eastAsia="宋体" w:cs="Times New Roman"/>
          <w:lang w:val="en-US" w:eastAsia="zh-CN"/>
        </w:rPr>
        <w:t>原位固化法</w:t>
      </w:r>
      <w:bookmarkEnd w:id="345"/>
    </w:p>
    <w:p w14:paraId="4DC4B40A">
      <w:pPr>
        <w:jc w:val="center"/>
        <w:rPr>
          <w:rFonts w:hint="default" w:ascii="Times New Roman" w:hAnsi="Times New Roman" w:cs="Times New Roman"/>
          <w:lang w:val="en-US"/>
        </w:rPr>
      </w:pPr>
      <w:r>
        <w:rPr>
          <w:rFonts w:hint="default" w:ascii="Times New Roman" w:hAnsi="Times New Roman" w:cs="Times New Roman"/>
          <w:lang w:val="en-US"/>
        </w:rPr>
        <w:t xml:space="preserve">Ⅰ </w:t>
      </w:r>
      <w:r>
        <w:rPr>
          <w:rFonts w:hint="default" w:ascii="Times New Roman" w:hAnsi="Times New Roman" w:cs="Times New Roman"/>
          <w:lang w:val="en-US" w:eastAsia="zh-CN"/>
        </w:rPr>
        <w:t xml:space="preserve"> </w:t>
      </w:r>
      <w:r>
        <w:rPr>
          <w:rFonts w:hint="default" w:ascii="Times New Roman" w:hAnsi="Times New Roman" w:cs="Times New Roman"/>
          <w:lang w:val="en-US"/>
        </w:rPr>
        <w:t>主控项目</w:t>
      </w:r>
    </w:p>
    <w:p w14:paraId="2A71F56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7.3.1 </w:t>
      </w:r>
      <w:r>
        <w:rPr>
          <w:rFonts w:hint="default" w:ascii="Times New Roman" w:hAnsi="Times New Roman" w:cs="Times New Roman"/>
          <w:sz w:val="24"/>
          <w:szCs w:val="24"/>
          <w:lang w:val="en-US" w:eastAsia="zh-CN"/>
        </w:rPr>
        <w:t xml:space="preserve"> 固化修复后，内衬管应按每个施工段不少于一组</w:t>
      </w:r>
      <w:r>
        <w:rPr>
          <w:rFonts w:hint="default" w:ascii="Times New Roman" w:hAnsi="Times New Roman" w:eastAsia="宋体" w:cs="Times New Roman"/>
          <w:sz w:val="24"/>
          <w:szCs w:val="24"/>
          <w:lang w:val="en-US" w:eastAsia="zh-CN"/>
        </w:rPr>
        <w:t>或</w:t>
      </w:r>
      <w:r>
        <w:rPr>
          <w:rFonts w:hint="default" w:ascii="Times New Roman" w:hAnsi="Times New Roman" w:cs="Times New Roman"/>
          <w:sz w:val="24"/>
          <w:szCs w:val="24"/>
          <w:lang w:val="en-US" w:eastAsia="zh-CN"/>
        </w:rPr>
        <w:t>按设计要求现场取样。</w:t>
      </w:r>
    </w:p>
    <w:p w14:paraId="0947EAA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7.3.2</w:t>
      </w:r>
      <w:r>
        <w:rPr>
          <w:rFonts w:hint="default" w:ascii="Times New Roman" w:hAnsi="Times New Roman" w:cs="Times New Roman"/>
          <w:sz w:val="24"/>
          <w:szCs w:val="24"/>
          <w:lang w:val="en-US" w:eastAsia="zh-CN"/>
        </w:rPr>
        <w:t xml:space="preserve">  宜在原有管端部取样。</w:t>
      </w:r>
    </w:p>
    <w:p w14:paraId="21B28C9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7.3.3</w:t>
      </w:r>
      <w:r>
        <w:rPr>
          <w:rFonts w:hint="default" w:ascii="Times New Roman" w:hAnsi="Times New Roman" w:cs="Times New Roman"/>
          <w:sz w:val="24"/>
          <w:szCs w:val="24"/>
          <w:lang w:val="en-US" w:eastAsia="zh-CN"/>
        </w:rPr>
        <w:t xml:space="preserve">  样品送检应符合下列规定：</w:t>
      </w:r>
    </w:p>
    <w:p w14:paraId="1AD52A7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kern w:val="2"/>
          <w:sz w:val="24"/>
          <w:szCs w:val="24"/>
          <w:highlight w:val="none"/>
          <w:lang w:val="en-US" w:eastAsia="zh-CN"/>
        </w:rPr>
        <w:t>1</w:t>
      </w:r>
      <w:r>
        <w:rPr>
          <w:rFonts w:hint="default" w:ascii="Times New Roman" w:hAnsi="Times New Roman" w:cs="Times New Roman"/>
          <w:b w:val="0"/>
          <w:bCs w:val="0"/>
          <w:sz w:val="24"/>
          <w:szCs w:val="24"/>
          <w:lang w:val="en-US" w:eastAsia="zh-CN"/>
        </w:rPr>
        <w:t xml:space="preserve">  应有第三方进行检测，并出具完整检测报告；</w:t>
      </w:r>
    </w:p>
    <w:p w14:paraId="39A488E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kern w:val="2"/>
          <w:sz w:val="24"/>
          <w:szCs w:val="24"/>
          <w:highlight w:val="none"/>
          <w:lang w:val="en-US" w:eastAsia="zh-CN"/>
        </w:rPr>
        <w:t>2</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sz w:val="24"/>
          <w:szCs w:val="24"/>
          <w:lang w:val="en-US" w:eastAsia="zh-CN"/>
        </w:rPr>
        <w:t xml:space="preserve"> 每个样品应有样品说明单，其内容至少包括如下信息：</w:t>
      </w:r>
    </w:p>
    <w:p w14:paraId="3F71323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1）内衬材料、尺寸、树脂类型、内衬生产商；</w:t>
      </w:r>
    </w:p>
    <w:p w14:paraId="788D39F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2）施工日期、采样日期；</w:t>
      </w:r>
    </w:p>
    <w:p w14:paraId="29B2043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3）采样位置、采样方法；</w:t>
      </w:r>
    </w:p>
    <w:p w14:paraId="131E48B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4）建设方、监理方、施工方签字确认；</w:t>
      </w:r>
    </w:p>
    <w:p w14:paraId="24A1A4D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7.3.4  </w:t>
      </w:r>
      <w:r>
        <w:rPr>
          <w:rFonts w:hint="default" w:ascii="Times New Roman" w:hAnsi="Times New Roman" w:cs="Times New Roman"/>
          <w:sz w:val="24"/>
          <w:szCs w:val="24"/>
          <w:lang w:val="en-US" w:eastAsia="zh-CN"/>
        </w:rPr>
        <w:t>原位固化法修复后应按表7.3.4进行内衬检测。</w:t>
      </w:r>
    </w:p>
    <w:p w14:paraId="31CA23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b/>
          <w:bCs/>
          <w:color w:val="auto"/>
          <w:kern w:val="2"/>
          <w:sz w:val="24"/>
          <w:szCs w:val="24"/>
        </w:rPr>
        <w:t>表</w:t>
      </w:r>
      <w:r>
        <w:rPr>
          <w:rFonts w:hint="default" w:ascii="Times New Roman" w:hAnsi="Times New Roman" w:cs="Times New Roman"/>
          <w:b/>
          <w:bCs/>
          <w:color w:val="auto"/>
          <w:kern w:val="2"/>
          <w:sz w:val="24"/>
          <w:szCs w:val="24"/>
          <w:lang w:val="en-US" w:eastAsia="zh-CN"/>
        </w:rPr>
        <w:t>7</w:t>
      </w:r>
      <w:r>
        <w:rPr>
          <w:rFonts w:hint="default" w:ascii="Times New Roman" w:hAnsi="Times New Roman" w:cs="Times New Roman"/>
          <w:b/>
          <w:bCs/>
          <w:color w:val="auto"/>
          <w:kern w:val="2"/>
          <w:sz w:val="24"/>
          <w:szCs w:val="24"/>
        </w:rPr>
        <w:t>.</w:t>
      </w:r>
      <w:r>
        <w:rPr>
          <w:rFonts w:hint="default" w:ascii="Times New Roman" w:hAnsi="Times New Roman" w:cs="Times New Roman"/>
          <w:b/>
          <w:bCs/>
          <w:color w:val="auto"/>
          <w:kern w:val="2"/>
          <w:sz w:val="24"/>
          <w:szCs w:val="24"/>
          <w:lang w:val="en-US" w:eastAsia="zh-CN"/>
        </w:rPr>
        <w:t>3</w:t>
      </w:r>
      <w:r>
        <w:rPr>
          <w:rFonts w:hint="default" w:ascii="Times New Roman" w:hAnsi="Times New Roman" w:cs="Times New Roman"/>
          <w:b/>
          <w:bCs/>
          <w:color w:val="auto"/>
          <w:kern w:val="2"/>
          <w:sz w:val="24"/>
          <w:szCs w:val="24"/>
        </w:rPr>
        <w:t>.</w:t>
      </w:r>
      <w:r>
        <w:rPr>
          <w:rFonts w:hint="default" w:ascii="Times New Roman" w:hAnsi="Times New Roman" w:cs="Times New Roman"/>
          <w:b/>
          <w:bCs/>
          <w:color w:val="auto"/>
          <w:kern w:val="2"/>
          <w:sz w:val="24"/>
          <w:szCs w:val="24"/>
          <w:lang w:val="en-US" w:eastAsia="zh-CN"/>
        </w:rPr>
        <w:t>4</w:t>
      </w:r>
      <w:r>
        <w:rPr>
          <w:rFonts w:hint="default" w:ascii="Times New Roman" w:hAnsi="Times New Roman" w:cs="Times New Roman"/>
          <w:b/>
          <w:bCs/>
          <w:color w:val="auto"/>
          <w:kern w:val="2"/>
          <w:sz w:val="24"/>
          <w:szCs w:val="24"/>
        </w:rPr>
        <w:t xml:space="preserve"> </w:t>
      </w:r>
      <w:r>
        <w:rPr>
          <w:rFonts w:hint="default" w:ascii="Times New Roman" w:hAnsi="Times New Roman" w:cs="Times New Roman"/>
          <w:b/>
          <w:bCs/>
          <w:color w:val="auto"/>
          <w:kern w:val="2"/>
          <w:sz w:val="24"/>
          <w:szCs w:val="24"/>
          <w:lang w:val="en-US" w:eastAsia="zh-CN"/>
        </w:rPr>
        <w:t>原位固化法内衬检测项目</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5"/>
        <w:gridCol w:w="1098"/>
        <w:gridCol w:w="1855"/>
        <w:gridCol w:w="1855"/>
      </w:tblGrid>
      <w:tr w14:paraId="6DB3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vAlign w:val="center"/>
          </w:tcPr>
          <w:p w14:paraId="055DF6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检测项目</w:t>
            </w:r>
          </w:p>
        </w:tc>
        <w:tc>
          <w:tcPr>
            <w:tcW w:w="1088" w:type="pct"/>
            <w:vAlign w:val="center"/>
          </w:tcPr>
          <w:p w14:paraId="33301B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测试指标</w:t>
            </w:r>
          </w:p>
        </w:tc>
        <w:tc>
          <w:tcPr>
            <w:tcW w:w="644" w:type="pct"/>
            <w:vAlign w:val="center"/>
          </w:tcPr>
          <w:p w14:paraId="5387F3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单位</w:t>
            </w:r>
          </w:p>
        </w:tc>
        <w:tc>
          <w:tcPr>
            <w:tcW w:w="1088" w:type="pct"/>
            <w:vAlign w:val="center"/>
          </w:tcPr>
          <w:p w14:paraId="55A1D9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技术要求</w:t>
            </w:r>
          </w:p>
        </w:tc>
        <w:tc>
          <w:tcPr>
            <w:tcW w:w="1088" w:type="pct"/>
            <w:vAlign w:val="center"/>
          </w:tcPr>
          <w:p w14:paraId="638F89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测试方法</w:t>
            </w:r>
          </w:p>
        </w:tc>
      </w:tr>
      <w:tr w14:paraId="46A0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vMerge w:val="restart"/>
            <w:vAlign w:val="center"/>
          </w:tcPr>
          <w:p w14:paraId="47B5A7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三点弯曲测试</w:t>
            </w:r>
          </w:p>
        </w:tc>
        <w:tc>
          <w:tcPr>
            <w:tcW w:w="1088" w:type="pct"/>
            <w:vAlign w:val="center"/>
          </w:tcPr>
          <w:p w14:paraId="23150D4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弯曲强度</w:t>
            </w:r>
          </w:p>
        </w:tc>
        <w:tc>
          <w:tcPr>
            <w:tcW w:w="644" w:type="pct"/>
            <w:vAlign w:val="center"/>
          </w:tcPr>
          <w:p w14:paraId="67DCBB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MPa</w:t>
            </w:r>
          </w:p>
        </w:tc>
        <w:tc>
          <w:tcPr>
            <w:tcW w:w="1088" w:type="pct"/>
            <w:vAlign w:val="center"/>
          </w:tcPr>
          <w:p w14:paraId="2520FED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满足设计要求</w:t>
            </w:r>
          </w:p>
        </w:tc>
        <w:tc>
          <w:tcPr>
            <w:tcW w:w="1088" w:type="pct"/>
            <w:vAlign w:val="center"/>
          </w:tcPr>
          <w:p w14:paraId="45D297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rPr>
            </w:pPr>
            <w:r>
              <w:rPr>
                <w:rFonts w:hint="default" w:ascii="Times New Roman" w:hAnsi="Times New Roman" w:cs="Times New Roman"/>
                <w:color w:val="auto"/>
                <w:kern w:val="2"/>
                <w:sz w:val="24"/>
                <w:szCs w:val="24"/>
                <w:lang w:val="en-US" w:eastAsia="zh-CN"/>
              </w:rPr>
              <w:t>GB/T1449</w:t>
            </w:r>
          </w:p>
        </w:tc>
      </w:tr>
      <w:tr w14:paraId="2C97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vMerge w:val="continue"/>
            <w:vAlign w:val="center"/>
          </w:tcPr>
          <w:p w14:paraId="2593860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p>
        </w:tc>
        <w:tc>
          <w:tcPr>
            <w:tcW w:w="1088" w:type="pct"/>
            <w:vAlign w:val="center"/>
          </w:tcPr>
          <w:p w14:paraId="764853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短期弯曲弹性模量</w:t>
            </w:r>
          </w:p>
        </w:tc>
        <w:tc>
          <w:tcPr>
            <w:tcW w:w="644" w:type="pct"/>
            <w:vAlign w:val="center"/>
          </w:tcPr>
          <w:p w14:paraId="23F01C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MPa</w:t>
            </w:r>
          </w:p>
        </w:tc>
        <w:tc>
          <w:tcPr>
            <w:tcW w:w="1088" w:type="pct"/>
            <w:vAlign w:val="center"/>
          </w:tcPr>
          <w:p w14:paraId="64864F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满足设计要求</w:t>
            </w:r>
          </w:p>
        </w:tc>
        <w:tc>
          <w:tcPr>
            <w:tcW w:w="1088" w:type="pct"/>
            <w:vAlign w:val="center"/>
          </w:tcPr>
          <w:p w14:paraId="5EAAA5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rPr>
            </w:pPr>
            <w:r>
              <w:rPr>
                <w:rFonts w:hint="default" w:ascii="Times New Roman" w:hAnsi="Times New Roman" w:cs="Times New Roman"/>
                <w:color w:val="auto"/>
                <w:kern w:val="2"/>
                <w:sz w:val="24"/>
                <w:szCs w:val="24"/>
                <w:lang w:val="en-US" w:eastAsia="zh-CN"/>
              </w:rPr>
              <w:t>GB/T1449</w:t>
            </w:r>
          </w:p>
        </w:tc>
      </w:tr>
      <w:tr w14:paraId="4737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vAlign w:val="center"/>
          </w:tcPr>
          <w:p w14:paraId="6BD47B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拉伸试验</w:t>
            </w:r>
          </w:p>
        </w:tc>
        <w:tc>
          <w:tcPr>
            <w:tcW w:w="1088" w:type="pct"/>
            <w:vAlign w:val="center"/>
          </w:tcPr>
          <w:p w14:paraId="41E3CE4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抗拉强度</w:t>
            </w:r>
          </w:p>
        </w:tc>
        <w:tc>
          <w:tcPr>
            <w:tcW w:w="644" w:type="pct"/>
            <w:vAlign w:val="center"/>
          </w:tcPr>
          <w:p w14:paraId="03051BF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MPa</w:t>
            </w:r>
          </w:p>
        </w:tc>
        <w:tc>
          <w:tcPr>
            <w:tcW w:w="1088" w:type="pct"/>
            <w:vAlign w:val="center"/>
          </w:tcPr>
          <w:p w14:paraId="024AAB3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lang w:val="en-US" w:eastAsia="zh-CN"/>
              </w:rPr>
              <w:t>满足设计要求</w:t>
            </w:r>
          </w:p>
        </w:tc>
        <w:tc>
          <w:tcPr>
            <w:tcW w:w="1088" w:type="pct"/>
            <w:vAlign w:val="center"/>
          </w:tcPr>
          <w:p w14:paraId="736CC3F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GB/T1040.4</w:t>
            </w:r>
          </w:p>
        </w:tc>
      </w:tr>
      <w:tr w14:paraId="3D0C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1088" w:type="pct"/>
            <w:vAlign w:val="center"/>
          </w:tcPr>
          <w:p w14:paraId="6E453E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厚度测试</w:t>
            </w:r>
          </w:p>
        </w:tc>
        <w:tc>
          <w:tcPr>
            <w:tcW w:w="1088" w:type="pct"/>
            <w:vAlign w:val="center"/>
          </w:tcPr>
          <w:p w14:paraId="13C817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平均厚度e</w:t>
            </w:r>
            <w:r>
              <w:rPr>
                <w:rFonts w:hint="default" w:ascii="Times New Roman" w:hAnsi="Times New Roman" w:cs="Times New Roman"/>
                <w:color w:val="auto"/>
                <w:kern w:val="2"/>
                <w:sz w:val="24"/>
                <w:szCs w:val="24"/>
                <w:vertAlign w:val="subscript"/>
                <w:lang w:val="en-US" w:eastAsia="zh-CN"/>
              </w:rPr>
              <w:t>m</w:t>
            </w:r>
          </w:p>
        </w:tc>
        <w:tc>
          <w:tcPr>
            <w:tcW w:w="644" w:type="pct"/>
            <w:vAlign w:val="center"/>
          </w:tcPr>
          <w:p w14:paraId="5EBA91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mm</w:t>
            </w:r>
          </w:p>
        </w:tc>
        <w:tc>
          <w:tcPr>
            <w:tcW w:w="1088" w:type="pct"/>
            <w:vAlign w:val="center"/>
          </w:tcPr>
          <w:p w14:paraId="5902E7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不小于图纸设计值，单个样品测试值与平均厚度值偏差不大于10%</w:t>
            </w:r>
          </w:p>
        </w:tc>
        <w:tc>
          <w:tcPr>
            <w:tcW w:w="1088" w:type="pct"/>
            <w:vAlign w:val="center"/>
          </w:tcPr>
          <w:p w14:paraId="6B77314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4"/>
                <w:szCs w:val="24"/>
                <w:lang w:val="en-US"/>
              </w:rPr>
            </w:pPr>
            <w:r>
              <w:rPr>
                <w:rFonts w:hint="default" w:ascii="Times New Roman" w:hAnsi="Times New Roman" w:cs="Times New Roman"/>
                <w:color w:val="auto"/>
                <w:kern w:val="2"/>
                <w:sz w:val="24"/>
                <w:szCs w:val="24"/>
                <w:lang w:val="en-US" w:eastAsia="zh-CN"/>
              </w:rPr>
              <w:t>GB/T8806</w:t>
            </w:r>
          </w:p>
        </w:tc>
      </w:tr>
      <w:tr w14:paraId="6EF9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pct"/>
            <w:vAlign w:val="center"/>
          </w:tcPr>
          <w:p w14:paraId="2C267D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密实性检测</w:t>
            </w:r>
          </w:p>
        </w:tc>
        <w:tc>
          <w:tcPr>
            <w:tcW w:w="1088" w:type="pct"/>
            <w:vAlign w:val="center"/>
          </w:tcPr>
          <w:p w14:paraId="0B2D20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材料样本透水性</w:t>
            </w:r>
          </w:p>
        </w:tc>
        <w:tc>
          <w:tcPr>
            <w:tcW w:w="644" w:type="pct"/>
            <w:vAlign w:val="center"/>
          </w:tcPr>
          <w:p w14:paraId="7D42AB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eastAsia="zh-CN"/>
              </w:rPr>
              <w:t>—</w:t>
            </w:r>
          </w:p>
        </w:tc>
        <w:tc>
          <w:tcPr>
            <w:tcW w:w="1088" w:type="pct"/>
            <w:vAlign w:val="center"/>
          </w:tcPr>
          <w:p w14:paraId="1CDF15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无水渗透</w:t>
            </w:r>
          </w:p>
        </w:tc>
        <w:tc>
          <w:tcPr>
            <w:tcW w:w="1088" w:type="pct"/>
            <w:vAlign w:val="center"/>
          </w:tcPr>
          <w:p w14:paraId="31B6FD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 xml:space="preserve">T/CECS 559-2018 </w:t>
            </w:r>
          </w:p>
        </w:tc>
      </w:tr>
    </w:tbl>
    <w:p w14:paraId="4D1ED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4"/>
          <w:szCs w:val="24"/>
          <w:lang w:val="en-US" w:eastAsia="zh-CN"/>
        </w:rPr>
      </w:pPr>
    </w:p>
    <w:p w14:paraId="2D31E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Ⅱ  一般项目</w:t>
      </w:r>
    </w:p>
    <w:p w14:paraId="556C720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7.3.5 </w:t>
      </w:r>
      <w:r>
        <w:rPr>
          <w:rFonts w:hint="default" w:ascii="Times New Roman" w:hAnsi="Times New Roman" w:cs="Times New Roman"/>
          <w:sz w:val="24"/>
          <w:szCs w:val="24"/>
          <w:lang w:val="en-US" w:eastAsia="zh-CN"/>
        </w:rPr>
        <w:t xml:space="preserve"> 内衬管表观质量应符合下列规定：</w:t>
      </w:r>
    </w:p>
    <w:p w14:paraId="6A17E37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kern w:val="2"/>
          <w:sz w:val="24"/>
          <w:szCs w:val="24"/>
          <w:highlight w:val="none"/>
          <w:lang w:val="en-US" w:eastAsia="zh-CN"/>
        </w:rPr>
        <w:t>1</w:t>
      </w:r>
      <w:r>
        <w:rPr>
          <w:rFonts w:hint="default" w:ascii="Times New Roman" w:hAnsi="Times New Roman" w:cs="Times New Roman"/>
          <w:b w:val="0"/>
          <w:bCs w:val="0"/>
          <w:sz w:val="24"/>
          <w:szCs w:val="24"/>
          <w:lang w:val="en-US" w:eastAsia="zh-CN"/>
        </w:rPr>
        <w:t xml:space="preserve">  内衬管表面应光洁，平整，无划伤、裂纹、孔洞、气泡、脱皮、分层和软弱带等影响管道使用的缺陷</w:t>
      </w:r>
      <w:r>
        <w:rPr>
          <w:rFonts w:hint="default" w:ascii="Times New Roman" w:hAnsi="Times New Roman" w:eastAsia="宋体" w:cs="Times New Roman"/>
          <w:b w:val="0"/>
          <w:bCs w:val="0"/>
          <w:sz w:val="24"/>
          <w:szCs w:val="24"/>
          <w:lang w:val="en-US" w:eastAsia="zh-CN"/>
        </w:rPr>
        <w:t>；</w:t>
      </w:r>
    </w:p>
    <w:p w14:paraId="540A003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kern w:val="2"/>
          <w:sz w:val="24"/>
          <w:szCs w:val="24"/>
          <w:highlight w:val="none"/>
          <w:lang w:val="en-US" w:eastAsia="zh-CN"/>
        </w:rPr>
        <w:t>2</w:t>
      </w:r>
      <w:r>
        <w:rPr>
          <w:rFonts w:hint="default" w:ascii="Times New Roman" w:hAnsi="Times New Roman" w:cs="Times New Roman"/>
          <w:b w:val="0"/>
          <w:bCs w:val="0"/>
          <w:sz w:val="24"/>
          <w:szCs w:val="24"/>
          <w:lang w:val="en-US" w:eastAsia="zh-CN"/>
        </w:rPr>
        <w:t xml:space="preserve">  内衬管褶皱应满足设计要求，当设计无要求时，最大褶皱不应大于0.02D或6mm中的较大值；</w:t>
      </w:r>
    </w:p>
    <w:p w14:paraId="1E7C7B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kern w:val="2"/>
          <w:sz w:val="24"/>
          <w:szCs w:val="24"/>
          <w:highlight w:val="none"/>
          <w:lang w:val="en-US" w:eastAsia="zh-CN"/>
        </w:rPr>
        <w:t>3</w:t>
      </w:r>
      <w:r>
        <w:rPr>
          <w:rFonts w:hint="default" w:ascii="Times New Roman" w:hAnsi="Times New Roman" w:cs="Times New Roman"/>
          <w:b w:val="0"/>
          <w:bCs w:val="0"/>
          <w:sz w:val="24"/>
          <w:szCs w:val="24"/>
          <w:lang w:val="en-US" w:eastAsia="zh-CN"/>
        </w:rPr>
        <w:t xml:space="preserve">  内衬管应与原有管道贴附紧密。</w:t>
      </w:r>
    </w:p>
    <w:p w14:paraId="7CF49A1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eastAsia="zh-CN"/>
        </w:rPr>
        <w:t>检验方法</w:t>
      </w:r>
      <w:r>
        <w:rPr>
          <w:rFonts w:hint="default" w:ascii="Times New Roman" w:hAnsi="Times New Roman" w:cs="Times New Roman"/>
          <w:sz w:val="24"/>
          <w:szCs w:val="24"/>
          <w:lang w:val="en-US" w:eastAsia="zh-CN"/>
        </w:rPr>
        <w:t>：观察或CCTV检测；检查施工记录、CCTV检测记录等。</w:t>
      </w:r>
    </w:p>
    <w:p w14:paraId="4EAC753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200FE67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 xml:space="preserve">7.3.6 </w:t>
      </w:r>
      <w:r>
        <w:rPr>
          <w:rFonts w:hint="default" w:ascii="Times New Roman" w:hAnsi="Times New Roman" w:cs="Times New Roman"/>
          <w:sz w:val="24"/>
          <w:szCs w:val="24"/>
          <w:lang w:val="en-US" w:eastAsia="zh-CN"/>
        </w:rPr>
        <w:t xml:space="preserve"> 修复后的管道内应无湿渍，不得出现滴漏、线漏等渗水现象。</w:t>
      </w:r>
    </w:p>
    <w:p w14:paraId="469D193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检验方法：观察或CCTV检测；检查施工记录、CCTV检测记录等。</w:t>
      </w:r>
    </w:p>
    <w:p w14:paraId="24D4A1B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61ABF8D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7.3.7</w:t>
      </w:r>
      <w:r>
        <w:rPr>
          <w:rFonts w:hint="default" w:ascii="Times New Roman" w:hAnsi="Times New Roman" w:cs="Times New Roman"/>
          <w:sz w:val="24"/>
          <w:szCs w:val="24"/>
          <w:lang w:val="en-US" w:eastAsia="zh-CN"/>
        </w:rPr>
        <w:t xml:space="preserve">  内衬管起点和终点端头应切割整齐，端部密封处理应符合设计要求，且密封良好、饱满密实。</w:t>
      </w:r>
    </w:p>
    <w:p w14:paraId="64D8491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检验方法：观察或对照设计文件检查施工记录等。</w:t>
      </w:r>
    </w:p>
    <w:p w14:paraId="0924394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4134691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7.3.8</w:t>
      </w:r>
      <w:r>
        <w:rPr>
          <w:rFonts w:hint="default" w:ascii="Times New Roman" w:hAnsi="Times New Roman" w:cs="Times New Roman"/>
          <w:sz w:val="24"/>
          <w:szCs w:val="24"/>
          <w:lang w:val="en-US" w:eastAsia="zh-CN"/>
        </w:rPr>
        <w:t xml:space="preserve">  修复后管道线性平顺，折边或错台处过渡平顺；环向断面圆弧饱满。</w:t>
      </w:r>
    </w:p>
    <w:p w14:paraId="3B9CCC0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检验方法：观察或CCTV检测；检查施工记录、CCTV检测记录等。</w:t>
      </w:r>
    </w:p>
    <w:p w14:paraId="3DF046A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3C66EC38">
      <w:pPr>
        <w:pStyle w:val="3"/>
        <w:jc w:val="center"/>
        <w:rPr>
          <w:rFonts w:hint="default" w:ascii="Times New Roman" w:hAnsi="Times New Roman" w:cs="Times New Roman" w:eastAsiaTheme="majorEastAsia"/>
          <w:lang w:val="en-US" w:eastAsia="zh-CN"/>
        </w:rPr>
      </w:pPr>
      <w:bookmarkStart w:id="346" w:name="_Toc5268"/>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4管片内衬法</w:t>
      </w:r>
      <w:bookmarkEnd w:id="346"/>
    </w:p>
    <w:p w14:paraId="024A0D5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Ⅰ 主控项目</w:t>
      </w:r>
    </w:p>
    <w:p w14:paraId="372F3FEF">
      <w:pPr>
        <w:rPr>
          <w:rFonts w:hint="default" w:ascii="Times New Roman" w:hAnsi="Times New Roman" w:cs="Times New Roman"/>
          <w:szCs w:val="24"/>
        </w:rPr>
      </w:pPr>
      <w:r>
        <w:rPr>
          <w:rFonts w:hint="default" w:ascii="Times New Roman" w:hAnsi="Times New Roman" w:cs="Times New Roman"/>
          <w:b/>
          <w:bCs/>
          <w:szCs w:val="24"/>
        </w:rPr>
        <w:t>7.4.1</w:t>
      </w:r>
      <w:r>
        <w:rPr>
          <w:rFonts w:hint="default" w:ascii="Times New Roman" w:hAnsi="Times New Roman" w:cs="Times New Roman"/>
          <w:szCs w:val="24"/>
        </w:rPr>
        <w:t xml:space="preserve"> </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进场的管片质量检验应符合下列规定：</w:t>
      </w:r>
    </w:p>
    <w:p w14:paraId="7C611D4D">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1</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应分别对不同生产批次的管片进行抽样检测。样品应由第三方检测单位进行检测，并应提供检测结果报告。</w:t>
      </w:r>
    </w:p>
    <w:p w14:paraId="0C15815D">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检验方法：按本规程</w:t>
      </w:r>
      <w:r>
        <w:rPr>
          <w:rFonts w:hint="default" w:ascii="Times New Roman" w:hAnsi="Times New Roman" w:cs="Times New Roman"/>
          <w:b w:val="0"/>
          <w:bCs w:val="0"/>
          <w:szCs w:val="24"/>
          <w:lang w:val="en-US" w:eastAsia="zh-CN"/>
        </w:rPr>
        <w:t>材料要求</w:t>
      </w:r>
      <w:r>
        <w:rPr>
          <w:rFonts w:hint="default" w:ascii="Times New Roman" w:hAnsi="Times New Roman" w:cs="Times New Roman"/>
          <w:b w:val="0"/>
          <w:bCs w:val="0"/>
          <w:szCs w:val="24"/>
        </w:rPr>
        <w:t>进行性能检测。</w:t>
      </w:r>
    </w:p>
    <w:p w14:paraId="531BDAB5">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检查数量：每一批次抽取3块。</w:t>
      </w:r>
    </w:p>
    <w:p w14:paraId="683C89E7">
      <w:pPr>
        <w:ind w:firstLine="480" w:firstLineChars="200"/>
        <w:rPr>
          <w:rFonts w:hint="default" w:ascii="Times New Roman" w:hAnsi="Times New Roman" w:cs="Times New Roman"/>
          <w:szCs w:val="24"/>
        </w:rPr>
      </w:pPr>
      <w:r>
        <w:rPr>
          <w:rFonts w:hint="default" w:ascii="Times New Roman" w:hAnsi="Times New Roman" w:cs="Times New Roman"/>
          <w:b w:val="0"/>
          <w:bCs w:val="0"/>
          <w:kern w:val="2"/>
          <w:szCs w:val="24"/>
          <w:highlight w:val="none"/>
        </w:rPr>
        <w:t>2</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同一</w:t>
      </w:r>
      <w:r>
        <w:rPr>
          <w:rFonts w:hint="default" w:ascii="Times New Roman" w:hAnsi="Times New Roman" w:cs="Times New Roman"/>
          <w:szCs w:val="24"/>
        </w:rPr>
        <w:t>施工段应采用相同材质的部件，部件不得存在裂缝、漏洞、外来夹杂物、变形或其他损伤缺陷。</w:t>
      </w:r>
    </w:p>
    <w:p w14:paraId="4BDD445D">
      <w:pPr>
        <w:ind w:firstLine="480" w:firstLineChars="200"/>
        <w:rPr>
          <w:rFonts w:hint="default" w:ascii="Times New Roman" w:hAnsi="Times New Roman" w:cs="Times New Roman"/>
          <w:szCs w:val="24"/>
        </w:rPr>
      </w:pPr>
      <w:r>
        <w:rPr>
          <w:rFonts w:hint="default" w:ascii="Times New Roman" w:hAnsi="Times New Roman" w:cs="Times New Roman"/>
          <w:szCs w:val="24"/>
        </w:rPr>
        <w:t>检验方法：观察。</w:t>
      </w:r>
    </w:p>
    <w:p w14:paraId="5FD5992B">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6FBE4CB9">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.4.2</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填充砂浆的质量应符合本规程</w:t>
      </w:r>
      <w:r>
        <w:rPr>
          <w:rFonts w:hint="default" w:ascii="Times New Roman" w:hAnsi="Times New Roman" w:cs="Times New Roman"/>
          <w:szCs w:val="24"/>
          <w:lang w:val="en-US" w:eastAsia="zh-CN"/>
        </w:rPr>
        <w:t>材料要求</w:t>
      </w:r>
      <w:r>
        <w:rPr>
          <w:rFonts w:hint="default" w:ascii="Times New Roman" w:hAnsi="Times New Roman" w:cs="Times New Roman"/>
          <w:szCs w:val="24"/>
        </w:rPr>
        <w:t>的规定。</w:t>
      </w:r>
    </w:p>
    <w:p w14:paraId="3D4DBFE3">
      <w:pPr>
        <w:ind w:firstLine="480" w:firstLineChars="200"/>
        <w:rPr>
          <w:rFonts w:hint="default" w:ascii="Times New Roman" w:hAnsi="Times New Roman" w:cs="Times New Roman"/>
          <w:szCs w:val="24"/>
        </w:rPr>
      </w:pPr>
      <w:r>
        <w:rPr>
          <w:rFonts w:hint="default" w:ascii="Times New Roman" w:hAnsi="Times New Roman" w:cs="Times New Roman"/>
          <w:szCs w:val="24"/>
        </w:rPr>
        <w:t>检验方法：现场测试，按现行国家标准《水泥基灌浆材料应用技术规范》GB/T</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50448的有关规定执行。</w:t>
      </w:r>
    </w:p>
    <w:p w14:paraId="4A6B3B75">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w:t>
      </w:r>
      <w:r>
        <w:rPr>
          <w:rFonts w:hint="default" w:ascii="Times New Roman" w:hAnsi="Times New Roman" w:cs="Times New Roman"/>
          <w:color w:val="auto"/>
          <w:szCs w:val="24"/>
        </w:rPr>
        <w:t>每100m取一</w:t>
      </w:r>
      <w:r>
        <w:rPr>
          <w:rFonts w:hint="default" w:ascii="Times New Roman" w:hAnsi="Times New Roman" w:cs="Times New Roman"/>
          <w:szCs w:val="24"/>
        </w:rPr>
        <w:t>组样。</w:t>
      </w:r>
    </w:p>
    <w:p w14:paraId="614B146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Ⅱ  一般项目</w:t>
      </w:r>
    </w:p>
    <w:p w14:paraId="0AAA2842">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.4.3</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每片管片应有清晰的标记，标记应包括生产商的名称、商标、产品编号、产地、生产日期和材料等级等。</w:t>
      </w:r>
    </w:p>
    <w:p w14:paraId="54E8A7EC">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.4.4</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修复后管道内壁不得出现鼓包、漏浆等外观缺陷，浆液应充满，无空洞。</w:t>
      </w:r>
    </w:p>
    <w:p w14:paraId="6DF75FC3">
      <w:pPr>
        <w:ind w:firstLine="480" w:firstLineChars="200"/>
        <w:rPr>
          <w:rFonts w:hint="default" w:ascii="Times New Roman" w:hAnsi="Times New Roman" w:cs="Times New Roman"/>
          <w:szCs w:val="24"/>
        </w:rPr>
      </w:pPr>
      <w:r>
        <w:rPr>
          <w:rFonts w:hint="default" w:ascii="Times New Roman" w:hAnsi="Times New Roman" w:cs="Times New Roman"/>
          <w:szCs w:val="24"/>
        </w:rPr>
        <w:t>检验方法：采用C</w:t>
      </w:r>
      <w:r>
        <w:rPr>
          <w:rFonts w:hint="default" w:ascii="Times New Roman" w:hAnsi="Times New Roman" w:cs="Times New Roman"/>
          <w:szCs w:val="24"/>
          <w:lang w:val="en-US" w:eastAsia="zh-CN"/>
        </w:rPr>
        <w:t>C</w:t>
      </w:r>
      <w:r>
        <w:rPr>
          <w:rFonts w:hint="default" w:ascii="Times New Roman" w:hAnsi="Times New Roman" w:cs="Times New Roman"/>
          <w:szCs w:val="24"/>
        </w:rPr>
        <w:t>TV检测或人员进入管内目测检查。</w:t>
      </w:r>
    </w:p>
    <w:p w14:paraId="73A59E46">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76F33CE3">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.4.5</w:t>
      </w:r>
      <w:r>
        <w:rPr>
          <w:rFonts w:hint="default" w:ascii="Times New Roman" w:hAnsi="Times New Roman" w:cs="Times New Roman"/>
          <w:b/>
          <w:bCs/>
          <w:szCs w:val="24"/>
          <w:lang w:val="en-US" w:eastAsia="zh-CN"/>
        </w:rPr>
        <w:t xml:space="preserve"> </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修复后，应测量管道内径，尺寸应符合本规程</w:t>
      </w:r>
      <w:r>
        <w:rPr>
          <w:rFonts w:hint="default" w:ascii="Times New Roman" w:hAnsi="Times New Roman" w:cs="Times New Roman"/>
          <w:szCs w:val="24"/>
          <w:lang w:val="en-US" w:eastAsia="zh-CN"/>
        </w:rPr>
        <w:t>材料要求</w:t>
      </w:r>
      <w:r>
        <w:rPr>
          <w:rFonts w:hint="default" w:ascii="Times New Roman" w:hAnsi="Times New Roman" w:cs="Times New Roman"/>
          <w:szCs w:val="24"/>
        </w:rPr>
        <w:t>的规定。</w:t>
      </w:r>
    </w:p>
    <w:p w14:paraId="1989DF4A">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.4.6</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修复中使用的胶粘剂和密封剂应与PVC复合材料之间拼接工艺相匹配</w:t>
      </w:r>
      <w:r>
        <w:rPr>
          <w:rFonts w:hint="default" w:ascii="Times New Roman" w:hAnsi="Times New Roman" w:cs="Times New Roman"/>
          <w:szCs w:val="24"/>
          <w:lang w:eastAsia="zh-CN"/>
        </w:rPr>
        <w:t>。</w:t>
      </w:r>
    </w:p>
    <w:p w14:paraId="46F1EFA9">
      <w:pPr>
        <w:pStyle w:val="3"/>
        <w:jc w:val="center"/>
        <w:rPr>
          <w:rFonts w:hint="default" w:ascii="Times New Roman" w:hAnsi="Times New Roman" w:cs="Times New Roman"/>
          <w:i/>
          <w:color w:val="auto"/>
          <w:sz w:val="28"/>
          <w:szCs w:val="28"/>
        </w:rPr>
      </w:pPr>
      <w:bookmarkStart w:id="347" w:name="_Toc32280"/>
      <w:r>
        <w:rPr>
          <w:rFonts w:hint="default" w:ascii="Times New Roman" w:hAnsi="Times New Roman" w:eastAsia="宋体" w:cs="Times New Roman"/>
          <w:color w:val="auto"/>
        </w:rPr>
        <w:t>7.5短管内衬法</w:t>
      </w:r>
      <w:bookmarkEnd w:id="347"/>
    </w:p>
    <w:p w14:paraId="05D44CB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Ⅰ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主控项目</w:t>
      </w:r>
    </w:p>
    <w:p w14:paraId="58FEFA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7.5.1</w:t>
      </w: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管材与接口质量检验应符合下列规定：</w:t>
      </w:r>
    </w:p>
    <w:p w14:paraId="26071F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kern w:val="2"/>
          <w:sz w:val="24"/>
          <w:szCs w:val="24"/>
          <w:highlight w:val="none"/>
          <w:lang w:val="en-US" w:eastAsia="zh-CN"/>
        </w:rPr>
        <w:t xml:space="preserve">1 </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短管内衬加工前，管材、原材料的规格、尺寸、性能应符合设计文件和现行国家标准《给水用聚乙烯（PE）管道系统第2部分：管材》GB/T13663.2的有关规定。</w:t>
      </w:r>
    </w:p>
    <w:p w14:paraId="0A2E52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检验方法：检查质量保证资料、出厂检验报告；用卡尺、钢尺量测；进场复测报告。</w:t>
      </w:r>
    </w:p>
    <w:p w14:paraId="4CA090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检查数量：同一生产厂家、同一批次产品现场取样不少于1组。</w:t>
      </w:r>
    </w:p>
    <w:p w14:paraId="5755BB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kern w:val="2"/>
          <w:sz w:val="24"/>
          <w:szCs w:val="24"/>
          <w:highlight w:val="none"/>
          <w:lang w:val="en-US" w:eastAsia="zh-CN"/>
        </w:rPr>
        <w:t>2</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管材短管壁厚、平均外径和不圆度应符合设计文件和现行国家标准《给水用聚乙烯（PE）管道系统第2部分：管材》GB/T13663.2的有关规定。</w:t>
      </w:r>
    </w:p>
    <w:p w14:paraId="44E491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检验方法：按现行国家标准《塑料管道系统塑料部件尺寸的测定》GB/T8806的规定测量。</w:t>
      </w:r>
    </w:p>
    <w:p w14:paraId="4099A3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检查数量：短管切割后、连接口加工前，短管全数。</w:t>
      </w:r>
    </w:p>
    <w:p w14:paraId="24B7C28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val="0"/>
          <w:bCs w:val="0"/>
          <w:kern w:val="2"/>
          <w:sz w:val="24"/>
          <w:szCs w:val="24"/>
          <w:highlight w:val="none"/>
          <w:lang w:val="en-US" w:eastAsia="zh-CN"/>
        </w:rPr>
        <w:t>3</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管节及</w:t>
      </w:r>
      <w:r>
        <w:rPr>
          <w:rFonts w:hint="default" w:ascii="Times New Roman" w:hAnsi="Times New Roman" w:eastAsia="宋体" w:cs="Times New Roman"/>
          <w:sz w:val="24"/>
          <w:szCs w:val="24"/>
          <w:lang w:val="en-US" w:eastAsia="zh-CN"/>
        </w:rPr>
        <w:t>管段接口的连接质量应经检验合格。</w:t>
      </w:r>
    </w:p>
    <w:p w14:paraId="712F69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检验方法：观察。</w:t>
      </w:r>
    </w:p>
    <w:p w14:paraId="37EDD53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sz w:val="24"/>
          <w:szCs w:val="24"/>
        </w:rPr>
      </w:pPr>
      <w:r>
        <w:rPr>
          <w:rFonts w:hint="default" w:ascii="Times New Roman" w:hAnsi="Times New Roman" w:eastAsia="宋体" w:cs="Times New Roman"/>
          <w:sz w:val="24"/>
          <w:szCs w:val="24"/>
          <w:lang w:val="en-US" w:eastAsia="zh-CN"/>
        </w:rPr>
        <w:t>检查数量：全数检查。</w:t>
      </w:r>
    </w:p>
    <w:p w14:paraId="7553088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Ⅱ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一般项目</w:t>
      </w:r>
    </w:p>
    <w:p w14:paraId="2EBED4B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7.5.2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短管内衬法修复管道后，管道内壁应符合下列规定：</w:t>
      </w:r>
    </w:p>
    <w:p w14:paraId="4CA177C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1</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修复后的管道内壁应无局部裂纹、褶皱、明显变形、脱节；修复部位应完全覆盖。</w:t>
      </w:r>
    </w:p>
    <w:p w14:paraId="1E03654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检验方法：观察；管径小于或等于800mm时，应依据CCTV检测管道检测图像。</w:t>
      </w:r>
    </w:p>
    <w:p w14:paraId="76DCDD8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检查数量：全数检查。</w:t>
      </w:r>
    </w:p>
    <w:p w14:paraId="4759EE1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2</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应对修复工艺特殊需要的施工过程中的检查验收资料进行核实，应符合设计、施工工艺要求，记录应齐全。</w:t>
      </w:r>
    </w:p>
    <w:p w14:paraId="04CCCCF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检验方法：检查施工记录。</w:t>
      </w:r>
    </w:p>
    <w:p w14:paraId="16C4E1A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检查数量：全数检查。</w:t>
      </w:r>
    </w:p>
    <w:p w14:paraId="2C0EFB5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b w:val="0"/>
          <w:bCs w:val="0"/>
          <w:kern w:val="2"/>
          <w:sz w:val="24"/>
          <w:szCs w:val="24"/>
          <w:highlight w:val="none"/>
        </w:rPr>
        <w:t>3</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修复管道</w:t>
      </w:r>
      <w:r>
        <w:rPr>
          <w:rFonts w:hint="default" w:ascii="Times New Roman" w:hAnsi="Times New Roman" w:cs="Times New Roman"/>
          <w:sz w:val="24"/>
          <w:szCs w:val="24"/>
        </w:rPr>
        <w:t>内壁应光洁、平整、线性、无明显凸起物；接口、接缝应平顺，新管道、原有管道过渡应平缓。</w:t>
      </w:r>
    </w:p>
    <w:p w14:paraId="407BDE0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检验方法：观察；管径小于或等于800mm时应采用CCTV检测。</w:t>
      </w:r>
    </w:p>
    <w:p w14:paraId="6E27D6F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检查数量：全数检查。</w:t>
      </w:r>
    </w:p>
    <w:p w14:paraId="53AAAAC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4</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内衬管与原有管道的间隙注浆充填时，注浆固结体应充满间隙，不得有松散、空洞等现象，管段端部的间隙密封处理应符合设计文件的规定。</w:t>
      </w:r>
    </w:p>
    <w:p w14:paraId="2ED9E41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检验方法：观察；检查施工记录、注浆记录。</w:t>
      </w:r>
    </w:p>
    <w:p w14:paraId="669CDEC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检查数量：全数检查。</w:t>
      </w:r>
    </w:p>
    <w:p w14:paraId="3992D4A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b w:val="0"/>
          <w:bCs w:val="0"/>
          <w:kern w:val="2"/>
          <w:sz w:val="24"/>
          <w:szCs w:val="24"/>
          <w:highlight w:val="none"/>
        </w:rPr>
        <w:t>5</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两端</w:t>
      </w:r>
      <w:r>
        <w:rPr>
          <w:rFonts w:hint="default" w:ascii="Times New Roman" w:hAnsi="Times New Roman" w:cs="Times New Roman"/>
          <w:sz w:val="24"/>
          <w:szCs w:val="24"/>
        </w:rPr>
        <w:t>管口密封处理应符合设计文件的规定，管口灰浆应平滑，密封应良好。</w:t>
      </w:r>
    </w:p>
    <w:p w14:paraId="38088DB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检验方法：管道潜望镜检查。</w:t>
      </w:r>
    </w:p>
    <w:p w14:paraId="53993A6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检查数量：全数检查。</w:t>
      </w:r>
    </w:p>
    <w:p w14:paraId="7DF6581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7.5.3</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管道接口连接的分项工程质量验收应按现行国家标准《给水排水管道工程施工及验收规范》GB50268的有关规定执行，管节及管件的规格、性能应符合有关产品标准和设计文件的规定，进</w:t>
      </w:r>
      <w:r>
        <w:rPr>
          <w:rFonts w:hint="default" w:ascii="Times New Roman" w:hAnsi="Times New Roman" w:cs="Times New Roman"/>
          <w:sz w:val="24"/>
          <w:szCs w:val="24"/>
          <w:lang w:val="en-US" w:eastAsia="zh-CN"/>
        </w:rPr>
        <w:t>入</w:t>
      </w:r>
      <w:r>
        <w:rPr>
          <w:rFonts w:hint="default" w:ascii="Times New Roman" w:hAnsi="Times New Roman" w:cs="Times New Roman"/>
          <w:sz w:val="24"/>
          <w:szCs w:val="24"/>
        </w:rPr>
        <w:t>施工现场时，管节及管件的外观质量应符合下列规定：</w:t>
      </w:r>
    </w:p>
    <w:p w14:paraId="15B6F81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1</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不得有影响结构安全、使用功能及接口连接的质量缺陷；</w:t>
      </w:r>
    </w:p>
    <w:p w14:paraId="10A7832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2</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管节不得有异向弯曲，端口应平整；</w:t>
      </w:r>
    </w:p>
    <w:p w14:paraId="0A128D2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3</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管道线性应圆顺，接口应平顺；</w:t>
      </w:r>
    </w:p>
    <w:p w14:paraId="029D0AD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kern w:val="2"/>
          <w:sz w:val="24"/>
          <w:szCs w:val="24"/>
          <w:highlight w:val="none"/>
        </w:rPr>
        <w:t>4</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胶圈表面应光滑平整，不得有裂缝、破损、气孔、重皮等缺陷，应留取同批次材料以备检查。</w:t>
      </w:r>
    </w:p>
    <w:p w14:paraId="1A3216D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检验方法：检查产品质量保证资料；检查成品管进场验收记录。</w:t>
      </w:r>
    </w:p>
    <w:p w14:paraId="2579D0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检查数量：全数检查。</w:t>
      </w:r>
    </w:p>
    <w:p w14:paraId="70B63E1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b w:val="0"/>
          <w:bCs w:val="0"/>
          <w:kern w:val="2"/>
          <w:sz w:val="24"/>
          <w:szCs w:val="24"/>
          <w:highlight w:val="none"/>
        </w:rPr>
        <w:t>5</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接口</w:t>
      </w:r>
      <w:r>
        <w:rPr>
          <w:rFonts w:hint="default" w:ascii="Times New Roman" w:hAnsi="Times New Roman" w:cs="Times New Roman"/>
          <w:sz w:val="24"/>
          <w:szCs w:val="24"/>
        </w:rPr>
        <w:t>连接，两管节中轴线应保持同心，承口、插口部位无破损、变形、开裂，插口推人深度应到位。</w:t>
      </w:r>
    </w:p>
    <w:p w14:paraId="0906D53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检验方法：通过CCTV检测，逐个接口检查施工记录。</w:t>
      </w:r>
    </w:p>
    <w:p w14:paraId="79DAA9D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检查数量：全数检查。</w:t>
      </w:r>
    </w:p>
    <w:p w14:paraId="1C7E644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rPr>
      </w:pPr>
      <w:r>
        <w:rPr>
          <w:rFonts w:hint="default" w:ascii="Times New Roman" w:hAnsi="Times New Roman" w:cs="Times New Roman"/>
          <w:b/>
          <w:bCs/>
          <w:sz w:val="24"/>
          <w:szCs w:val="24"/>
        </w:rPr>
        <w:t>7.5.4</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管道内衬管内壁表面应光洁、平整，无局部划伤、裂纹、磨损、孔洞、变形、错台等影响管道结构、使用功能的损伤和缺陷。</w:t>
      </w:r>
    </w:p>
    <w:p w14:paraId="23EABF9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检验方法：观察或CCTV检测；检查施工记录与CCTV检测记录等。</w:t>
      </w:r>
    </w:p>
    <w:p w14:paraId="3347DD6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检查数量：全数检查。</w:t>
      </w:r>
    </w:p>
    <w:p w14:paraId="2A1805A7">
      <w:pPr>
        <w:pStyle w:val="3"/>
        <w:jc w:val="center"/>
        <w:rPr>
          <w:rFonts w:hint="default" w:ascii="Times New Roman" w:hAnsi="Times New Roman" w:eastAsia="宋体" w:cs="Times New Roman"/>
          <w:lang w:val="en-US" w:eastAsia="zh-CN"/>
        </w:rPr>
      </w:pPr>
      <w:bookmarkStart w:id="348" w:name="_Toc21285"/>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6机械制螺旋缠绕法</w:t>
      </w:r>
      <w:bookmarkEnd w:id="348"/>
    </w:p>
    <w:p w14:paraId="406FA4A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I  主控项目</w:t>
      </w:r>
    </w:p>
    <w:p w14:paraId="745E8169">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7.6.1</w:t>
      </w:r>
      <w:r>
        <w:rPr>
          <w:rFonts w:hint="default" w:ascii="Times New Roman" w:hAnsi="Times New Roman" w:cs="Times New Roman"/>
          <w:lang w:val="en-US" w:eastAsia="zh-CN"/>
        </w:rPr>
        <w:t xml:space="preserve">  机械制螺旋缠绕法修复工程质量验收应符合下列规定：</w:t>
      </w:r>
    </w:p>
    <w:p w14:paraId="24C87C00">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1</w:t>
      </w:r>
      <w:r>
        <w:rPr>
          <w:rFonts w:hint="default" w:ascii="Times New Roman" w:hAnsi="Times New Roman" w:cs="Times New Roman"/>
          <w:b w:val="0"/>
          <w:bCs w:val="0"/>
          <w:lang w:val="en-US" w:eastAsia="zh-CN"/>
        </w:rPr>
        <w:t xml:space="preserve">  施工完成，施工过程资料齐全方可进行工程验收；</w:t>
      </w:r>
    </w:p>
    <w:p w14:paraId="57DF29F5">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2</w:t>
      </w:r>
      <w:r>
        <w:rPr>
          <w:rFonts w:hint="default" w:ascii="Times New Roman" w:hAnsi="Times New Roman" w:cs="Times New Roman"/>
          <w:b w:val="0"/>
          <w:bCs w:val="0"/>
          <w:lang w:val="en-US" w:eastAsia="zh-CN"/>
        </w:rPr>
        <w:t xml:space="preserve">  施工所用的主要原材料应符合本规程第4.5节的规定和设计有关规定；</w:t>
      </w:r>
    </w:p>
    <w:p w14:paraId="7226C9FD">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3</w:t>
      </w:r>
      <w:r>
        <w:rPr>
          <w:rFonts w:hint="default" w:ascii="Times New Roman" w:hAnsi="Times New Roman" w:cs="Times New Roman"/>
          <w:b w:val="0"/>
          <w:bCs w:val="0"/>
          <w:lang w:val="en-US" w:eastAsia="zh-CN"/>
        </w:rPr>
        <w:t xml:space="preserve">  每一个修复工程中不同规格、不同批次的内衬材料均应进行现场取样检测；</w:t>
      </w:r>
    </w:p>
    <w:p w14:paraId="3F0A6AB7">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4</w:t>
      </w:r>
      <w:r>
        <w:rPr>
          <w:rFonts w:hint="default" w:ascii="Times New Roman" w:hAnsi="Times New Roman" w:cs="Times New Roman"/>
          <w:b w:val="0"/>
          <w:bCs w:val="0"/>
          <w:lang w:val="en-US" w:eastAsia="zh-CN"/>
        </w:rPr>
        <w:t xml:space="preserve">  取样应从同批次任一卷轴截取；</w:t>
      </w:r>
    </w:p>
    <w:p w14:paraId="2D4F17CB">
      <w:pPr>
        <w:ind w:firstLine="480" w:firstLineChars="200"/>
        <w:rPr>
          <w:rFonts w:hint="default" w:ascii="Times New Roman" w:hAnsi="Times New Roman" w:cs="Times New Roman"/>
          <w:lang w:val="en-US" w:eastAsia="zh-CN"/>
        </w:rPr>
      </w:pPr>
      <w:r>
        <w:rPr>
          <w:rFonts w:hint="default" w:ascii="Times New Roman" w:hAnsi="Times New Roman" w:cs="Times New Roman"/>
          <w:b w:val="0"/>
          <w:bCs w:val="0"/>
          <w:kern w:val="2"/>
          <w:szCs w:val="24"/>
          <w:highlight w:val="none"/>
          <w:lang w:val="en-US" w:eastAsia="zh-CN"/>
        </w:rPr>
        <w:t>5</w:t>
      </w:r>
      <w:r>
        <w:rPr>
          <w:rFonts w:hint="default" w:ascii="Times New Roman" w:hAnsi="Times New Roman" w:cs="Times New Roman"/>
          <w:b w:val="0"/>
          <w:bCs w:val="0"/>
          <w:lang w:val="en-US" w:eastAsia="zh-CN"/>
        </w:rPr>
        <w:t xml:space="preserve">  钢带</w:t>
      </w:r>
      <w:r>
        <w:rPr>
          <w:rFonts w:hint="default" w:ascii="Times New Roman" w:hAnsi="Times New Roman" w:cs="Times New Roman"/>
          <w:lang w:val="en-US" w:eastAsia="zh-CN"/>
        </w:rPr>
        <w:t>应安装在型材外表面。</w:t>
      </w:r>
    </w:p>
    <w:p w14:paraId="2522AEE2">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7.6.2</w:t>
      </w:r>
      <w:r>
        <w:rPr>
          <w:rFonts w:hint="default" w:ascii="Times New Roman" w:hAnsi="Times New Roman" w:cs="Times New Roman"/>
          <w:lang w:val="en-US" w:eastAsia="zh-CN"/>
        </w:rPr>
        <w:t xml:space="preserve">  内衬管质量检测应符合下列规定：</w:t>
      </w:r>
    </w:p>
    <w:p w14:paraId="0F9A7991">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1</w:t>
      </w:r>
      <w:r>
        <w:rPr>
          <w:rFonts w:hint="default" w:ascii="Times New Roman" w:hAnsi="Times New Roman" w:cs="Times New Roman"/>
          <w:b w:val="0"/>
          <w:bCs w:val="0"/>
          <w:lang w:val="en-US" w:eastAsia="zh-CN"/>
        </w:rPr>
        <w:t xml:space="preserve">  带状型材和钢带的外观、性能应符合本规程规定。</w:t>
      </w:r>
    </w:p>
    <w:p w14:paraId="3DF3678A">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检验方法：外观：材料进场时现场抽检；性能：检查产品合格证、质量检测报告。</w:t>
      </w:r>
    </w:p>
    <w:p w14:paraId="225B8E5F">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检查数量：外观检查，不少于进场总量的1/3</w:t>
      </w:r>
      <w:r>
        <w:rPr>
          <w:rFonts w:hint="default" w:ascii="Times New Roman" w:hAnsi="Times New Roman" w:eastAsia="宋体" w:cs="Times New Roman"/>
          <w:b w:val="0"/>
          <w:bCs w:val="0"/>
          <w:lang w:val="en-US" w:eastAsia="zh-CN"/>
        </w:rPr>
        <w:t>；</w:t>
      </w:r>
      <w:r>
        <w:rPr>
          <w:rFonts w:hint="default" w:ascii="Times New Roman" w:hAnsi="Times New Roman" w:cs="Times New Roman"/>
          <w:b w:val="0"/>
          <w:bCs w:val="0"/>
          <w:lang w:val="en-US" w:eastAsia="zh-CN"/>
        </w:rPr>
        <w:t>性能检查，全数检查。</w:t>
      </w:r>
    </w:p>
    <w:p w14:paraId="77775331">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2</w:t>
      </w:r>
      <w:r>
        <w:rPr>
          <w:rFonts w:hint="default" w:ascii="Times New Roman" w:hAnsi="Times New Roman" w:cs="Times New Roman"/>
          <w:b w:val="0"/>
          <w:bCs w:val="0"/>
          <w:lang w:val="en-US" w:eastAsia="zh-CN"/>
        </w:rPr>
        <w:t xml:space="preserve">  管道的刚度应符合设计文件的规定，当设计文件无规定时，应符合现行行业标准《城镇排水管道非开挖修复更新工程技术规程》CJJ/T210的有关规定。</w:t>
      </w:r>
    </w:p>
    <w:p w14:paraId="12FCF4A0">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检验方法：检查成品的环刚度或刚度系数检测报告。</w:t>
      </w:r>
    </w:p>
    <w:p w14:paraId="1E83CEC1">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检查数量：检查产品环刚度时，同一项目每种管径留样1组。检查刚度系数时，同一项目型材和钢带不同组合留样1组。</w:t>
      </w:r>
    </w:p>
    <w:p w14:paraId="0F7DFB55">
      <w:pPr>
        <w:ind w:firstLine="480" w:firstLineChars="200"/>
        <w:rPr>
          <w:rFonts w:hint="default" w:ascii="Times New Roman" w:hAnsi="Times New Roman" w:cs="Times New Roman"/>
          <w:lang w:val="en-US" w:eastAsia="zh-CN"/>
        </w:rPr>
      </w:pPr>
      <w:r>
        <w:rPr>
          <w:rFonts w:hint="default" w:ascii="Times New Roman" w:hAnsi="Times New Roman" w:cs="Times New Roman"/>
          <w:b w:val="0"/>
          <w:bCs w:val="0"/>
          <w:kern w:val="2"/>
          <w:szCs w:val="24"/>
          <w:highlight w:val="none"/>
          <w:lang w:val="en-US" w:eastAsia="zh-CN"/>
        </w:rPr>
        <w:t>3</w:t>
      </w:r>
      <w:r>
        <w:rPr>
          <w:rFonts w:hint="default" w:ascii="Times New Roman" w:hAnsi="Times New Roman" w:cs="Times New Roman"/>
          <w:b w:val="0"/>
          <w:bCs w:val="0"/>
          <w:lang w:val="en-US" w:eastAsia="zh-CN"/>
        </w:rPr>
        <w:t xml:space="preserve">  管道内</w:t>
      </w:r>
      <w:r>
        <w:rPr>
          <w:rFonts w:hint="default" w:ascii="Times New Roman" w:hAnsi="Times New Roman" w:cs="Times New Roman"/>
          <w:lang w:val="en-US" w:eastAsia="zh-CN"/>
        </w:rPr>
        <w:t>不得有滴漏和线漏现象。</w:t>
      </w:r>
    </w:p>
    <w:p w14:paraId="0639F011">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检验方法：修复完成后宜采用CCTV检测，修复后管径大于800mm时可进入管道人工检查。</w:t>
      </w:r>
    </w:p>
    <w:p w14:paraId="3AA13F40">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检查数量：全数检查。</w:t>
      </w:r>
    </w:p>
    <w:p w14:paraId="6FF0CBA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Ⅱ</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rPr>
        <w:t>一般项目</w:t>
      </w:r>
    </w:p>
    <w:p w14:paraId="134E42A6">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7.6.3</w:t>
      </w:r>
      <w:r>
        <w:rPr>
          <w:rFonts w:hint="default" w:ascii="Times New Roman" w:hAnsi="Times New Roman" w:cs="Times New Roman"/>
          <w:lang w:val="en-US" w:eastAsia="zh-CN"/>
        </w:rPr>
        <w:t xml:space="preserve">  修复后的管道外观质量应符合下列规定：</w:t>
      </w:r>
    </w:p>
    <w:p w14:paraId="53B3EB00">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1</w:t>
      </w:r>
      <w:r>
        <w:rPr>
          <w:rFonts w:hint="default" w:ascii="Times New Roman" w:hAnsi="Times New Roman" w:cs="Times New Roman"/>
          <w:b w:val="0"/>
          <w:bCs w:val="0"/>
          <w:lang w:val="en-US" w:eastAsia="zh-CN"/>
        </w:rPr>
        <w:t xml:space="preserve">  管道内应线形平顺，不得出现纵向隆起、环向扁平和其他变形情况。</w:t>
      </w:r>
    </w:p>
    <w:p w14:paraId="4AE61F9D">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检验方法：采用CCTV检测或人工检查。</w:t>
      </w:r>
    </w:p>
    <w:p w14:paraId="41859B59">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检查数量：全数检查。</w:t>
      </w:r>
    </w:p>
    <w:p w14:paraId="7B9CF815">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kern w:val="2"/>
          <w:szCs w:val="24"/>
          <w:highlight w:val="none"/>
          <w:lang w:val="en-US" w:eastAsia="zh-CN"/>
        </w:rPr>
        <w:t>2</w:t>
      </w:r>
      <w:r>
        <w:rPr>
          <w:rFonts w:hint="default" w:ascii="Times New Roman" w:hAnsi="Times New Roman" w:cs="Times New Roman"/>
          <w:b w:val="0"/>
          <w:bCs w:val="0"/>
          <w:lang w:val="en-US" w:eastAsia="zh-CN"/>
        </w:rPr>
        <w:t xml:space="preserve">  管道环形间隙应封堵严密。</w:t>
      </w:r>
    </w:p>
    <w:p w14:paraId="6A074B2B">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检验方法：进入检查井检查。</w:t>
      </w:r>
    </w:p>
    <w:p w14:paraId="74EEF78F">
      <w:pPr>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检查数量：全数检查。</w:t>
      </w:r>
    </w:p>
    <w:p w14:paraId="6342EB7F">
      <w:pPr>
        <w:ind w:firstLine="480" w:firstLineChars="200"/>
        <w:rPr>
          <w:rFonts w:hint="default" w:ascii="Times New Roman" w:hAnsi="Times New Roman" w:cs="Times New Roman"/>
          <w:lang w:val="en-US" w:eastAsia="zh-CN"/>
        </w:rPr>
      </w:pPr>
      <w:r>
        <w:rPr>
          <w:rFonts w:hint="default" w:ascii="Times New Roman" w:hAnsi="Times New Roman" w:cs="Times New Roman"/>
          <w:b w:val="0"/>
          <w:bCs w:val="0"/>
          <w:kern w:val="2"/>
          <w:szCs w:val="24"/>
          <w:highlight w:val="none"/>
          <w:lang w:val="en-US" w:eastAsia="zh-CN"/>
        </w:rPr>
        <w:t>3</w:t>
      </w:r>
      <w:r>
        <w:rPr>
          <w:rFonts w:hint="default" w:ascii="Times New Roman" w:hAnsi="Times New Roman" w:cs="Times New Roman"/>
          <w:b w:val="0"/>
          <w:bCs w:val="0"/>
          <w:lang w:val="en-US" w:eastAsia="zh-CN"/>
        </w:rPr>
        <w:t xml:space="preserve">  注浆充</w:t>
      </w:r>
      <w:r>
        <w:rPr>
          <w:rFonts w:hint="default" w:ascii="Times New Roman" w:hAnsi="Times New Roman" w:cs="Times New Roman"/>
          <w:lang w:val="en-US" w:eastAsia="zh-CN"/>
        </w:rPr>
        <w:t>满度应符合设计文件的规定。</w:t>
      </w:r>
    </w:p>
    <w:p w14:paraId="449A41D8">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检验方法：查阅注浆记录。</w:t>
      </w:r>
    </w:p>
    <w:p w14:paraId="28DE7B2C">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检查数量：全数检查。</w:t>
      </w:r>
    </w:p>
    <w:p w14:paraId="09F3E20C">
      <w:pPr>
        <w:rPr>
          <w:rFonts w:hint="default" w:ascii="Times New Roman" w:hAnsi="Times New Roman" w:cs="Times New Roman"/>
          <w:szCs w:val="24"/>
          <w:highlight w:val="yellow"/>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7.6.3关于螺旋缠绕法的质量检验的相关要求，参考GB/T41666.7《地下无压排水管道非开挖修复用塑料管道系统第7部分：螺旋缠绕内衬法》的有关规定。</w:t>
      </w:r>
    </w:p>
    <w:p w14:paraId="28FAE47E">
      <w:pPr>
        <w:pStyle w:val="3"/>
        <w:jc w:val="center"/>
        <w:rPr>
          <w:rFonts w:hint="default" w:ascii="Times New Roman" w:hAnsi="Times New Roman" w:eastAsia="宋体" w:cs="Times New Roman"/>
          <w:lang w:val="en-US" w:eastAsia="zh-CN"/>
        </w:rPr>
      </w:pPr>
      <w:bookmarkStart w:id="349" w:name="_Toc482"/>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7水泥基材料喷筑法</w:t>
      </w:r>
      <w:bookmarkEnd w:id="349"/>
    </w:p>
    <w:p w14:paraId="7C05E9C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I</w:t>
      </w:r>
      <w:r>
        <w:rPr>
          <w:rFonts w:hint="default" w:ascii="Times New Roman" w:hAnsi="Times New Roman" w:cs="Times New Roman"/>
          <w:b w:val="0"/>
          <w:bCs w:val="0"/>
          <w:color w:val="auto"/>
          <w:kern w:val="0"/>
          <w:sz w:val="24"/>
          <w:szCs w:val="24"/>
          <w:lang w:val="en-US" w:eastAsia="zh-CN"/>
        </w:rPr>
        <w:t xml:space="preserve">  </w:t>
      </w:r>
      <w:r>
        <w:rPr>
          <w:rFonts w:hint="default" w:ascii="Times New Roman" w:hAnsi="Times New Roman" w:eastAsia="宋体" w:cs="Times New Roman"/>
          <w:b w:val="0"/>
          <w:bCs w:val="0"/>
          <w:color w:val="auto"/>
          <w:kern w:val="0"/>
          <w:sz w:val="24"/>
          <w:szCs w:val="24"/>
          <w:lang w:val="en-US" w:eastAsia="zh-CN"/>
        </w:rPr>
        <w:t>主控项目</w:t>
      </w:r>
    </w:p>
    <w:p w14:paraId="251F3B70">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7.7.1</w:t>
      </w:r>
      <w:r>
        <w:rPr>
          <w:rFonts w:hint="default" w:ascii="Times New Roman" w:hAnsi="Times New Roman" w:cs="Times New Roman"/>
          <w:lang w:val="en-US" w:eastAsia="zh-CN"/>
        </w:rPr>
        <w:t xml:space="preserve">  水泥基材料性能应符合设计要求，质量保证资料应齐全。</w:t>
      </w:r>
    </w:p>
    <w:p w14:paraId="622F3ACB">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对照设计文件检查出厂检测报告、现场抽样检测报告、检查质量保证资料、厂家产品使用说明等。</w:t>
      </w:r>
    </w:p>
    <w:p w14:paraId="7118CE95">
      <w:p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全数检查。</w:t>
      </w:r>
    </w:p>
    <w:p w14:paraId="36C5BFF3">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7.7.2</w:t>
      </w:r>
      <w:r>
        <w:rPr>
          <w:rFonts w:hint="default" w:ascii="Times New Roman" w:hAnsi="Times New Roman" w:cs="Times New Roman"/>
          <w:lang w:val="en-US" w:eastAsia="zh-CN"/>
        </w:rPr>
        <w:t xml:space="preserve">  施工过程中，应对现场搅拌好的砂浆进行现场取样制作试块并送检测单位检测，取样频次应满足设计要求；设计未明确要求时，修复检查井时应按每半个台班取样1组或每5口井取样1组；管道修复时应按每个喷筑回次取样1组。结构修复用水泥基材料现场取样检测项目应符合表7.7.2的规定。</w:t>
      </w:r>
    </w:p>
    <w:p w14:paraId="65E6ECE2">
      <w:pPr>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表7.7.2结构修复用水泥基材料现场取样检测项目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4AAE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trPr>
        <w:tc>
          <w:tcPr>
            <w:tcW w:w="1704" w:type="dxa"/>
            <w:vAlign w:val="center"/>
          </w:tcPr>
          <w:p w14:paraId="58BF8F76">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项目</w:t>
            </w:r>
          </w:p>
        </w:tc>
        <w:tc>
          <w:tcPr>
            <w:tcW w:w="1704" w:type="dxa"/>
            <w:vAlign w:val="center"/>
          </w:tcPr>
          <w:p w14:paraId="537C9C7F">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单位</w:t>
            </w:r>
          </w:p>
        </w:tc>
        <w:tc>
          <w:tcPr>
            <w:tcW w:w="1704" w:type="dxa"/>
            <w:vAlign w:val="center"/>
          </w:tcPr>
          <w:p w14:paraId="297C23D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龄期</w:t>
            </w:r>
          </w:p>
        </w:tc>
        <w:tc>
          <w:tcPr>
            <w:tcW w:w="1705" w:type="dxa"/>
            <w:vAlign w:val="center"/>
          </w:tcPr>
          <w:p w14:paraId="3D5F35E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性能要求</w:t>
            </w:r>
          </w:p>
        </w:tc>
        <w:tc>
          <w:tcPr>
            <w:tcW w:w="1705" w:type="dxa"/>
            <w:vAlign w:val="center"/>
          </w:tcPr>
          <w:p w14:paraId="737BCBA8">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测试方法</w:t>
            </w:r>
          </w:p>
        </w:tc>
      </w:tr>
      <w:tr w14:paraId="2C3D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704" w:type="dxa"/>
            <w:vAlign w:val="center"/>
          </w:tcPr>
          <w:p w14:paraId="0301608D">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抗压强度</w:t>
            </w:r>
          </w:p>
        </w:tc>
        <w:tc>
          <w:tcPr>
            <w:tcW w:w="1704" w:type="dxa"/>
            <w:vAlign w:val="center"/>
          </w:tcPr>
          <w:p w14:paraId="7E52A2D8">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MPa</w:t>
            </w:r>
          </w:p>
        </w:tc>
        <w:tc>
          <w:tcPr>
            <w:tcW w:w="1704" w:type="dxa"/>
            <w:vAlign w:val="center"/>
          </w:tcPr>
          <w:p w14:paraId="3D6BEF43">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28d</w:t>
            </w:r>
          </w:p>
        </w:tc>
        <w:tc>
          <w:tcPr>
            <w:tcW w:w="1705" w:type="dxa"/>
            <w:vAlign w:val="center"/>
          </w:tcPr>
          <w:p w14:paraId="30DCD46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30.0</w:t>
            </w:r>
          </w:p>
        </w:tc>
        <w:tc>
          <w:tcPr>
            <w:tcW w:w="1705" w:type="dxa"/>
            <w:vMerge w:val="restart"/>
            <w:vAlign w:val="center"/>
          </w:tcPr>
          <w:p w14:paraId="58176CE0">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现行国家标准《水泥胶砂强度检验方法</w:t>
            </w:r>
            <w:r>
              <w:rPr>
                <w:rFonts w:hint="default" w:ascii="Times New Roman" w:hAnsi="Times New Roman" w:cs="Times New Roman"/>
                <w:sz w:val="21"/>
                <w:szCs w:val="21"/>
                <w:vertAlign w:val="baseline"/>
                <w:lang w:eastAsia="zh-CN"/>
              </w:rPr>
              <w:t>（</w:t>
            </w:r>
            <w:r>
              <w:rPr>
                <w:rFonts w:hint="default" w:ascii="Times New Roman" w:hAnsi="Times New Roman" w:cs="Times New Roman"/>
                <w:sz w:val="21"/>
                <w:szCs w:val="21"/>
                <w:vertAlign w:val="baseline"/>
              </w:rPr>
              <w:t>ISO法</w:t>
            </w:r>
            <w:r>
              <w:rPr>
                <w:rFonts w:hint="default" w:ascii="Times New Roman" w:hAnsi="Times New Roman" w:cs="Times New Roman"/>
                <w:sz w:val="21"/>
                <w:szCs w:val="21"/>
                <w:vertAlign w:val="baseline"/>
                <w:lang w:eastAsia="zh-CN"/>
              </w:rPr>
              <w:t>）</w:t>
            </w:r>
            <w:r>
              <w:rPr>
                <w:rFonts w:hint="default" w:ascii="Times New Roman" w:hAnsi="Times New Roman" w:cs="Times New Roman"/>
                <w:sz w:val="21"/>
                <w:szCs w:val="21"/>
                <w:vertAlign w:val="baseline"/>
              </w:rPr>
              <w:t>》GB/T17671</w:t>
            </w:r>
          </w:p>
        </w:tc>
      </w:tr>
      <w:tr w14:paraId="1BD6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BBA38A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抗折强度</w:t>
            </w:r>
          </w:p>
        </w:tc>
        <w:tc>
          <w:tcPr>
            <w:tcW w:w="1704" w:type="dxa"/>
            <w:vAlign w:val="center"/>
          </w:tcPr>
          <w:p w14:paraId="76AB1BE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MPa</w:t>
            </w:r>
          </w:p>
        </w:tc>
        <w:tc>
          <w:tcPr>
            <w:tcW w:w="1704" w:type="dxa"/>
            <w:vAlign w:val="center"/>
          </w:tcPr>
          <w:p w14:paraId="2C4C723D">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28d</w:t>
            </w:r>
          </w:p>
        </w:tc>
        <w:tc>
          <w:tcPr>
            <w:tcW w:w="1705" w:type="dxa"/>
            <w:vAlign w:val="center"/>
          </w:tcPr>
          <w:p w14:paraId="7E85F0E7">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6.5</w:t>
            </w:r>
          </w:p>
        </w:tc>
        <w:tc>
          <w:tcPr>
            <w:tcW w:w="1705" w:type="dxa"/>
            <w:vMerge w:val="continue"/>
            <w:vAlign w:val="center"/>
          </w:tcPr>
          <w:p w14:paraId="0F91E778">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21"/>
                <w:szCs w:val="21"/>
                <w:vertAlign w:val="baseline"/>
              </w:rPr>
            </w:pPr>
          </w:p>
        </w:tc>
      </w:tr>
    </w:tbl>
    <w:p w14:paraId="47803835">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7.7.3</w:t>
      </w:r>
      <w:r>
        <w:rPr>
          <w:rFonts w:hint="default" w:ascii="Times New Roman" w:hAnsi="Times New Roman" w:cs="Times New Roman"/>
          <w:lang w:val="en-US" w:eastAsia="zh-CN"/>
        </w:rPr>
        <w:t xml:space="preserve">  无机防腐水泥基材料现场取样制样及检测频率应符合本规程第4.6节的规定，现场取样检测项目应符合表7.7.3的规定。</w:t>
      </w:r>
    </w:p>
    <w:p w14:paraId="34F508A5">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表7.7.3无机防腐水泥基材料现场取样检测项目</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D06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4" w:type="dxa"/>
            <w:vAlign w:val="center"/>
          </w:tcPr>
          <w:p w14:paraId="2139083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项目</w:t>
            </w:r>
          </w:p>
        </w:tc>
        <w:tc>
          <w:tcPr>
            <w:tcW w:w="1704" w:type="dxa"/>
            <w:vAlign w:val="center"/>
          </w:tcPr>
          <w:p w14:paraId="48E5D01B">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单位</w:t>
            </w:r>
          </w:p>
        </w:tc>
        <w:tc>
          <w:tcPr>
            <w:tcW w:w="1704" w:type="dxa"/>
            <w:vAlign w:val="center"/>
          </w:tcPr>
          <w:p w14:paraId="205E14A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龄期</w:t>
            </w:r>
          </w:p>
        </w:tc>
        <w:tc>
          <w:tcPr>
            <w:tcW w:w="1705" w:type="dxa"/>
            <w:vAlign w:val="center"/>
          </w:tcPr>
          <w:p w14:paraId="5254007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性能要求</w:t>
            </w:r>
          </w:p>
        </w:tc>
        <w:tc>
          <w:tcPr>
            <w:tcW w:w="1705" w:type="dxa"/>
            <w:vAlign w:val="center"/>
          </w:tcPr>
          <w:p w14:paraId="3C205D14">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测试方法</w:t>
            </w:r>
          </w:p>
        </w:tc>
      </w:tr>
      <w:tr w14:paraId="205F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704" w:type="dxa"/>
            <w:vAlign w:val="center"/>
          </w:tcPr>
          <w:p w14:paraId="2A0779EB">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抗压强度</w:t>
            </w:r>
          </w:p>
        </w:tc>
        <w:tc>
          <w:tcPr>
            <w:tcW w:w="1704" w:type="dxa"/>
            <w:vAlign w:val="center"/>
          </w:tcPr>
          <w:p w14:paraId="28E91EF9">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MPa</w:t>
            </w:r>
          </w:p>
        </w:tc>
        <w:tc>
          <w:tcPr>
            <w:tcW w:w="1704" w:type="dxa"/>
            <w:vAlign w:val="center"/>
          </w:tcPr>
          <w:p w14:paraId="6E0463EC">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28d</w:t>
            </w:r>
          </w:p>
        </w:tc>
        <w:tc>
          <w:tcPr>
            <w:tcW w:w="1705" w:type="dxa"/>
            <w:vAlign w:val="center"/>
          </w:tcPr>
          <w:p w14:paraId="09AF9D99">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lang w:val="en-US"/>
              </w:rPr>
            </w:pPr>
            <w:r>
              <w:rPr>
                <w:rFonts w:hint="default" w:ascii="Times New Roman" w:hAnsi="Times New Roman" w:cs="Times New Roman"/>
                <w:b w:val="0"/>
                <w:bCs w:val="0"/>
                <w:sz w:val="21"/>
                <w:szCs w:val="21"/>
                <w:vertAlign w:val="baseline"/>
              </w:rPr>
              <w:t>≥</w:t>
            </w:r>
            <w:r>
              <w:rPr>
                <w:rFonts w:hint="default" w:ascii="Times New Roman" w:hAnsi="Times New Roman" w:cs="Times New Roman"/>
                <w:b w:val="0"/>
                <w:bCs w:val="0"/>
                <w:sz w:val="21"/>
                <w:szCs w:val="21"/>
                <w:vertAlign w:val="baseline"/>
                <w:lang w:val="en-US" w:eastAsia="zh-CN"/>
              </w:rPr>
              <w:t>25.0</w:t>
            </w:r>
          </w:p>
        </w:tc>
        <w:tc>
          <w:tcPr>
            <w:tcW w:w="1705" w:type="dxa"/>
            <w:vMerge w:val="restart"/>
            <w:vAlign w:val="center"/>
          </w:tcPr>
          <w:p w14:paraId="44D479E5">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rPr>
              <w:t>现行国家标准《水泥胶砂强度检验方法</w:t>
            </w:r>
            <w:r>
              <w:rPr>
                <w:rFonts w:hint="default" w:ascii="Times New Roman" w:hAnsi="Times New Roman" w:cs="Times New Roman"/>
                <w:b w:val="0"/>
                <w:bCs w:val="0"/>
                <w:sz w:val="21"/>
                <w:szCs w:val="21"/>
                <w:vertAlign w:val="baseline"/>
                <w:lang w:eastAsia="zh-CN"/>
              </w:rPr>
              <w:t>（</w:t>
            </w:r>
            <w:r>
              <w:rPr>
                <w:rFonts w:hint="default" w:ascii="Times New Roman" w:hAnsi="Times New Roman" w:cs="Times New Roman"/>
                <w:b w:val="0"/>
                <w:bCs w:val="0"/>
                <w:sz w:val="21"/>
                <w:szCs w:val="21"/>
                <w:vertAlign w:val="baseline"/>
              </w:rPr>
              <w:t>ISO法</w:t>
            </w:r>
            <w:r>
              <w:rPr>
                <w:rFonts w:hint="default" w:ascii="Times New Roman" w:hAnsi="Times New Roman" w:cs="Times New Roman"/>
                <w:b w:val="0"/>
                <w:bCs w:val="0"/>
                <w:sz w:val="21"/>
                <w:szCs w:val="21"/>
                <w:vertAlign w:val="baseline"/>
                <w:lang w:eastAsia="zh-CN"/>
              </w:rPr>
              <w:t>）</w:t>
            </w:r>
            <w:r>
              <w:rPr>
                <w:rFonts w:hint="default" w:ascii="Times New Roman" w:hAnsi="Times New Roman" w:cs="Times New Roman"/>
                <w:b w:val="0"/>
                <w:bCs w:val="0"/>
                <w:sz w:val="21"/>
                <w:szCs w:val="21"/>
                <w:vertAlign w:val="baseline"/>
              </w:rPr>
              <w:t>》GB/T17671</w:t>
            </w:r>
          </w:p>
        </w:tc>
      </w:tr>
      <w:tr w14:paraId="63BB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FA48601">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抗折强度</w:t>
            </w:r>
          </w:p>
        </w:tc>
        <w:tc>
          <w:tcPr>
            <w:tcW w:w="1704" w:type="dxa"/>
            <w:vAlign w:val="center"/>
          </w:tcPr>
          <w:p w14:paraId="46C8E79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MPa</w:t>
            </w:r>
          </w:p>
        </w:tc>
        <w:tc>
          <w:tcPr>
            <w:tcW w:w="1704" w:type="dxa"/>
            <w:vAlign w:val="center"/>
          </w:tcPr>
          <w:p w14:paraId="1117A654">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r>
              <w:rPr>
                <w:rFonts w:hint="default" w:ascii="Times New Roman" w:hAnsi="Times New Roman" w:cs="Times New Roman"/>
                <w:b w:val="0"/>
                <w:bCs w:val="0"/>
                <w:sz w:val="21"/>
                <w:szCs w:val="21"/>
                <w:vertAlign w:val="baseline"/>
                <w:lang w:val="en-US" w:eastAsia="zh-CN"/>
              </w:rPr>
              <w:t>28d</w:t>
            </w:r>
          </w:p>
        </w:tc>
        <w:tc>
          <w:tcPr>
            <w:tcW w:w="1705" w:type="dxa"/>
            <w:vAlign w:val="center"/>
          </w:tcPr>
          <w:p w14:paraId="56E35472">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lang w:val="en-US"/>
              </w:rPr>
            </w:pPr>
            <w:r>
              <w:rPr>
                <w:rFonts w:hint="default" w:ascii="Times New Roman" w:hAnsi="Times New Roman" w:cs="Times New Roman"/>
                <w:b w:val="0"/>
                <w:bCs w:val="0"/>
                <w:sz w:val="21"/>
                <w:szCs w:val="21"/>
                <w:vertAlign w:val="baseline"/>
              </w:rPr>
              <w:t>≥</w:t>
            </w:r>
            <w:r>
              <w:rPr>
                <w:rFonts w:hint="default" w:ascii="Times New Roman" w:hAnsi="Times New Roman" w:cs="Times New Roman"/>
                <w:b w:val="0"/>
                <w:bCs w:val="0"/>
                <w:sz w:val="21"/>
                <w:szCs w:val="21"/>
                <w:vertAlign w:val="baseline"/>
                <w:lang w:val="en-US" w:eastAsia="zh-CN"/>
              </w:rPr>
              <w:t>4.0</w:t>
            </w:r>
          </w:p>
        </w:tc>
        <w:tc>
          <w:tcPr>
            <w:tcW w:w="1705" w:type="dxa"/>
            <w:vMerge w:val="continue"/>
            <w:vAlign w:val="center"/>
          </w:tcPr>
          <w:p w14:paraId="300C88BE">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1"/>
                <w:szCs w:val="21"/>
                <w:vertAlign w:val="baseline"/>
              </w:rPr>
            </w:pPr>
          </w:p>
        </w:tc>
      </w:tr>
    </w:tbl>
    <w:p w14:paraId="3562ECD1">
      <w:pPr>
        <w:keepNext w:val="0"/>
        <w:keepLines w:val="0"/>
        <w:widowControl/>
        <w:suppressLineNumbers w:val="0"/>
        <w:ind w:left="0" w:leftChars="0" w:firstLine="0" w:firstLineChars="0"/>
        <w:jc w:val="left"/>
        <w:rPr>
          <w:rFonts w:hint="default" w:ascii="Times New Roman" w:hAnsi="Times New Roman" w:cs="Times New Roman"/>
          <w:highlight w:val="yellow"/>
          <w:lang w:val="en-US" w:eastAsia="zh-CN"/>
        </w:rPr>
      </w:pPr>
    </w:p>
    <w:p w14:paraId="71276B67">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7.7.4</w:t>
      </w:r>
      <w:r>
        <w:rPr>
          <w:rFonts w:hint="default" w:ascii="Times New Roman" w:hAnsi="Times New Roman" w:cs="Times New Roman"/>
          <w:lang w:val="en-US" w:eastAsia="zh-CN"/>
        </w:rPr>
        <w:t xml:space="preserve">  内衬平均厚度应满足设计要求，最小厚度不应低于设计值的90%。</w:t>
      </w:r>
    </w:p>
    <w:p w14:paraId="631269A7">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采用测厚尺在未凝固的内衬表面随机</w:t>
      </w:r>
      <w:r>
        <w:rPr>
          <w:rFonts w:hint="default" w:ascii="Times New Roman" w:hAnsi="Times New Roman" w:eastAsia="宋体" w:cs="Times New Roman"/>
          <w:lang w:val="en-US" w:eastAsia="zh-CN"/>
        </w:rPr>
        <w:t>插入</w:t>
      </w:r>
      <w:r>
        <w:rPr>
          <w:rFonts w:hint="default" w:ascii="Times New Roman" w:hAnsi="Times New Roman" w:cs="Times New Roman"/>
          <w:lang w:val="en-US" w:eastAsia="zh-CN"/>
        </w:rPr>
        <w:t>检测，每个断面测3个~4个点，以最小插入深度作为内衬厚度</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或在监理的见证下，在检查井或管道断面设置标记钉，当内衬完全覆盖全部标记钉时可认为厚度满足要求。</w:t>
      </w:r>
    </w:p>
    <w:p w14:paraId="6590AE93">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全数检查。</w:t>
      </w:r>
    </w:p>
    <w:p w14:paraId="569FC6D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Ⅱ</w:t>
      </w:r>
      <w:r>
        <w:rPr>
          <w:rFonts w:hint="default" w:ascii="Times New Roman" w:hAnsi="Times New Roman" w:cs="Times New Roman"/>
          <w:b w:val="0"/>
          <w:bCs w:val="0"/>
          <w:color w:val="auto"/>
          <w:kern w:val="0"/>
          <w:sz w:val="24"/>
          <w:szCs w:val="24"/>
          <w:lang w:val="en-US" w:eastAsia="zh-CN"/>
        </w:rPr>
        <w:t xml:space="preserve">  </w:t>
      </w:r>
      <w:r>
        <w:rPr>
          <w:rFonts w:hint="default" w:ascii="Times New Roman" w:hAnsi="Times New Roman" w:eastAsia="宋体" w:cs="Times New Roman"/>
          <w:b w:val="0"/>
          <w:bCs w:val="0"/>
          <w:color w:val="auto"/>
          <w:kern w:val="0"/>
          <w:sz w:val="24"/>
          <w:szCs w:val="24"/>
          <w:lang w:val="en-US" w:eastAsia="zh-CN"/>
        </w:rPr>
        <w:t>一般项目</w:t>
      </w:r>
    </w:p>
    <w:p w14:paraId="5938B9AC">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 xml:space="preserve">7.7.5 </w:t>
      </w:r>
      <w:r>
        <w:rPr>
          <w:rFonts w:hint="default" w:ascii="Times New Roman" w:hAnsi="Times New Roman" w:cs="Times New Roman"/>
          <w:lang w:val="en-US" w:eastAsia="zh-CN"/>
        </w:rPr>
        <w:t xml:space="preserve"> 修复后内衬表面应无明显湿渍、渗水，不得有滴漏、线漏等现象；流槽平顺、管口与井壁应结合严密</w:t>
      </w:r>
    </w:p>
    <w:p w14:paraId="458B3DE1">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观察、CCTV检测或潜望镜检查。</w:t>
      </w:r>
    </w:p>
    <w:p w14:paraId="5F88EE3D">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全数检查。</w:t>
      </w:r>
    </w:p>
    <w:p w14:paraId="37195AD1">
      <w:pPr>
        <w:bidi w:val="0"/>
        <w:ind w:leftChars="0"/>
        <w:rPr>
          <w:rFonts w:hint="default" w:ascii="Times New Roman" w:hAnsi="Times New Roman" w:cs="Times New Roman"/>
          <w:lang w:val="en-US" w:eastAsia="zh-CN"/>
        </w:rPr>
      </w:pPr>
      <w:r>
        <w:rPr>
          <w:rFonts w:hint="default" w:ascii="Times New Roman" w:hAnsi="Times New Roman" w:cs="Times New Roman"/>
          <w:b/>
          <w:bCs/>
          <w:szCs w:val="24"/>
          <w:lang w:val="en-US" w:eastAsia="zh-CN"/>
        </w:rPr>
        <w:t>7.7.6</w:t>
      </w:r>
      <w:r>
        <w:rPr>
          <w:rFonts w:hint="default" w:ascii="Times New Roman" w:hAnsi="Times New Roman" w:cs="Times New Roman"/>
          <w:lang w:val="en-US" w:eastAsia="zh-CN"/>
        </w:rPr>
        <w:t xml:space="preserve">  修复施工记录应齐全、正确。</w:t>
      </w:r>
    </w:p>
    <w:p w14:paraId="4B6B80CD">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检验方法</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对照设计文件和施工方案的规定进行检查。</w:t>
      </w:r>
    </w:p>
    <w:p w14:paraId="46DC3B6C">
      <w:pPr>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检查数量</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全数检查。</w:t>
      </w:r>
    </w:p>
    <w:p w14:paraId="1529AF6B">
      <w:pPr>
        <w:ind w:left="0" w:leftChars="0" w:firstLine="480" w:firstLineChars="200"/>
        <w:rPr>
          <w:rFonts w:hint="default" w:ascii="Times New Roman" w:hAnsi="Times New Roman" w:cs="Times New Roman"/>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7.7.6参照《城镇排水管道非开挖修复工程施工及验收规程》（T/CECS717一2020）中相关内容。</w:t>
      </w:r>
    </w:p>
    <w:p w14:paraId="095838F3">
      <w:pPr>
        <w:pStyle w:val="3"/>
        <w:jc w:val="center"/>
        <w:rPr>
          <w:rFonts w:hint="default" w:ascii="Times New Roman" w:hAnsi="Times New Roman" w:eastAsia="宋体" w:cs="Times New Roman"/>
          <w:lang w:val="en-US" w:eastAsia="zh-CN"/>
        </w:rPr>
      </w:pPr>
      <w:bookmarkStart w:id="350" w:name="_Toc1003"/>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8垫衬法</w:t>
      </w:r>
      <w:bookmarkEnd w:id="350"/>
    </w:p>
    <w:p w14:paraId="332F9E6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Ⅰ  主控项目</w:t>
      </w:r>
    </w:p>
    <w:p w14:paraId="5D747CA6">
      <w:pPr>
        <w:rPr>
          <w:rFonts w:hint="default" w:ascii="Times New Roman" w:hAnsi="Times New Roman" w:cs="Times New Roman"/>
          <w:szCs w:val="24"/>
        </w:rPr>
      </w:pPr>
      <w:r>
        <w:rPr>
          <w:rFonts w:hint="default" w:ascii="Times New Roman" w:hAnsi="Times New Roman" w:cs="Times New Roman"/>
          <w:b/>
          <w:bCs/>
          <w:szCs w:val="24"/>
        </w:rPr>
        <w:t>7.</w:t>
      </w:r>
      <w:r>
        <w:rPr>
          <w:rFonts w:hint="default" w:ascii="Times New Roman" w:hAnsi="Times New Roman" w:cs="Times New Roman"/>
          <w:b/>
          <w:bCs/>
          <w:szCs w:val="24"/>
          <w:lang w:val="en-US" w:eastAsia="zh-CN"/>
        </w:rPr>
        <w:t>8</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 xml:space="preserve"> </w:t>
      </w:r>
      <w:r>
        <w:rPr>
          <w:rFonts w:hint="default" w:ascii="Times New Roman" w:hAnsi="Times New Roman" w:cs="Times New Roman"/>
          <w:szCs w:val="24"/>
        </w:rPr>
        <w:t xml:space="preserve"> 垫衬法修复工程质量验收应符合下列规定：</w:t>
      </w:r>
    </w:p>
    <w:p w14:paraId="6992348B">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1</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对施工过程中检查、验收的资料应进行核实，符合设计文件规定的管道方可进行管道功能性试验；</w:t>
      </w:r>
    </w:p>
    <w:p w14:paraId="2B7458B0">
      <w:pPr>
        <w:ind w:firstLine="480" w:firstLineChars="200"/>
        <w:rPr>
          <w:rFonts w:hint="default" w:ascii="Times New Roman" w:hAnsi="Times New Roman" w:cs="Times New Roman"/>
          <w:szCs w:val="24"/>
        </w:rPr>
      </w:pPr>
      <w:r>
        <w:rPr>
          <w:rFonts w:hint="default" w:ascii="Times New Roman" w:hAnsi="Times New Roman" w:cs="Times New Roman"/>
          <w:b w:val="0"/>
          <w:bCs w:val="0"/>
          <w:kern w:val="2"/>
          <w:szCs w:val="24"/>
          <w:highlight w:val="none"/>
        </w:rPr>
        <w:t>2</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现场检验和抽样检验应做好检验记录并存档。检验记录内容应包括工程编号、</w:t>
      </w:r>
      <w:r>
        <w:rPr>
          <w:rFonts w:hint="default" w:ascii="Times New Roman" w:hAnsi="Times New Roman" w:cs="Times New Roman"/>
          <w:szCs w:val="24"/>
        </w:rPr>
        <w:t>项目名称、施工单位名称、施工负责人、施工地点、管道规格、管材类型、修复长度、材料名称、生产厂家、生产日期、质量检测项目等内容。</w:t>
      </w:r>
    </w:p>
    <w:p w14:paraId="320BE4A2">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w:t>
      </w:r>
      <w:r>
        <w:rPr>
          <w:rFonts w:hint="default" w:ascii="Times New Roman" w:hAnsi="Times New Roman" w:cs="Times New Roman"/>
          <w:b/>
          <w:bCs/>
          <w:szCs w:val="24"/>
          <w:lang w:val="en-US" w:eastAsia="zh-CN"/>
        </w:rPr>
        <w:t>8</w:t>
      </w:r>
      <w:r>
        <w:rPr>
          <w:rFonts w:hint="default" w:ascii="Times New Roman" w:hAnsi="Times New Roman" w:cs="Times New Roman"/>
          <w:b/>
          <w:bCs/>
          <w:szCs w:val="24"/>
        </w:rPr>
        <w:t>.2</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修复管道质量检验应符合下列规定。</w:t>
      </w:r>
    </w:p>
    <w:p w14:paraId="4BD1E332">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lang w:val="en-US" w:eastAsia="zh-CN"/>
        </w:rPr>
        <w:t>1</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塑料衬垫材料的规格、性能应符合本规程和设计文件的规定。</w:t>
      </w:r>
    </w:p>
    <w:p w14:paraId="6636C845">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检验方法：材料进场时，对照设计文件检查质量保证资料、厂家产品使用说明等。材料性能检验应对同一批次产品现场取样不少于1组，对照设计文件检查取样检测记录、复测报告等。</w:t>
      </w:r>
    </w:p>
    <w:p w14:paraId="76F6F11E">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检查数量：全数检查。</w:t>
      </w:r>
    </w:p>
    <w:p w14:paraId="3D090298">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2</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灌浆料的性能应符合本规程</w:t>
      </w:r>
      <w:r>
        <w:rPr>
          <w:rFonts w:hint="default" w:ascii="Times New Roman" w:hAnsi="Times New Roman" w:cs="Times New Roman"/>
          <w:b w:val="0"/>
          <w:bCs w:val="0"/>
          <w:szCs w:val="24"/>
          <w:lang w:val="en-US" w:eastAsia="zh-CN"/>
        </w:rPr>
        <w:t>材料要求</w:t>
      </w:r>
      <w:r>
        <w:rPr>
          <w:rFonts w:hint="default" w:ascii="Times New Roman" w:hAnsi="Times New Roman" w:cs="Times New Roman"/>
          <w:b w:val="0"/>
          <w:bCs w:val="0"/>
          <w:szCs w:val="24"/>
        </w:rPr>
        <w:t>和设计文件的规定。</w:t>
      </w:r>
    </w:p>
    <w:p w14:paraId="26EBDA5D">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检验方法：对照设计文件检查取样检测记录、复测报告等。</w:t>
      </w:r>
    </w:p>
    <w:p w14:paraId="5378396C">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检查数量：同一批次产品现场取样不少于1组。</w:t>
      </w:r>
    </w:p>
    <w:p w14:paraId="0C015BAD">
      <w:pPr>
        <w:ind w:firstLine="480" w:firstLineChars="200"/>
        <w:rPr>
          <w:rFonts w:hint="default" w:ascii="Times New Roman" w:hAnsi="Times New Roman" w:cs="Times New Roman"/>
          <w:b w:val="0"/>
          <w:bCs w:val="0"/>
          <w:color w:val="auto"/>
          <w:szCs w:val="24"/>
          <w:highlight w:val="none"/>
        </w:rPr>
      </w:pPr>
      <w:r>
        <w:rPr>
          <w:rFonts w:hint="default" w:ascii="Times New Roman" w:hAnsi="Times New Roman" w:cs="Times New Roman"/>
          <w:b w:val="0"/>
          <w:bCs w:val="0"/>
          <w:color w:val="auto"/>
          <w:kern w:val="2"/>
          <w:szCs w:val="24"/>
          <w:highlight w:val="none"/>
        </w:rPr>
        <w:t>3</w:t>
      </w:r>
      <w:r>
        <w:rPr>
          <w:rFonts w:hint="default" w:ascii="Times New Roman" w:hAnsi="Times New Roman" w:cs="Times New Roman"/>
          <w:b w:val="0"/>
          <w:bCs w:val="0"/>
          <w:color w:val="auto"/>
          <w:szCs w:val="24"/>
          <w:highlight w:val="none"/>
          <w:lang w:val="en-US" w:eastAsia="zh-CN"/>
        </w:rPr>
        <w:t xml:space="preserve"> </w:t>
      </w:r>
      <w:r>
        <w:rPr>
          <w:rFonts w:hint="default" w:ascii="Times New Roman" w:hAnsi="Times New Roman" w:cs="Times New Roman"/>
          <w:b w:val="0"/>
          <w:bCs w:val="0"/>
          <w:color w:val="auto"/>
          <w:szCs w:val="24"/>
          <w:highlight w:val="none"/>
        </w:rPr>
        <w:t xml:space="preserve"> 内衬管的平均壁厚不得小于设计值。</w:t>
      </w:r>
    </w:p>
    <w:p w14:paraId="40F63050">
      <w:pPr>
        <w:ind w:firstLine="480" w:firstLineChars="200"/>
        <w:rPr>
          <w:rFonts w:hint="default" w:ascii="Times New Roman" w:hAnsi="Times New Roman" w:cs="Times New Roman"/>
          <w:b w:val="0"/>
          <w:bCs w:val="0"/>
          <w:color w:val="auto"/>
          <w:szCs w:val="24"/>
          <w:highlight w:val="none"/>
        </w:rPr>
      </w:pPr>
      <w:r>
        <w:rPr>
          <w:rFonts w:hint="default" w:ascii="Times New Roman" w:hAnsi="Times New Roman" w:cs="Times New Roman"/>
          <w:b w:val="0"/>
          <w:bCs w:val="0"/>
          <w:color w:val="auto"/>
          <w:szCs w:val="24"/>
          <w:highlight w:val="none"/>
        </w:rPr>
        <w:t>检验方法：用尺子测量修复后的内衬管内径。对照设计文件，原管内径与内衬管内径之差的1/2即为内衬管的厚度。内衬管厚度的实测值与设计值之间的误差应为设计值的±2mm或为原管道标称直径的1%以内。</w:t>
      </w:r>
    </w:p>
    <w:p w14:paraId="4F0F480F">
      <w:pPr>
        <w:ind w:firstLine="480" w:firstLineChars="200"/>
        <w:rPr>
          <w:rFonts w:hint="default" w:ascii="Times New Roman" w:hAnsi="Times New Roman" w:cs="Times New Roman"/>
          <w:b w:val="0"/>
          <w:bCs w:val="0"/>
          <w:color w:val="auto"/>
          <w:szCs w:val="24"/>
          <w:highlight w:val="none"/>
        </w:rPr>
      </w:pPr>
      <w:r>
        <w:rPr>
          <w:rFonts w:hint="default" w:ascii="Times New Roman" w:hAnsi="Times New Roman" w:cs="Times New Roman"/>
          <w:b w:val="0"/>
          <w:bCs w:val="0"/>
          <w:color w:val="auto"/>
          <w:szCs w:val="24"/>
          <w:highlight w:val="none"/>
        </w:rPr>
        <w:t>检查数量：当内衬管内径大于或等于800mm时，应在管道内测量至少3个断面；当内衬管内径小于800mm时，应测量管道两端各1个断面，取平均值为测量点断面的代表值。</w:t>
      </w:r>
    </w:p>
    <w:p w14:paraId="50CA6124">
      <w:pPr>
        <w:ind w:firstLine="480" w:firstLineChars="200"/>
        <w:rPr>
          <w:rFonts w:hint="default" w:ascii="Times New Roman" w:hAnsi="Times New Roman" w:cs="Times New Roman"/>
          <w:szCs w:val="24"/>
        </w:rPr>
      </w:pPr>
      <w:r>
        <w:rPr>
          <w:rFonts w:hint="default" w:ascii="Times New Roman" w:hAnsi="Times New Roman" w:cs="Times New Roman"/>
          <w:b w:val="0"/>
          <w:bCs w:val="0"/>
          <w:kern w:val="2"/>
          <w:szCs w:val="24"/>
          <w:highlight w:val="none"/>
        </w:rPr>
        <w:t>4</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塑料衬垫内衬焊接焊缝应</w:t>
      </w:r>
      <w:r>
        <w:rPr>
          <w:rFonts w:hint="default" w:ascii="Times New Roman" w:hAnsi="Times New Roman" w:cs="Times New Roman"/>
          <w:szCs w:val="24"/>
        </w:rPr>
        <w:t>清晰、无漏焊。</w:t>
      </w:r>
    </w:p>
    <w:p w14:paraId="44E5FCE3">
      <w:pPr>
        <w:ind w:firstLine="480" w:firstLineChars="200"/>
        <w:rPr>
          <w:rFonts w:hint="default" w:ascii="Times New Roman" w:hAnsi="Times New Roman" w:cs="Times New Roman"/>
          <w:szCs w:val="24"/>
        </w:rPr>
      </w:pPr>
      <w:r>
        <w:rPr>
          <w:rFonts w:hint="default" w:ascii="Times New Roman" w:hAnsi="Times New Roman" w:cs="Times New Roman"/>
          <w:szCs w:val="24"/>
        </w:rPr>
        <w:t>检验方法：采用加压充气或电火花检测方法，检查施工记录、焊接记录等。单焊缝采用电火花检测，不产生电火花时为合格。双焊缝采用加压充气法检测，当焊缝不漏气、无脱开、压力没有明显下降时为合格。</w:t>
      </w:r>
    </w:p>
    <w:p w14:paraId="364BC7B2">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5DFC33B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Ⅱ  一般项目</w:t>
      </w:r>
    </w:p>
    <w:p w14:paraId="6B128009">
      <w:pPr>
        <w:rPr>
          <w:rFonts w:hint="default" w:ascii="Times New Roman" w:hAnsi="Times New Roman" w:cs="Times New Roman"/>
          <w:szCs w:val="24"/>
        </w:rPr>
      </w:pPr>
      <w:r>
        <w:rPr>
          <w:rFonts w:hint="default" w:ascii="Times New Roman" w:hAnsi="Times New Roman" w:cs="Times New Roman"/>
          <w:b/>
          <w:bCs/>
          <w:szCs w:val="24"/>
          <w:lang w:val="en-US" w:eastAsia="zh-CN"/>
        </w:rPr>
        <w:t>7.8</w:t>
      </w:r>
      <w:r>
        <w:rPr>
          <w:rFonts w:hint="default" w:ascii="Times New Roman" w:hAnsi="Times New Roman" w:cs="Times New Roman"/>
          <w:b/>
          <w:bCs/>
          <w:szCs w:val="24"/>
        </w:rPr>
        <w:t>.3</w:t>
      </w:r>
      <w:r>
        <w:rPr>
          <w:rFonts w:hint="default" w:ascii="Times New Roman" w:hAnsi="Times New Roman" w:cs="Times New Roman"/>
          <w:b/>
          <w:bCs/>
          <w:szCs w:val="24"/>
          <w:lang w:val="en-US" w:eastAsia="zh-CN"/>
        </w:rPr>
        <w:t xml:space="preserve"> </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修复后的管道外观质量应符合下列规定：</w:t>
      </w:r>
    </w:p>
    <w:p w14:paraId="59F265FC">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1</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管道接口、接缝应平顺，内衬与原有管道过渡应平缓，不得出现渗漏现象。</w:t>
      </w:r>
    </w:p>
    <w:p w14:paraId="6BA1B56C">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检验方法：CCTV检测或人工检查，检查施工记录。</w:t>
      </w:r>
    </w:p>
    <w:p w14:paraId="5DDE3BD7">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检查数量：全数检查。</w:t>
      </w:r>
    </w:p>
    <w:p w14:paraId="19A6A1A1">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2</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灌浆固结体应充满环状间隙，无松散、空洞等现象。</w:t>
      </w:r>
    </w:p>
    <w:p w14:paraId="52271973">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检验方法：观察；对照设计文件和施工方案检查施工记录、灌浆记录等。</w:t>
      </w:r>
    </w:p>
    <w:p w14:paraId="2653C036">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检查数量：全数检查。</w:t>
      </w:r>
    </w:p>
    <w:p w14:paraId="7B13EAFF">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kern w:val="2"/>
          <w:szCs w:val="24"/>
          <w:highlight w:val="none"/>
        </w:rPr>
        <w:t>3</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内衬管两端与原有管道间的环状空隙密封处理应符合设计文件的规定，且应密封良好。</w:t>
      </w:r>
    </w:p>
    <w:p w14:paraId="03BC9F88">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检验方法：观察；对照设计文件检查施工记录等。</w:t>
      </w:r>
    </w:p>
    <w:p w14:paraId="53C88B88">
      <w:pPr>
        <w:ind w:firstLine="480" w:firstLineChars="200"/>
        <w:rPr>
          <w:rFonts w:hint="default" w:ascii="Times New Roman" w:hAnsi="Times New Roman" w:cs="Times New Roman"/>
          <w:b w:val="0"/>
          <w:bCs w:val="0"/>
          <w:szCs w:val="24"/>
        </w:rPr>
      </w:pPr>
      <w:r>
        <w:rPr>
          <w:rFonts w:hint="default" w:ascii="Times New Roman" w:hAnsi="Times New Roman" w:cs="Times New Roman"/>
          <w:b w:val="0"/>
          <w:bCs w:val="0"/>
          <w:szCs w:val="24"/>
        </w:rPr>
        <w:t>检查数量：全数检查。</w:t>
      </w:r>
    </w:p>
    <w:p w14:paraId="5455144F">
      <w:pPr>
        <w:ind w:firstLine="480" w:firstLineChars="200"/>
        <w:rPr>
          <w:rFonts w:hint="default" w:ascii="Times New Roman" w:hAnsi="Times New Roman" w:cs="Times New Roman"/>
          <w:szCs w:val="24"/>
        </w:rPr>
      </w:pPr>
      <w:r>
        <w:rPr>
          <w:rFonts w:hint="default" w:ascii="Times New Roman" w:hAnsi="Times New Roman" w:cs="Times New Roman"/>
          <w:b w:val="0"/>
          <w:bCs w:val="0"/>
          <w:kern w:val="2"/>
          <w:szCs w:val="24"/>
          <w:highlight w:val="none"/>
        </w:rPr>
        <w:t>4</w:t>
      </w:r>
      <w:r>
        <w:rPr>
          <w:rFonts w:hint="default" w:ascii="Times New Roman" w:hAnsi="Times New Roman" w:cs="Times New Roman"/>
          <w:b w:val="0"/>
          <w:bCs w:val="0"/>
          <w:szCs w:val="24"/>
          <w:lang w:val="en-US" w:eastAsia="zh-CN"/>
        </w:rPr>
        <w:t xml:space="preserve">  </w:t>
      </w:r>
      <w:r>
        <w:rPr>
          <w:rFonts w:hint="default" w:ascii="Times New Roman" w:hAnsi="Times New Roman" w:cs="Times New Roman"/>
          <w:b w:val="0"/>
          <w:bCs w:val="0"/>
          <w:szCs w:val="24"/>
        </w:rPr>
        <w:t>修复管道的检查井及</w:t>
      </w:r>
      <w:r>
        <w:rPr>
          <w:rFonts w:hint="default" w:ascii="Times New Roman" w:hAnsi="Times New Roman" w:cs="Times New Roman"/>
          <w:szCs w:val="24"/>
        </w:rPr>
        <w:t>井内施工应符合设计文件的规定，并应无渗漏现象。</w:t>
      </w:r>
    </w:p>
    <w:p w14:paraId="7AD56943">
      <w:pPr>
        <w:ind w:firstLine="480" w:firstLineChars="200"/>
        <w:rPr>
          <w:rFonts w:hint="default" w:ascii="Times New Roman" w:hAnsi="Times New Roman" w:cs="Times New Roman"/>
          <w:szCs w:val="24"/>
        </w:rPr>
      </w:pPr>
      <w:r>
        <w:rPr>
          <w:rFonts w:hint="default" w:ascii="Times New Roman" w:hAnsi="Times New Roman" w:cs="Times New Roman"/>
          <w:szCs w:val="24"/>
        </w:rPr>
        <w:t>检验方法：观察；对照设计文件和施工方案检查施工记录等。</w:t>
      </w:r>
    </w:p>
    <w:p w14:paraId="448B3F70">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2D9271EB">
      <w:pPr>
        <w:pStyle w:val="3"/>
        <w:jc w:val="center"/>
        <w:rPr>
          <w:rFonts w:hint="default" w:ascii="Times New Roman" w:hAnsi="Times New Roman" w:eastAsia="宋体" w:cs="Times New Roman"/>
          <w:lang w:val="en-US" w:eastAsia="zh-CN"/>
        </w:rPr>
      </w:pPr>
      <w:bookmarkStart w:id="351" w:name="_Toc19263"/>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9点状原位固化法</w:t>
      </w:r>
      <w:bookmarkEnd w:id="351"/>
    </w:p>
    <w:p w14:paraId="306E985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I  主控项目</w:t>
      </w:r>
    </w:p>
    <w:p w14:paraId="08CBA44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7.9.1</w:t>
      </w:r>
      <w:r>
        <w:rPr>
          <w:rFonts w:hint="default" w:ascii="Times New Roman" w:hAnsi="Times New Roman" w:cs="Times New Roman"/>
          <w:sz w:val="24"/>
          <w:szCs w:val="24"/>
          <w:lang w:val="en-US" w:eastAsia="zh-CN"/>
        </w:rPr>
        <w:t xml:space="preserve">  浸渍树脂、软管织物等工程材料的性能、规格、尺寸应符合本规程和设计文件的规定，质量保证资料应齐全。</w:t>
      </w:r>
    </w:p>
    <w:p w14:paraId="7422D54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检验方法：对照设计文件按本规程的规定进行检查；检查材料进场验收记录，检查质量保证资料、厂家产品使用说明书等技术文件；检查浸渍树脂的运输、存储等记录。</w:t>
      </w:r>
    </w:p>
    <w:p w14:paraId="44F9B51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79C9FD1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7.9.2</w:t>
      </w:r>
      <w:r>
        <w:rPr>
          <w:rFonts w:hint="default" w:ascii="Times New Roman" w:hAnsi="Times New Roman" w:cs="Times New Roman"/>
          <w:sz w:val="24"/>
          <w:szCs w:val="24"/>
          <w:lang w:val="en-US" w:eastAsia="zh-CN"/>
        </w:rPr>
        <w:t xml:space="preserve">  固化后内衬管的力学性能、壁厚应符合本规程的规定和设计要求。内衬管最小壁厚不得小于设计值。</w:t>
      </w:r>
    </w:p>
    <w:p w14:paraId="3ED8779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检验方法：对照设计文件按本规程的规定进行检测；检查样品管或样品板试验报告、检测记录；现场用测厚仪、卡尺等量测内衬管管壁厚度。</w:t>
      </w:r>
    </w:p>
    <w:p w14:paraId="7E2FD0F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23B2157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Ⅱ</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一般项目</w:t>
      </w:r>
    </w:p>
    <w:p w14:paraId="5EC40E5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7.9.3</w:t>
      </w:r>
      <w:r>
        <w:rPr>
          <w:rFonts w:hint="default" w:ascii="Times New Roman" w:hAnsi="Times New Roman" w:cs="Times New Roman"/>
          <w:sz w:val="24"/>
          <w:szCs w:val="24"/>
          <w:lang w:val="en-US" w:eastAsia="zh-CN"/>
        </w:rPr>
        <w:t xml:space="preserve">  点状原位固化法修复管道，内衬管表面质量应符合下列规定：</w:t>
      </w:r>
    </w:p>
    <w:p w14:paraId="72BC7454">
      <w:pPr>
        <w:ind w:left="0" w:leftChars="0" w:firstLine="420" w:firstLineChars="0"/>
        <w:jc w:val="left"/>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kern w:val="2"/>
          <w:szCs w:val="24"/>
          <w:highlight w:val="none"/>
          <w:lang w:val="en-US" w:eastAsia="zh-CN"/>
        </w:rPr>
        <w:t>1</w:t>
      </w:r>
      <w:r>
        <w:rPr>
          <w:rFonts w:hint="default" w:ascii="Times New Roman" w:hAnsi="Times New Roman" w:cs="Times New Roman"/>
          <w:b w:val="0"/>
          <w:bCs w:val="0"/>
          <w:highlight w:val="none"/>
          <w:lang w:val="en-US" w:eastAsia="zh-CN"/>
        </w:rPr>
        <w:t xml:space="preserve">  内衬应与原有管道紧密贴合，不应有明显凸起物、凹陷、错台、空鼓等现象；</w:t>
      </w:r>
    </w:p>
    <w:p w14:paraId="181B4140">
      <w:pPr>
        <w:ind w:left="0" w:leftChars="0" w:firstLine="420" w:firstLineChars="0"/>
        <w:jc w:val="left"/>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kern w:val="2"/>
          <w:szCs w:val="24"/>
          <w:highlight w:val="none"/>
          <w:lang w:val="en-US" w:eastAsia="zh-CN"/>
        </w:rPr>
        <w:t>2</w:t>
      </w:r>
      <w:r>
        <w:rPr>
          <w:rFonts w:hint="default" w:ascii="Times New Roman" w:hAnsi="Times New Roman" w:cs="Times New Roman"/>
          <w:b w:val="0"/>
          <w:bCs w:val="0"/>
          <w:highlight w:val="none"/>
          <w:lang w:val="en-US" w:eastAsia="zh-CN"/>
        </w:rPr>
        <w:t xml:space="preserve">  修复位置应正确，内衬应完整，表面应光洁、平整，不应有局部划伤、裂纹、磨损、孔洞、起泡、干斑、脱皮、分层、杂质和软弱带等影响管道使用功能的缺陷；</w:t>
      </w:r>
    </w:p>
    <w:p w14:paraId="5D0776FC">
      <w:pPr>
        <w:ind w:left="0" w:leftChars="0" w:firstLine="420" w:firstLineChars="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kern w:val="2"/>
          <w:szCs w:val="24"/>
          <w:highlight w:val="none"/>
          <w:lang w:val="en-US" w:eastAsia="zh-CN"/>
        </w:rPr>
        <w:t>3</w:t>
      </w:r>
      <w:r>
        <w:rPr>
          <w:rFonts w:hint="default" w:ascii="Times New Roman" w:hAnsi="Times New Roman" w:cs="Times New Roman"/>
          <w:b w:val="0"/>
          <w:bCs w:val="0"/>
          <w:highlight w:val="none"/>
          <w:lang w:val="en-US" w:eastAsia="zh-CN"/>
        </w:rPr>
        <w:t xml:space="preserve">  管道不应有渗水现象。</w:t>
      </w:r>
    </w:p>
    <w:p w14:paraId="72EA7E71">
      <w:pPr>
        <w:ind w:left="0" w:leftChars="0" w:firstLine="48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检验方法：观察或CCTV检测；检查施工记录、CCTV检测记录等。</w:t>
      </w:r>
    </w:p>
    <w:p w14:paraId="34B6577C">
      <w:pPr>
        <w:ind w:left="0" w:leftChars="0" w:firstLine="480" w:firstLineChars="200"/>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检查数量：全数检查。</w:t>
      </w:r>
    </w:p>
    <w:p w14:paraId="37BF08BB">
      <w:pPr>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b w:val="0"/>
          <w:bCs w:val="0"/>
          <w:kern w:val="2"/>
          <w:szCs w:val="24"/>
          <w:highlight w:val="none"/>
          <w:lang w:val="en-US" w:eastAsia="zh-CN"/>
        </w:rPr>
        <w:t>4</w:t>
      </w:r>
      <w:r>
        <w:rPr>
          <w:rFonts w:hint="default" w:ascii="Times New Roman" w:hAnsi="Times New Roman" w:cs="Times New Roman"/>
          <w:b w:val="0"/>
          <w:bCs w:val="0"/>
          <w:highlight w:val="none"/>
          <w:lang w:val="en-US" w:eastAsia="zh-CN"/>
        </w:rPr>
        <w:t xml:space="preserve">  修复后管道应线</w:t>
      </w:r>
      <w:r>
        <w:rPr>
          <w:rFonts w:hint="default" w:ascii="Times New Roman" w:hAnsi="Times New Roman" w:cs="Times New Roman"/>
          <w:highlight w:val="none"/>
          <w:lang w:val="en-US" w:eastAsia="zh-CN"/>
        </w:rPr>
        <w:t>形和顺，折变或错台处过渡平顺，内衬与原有管道过渡平缓；环向断面圆弧饱满。</w:t>
      </w:r>
    </w:p>
    <w:p w14:paraId="23233E48">
      <w:pPr>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检验方法：观察或CCTV检测；检查施工记录、CCTV检测记录等。</w:t>
      </w:r>
    </w:p>
    <w:p w14:paraId="416855B3">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highlight w:val="none"/>
          <w:lang w:val="en-US" w:eastAsia="zh-CN"/>
        </w:rPr>
        <w:t>检查数量：全数检查。</w:t>
      </w:r>
    </w:p>
    <w:p w14:paraId="3EBE15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7.9.4</w:t>
      </w:r>
      <w:r>
        <w:rPr>
          <w:rFonts w:hint="default" w:ascii="Times New Roman" w:hAnsi="Times New Roman" w:cs="Times New Roman"/>
          <w:sz w:val="24"/>
          <w:szCs w:val="24"/>
          <w:lang w:val="en-US" w:eastAsia="zh-CN"/>
        </w:rPr>
        <w:t xml:space="preserve"> 待修复缺陷部位应被完全覆盖，且轴向前后延伸宽度应大于 200mm</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玻璃纤维层数不应小于3层。</w:t>
      </w:r>
    </w:p>
    <w:p w14:paraId="4CCEC90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检验方法：观察或CCTV检测，对照设计文件和施工方案 检查施工记录、CCTV检测记录等。</w:t>
      </w:r>
    </w:p>
    <w:p w14:paraId="5B65EA4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044949E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7.9.5</w:t>
      </w:r>
      <w:r>
        <w:rPr>
          <w:rFonts w:hint="default" w:ascii="Times New Roman" w:hAnsi="Times New Roman" w:cs="Times New Roman"/>
          <w:sz w:val="24"/>
          <w:szCs w:val="24"/>
          <w:lang w:val="en-US" w:eastAsia="zh-CN"/>
        </w:rPr>
        <w:t xml:space="preserve">  内衬管两端部密封处理应符合设计文件的规定，且应密 封良好、饱满密实。</w:t>
      </w:r>
    </w:p>
    <w:p w14:paraId="2F5ECDA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检验方法：观察；对照设计文件检查施工记录等。</w:t>
      </w:r>
    </w:p>
    <w:p w14:paraId="236ABFB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3E48927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sz w:val="24"/>
          <w:szCs w:val="24"/>
          <w:lang w:val="en-US" w:eastAsia="zh-CN"/>
        </w:rPr>
      </w:pPr>
      <w:r>
        <w:rPr>
          <w:rFonts w:hint="default" w:ascii="Times New Roman" w:hAnsi="Times New Roman" w:cs="Times New Roman"/>
          <w:b/>
          <w:bCs/>
          <w:kern w:val="2"/>
          <w:sz w:val="24"/>
          <w:szCs w:val="24"/>
          <w:highlight w:val="none"/>
          <w:lang w:val="en-US" w:eastAsia="zh-CN"/>
        </w:rPr>
        <w:t>7.9.6</w:t>
      </w:r>
      <w:r>
        <w:rPr>
          <w:rFonts w:hint="default" w:ascii="Times New Roman" w:hAnsi="Times New Roman" w:cs="Times New Roman"/>
          <w:sz w:val="24"/>
          <w:szCs w:val="24"/>
          <w:lang w:val="en-US" w:eastAsia="zh-CN"/>
        </w:rPr>
        <w:t xml:space="preserve">  修复施工记录应齐全、正确。</w:t>
      </w:r>
    </w:p>
    <w:p w14:paraId="37AFEC1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检验方法：对照设计文件和施工方案按本规程的规定进行检查。</w:t>
      </w:r>
    </w:p>
    <w:p w14:paraId="0679CCF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检查数量：全数检查。</w:t>
      </w:r>
    </w:p>
    <w:p w14:paraId="6370E9FD">
      <w:pPr>
        <w:ind w:left="0" w:leftChars="0" w:firstLine="480" w:firstLineChars="200"/>
        <w:rPr>
          <w:rFonts w:hint="default" w:ascii="Times New Roman" w:hAnsi="Times New Roman" w:eastAsia="楷体" w:cs="Times New Roman"/>
          <w:kern w:val="2"/>
          <w:szCs w:val="24"/>
          <w:u w:val="single"/>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 xml:space="preserve"> 7.9.6参照《城镇排水管道非开挖修复更新工程技术规程》（CJJ/T 210）中相关内容。</w:t>
      </w:r>
    </w:p>
    <w:p w14:paraId="4B9B8C27">
      <w:pPr>
        <w:pStyle w:val="3"/>
        <w:jc w:val="center"/>
        <w:rPr>
          <w:rFonts w:hint="default" w:ascii="Times New Roman" w:hAnsi="Times New Roman" w:eastAsia="宋体" w:cs="Times New Roman"/>
          <w:lang w:val="en-US" w:eastAsia="zh-CN"/>
        </w:rPr>
      </w:pPr>
      <w:bookmarkStart w:id="352" w:name="_Toc25702"/>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10不锈钢双胀环法</w:t>
      </w:r>
      <w:bookmarkEnd w:id="352"/>
    </w:p>
    <w:p w14:paraId="582F6D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I</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主控项目</w:t>
      </w:r>
    </w:p>
    <w:p w14:paraId="6228683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kern w:val="2"/>
          <w:sz w:val="24"/>
          <w:szCs w:val="24"/>
          <w:highlight w:val="none"/>
        </w:rPr>
        <w:t>7.1</w:t>
      </w:r>
      <w:r>
        <w:rPr>
          <w:rFonts w:hint="default" w:ascii="Times New Roman" w:hAnsi="Times New Roman" w:cs="Times New Roman"/>
          <w:b/>
          <w:bCs/>
          <w:kern w:val="2"/>
          <w:sz w:val="24"/>
          <w:szCs w:val="24"/>
          <w:highlight w:val="none"/>
          <w:lang w:val="en-US" w:eastAsia="zh-CN"/>
        </w:rPr>
        <w:t>0</w:t>
      </w:r>
      <w:r>
        <w:rPr>
          <w:rFonts w:hint="default" w:ascii="Times New Roman" w:hAnsi="Times New Roman" w:eastAsia="宋体" w:cs="Times New Roman"/>
          <w:b/>
          <w:bCs/>
          <w:kern w:val="2"/>
          <w:sz w:val="24"/>
          <w:szCs w:val="24"/>
          <w:highlight w:val="none"/>
        </w:rPr>
        <w:t>.1</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止水橡胶圈、不锈钢胀环等工程材料的性能、规格、尺寸应符合本规程设计文件的规定，质量保证资料应齐全。</w:t>
      </w:r>
    </w:p>
    <w:p w14:paraId="3748D23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检验方法：检查材料进场验收记录，检查质量保证资料、厂家产品使用说明等；检查止水橡胶圈的出厂日期等记录。</w:t>
      </w:r>
    </w:p>
    <w:p w14:paraId="42F4578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0FF0A7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止水橡胶圈和不锈钢胀环作为不锈钢双胀环法修复管道的关键材料，其性能、规格和尺寸直接决定了修复工程的质量和效果。若材料性能不达标，如止水橡胶圈的弹性不足、不锈钢胀环的强度不够，将无法有效修复管道缺陷，甚至可能导致修复后再次出现渗漏、结构不稳定等问题。规格和尺寸不符合要求，会使胀环无法准确安装，影响与原有管道的贴合度。质量保证资料的齐全性是确保材料来源可靠、质量可追溯的重要依据，对于后续的质量验收和责任界定具有重要意义。因此，必须对材料进行全数检查，严格把控材料质量关。</w:t>
      </w:r>
    </w:p>
    <w:p w14:paraId="3C8358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Ⅱ</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一般项目</w:t>
      </w:r>
    </w:p>
    <w:p w14:paraId="443FC82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kern w:val="2"/>
          <w:sz w:val="24"/>
          <w:szCs w:val="24"/>
          <w:highlight w:val="none"/>
        </w:rPr>
        <w:t>7.1</w:t>
      </w:r>
      <w:r>
        <w:rPr>
          <w:rFonts w:hint="default" w:ascii="Times New Roman" w:hAnsi="Times New Roman" w:cs="Times New Roman"/>
          <w:b/>
          <w:bCs/>
          <w:kern w:val="2"/>
          <w:sz w:val="24"/>
          <w:szCs w:val="24"/>
          <w:highlight w:val="none"/>
          <w:lang w:val="en-US" w:eastAsia="zh-CN"/>
        </w:rPr>
        <w:t>0</w:t>
      </w:r>
      <w:r>
        <w:rPr>
          <w:rFonts w:hint="default" w:ascii="Times New Roman" w:hAnsi="Times New Roman" w:eastAsia="宋体" w:cs="Times New Roman"/>
          <w:b/>
          <w:bCs/>
          <w:kern w:val="2"/>
          <w:sz w:val="24"/>
          <w:szCs w:val="24"/>
          <w:highlight w:val="none"/>
        </w:rPr>
        <w:t>.</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修复后管道表面质量应符合下列规定：</w:t>
      </w:r>
    </w:p>
    <w:p w14:paraId="5F145F1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止水橡胶圈应与原有管道紧密贴合，不得有明显凸起物、褶皱现象；</w:t>
      </w:r>
    </w:p>
    <w:p w14:paraId="3F10ACB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不锈钢胀环应安装牢固，内衬管内表面应光洁、平整，无局部划伤、裂纹、磨损、孔洞、起泡、干斑、褶皱、拉伸变形和软弱带等影响管道结构、使用功能的损伤和缺陷；</w:t>
      </w:r>
    </w:p>
    <w:p w14:paraId="0FC5C1C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环体应准确安装在管道缺陷位置（如接口错位、脱节、渗漏点）。</w:t>
      </w:r>
    </w:p>
    <w:p w14:paraId="48C7BD5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4</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管道不得有渗水现象。</w:t>
      </w:r>
    </w:p>
    <w:p w14:paraId="282DD2D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rPr>
        <w:t>检验方法：人工观</w:t>
      </w:r>
      <w:r>
        <w:rPr>
          <w:rFonts w:hint="default" w:ascii="Times New Roman" w:hAnsi="Times New Roman" w:eastAsia="宋体" w:cs="Times New Roman"/>
          <w:sz w:val="24"/>
          <w:szCs w:val="24"/>
        </w:rPr>
        <w:t>察、CCTV检测；检查施工记录、CCTV检测记录等。</w:t>
      </w:r>
    </w:p>
    <w:p w14:paraId="587BC71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10DA6A9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7.1</w:t>
      </w:r>
      <w:r>
        <w:rPr>
          <w:rFonts w:hint="default" w:ascii="Times New Roman" w:hAnsi="Times New Roman" w:cs="Times New Roman"/>
          <w:b/>
          <w:bCs/>
          <w:sz w:val="24"/>
          <w:szCs w:val="24"/>
          <w:lang w:val="en-US" w:eastAsia="zh-CN"/>
        </w:rPr>
        <w:t>0</w:t>
      </w:r>
      <w:r>
        <w:rPr>
          <w:rFonts w:hint="default" w:ascii="Times New Roman" w:hAnsi="Times New Roman" w:eastAsia="宋体" w:cs="Times New Roman"/>
          <w:b/>
          <w:bCs/>
          <w:sz w:val="24"/>
          <w:szCs w:val="24"/>
        </w:rPr>
        <w:t>.</w:t>
      </w:r>
      <w:r>
        <w:rPr>
          <w:rFonts w:hint="default" w:ascii="Times New Roman" w:hAnsi="Times New Roman" w:cs="Times New Roman"/>
          <w:b/>
          <w:bCs/>
          <w:sz w:val="24"/>
          <w:szCs w:val="24"/>
          <w:lang w:val="en-US" w:eastAsia="zh-CN"/>
        </w:rPr>
        <w:t>3</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修复后管道应线形和顺，新管道、原有管道过渡平缓，断面损失应符合设计文件的规定。</w:t>
      </w:r>
    </w:p>
    <w:p w14:paraId="6008565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检验方法：人工观察、CCTV检测；检查施工记录、CCTV检测记录等。</w:t>
      </w:r>
    </w:p>
    <w:p w14:paraId="6079A21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36F4FA1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7.1</w:t>
      </w:r>
      <w:r>
        <w:rPr>
          <w:rFonts w:hint="default" w:ascii="Times New Roman" w:hAnsi="Times New Roman" w:cs="Times New Roman"/>
          <w:b/>
          <w:bCs/>
          <w:sz w:val="24"/>
          <w:szCs w:val="24"/>
          <w:lang w:val="en-US" w:eastAsia="zh-CN"/>
        </w:rPr>
        <w:t>0</w:t>
      </w:r>
      <w:r>
        <w:rPr>
          <w:rFonts w:hint="default" w:ascii="Times New Roman" w:hAnsi="Times New Roman" w:eastAsia="宋体" w:cs="Times New Roman"/>
          <w:b/>
          <w:bCs/>
          <w:sz w:val="24"/>
          <w:szCs w:val="24"/>
        </w:rPr>
        <w:t>.</w:t>
      </w:r>
      <w:r>
        <w:rPr>
          <w:rFonts w:hint="default" w:ascii="Times New Roman" w:hAnsi="Times New Roman" w:cs="Times New Roman"/>
          <w:b/>
          <w:bCs/>
          <w:sz w:val="24"/>
          <w:szCs w:val="24"/>
          <w:lang w:val="en-US" w:eastAsia="zh-CN"/>
        </w:rPr>
        <w:t>4</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待修复缺陷部位应被完全覆盖，止水橡胶圈与原管壁应贴合紧密，目测无明显可见缝隙，或用塞尺检查局部间隙应在允许范围内（通常极小，具体按设计要求或施工工艺标准）。</w:t>
      </w:r>
    </w:p>
    <w:p w14:paraId="4390D61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检验方法：人工观察、CCTV检测，对照设计文件和施工方案检查施工记录、CCTV检测记录等。</w:t>
      </w:r>
    </w:p>
    <w:p w14:paraId="2B3E6E5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40895A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7.1</w:t>
      </w:r>
      <w:r>
        <w:rPr>
          <w:rFonts w:hint="default" w:ascii="Times New Roman" w:hAnsi="Times New Roman" w:cs="Times New Roman"/>
          <w:b/>
          <w:bCs/>
          <w:sz w:val="24"/>
          <w:szCs w:val="24"/>
          <w:lang w:val="en-US" w:eastAsia="zh-CN"/>
        </w:rPr>
        <w:t>0</w:t>
      </w:r>
      <w:r>
        <w:rPr>
          <w:rFonts w:hint="default" w:ascii="Times New Roman" w:hAnsi="Times New Roman" w:eastAsia="宋体" w:cs="Times New Roman"/>
          <w:b/>
          <w:bCs/>
          <w:sz w:val="24"/>
          <w:szCs w:val="24"/>
        </w:rPr>
        <w:t>.</w:t>
      </w: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 xml:space="preserve"> 胀环两端部密封处理应符合设计要求，且应密封良好、 密实。</w:t>
      </w:r>
    </w:p>
    <w:p w14:paraId="65F6396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检验方法：人工观察、CCTV检测；对照设计文件检查施工记录、CCTV检测记录等。</w:t>
      </w:r>
    </w:p>
    <w:p w14:paraId="0DD1D20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52D5854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7.1</w:t>
      </w:r>
      <w:r>
        <w:rPr>
          <w:rFonts w:hint="default" w:ascii="Times New Roman" w:hAnsi="Times New Roman" w:cs="Times New Roman"/>
          <w:b/>
          <w:bCs/>
          <w:sz w:val="24"/>
          <w:szCs w:val="24"/>
          <w:lang w:val="en-US" w:eastAsia="zh-CN"/>
        </w:rPr>
        <w:t>0</w:t>
      </w:r>
      <w:r>
        <w:rPr>
          <w:rFonts w:hint="default" w:ascii="Times New Roman" w:hAnsi="Times New Roman" w:eastAsia="宋体" w:cs="Times New Roman"/>
          <w:b/>
          <w:bCs/>
          <w:sz w:val="24"/>
          <w:szCs w:val="24"/>
        </w:rPr>
        <w:t>.</w:t>
      </w:r>
      <w:r>
        <w:rPr>
          <w:rFonts w:hint="default" w:ascii="Times New Roman" w:hAnsi="Times New Roman" w:cs="Times New Roman"/>
          <w:b/>
          <w:bCs/>
          <w:sz w:val="24"/>
          <w:szCs w:val="24"/>
          <w:lang w:val="en-US" w:eastAsia="zh-CN"/>
        </w:rPr>
        <w:t>6</w:t>
      </w: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修复施工记录应齐备、完整、准确、正确。</w:t>
      </w:r>
    </w:p>
    <w:p w14:paraId="3BED079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检验方法：对照设计文件和施工方案按本规程的规定进行检查，检查施工记录等。</w:t>
      </w:r>
    </w:p>
    <w:p w14:paraId="6EB03E3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4AE73947">
      <w:pPr>
        <w:pStyle w:val="3"/>
        <w:jc w:val="center"/>
        <w:rPr>
          <w:rFonts w:hint="default" w:ascii="Times New Roman" w:hAnsi="Times New Roman" w:eastAsia="宋体" w:cs="Times New Roman"/>
          <w:lang w:val="en-US" w:eastAsia="zh-CN"/>
        </w:rPr>
      </w:pPr>
      <w:bookmarkStart w:id="353" w:name="_Toc1339"/>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11不锈钢快速锁法</w:t>
      </w:r>
      <w:bookmarkEnd w:id="353"/>
    </w:p>
    <w:p w14:paraId="2B51778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I</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主控项目</w:t>
      </w:r>
    </w:p>
    <w:p w14:paraId="57A7C1B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7.1</w:t>
      </w:r>
      <w:r>
        <w:rPr>
          <w:rFonts w:hint="default" w:ascii="Times New Roman" w:hAnsi="Times New Roman" w:cs="Times New Roman"/>
          <w:b/>
          <w:bCs/>
          <w:sz w:val="24"/>
          <w:szCs w:val="24"/>
          <w:lang w:val="en-US" w:eastAsia="zh-CN"/>
        </w:rPr>
        <w:t>1</w:t>
      </w:r>
      <w:r>
        <w:rPr>
          <w:rFonts w:hint="default" w:ascii="Times New Roman" w:hAnsi="Times New Roman" w:eastAsia="宋体" w:cs="Times New Roman"/>
          <w:b/>
          <w:bCs/>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 xml:space="preserve"> 不锈钢快速锁技术参数应符合本规程和设计文件的规定，质量保证资料应齐备、完整。</w:t>
      </w:r>
    </w:p>
    <w:p w14:paraId="3F9CDBD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检验方法：对照设计文件检查；检查材料进场验收记录；检查质量保证资料、厂家产 品使用说明等。</w:t>
      </w:r>
    </w:p>
    <w:p w14:paraId="1A47FD4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检查数量：全数检查。</w:t>
      </w:r>
    </w:p>
    <w:p w14:paraId="31AD80E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kern w:val="2"/>
          <w:szCs w:val="24"/>
          <w:u w:val="single"/>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不锈钢快速锁的技术参数直接决定了其对管道缺陷的修复效果和使用寿命。若技术参数不符合本规程和设计文件的规定，如锁紧力不足、尺寸不匹配等，将无法有效固定修复材料，导致修复部位再次出现渗漏或结构不稳定等问题。质量保证资料的齐备和完整是确保不锈钢快速锁质量可追溯的重要依据，对于保证修复工程的质量和安全性至关重要。因此，必须对不锈钢快速锁的技术参数和质量保证资料进行全数检查。</w:t>
      </w:r>
    </w:p>
    <w:p w14:paraId="3AF3AA3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Ⅱ</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一般项目</w:t>
      </w:r>
    </w:p>
    <w:p w14:paraId="1FB8C946">
      <w:pPr>
        <w:bidi w:val="0"/>
        <w:rPr>
          <w:rFonts w:hint="default" w:ascii="Times New Roman" w:hAnsi="Times New Roman" w:cs="Times New Roman"/>
        </w:rPr>
      </w:pPr>
      <w:r>
        <w:rPr>
          <w:rFonts w:hint="default" w:ascii="Times New Roman" w:hAnsi="Times New Roman" w:cs="Times New Roman"/>
          <w:b/>
          <w:bCs/>
          <w:szCs w:val="24"/>
        </w:rPr>
        <w:t>7.1</w:t>
      </w:r>
      <w:r>
        <w:rPr>
          <w:rFonts w:hint="default" w:ascii="Times New Roman" w:hAnsi="Times New Roman" w:cs="Times New Roman"/>
          <w:b/>
          <w:bCs/>
          <w:szCs w:val="24"/>
          <w:lang w:val="en-US" w:eastAsia="zh-CN"/>
        </w:rPr>
        <w:t>1</w:t>
      </w:r>
      <w:r>
        <w:rPr>
          <w:rFonts w:hint="default" w:ascii="Times New Roman" w:hAnsi="Times New Roman" w:cs="Times New Roman"/>
          <w:b/>
          <w:bCs/>
          <w:szCs w:val="24"/>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修复位置应正确，不锈钢快速锁安装应牢固，表面应平整，无严重拉丝痕、麻点和抛光不匀造成的光差，边缘应无快口、刺手现象。</w:t>
      </w:r>
    </w:p>
    <w:p w14:paraId="0E6FB8AC">
      <w:pPr>
        <w:bidi w:val="0"/>
        <w:ind w:left="0" w:leftChars="0" w:firstLine="480" w:firstLineChars="200"/>
        <w:rPr>
          <w:rFonts w:hint="default" w:ascii="Times New Roman" w:hAnsi="Times New Roman" w:cs="Times New Roman"/>
        </w:rPr>
      </w:pPr>
      <w:r>
        <w:rPr>
          <w:rFonts w:hint="default" w:ascii="Times New Roman" w:hAnsi="Times New Roman" w:cs="Times New Roman"/>
        </w:rPr>
        <w:t>检验方法：人工观察、CCTV检测；检查施工记录、CCTV检测记录等。</w:t>
      </w:r>
    </w:p>
    <w:p w14:paraId="75E8C556">
      <w:pPr>
        <w:bidi w:val="0"/>
        <w:ind w:left="0" w:leftChars="0" w:firstLine="480" w:firstLineChars="200"/>
        <w:rPr>
          <w:rFonts w:hint="default" w:ascii="Times New Roman" w:hAnsi="Times New Roman" w:cs="Times New Roman"/>
        </w:rPr>
      </w:pPr>
      <w:r>
        <w:rPr>
          <w:rFonts w:hint="default" w:ascii="Times New Roman" w:hAnsi="Times New Roman" w:cs="Times New Roman"/>
        </w:rPr>
        <w:t>检查数量：全数检查。</w:t>
      </w:r>
    </w:p>
    <w:p w14:paraId="6DC92BC5">
      <w:pPr>
        <w:bidi w:val="0"/>
        <w:rPr>
          <w:rFonts w:hint="default" w:ascii="Times New Roman" w:hAnsi="Times New Roman" w:cs="Times New Roman"/>
        </w:rPr>
      </w:pPr>
      <w:r>
        <w:rPr>
          <w:rFonts w:hint="default" w:ascii="Times New Roman" w:hAnsi="Times New Roman" w:cs="Times New Roman"/>
          <w:b/>
          <w:bCs/>
          <w:szCs w:val="24"/>
        </w:rPr>
        <w:t>7.1</w:t>
      </w:r>
      <w:r>
        <w:rPr>
          <w:rFonts w:hint="default" w:ascii="Times New Roman" w:hAnsi="Times New Roman" w:cs="Times New Roman"/>
          <w:b/>
          <w:bCs/>
          <w:szCs w:val="24"/>
          <w:lang w:val="en-US" w:eastAsia="zh-CN"/>
        </w:rPr>
        <w:t>1</w:t>
      </w:r>
      <w:r>
        <w:rPr>
          <w:rFonts w:hint="default" w:ascii="Times New Roman" w:hAnsi="Times New Roman" w:cs="Times New Roman"/>
          <w:b/>
          <w:bCs/>
          <w:szCs w:val="24"/>
        </w:rPr>
        <w:t>.3</w:t>
      </w:r>
      <w:r>
        <w:rPr>
          <w:rFonts w:hint="default" w:ascii="Times New Roman" w:hAnsi="Times New Roman" w:cs="Times New Roman"/>
          <w:lang w:val="en-US" w:eastAsia="zh-CN"/>
        </w:rPr>
        <w:t xml:space="preserve"> </w:t>
      </w:r>
      <w:r>
        <w:rPr>
          <w:rFonts w:hint="default" w:ascii="Times New Roman" w:hAnsi="Times New Roman" w:cs="Times New Roman"/>
        </w:rPr>
        <w:t xml:space="preserve"> 原有缺陷应完全被修复材料覆盖，已修复部位不得漏水、渗水，且修复部位尺寸应比待修复缺陷至少长100mm。当缺陷轴向长度超过单个快速锁长度时，可采取多个快速锁搭接的方式安装，安装的后一个快速锁应压住前一个快速锁超出的橡胶套，以确保密封。</w:t>
      </w:r>
    </w:p>
    <w:p w14:paraId="11B516FB">
      <w:pPr>
        <w:bidi w:val="0"/>
        <w:ind w:left="0" w:leftChars="0" w:firstLine="480" w:firstLineChars="200"/>
        <w:rPr>
          <w:rFonts w:hint="default" w:ascii="Times New Roman" w:hAnsi="Times New Roman" w:cs="Times New Roman"/>
        </w:rPr>
      </w:pPr>
      <w:r>
        <w:rPr>
          <w:rFonts w:hint="default" w:ascii="Times New Roman" w:hAnsi="Times New Roman" w:cs="Times New Roman"/>
        </w:rPr>
        <w:t>检验方法：人工观察、CCTV检测；检查施工记录、CCTV检测记录等。</w:t>
      </w:r>
    </w:p>
    <w:p w14:paraId="3E86D767">
      <w:pPr>
        <w:bidi w:val="0"/>
        <w:ind w:left="0" w:leftChars="0"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rPr>
        <w:t>检查数量：全数检查。</w:t>
      </w:r>
    </w:p>
    <w:p w14:paraId="26416F9D">
      <w:pPr>
        <w:pStyle w:val="3"/>
        <w:jc w:val="center"/>
        <w:rPr>
          <w:rFonts w:hint="default" w:ascii="Times New Roman" w:hAnsi="Times New Roman" w:eastAsia="宋体" w:cs="Times New Roman"/>
          <w:lang w:val="en-US" w:eastAsia="zh-CN"/>
        </w:rPr>
      </w:pPr>
      <w:bookmarkStart w:id="354" w:name="_Toc28882"/>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12检查井修复</w:t>
      </w:r>
      <w:bookmarkEnd w:id="354"/>
    </w:p>
    <w:p w14:paraId="52D9294C">
      <w:pPr>
        <w:bidi w:val="0"/>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t>主控项目</w:t>
      </w:r>
    </w:p>
    <w:p w14:paraId="33D4967F">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2</w:t>
      </w:r>
      <w:r>
        <w:rPr>
          <w:rFonts w:hint="default" w:ascii="Times New Roman" w:hAnsi="Times New Roman" w:cs="Times New Roman"/>
          <w:b/>
          <w:bCs/>
          <w:szCs w:val="24"/>
        </w:rPr>
        <w:t>.</w:t>
      </w:r>
      <w:r>
        <w:rPr>
          <w:rFonts w:hint="default" w:ascii="Times New Roman" w:hAnsi="Times New Roman" w:cs="Times New Roman"/>
          <w:b/>
          <w:bCs/>
          <w:szCs w:val="24"/>
          <w:lang w:val="en-US" w:eastAsia="zh-CN"/>
        </w:rPr>
        <w:t>1</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主要材料性能指标应符合设计要求，质量保证资料应齐全。</w:t>
      </w:r>
    </w:p>
    <w:p w14:paraId="43782A5F">
      <w:pPr>
        <w:ind w:firstLine="480" w:firstLineChars="200"/>
        <w:rPr>
          <w:rFonts w:hint="default" w:ascii="Times New Roman" w:hAnsi="Times New Roman" w:cs="Times New Roman"/>
          <w:szCs w:val="24"/>
        </w:rPr>
      </w:pPr>
      <w:r>
        <w:rPr>
          <w:rFonts w:hint="default" w:ascii="Times New Roman" w:hAnsi="Times New Roman" w:cs="Times New Roman"/>
          <w:szCs w:val="24"/>
        </w:rPr>
        <w:t>检查方法：对照设计文件检查出厂检测报告、现场抽样检测报告、厂家产品使用说明等质量保证资料。</w:t>
      </w:r>
    </w:p>
    <w:p w14:paraId="3A60E3D2">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21C8F383">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2</w:t>
      </w:r>
      <w:r>
        <w:rPr>
          <w:rFonts w:hint="default" w:ascii="Times New Roman" w:hAnsi="Times New Roman" w:cs="Times New Roman"/>
          <w:b/>
          <w:bCs/>
          <w:szCs w:val="24"/>
        </w:rPr>
        <w:t>.2</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内衬平均厚度不低于设计值，最小厚度应不低于设计值的90%。</w:t>
      </w:r>
    </w:p>
    <w:p w14:paraId="09ED28D9">
      <w:pPr>
        <w:ind w:firstLine="480" w:firstLineChars="200"/>
        <w:rPr>
          <w:rFonts w:hint="default" w:ascii="Times New Roman" w:hAnsi="Times New Roman" w:cs="Times New Roman"/>
          <w:szCs w:val="24"/>
        </w:rPr>
      </w:pPr>
      <w:r>
        <w:rPr>
          <w:rFonts w:hint="default" w:ascii="Times New Roman" w:hAnsi="Times New Roman" w:cs="Times New Roman"/>
          <w:szCs w:val="24"/>
        </w:rPr>
        <w:t>检查方法：采用测厚尺在未凝固的内衬表面随机插入检测，每个断面测3~4个点，以最小插入深度作为内衬最小厚度，以断面测点的平均插入深度为内衬平均厚度</w:t>
      </w:r>
      <w:r>
        <w:rPr>
          <w:rFonts w:hint="default" w:ascii="Times New Roman" w:hAnsi="Times New Roman" w:cs="Times New Roman"/>
          <w:szCs w:val="24"/>
          <w:lang w:eastAsia="zh-CN"/>
        </w:rPr>
        <w:t>；</w:t>
      </w:r>
      <w:r>
        <w:rPr>
          <w:rFonts w:hint="default" w:ascii="Times New Roman" w:hAnsi="Times New Roman" w:cs="Times New Roman"/>
          <w:szCs w:val="24"/>
        </w:rPr>
        <w:t>或在监理的见证下，在检查井断面设置标记钉，当内衬完全覆盖全部标记钉时认为厚度满足要求。</w:t>
      </w:r>
    </w:p>
    <w:p w14:paraId="63FB0A90">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检查数量：检查井井筒、井室及井底各一个量测断面，当井筒或井室高度大于5m时，每隔5m增加一个量测断面</w:t>
      </w:r>
      <w:r>
        <w:rPr>
          <w:rFonts w:hint="default" w:ascii="Times New Roman" w:hAnsi="Times New Roman" w:cs="Times New Roman"/>
          <w:szCs w:val="24"/>
          <w:lang w:eastAsia="zh-CN"/>
        </w:rPr>
        <w:t>。</w:t>
      </w:r>
    </w:p>
    <w:p w14:paraId="12426E3C">
      <w:pPr>
        <w:bidi w:val="0"/>
        <w:ind w:firstLine="723"/>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Ⅱ</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一般项目</w:t>
      </w:r>
    </w:p>
    <w:p w14:paraId="66310949">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2</w:t>
      </w:r>
      <w:r>
        <w:rPr>
          <w:rFonts w:hint="default" w:ascii="Times New Roman" w:hAnsi="Times New Roman" w:cs="Times New Roman"/>
          <w:b/>
          <w:bCs/>
          <w:szCs w:val="24"/>
        </w:rPr>
        <w:t>.3</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检查井内衬应无明显湿渍。</w:t>
      </w:r>
    </w:p>
    <w:p w14:paraId="1BBB11B3">
      <w:pPr>
        <w:ind w:firstLine="480" w:firstLineChars="200"/>
        <w:rPr>
          <w:rFonts w:hint="default" w:ascii="Times New Roman" w:hAnsi="Times New Roman" w:eastAsia="宋体" w:cs="Times New Roman"/>
          <w:szCs w:val="24"/>
          <w:lang w:eastAsia="zh-CN"/>
        </w:rPr>
      </w:pPr>
      <w:r>
        <w:rPr>
          <w:rFonts w:hint="default" w:ascii="Times New Roman" w:hAnsi="Times New Roman" w:cs="Times New Roman"/>
          <w:szCs w:val="24"/>
        </w:rPr>
        <w:t>检查方法：观察或潜望镜检测</w:t>
      </w:r>
      <w:r>
        <w:rPr>
          <w:rFonts w:hint="default" w:ascii="Times New Roman" w:hAnsi="Times New Roman" w:eastAsia="宋体" w:cs="Times New Roman"/>
          <w:szCs w:val="24"/>
          <w:lang w:eastAsia="zh-CN"/>
        </w:rPr>
        <w:t>（</w:t>
      </w:r>
      <w:r>
        <w:rPr>
          <w:rFonts w:hint="default" w:ascii="Times New Roman" w:hAnsi="Times New Roman" w:cs="Times New Roman"/>
          <w:szCs w:val="24"/>
        </w:rPr>
        <w:t>QV</w:t>
      </w:r>
      <w:r>
        <w:rPr>
          <w:rFonts w:hint="default" w:ascii="Times New Roman" w:hAnsi="Times New Roman" w:eastAsia="宋体" w:cs="Times New Roman"/>
          <w:szCs w:val="24"/>
          <w:lang w:eastAsia="zh-CN"/>
        </w:rPr>
        <w:t>）</w:t>
      </w:r>
      <w:r>
        <w:rPr>
          <w:rFonts w:hint="default" w:ascii="Times New Roman" w:hAnsi="Times New Roman" w:cs="Times New Roman"/>
          <w:szCs w:val="24"/>
          <w:lang w:eastAsia="zh-CN"/>
        </w:rPr>
        <w:t>。</w:t>
      </w:r>
    </w:p>
    <w:p w14:paraId="5B0D5D09">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25FB5EE6">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2</w:t>
      </w:r>
      <w:r>
        <w:rPr>
          <w:rFonts w:hint="default" w:ascii="Times New Roman" w:hAnsi="Times New Roman" w:cs="Times New Roman"/>
          <w:b/>
          <w:bCs/>
          <w:szCs w:val="24"/>
        </w:rPr>
        <w:t>.4</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内衬应密实规整，不应有空鼓、裂缝等现象</w:t>
      </w:r>
      <w:r>
        <w:rPr>
          <w:rFonts w:hint="default" w:ascii="Times New Roman" w:hAnsi="Times New Roman" w:cs="Times New Roman"/>
          <w:szCs w:val="24"/>
          <w:lang w:eastAsia="zh-CN"/>
        </w:rPr>
        <w:t>；</w:t>
      </w:r>
      <w:r>
        <w:rPr>
          <w:rFonts w:hint="default" w:ascii="Times New Roman" w:hAnsi="Times New Roman" w:cs="Times New Roman"/>
          <w:szCs w:val="24"/>
        </w:rPr>
        <w:t>流槽应平顺管口与井壁应结合严密。</w:t>
      </w:r>
    </w:p>
    <w:p w14:paraId="7CC74BF4">
      <w:pPr>
        <w:ind w:firstLine="480" w:firstLineChars="200"/>
        <w:rPr>
          <w:rFonts w:hint="default" w:ascii="Times New Roman" w:hAnsi="Times New Roman" w:eastAsia="宋体" w:cs="Times New Roman"/>
          <w:szCs w:val="24"/>
          <w:lang w:eastAsia="zh-CN"/>
        </w:rPr>
      </w:pPr>
      <w:r>
        <w:rPr>
          <w:rFonts w:hint="default" w:ascii="Times New Roman" w:hAnsi="Times New Roman" w:cs="Times New Roman"/>
          <w:szCs w:val="24"/>
        </w:rPr>
        <w:t>检查方法：观察或潜望镜检测</w:t>
      </w:r>
      <w:r>
        <w:rPr>
          <w:rFonts w:hint="default" w:ascii="Times New Roman" w:hAnsi="Times New Roman" w:eastAsia="宋体" w:cs="Times New Roman"/>
          <w:szCs w:val="24"/>
          <w:lang w:eastAsia="zh-CN"/>
        </w:rPr>
        <w:t>（</w:t>
      </w:r>
      <w:r>
        <w:rPr>
          <w:rFonts w:hint="default" w:ascii="Times New Roman" w:hAnsi="Times New Roman" w:cs="Times New Roman"/>
          <w:szCs w:val="24"/>
        </w:rPr>
        <w:t>QV</w:t>
      </w:r>
      <w:r>
        <w:rPr>
          <w:rFonts w:hint="default" w:ascii="Times New Roman" w:hAnsi="Times New Roman" w:eastAsia="宋体" w:cs="Times New Roman"/>
          <w:szCs w:val="24"/>
          <w:lang w:eastAsia="zh-CN"/>
        </w:rPr>
        <w:t>）</w:t>
      </w:r>
      <w:r>
        <w:rPr>
          <w:rFonts w:hint="default" w:ascii="Times New Roman" w:hAnsi="Times New Roman" w:cs="Times New Roman"/>
          <w:szCs w:val="24"/>
          <w:lang w:eastAsia="zh-CN"/>
        </w:rPr>
        <w:t>。</w:t>
      </w:r>
    </w:p>
    <w:p w14:paraId="0BB5C6DC">
      <w:pPr>
        <w:ind w:firstLine="480" w:firstLineChars="200"/>
        <w:rPr>
          <w:rFonts w:hint="default" w:ascii="Times New Roman" w:hAnsi="Times New Roman" w:cs="Times New Roman"/>
          <w:szCs w:val="24"/>
        </w:rPr>
      </w:pPr>
      <w:r>
        <w:rPr>
          <w:rFonts w:hint="default" w:ascii="Times New Roman" w:hAnsi="Times New Roman" w:cs="Times New Roman"/>
          <w:szCs w:val="24"/>
        </w:rPr>
        <w:t>检查数量：全数检查。</w:t>
      </w:r>
    </w:p>
    <w:p w14:paraId="277E3DF0">
      <w:pPr>
        <w:rPr>
          <w:rFonts w:hint="default" w:ascii="Times New Roman" w:hAnsi="Times New Roman" w:cs="Times New Roman"/>
          <w:szCs w:val="24"/>
        </w:rPr>
      </w:pPr>
      <w:r>
        <w:rPr>
          <w:rFonts w:hint="default" w:ascii="Times New Roman" w:hAnsi="Times New Roman" w:cs="Times New Roman"/>
          <w:b/>
          <w:bCs/>
          <w:szCs w:val="24"/>
          <w:lang w:val="en-US" w:eastAsia="zh-CN"/>
        </w:rPr>
        <w:t>7</w:t>
      </w:r>
      <w:r>
        <w:rPr>
          <w:rFonts w:hint="default" w:ascii="Times New Roman" w:hAnsi="Times New Roman" w:cs="Times New Roman"/>
          <w:b/>
          <w:bCs/>
          <w:szCs w:val="24"/>
        </w:rPr>
        <w:t>.1</w:t>
      </w:r>
      <w:r>
        <w:rPr>
          <w:rFonts w:hint="default" w:ascii="Times New Roman" w:hAnsi="Times New Roman" w:cs="Times New Roman"/>
          <w:b/>
          <w:bCs/>
          <w:szCs w:val="24"/>
          <w:lang w:val="en-US" w:eastAsia="zh-CN"/>
        </w:rPr>
        <w:t>2</w:t>
      </w:r>
      <w:r>
        <w:rPr>
          <w:rFonts w:hint="default" w:ascii="Times New Roman" w:hAnsi="Times New Roman" w:cs="Times New Roman"/>
          <w:b/>
          <w:bCs/>
          <w:szCs w:val="24"/>
        </w:rPr>
        <w:t>.5</w:t>
      </w:r>
      <w:r>
        <w:rPr>
          <w:rFonts w:hint="default" w:ascii="Times New Roman" w:hAnsi="Times New Roman" w:cs="Times New Roman"/>
          <w:szCs w:val="24"/>
          <w:lang w:val="en-US" w:eastAsia="zh-CN"/>
        </w:rPr>
        <w:t xml:space="preserve">  </w:t>
      </w:r>
      <w:r>
        <w:rPr>
          <w:rFonts w:hint="default" w:ascii="Times New Roman" w:hAnsi="Times New Roman" w:cs="Times New Roman"/>
          <w:szCs w:val="24"/>
        </w:rPr>
        <w:t>修复施工记录应齐全、正确。</w:t>
      </w:r>
    </w:p>
    <w:p w14:paraId="49A9C489">
      <w:pPr>
        <w:ind w:firstLine="480" w:firstLineChars="200"/>
        <w:rPr>
          <w:rFonts w:hint="default" w:ascii="Times New Roman" w:hAnsi="Times New Roman" w:cs="Times New Roman"/>
          <w:szCs w:val="24"/>
        </w:rPr>
      </w:pPr>
      <w:r>
        <w:rPr>
          <w:rFonts w:hint="default" w:ascii="Times New Roman" w:hAnsi="Times New Roman" w:cs="Times New Roman"/>
          <w:szCs w:val="24"/>
        </w:rPr>
        <w:t>检查方法：对照设计文件、施工方案及本标准的规定进行检查。</w:t>
      </w:r>
    </w:p>
    <w:p w14:paraId="3E384367">
      <w:pPr>
        <w:ind w:firstLine="480" w:firstLineChars="200"/>
        <w:rPr>
          <w:rFonts w:hint="default" w:ascii="Times New Roman" w:hAnsi="Times New Roman" w:cs="Times New Roman"/>
          <w:szCs w:val="24"/>
          <w:lang w:val="en-US" w:eastAsia="zh-CN"/>
        </w:rPr>
      </w:pPr>
      <w:r>
        <w:rPr>
          <w:rFonts w:hint="default" w:ascii="Times New Roman" w:hAnsi="Times New Roman" w:cs="Times New Roman"/>
          <w:szCs w:val="24"/>
        </w:rPr>
        <w:t>检查数量：全数</w:t>
      </w:r>
      <w:r>
        <w:rPr>
          <w:rFonts w:hint="default" w:ascii="Times New Roman" w:hAnsi="Times New Roman" w:cs="Times New Roman"/>
          <w:szCs w:val="24"/>
          <w:lang w:val="en-US" w:eastAsia="zh-CN"/>
        </w:rPr>
        <w:t>检查。</w:t>
      </w:r>
    </w:p>
    <w:p w14:paraId="71265200">
      <w:pPr>
        <w:pStyle w:val="3"/>
        <w:jc w:val="center"/>
        <w:rPr>
          <w:rFonts w:hint="default" w:ascii="Times New Roman" w:hAnsi="Times New Roman" w:eastAsia="宋体" w:cs="Times New Roman"/>
          <w:sz w:val="28"/>
          <w:szCs w:val="28"/>
          <w:highlight w:val="none"/>
          <w:lang w:val="en-US" w:eastAsia="zh-CN"/>
        </w:rPr>
      </w:pPr>
      <w:bookmarkStart w:id="355" w:name="_Toc19189"/>
      <w:r>
        <w:rPr>
          <w:rFonts w:hint="default"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13管道功能性试验</w:t>
      </w:r>
      <w:bookmarkEnd w:id="355"/>
    </w:p>
    <w:p w14:paraId="4F4DEDFF">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b/>
          <w:bCs/>
          <w:sz w:val="24"/>
          <w:szCs w:val="24"/>
          <w:lang w:val="en-US" w:eastAsia="zh-CN"/>
        </w:rPr>
        <w:t>7.13.1</w:t>
      </w:r>
      <w:r>
        <w:rPr>
          <w:rFonts w:hint="default" w:ascii="Times New Roman" w:hAnsi="Times New Roman" w:cs="Times New Roman" w:eastAsiaTheme="minorEastAsia"/>
          <w:sz w:val="24"/>
          <w:szCs w:val="24"/>
          <w:highlight w:val="none"/>
          <w:lang w:val="en-US" w:eastAsia="zh-CN"/>
        </w:rPr>
        <w:t xml:space="preserve">  管道修复完成后应进行管道严密性试验，严密性试验可分为闭水试验和闭气试验。</w:t>
      </w:r>
    </w:p>
    <w:p w14:paraId="6C6D38AB">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楷体" w:cs="Times New Roman"/>
          <w:kern w:val="2"/>
          <w:szCs w:val="24"/>
          <w:highlight w:val="yellow"/>
          <w:u w:val="single"/>
          <w:lang w:val="en-US" w:eastAsia="zh-CN"/>
        </w:rPr>
      </w:pPr>
      <w:r>
        <w:rPr>
          <w:rFonts w:hint="default" w:ascii="Times New Roman" w:hAnsi="Times New Roman" w:eastAsia="楷体" w:cs="Times New Roman"/>
          <w:kern w:val="2"/>
          <w:szCs w:val="24"/>
          <w:u w:val="single"/>
        </w:rPr>
        <w:t>【条文说明】</w:t>
      </w:r>
      <w:r>
        <w:rPr>
          <w:rFonts w:hint="default" w:ascii="Times New Roman" w:hAnsi="Times New Roman" w:eastAsia="楷体" w:cs="Times New Roman"/>
          <w:kern w:val="2"/>
          <w:szCs w:val="24"/>
          <w:u w:val="single"/>
          <w:lang w:val="en-US" w:eastAsia="zh-CN"/>
        </w:rPr>
        <w:t>根据</w:t>
      </w:r>
      <w:r>
        <w:rPr>
          <w:rFonts w:hint="default" w:ascii="Times New Roman" w:hAnsi="Times New Roman" w:eastAsia="楷体" w:cs="Times New Roman"/>
          <w:kern w:val="2"/>
          <w:szCs w:val="24"/>
          <w:u w:val="single"/>
        </w:rPr>
        <w:t>《给水排水管道工程施工及验收规范》GB 50268</w:t>
      </w:r>
      <w:r>
        <w:rPr>
          <w:rFonts w:hint="default" w:ascii="Times New Roman" w:hAnsi="Times New Roman" w:eastAsia="楷体" w:cs="Times New Roman"/>
          <w:kern w:val="2"/>
          <w:szCs w:val="24"/>
          <w:u w:val="single"/>
          <w:lang w:eastAsia="zh-CN"/>
        </w:rPr>
        <w:t>：</w:t>
      </w:r>
      <w:r>
        <w:rPr>
          <w:rFonts w:hint="default" w:ascii="Times New Roman" w:hAnsi="Times New Roman" w:eastAsia="楷体" w:cs="Times New Roman"/>
          <w:kern w:val="2"/>
          <w:szCs w:val="24"/>
          <w:highlight w:val="none"/>
          <w:u w:val="single"/>
          <w:lang w:val="en-US" w:eastAsia="zh-CN"/>
        </w:rPr>
        <w:t>管径不大于1000mm的整体修复排水管道宜采用闭气试验。鉴于目前闭水试验砌筑及拆除封堵工作量大、用水量大、时间长，闭气试验在国内外使用越来越多并且试验方便，对于管径不大于1000mm整体式修复排水管道优先使用闭气试验检验排水管道严密性。内衬管安装完成并冷却到周围土体温度后，方可进行管道功能性试验。</w:t>
      </w:r>
    </w:p>
    <w:p w14:paraId="66AFC73E">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b/>
          <w:bCs/>
          <w:sz w:val="24"/>
          <w:szCs w:val="24"/>
          <w:lang w:val="en-US" w:eastAsia="zh-CN"/>
        </w:rPr>
        <w:t>7.13.2</w:t>
      </w:r>
      <w:r>
        <w:rPr>
          <w:rFonts w:hint="default" w:ascii="Times New Roman" w:hAnsi="Times New Roman" w:cs="Times New Roman" w:eastAsiaTheme="minorEastAsia"/>
          <w:sz w:val="24"/>
          <w:szCs w:val="24"/>
          <w:highlight w:val="none"/>
          <w:lang w:val="en-US" w:eastAsia="zh-CN"/>
        </w:rPr>
        <w:t xml:space="preserve">  局部修复管道可不进行闭气或闭水试验。</w:t>
      </w:r>
    </w:p>
    <w:p w14:paraId="681D394C">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b/>
          <w:bCs/>
          <w:sz w:val="24"/>
          <w:szCs w:val="24"/>
          <w:lang w:val="en-US" w:eastAsia="zh-CN"/>
        </w:rPr>
        <w:t>7.13.3</w:t>
      </w:r>
      <w:r>
        <w:rPr>
          <w:rFonts w:hint="default" w:ascii="Times New Roman" w:hAnsi="Times New Roman" w:cs="Times New Roman" w:eastAsiaTheme="minorEastAsia"/>
          <w:sz w:val="24"/>
          <w:szCs w:val="24"/>
          <w:highlight w:val="none"/>
          <w:lang w:val="en-US" w:eastAsia="zh-CN"/>
        </w:rPr>
        <w:t xml:space="preserve">  管道功能性试验涉及水压、气压作业时，应有安全防护措施，作业人员应按相关安全作业要求进行操作。管道排出的水应排放至规定地点，不得影响周围环境或造成积水，并应采取确保人员和附近设施安全的措施。</w:t>
      </w:r>
    </w:p>
    <w:p w14:paraId="48035C82">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eastAsia="宋体" w:cs="Times New Roman"/>
          <w:b/>
          <w:bCs/>
          <w:sz w:val="24"/>
          <w:szCs w:val="24"/>
          <w:lang w:val="en-US" w:eastAsia="zh-CN"/>
        </w:rPr>
        <w:t>7.13.4</w:t>
      </w:r>
      <w:r>
        <w:rPr>
          <w:rFonts w:hint="default" w:ascii="Times New Roman" w:hAnsi="Times New Roman" w:cs="Times New Roman" w:eastAsiaTheme="minorEastAsia"/>
          <w:sz w:val="24"/>
          <w:szCs w:val="24"/>
          <w:highlight w:val="none"/>
          <w:lang w:val="en-US" w:eastAsia="zh-CN"/>
        </w:rPr>
        <w:t xml:space="preserve">  管道闭水试验和管道闭气试验应按设计要求和试验方案进行，并应符合现行国家标准《给水排水管道工程施工及验收规范》GB 50268 的有关规定。</w:t>
      </w:r>
    </w:p>
    <w:p w14:paraId="2BC3EEF3">
      <w:pPr>
        <w:pStyle w:val="3"/>
        <w:jc w:val="center"/>
        <w:rPr>
          <w:rFonts w:hint="default" w:ascii="Times New Roman" w:hAnsi="Times New Roman" w:eastAsia="宋体" w:cs="Times New Roman"/>
          <w:lang w:val="en-US" w:eastAsia="zh-CN"/>
        </w:rPr>
      </w:pPr>
      <w:bookmarkStart w:id="356" w:name="_Toc1500"/>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val="en-US" w:eastAsia="zh-CN"/>
        </w:rPr>
        <w:t>14工程竣工验收</w:t>
      </w:r>
      <w:bookmarkEnd w:id="356"/>
    </w:p>
    <w:p w14:paraId="71C54B1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7.14.1</w:t>
      </w:r>
      <w:r>
        <w:rPr>
          <w:rFonts w:hint="default" w:ascii="Times New Roman" w:hAnsi="Times New Roman" w:cs="Times New Roman"/>
          <w:sz w:val="24"/>
          <w:szCs w:val="24"/>
          <w:lang w:val="en-US" w:eastAsia="zh-CN"/>
        </w:rPr>
        <w:t xml:space="preserve">  城镇排水管道非开挖修复更新工程质量应符合现行国家标准《给水排水管道工程施工及验收规范》GB50268的有关规定。</w:t>
      </w:r>
    </w:p>
    <w:p w14:paraId="5537E7A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质量控制资料应完整；</w:t>
      </w:r>
    </w:p>
    <w:p w14:paraId="044AD8B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工程有关安全及使用功能的检测资料应完整；</w:t>
      </w:r>
    </w:p>
    <w:p w14:paraId="201F319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eastAsia="zh-CN"/>
        </w:rPr>
        <w:t>3  外观质</w:t>
      </w:r>
      <w:r>
        <w:rPr>
          <w:rFonts w:hint="default" w:ascii="Times New Roman" w:hAnsi="Times New Roman" w:cs="Times New Roman"/>
          <w:sz w:val="24"/>
          <w:szCs w:val="24"/>
          <w:lang w:val="en-US" w:eastAsia="zh-CN"/>
        </w:rPr>
        <w:t>量验收应符合要求。</w:t>
      </w:r>
    </w:p>
    <w:p w14:paraId="66FC3AD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7.14.2</w:t>
      </w:r>
      <w:r>
        <w:rPr>
          <w:rFonts w:hint="default" w:ascii="Times New Roman" w:hAnsi="Times New Roman" w:cs="Times New Roman"/>
          <w:sz w:val="24"/>
          <w:szCs w:val="24"/>
          <w:lang w:val="en-US" w:eastAsia="zh-CN"/>
        </w:rPr>
        <w:t xml:space="preserve">  工程竣工验收的感观质量检查应包括下列内容：</w:t>
      </w:r>
    </w:p>
    <w:p w14:paraId="3A1F425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管道位置、线形及渗漏水情况；</w:t>
      </w:r>
    </w:p>
    <w:p w14:paraId="0A7AF6F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管道附属构筑物位置、外形、尺寸及渗漏水情况；</w:t>
      </w:r>
    </w:p>
    <w:p w14:paraId="082643F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检查井管口处理及渗漏水情况；</w:t>
      </w:r>
    </w:p>
    <w:p w14:paraId="661782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  合同、设计工程量的实际完成情况；</w:t>
      </w:r>
    </w:p>
    <w:p w14:paraId="77B0A69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  相关排水管道的接入、流出及临时排水工后处理等情况；</w:t>
      </w:r>
    </w:p>
    <w:p w14:paraId="6CB0802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eastAsia="zh-CN"/>
        </w:rPr>
        <w:t>6  沿线</w:t>
      </w:r>
      <w:r>
        <w:rPr>
          <w:rFonts w:hint="default" w:ascii="Times New Roman" w:hAnsi="Times New Roman" w:cs="Times New Roman"/>
          <w:sz w:val="24"/>
          <w:szCs w:val="24"/>
          <w:lang w:val="en-US" w:eastAsia="zh-CN"/>
        </w:rPr>
        <w:t>地面、周边环境情况。</w:t>
      </w:r>
    </w:p>
    <w:p w14:paraId="46EB0D2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7.14.3</w:t>
      </w:r>
      <w:r>
        <w:rPr>
          <w:rFonts w:hint="default" w:ascii="Times New Roman" w:hAnsi="Times New Roman" w:cs="Times New Roman"/>
          <w:sz w:val="24"/>
          <w:szCs w:val="24"/>
          <w:lang w:val="en-US" w:eastAsia="zh-CN"/>
        </w:rPr>
        <w:t xml:space="preserve"> 工程竣工验收的安全及使用功能检查应包括下列内容：</w:t>
      </w:r>
    </w:p>
    <w:p w14:paraId="7768A3D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工程内容、要求与设计文件相符情况；</w:t>
      </w:r>
    </w:p>
    <w:p w14:paraId="7F749D3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修复更新前、后的管道检测与评估情况；</w:t>
      </w:r>
    </w:p>
    <w:p w14:paraId="71435DE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管道功能性试验情况；</w:t>
      </w:r>
    </w:p>
    <w:p w14:paraId="2C4E64B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  管道位置贯通测量情况；</w:t>
      </w:r>
    </w:p>
    <w:p w14:paraId="614145E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  管道环向变形率情况；</w:t>
      </w:r>
    </w:p>
    <w:p w14:paraId="7C33863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6  管道接口连接检测、修复更新有关施工检验记录等汇总情况；</w:t>
      </w:r>
    </w:p>
    <w:p w14:paraId="459642E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7  涉及材料、结构等试件试验以及管材、型材试验的检验汇总情况；</w:t>
      </w:r>
    </w:p>
    <w:p w14:paraId="585854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eastAsia="zh-CN"/>
        </w:rPr>
        <w:t>8  涉及土</w:t>
      </w:r>
      <w:r>
        <w:rPr>
          <w:rFonts w:hint="default" w:ascii="Times New Roman" w:hAnsi="Times New Roman" w:cs="Times New Roman"/>
          <w:sz w:val="24"/>
          <w:szCs w:val="24"/>
          <w:lang w:val="en-US" w:eastAsia="zh-CN"/>
        </w:rPr>
        <w:t>体加固、原有管道预处理以及相关管道系统临时措施恢复等情况。</w:t>
      </w:r>
    </w:p>
    <w:p w14:paraId="6887BEA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7.14.4</w:t>
      </w:r>
      <w:r>
        <w:rPr>
          <w:rFonts w:hint="default" w:ascii="Times New Roman" w:hAnsi="Times New Roman" w:cs="Times New Roman"/>
          <w:sz w:val="24"/>
          <w:szCs w:val="24"/>
          <w:lang w:val="en-US" w:eastAsia="zh-CN"/>
        </w:rPr>
        <w:t xml:space="preserve">  工程竣工验收的质量控制资料应包括下列内容：</w:t>
      </w:r>
    </w:p>
    <w:p w14:paraId="3E61F5E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建设基本程序办理资料及开工报告；</w:t>
      </w:r>
    </w:p>
    <w:p w14:paraId="29CD20B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原有管道管竣工图纸等相关资料，工程沿线勘察资料；</w:t>
      </w:r>
    </w:p>
    <w:p w14:paraId="30986D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修复前对原有管道的检测和评定报告及电视检测（CCTV）记录；</w:t>
      </w:r>
    </w:p>
    <w:p w14:paraId="3A1450D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  设计施工图及施工组织设计（施工方案）；</w:t>
      </w:r>
    </w:p>
    <w:p w14:paraId="4DB9082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  工程原材料、各类型材、管材等材料的质量合格证、性能检验报告、复试报告等质量保证资料；</w:t>
      </w:r>
    </w:p>
    <w:p w14:paraId="2E09944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6  所有施工过程的施工记录及施工检验记录；</w:t>
      </w:r>
    </w:p>
    <w:p w14:paraId="0D26C34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7  所有分项工程验收批、分项工程、分部工程、单位工程的质量验收记录；</w:t>
      </w:r>
    </w:p>
    <w:p w14:paraId="7A9A694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8  修复后管道的检测和评定报告及电视检测（CCTV）记录；</w:t>
      </w:r>
    </w:p>
    <w:p w14:paraId="6853719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9  施工、监理、设计、检测等单位的工程竣工质量合格证明及总结报告；</w:t>
      </w:r>
    </w:p>
    <w:p w14:paraId="1363272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10  管道功能性试验、管道位置贯通测量、管道环向变形率等涉及工程安全及使用功能的有关检测资料；</w:t>
      </w:r>
    </w:p>
    <w:p w14:paraId="06D8F81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11  相关工程会议纪要、设计变更、业务</w:t>
      </w:r>
      <w:r>
        <w:rPr>
          <w:rFonts w:hint="default" w:ascii="Times New Roman" w:hAnsi="Times New Roman" w:eastAsia="宋体" w:cs="Times New Roman"/>
          <w:b w:val="0"/>
          <w:bCs w:val="0"/>
          <w:sz w:val="24"/>
          <w:szCs w:val="24"/>
          <w:lang w:val="en-US" w:eastAsia="zh-CN"/>
        </w:rPr>
        <w:t>洽商</w:t>
      </w:r>
      <w:r>
        <w:rPr>
          <w:rFonts w:hint="default" w:ascii="Times New Roman" w:hAnsi="Times New Roman" w:cs="Times New Roman"/>
          <w:b w:val="0"/>
          <w:bCs w:val="0"/>
          <w:sz w:val="24"/>
          <w:szCs w:val="24"/>
          <w:lang w:val="en-US" w:eastAsia="zh-CN"/>
        </w:rPr>
        <w:t>等记录；</w:t>
      </w:r>
    </w:p>
    <w:p w14:paraId="7F81D2E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12  质量事故、生产安全事故处理资料；</w:t>
      </w:r>
    </w:p>
    <w:p w14:paraId="1DA8AC5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b w:val="0"/>
          <w:bCs w:val="0"/>
          <w:sz w:val="24"/>
          <w:szCs w:val="24"/>
          <w:lang w:val="en-US" w:eastAsia="zh-CN"/>
        </w:rPr>
        <w:t>13  工</w:t>
      </w:r>
      <w:r>
        <w:rPr>
          <w:rFonts w:hint="default" w:ascii="Times New Roman" w:hAnsi="Times New Roman" w:cs="Times New Roman"/>
          <w:sz w:val="24"/>
          <w:szCs w:val="24"/>
          <w:lang w:val="en-US" w:eastAsia="zh-CN"/>
        </w:rPr>
        <w:t>程竣工图和竣工报告等。</w:t>
      </w:r>
    </w:p>
    <w:p w14:paraId="3A43B3A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pPr>
    </w:p>
    <w:p w14:paraId="069052B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sz w:val="24"/>
          <w:szCs w:val="24"/>
        </w:rPr>
        <w:sectPr>
          <w:pgSz w:w="11906" w:h="16838"/>
          <w:pgMar w:top="1440" w:right="1800" w:bottom="1440" w:left="1800" w:header="851" w:footer="992" w:gutter="0"/>
          <w:pgNumType w:fmt="decimal"/>
          <w:cols w:space="425" w:num="1"/>
          <w:docGrid w:type="lines" w:linePitch="312" w:charSpace="0"/>
        </w:sectPr>
      </w:pPr>
    </w:p>
    <w:p w14:paraId="6ACCB47F">
      <w:pPr>
        <w:spacing w:line="360" w:lineRule="auto"/>
        <w:jc w:val="center"/>
        <w:outlineLvl w:val="0"/>
        <w:rPr>
          <w:rFonts w:hint="default" w:ascii="Times New Roman" w:hAnsi="Times New Roman" w:eastAsia="宋体" w:cs="Times New Roman"/>
          <w:b/>
          <w:bCs/>
          <w:color w:val="auto"/>
          <w:kern w:val="2"/>
          <w:sz w:val="32"/>
          <w:szCs w:val="32"/>
        </w:rPr>
      </w:pPr>
      <w:bookmarkStart w:id="357" w:name="_Toc21106"/>
      <w:r>
        <w:rPr>
          <w:rFonts w:hint="default" w:ascii="Times New Roman" w:hAnsi="Times New Roman" w:eastAsia="宋体" w:cs="Times New Roman"/>
          <w:b/>
          <w:bCs/>
          <w:color w:val="auto"/>
          <w:kern w:val="2"/>
          <w:sz w:val="32"/>
          <w:szCs w:val="32"/>
          <w:lang w:val="en-US" w:eastAsia="zh-CN"/>
        </w:rPr>
        <w:t>附录A</w:t>
      </w:r>
      <w:r>
        <w:rPr>
          <w:rFonts w:hint="default" w:ascii="Times New Roman" w:hAnsi="Times New Roman" w:eastAsia="宋体" w:cs="Times New Roman"/>
          <w:b/>
          <w:bCs/>
          <w:color w:val="auto"/>
          <w:kern w:val="2"/>
          <w:sz w:val="32"/>
          <w:szCs w:val="32"/>
        </w:rPr>
        <w:t xml:space="preserve">  非开挖修复更新方法的适用范围和使用条件</w:t>
      </w:r>
      <w:bookmarkEnd w:id="357"/>
    </w:p>
    <w:p w14:paraId="6863310C">
      <w:pPr>
        <w:pStyle w:val="29"/>
        <w:rPr>
          <w:rFonts w:hint="default" w:ascii="Times New Roman" w:hAnsi="Times New Roman" w:cs="Times New Roman"/>
          <w:color w:val="auto"/>
        </w:rPr>
      </w:pPr>
      <w:r>
        <w:rPr>
          <w:rFonts w:hint="default" w:ascii="Times New Roman" w:hAnsi="Times New Roman" w:cs="Times New Roman"/>
          <w:color w:val="auto"/>
          <w:lang w:val="en-US" w:eastAsia="zh-CN"/>
        </w:rPr>
        <w:t>表</w:t>
      </w:r>
      <w:r>
        <w:rPr>
          <w:rFonts w:hint="default" w:ascii="Times New Roman" w:hAnsi="Times New Roman" w:cs="Times New Roman"/>
          <w:color w:val="auto"/>
        </w:rPr>
        <w:t>A  非开挖修复更新方法的适用范围和使用条件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75D8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EDF2EE8">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非开挖修复方法</w:t>
            </w:r>
          </w:p>
        </w:tc>
        <w:tc>
          <w:tcPr>
            <w:tcW w:w="1217" w:type="dxa"/>
          </w:tcPr>
          <w:p w14:paraId="6925692E">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适用管径（mm）</w:t>
            </w:r>
          </w:p>
        </w:tc>
        <w:tc>
          <w:tcPr>
            <w:tcW w:w="1217" w:type="dxa"/>
          </w:tcPr>
          <w:p w14:paraId="3E59236D">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适用材质</w:t>
            </w:r>
          </w:p>
        </w:tc>
        <w:tc>
          <w:tcPr>
            <w:tcW w:w="1217" w:type="dxa"/>
          </w:tcPr>
          <w:p w14:paraId="6340CA15">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可修复断面</w:t>
            </w:r>
          </w:p>
        </w:tc>
        <w:tc>
          <w:tcPr>
            <w:tcW w:w="1218" w:type="dxa"/>
          </w:tcPr>
          <w:p w14:paraId="78232F1C">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最大允许转角（°）</w:t>
            </w:r>
          </w:p>
        </w:tc>
        <w:tc>
          <w:tcPr>
            <w:tcW w:w="1218" w:type="dxa"/>
          </w:tcPr>
          <w:p w14:paraId="7D2524C1">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可否带水修复</w:t>
            </w:r>
          </w:p>
        </w:tc>
        <w:tc>
          <w:tcPr>
            <w:tcW w:w="1218" w:type="dxa"/>
          </w:tcPr>
          <w:p w14:paraId="02D335DA">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局部或整体修复</w:t>
            </w:r>
          </w:p>
        </w:tc>
      </w:tr>
      <w:tr w14:paraId="7903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8E443B7">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翻转式原位固化法</w:t>
            </w:r>
          </w:p>
        </w:tc>
        <w:tc>
          <w:tcPr>
            <w:tcW w:w="1217" w:type="dxa"/>
          </w:tcPr>
          <w:p w14:paraId="30511410">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200~2700</w:t>
            </w:r>
          </w:p>
        </w:tc>
        <w:tc>
          <w:tcPr>
            <w:tcW w:w="1217" w:type="dxa"/>
          </w:tcPr>
          <w:p w14:paraId="59E3F338">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各种材质</w:t>
            </w:r>
          </w:p>
        </w:tc>
        <w:tc>
          <w:tcPr>
            <w:tcW w:w="1217" w:type="dxa"/>
          </w:tcPr>
          <w:p w14:paraId="664A0948">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圆形、蛋形、矩形等</w:t>
            </w:r>
          </w:p>
        </w:tc>
        <w:tc>
          <w:tcPr>
            <w:tcW w:w="1218" w:type="dxa"/>
          </w:tcPr>
          <w:p w14:paraId="4F8CBBC9">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45</w:t>
            </w:r>
          </w:p>
        </w:tc>
        <w:tc>
          <w:tcPr>
            <w:tcW w:w="1218" w:type="dxa"/>
          </w:tcPr>
          <w:p w14:paraId="281F8E7A">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不可</w:t>
            </w:r>
          </w:p>
        </w:tc>
        <w:tc>
          <w:tcPr>
            <w:tcW w:w="1218" w:type="dxa"/>
          </w:tcPr>
          <w:p w14:paraId="29E51C4E">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整体</w:t>
            </w:r>
          </w:p>
        </w:tc>
      </w:tr>
      <w:tr w14:paraId="399D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2BF962D6">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紫外光原位固化法</w:t>
            </w:r>
          </w:p>
        </w:tc>
        <w:tc>
          <w:tcPr>
            <w:tcW w:w="1217" w:type="dxa"/>
            <w:shd w:val="clear" w:color="auto" w:fill="auto"/>
            <w:vAlign w:val="top"/>
          </w:tcPr>
          <w:p w14:paraId="3CDFDD5E">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200~1800</w:t>
            </w:r>
          </w:p>
        </w:tc>
        <w:tc>
          <w:tcPr>
            <w:tcW w:w="1217" w:type="dxa"/>
            <w:shd w:val="clear" w:color="auto" w:fill="auto"/>
            <w:vAlign w:val="top"/>
          </w:tcPr>
          <w:p w14:paraId="62C489C9">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各种材质</w:t>
            </w:r>
          </w:p>
        </w:tc>
        <w:tc>
          <w:tcPr>
            <w:tcW w:w="1217" w:type="dxa"/>
            <w:shd w:val="clear" w:color="auto" w:fill="auto"/>
            <w:vAlign w:val="top"/>
          </w:tcPr>
          <w:p w14:paraId="2A9DE3AF">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圆形、蛋形、矩形等</w:t>
            </w:r>
          </w:p>
        </w:tc>
        <w:tc>
          <w:tcPr>
            <w:tcW w:w="1218" w:type="dxa"/>
            <w:shd w:val="clear" w:color="auto" w:fill="auto"/>
            <w:vAlign w:val="top"/>
          </w:tcPr>
          <w:p w14:paraId="3A1B81BA">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45</w:t>
            </w:r>
          </w:p>
        </w:tc>
        <w:tc>
          <w:tcPr>
            <w:tcW w:w="1218" w:type="dxa"/>
            <w:shd w:val="clear" w:color="auto" w:fill="auto"/>
            <w:vAlign w:val="top"/>
          </w:tcPr>
          <w:p w14:paraId="32CE7F2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不可</w:t>
            </w:r>
          </w:p>
        </w:tc>
        <w:tc>
          <w:tcPr>
            <w:tcW w:w="1218" w:type="dxa"/>
            <w:shd w:val="clear" w:color="auto" w:fill="auto"/>
            <w:vAlign w:val="top"/>
          </w:tcPr>
          <w:p w14:paraId="57F24751">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整体</w:t>
            </w:r>
          </w:p>
        </w:tc>
      </w:tr>
      <w:tr w14:paraId="43A1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29FA18E">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管片内衬法</w:t>
            </w:r>
          </w:p>
        </w:tc>
        <w:tc>
          <w:tcPr>
            <w:tcW w:w="1217" w:type="dxa"/>
          </w:tcPr>
          <w:p w14:paraId="51D6752A">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≥800</w:t>
            </w:r>
          </w:p>
        </w:tc>
        <w:tc>
          <w:tcPr>
            <w:tcW w:w="1217" w:type="dxa"/>
            <w:shd w:val="clear" w:color="auto" w:fill="auto"/>
            <w:vAlign w:val="top"/>
          </w:tcPr>
          <w:p w14:paraId="02BABA6A">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各种材质</w:t>
            </w:r>
          </w:p>
        </w:tc>
        <w:tc>
          <w:tcPr>
            <w:tcW w:w="1217" w:type="dxa"/>
            <w:shd w:val="clear" w:color="auto" w:fill="auto"/>
            <w:vAlign w:val="top"/>
          </w:tcPr>
          <w:p w14:paraId="67D6844D">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圆形、矩形、马蹄形等</w:t>
            </w:r>
          </w:p>
        </w:tc>
        <w:tc>
          <w:tcPr>
            <w:tcW w:w="1218" w:type="dxa"/>
            <w:shd w:val="clear" w:color="auto" w:fill="auto"/>
            <w:vAlign w:val="top"/>
          </w:tcPr>
          <w:p w14:paraId="7AB83386">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15</w:t>
            </w:r>
          </w:p>
        </w:tc>
        <w:tc>
          <w:tcPr>
            <w:tcW w:w="1218" w:type="dxa"/>
            <w:shd w:val="clear" w:color="auto" w:fill="auto"/>
            <w:vAlign w:val="top"/>
          </w:tcPr>
          <w:p w14:paraId="29219C29">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可</w:t>
            </w:r>
          </w:p>
        </w:tc>
        <w:tc>
          <w:tcPr>
            <w:tcW w:w="1218" w:type="dxa"/>
            <w:shd w:val="clear" w:color="auto" w:fill="auto"/>
            <w:vAlign w:val="top"/>
          </w:tcPr>
          <w:p w14:paraId="717E3932">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整体/局部</w:t>
            </w:r>
          </w:p>
        </w:tc>
      </w:tr>
      <w:tr w14:paraId="7CBE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6CE62F5B">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短管内衬法</w:t>
            </w:r>
          </w:p>
        </w:tc>
        <w:tc>
          <w:tcPr>
            <w:tcW w:w="1217" w:type="dxa"/>
          </w:tcPr>
          <w:p w14:paraId="60AE1FC6">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≥200</w:t>
            </w:r>
          </w:p>
        </w:tc>
        <w:tc>
          <w:tcPr>
            <w:tcW w:w="1217" w:type="dxa"/>
            <w:shd w:val="clear" w:color="auto" w:fill="auto"/>
            <w:vAlign w:val="top"/>
          </w:tcPr>
          <w:p w14:paraId="09C8851B">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各种材质</w:t>
            </w:r>
          </w:p>
        </w:tc>
        <w:tc>
          <w:tcPr>
            <w:tcW w:w="1217" w:type="dxa"/>
            <w:shd w:val="clear" w:color="auto" w:fill="auto"/>
            <w:vAlign w:val="top"/>
          </w:tcPr>
          <w:p w14:paraId="3EFD5788">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w:t>
            </w:r>
          </w:p>
        </w:tc>
        <w:tc>
          <w:tcPr>
            <w:tcW w:w="1218" w:type="dxa"/>
            <w:shd w:val="clear" w:color="auto" w:fill="auto"/>
            <w:vAlign w:val="top"/>
          </w:tcPr>
          <w:p w14:paraId="1AEBC4E5">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0</w:t>
            </w:r>
          </w:p>
        </w:tc>
        <w:tc>
          <w:tcPr>
            <w:tcW w:w="1218" w:type="dxa"/>
            <w:shd w:val="clear" w:color="auto" w:fill="auto"/>
            <w:vAlign w:val="top"/>
          </w:tcPr>
          <w:p w14:paraId="064ADCA1">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可</w:t>
            </w:r>
          </w:p>
        </w:tc>
        <w:tc>
          <w:tcPr>
            <w:tcW w:w="1218" w:type="dxa"/>
            <w:shd w:val="clear" w:color="auto" w:fill="auto"/>
            <w:vAlign w:val="top"/>
          </w:tcPr>
          <w:p w14:paraId="2F799CAD">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整体</w:t>
            </w:r>
          </w:p>
        </w:tc>
      </w:tr>
      <w:tr w14:paraId="41F4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239D07BB">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机械螺旋缠绕法</w:t>
            </w:r>
          </w:p>
        </w:tc>
        <w:tc>
          <w:tcPr>
            <w:tcW w:w="1217" w:type="dxa"/>
            <w:shd w:val="clear" w:color="auto" w:fill="auto"/>
            <w:vAlign w:val="top"/>
          </w:tcPr>
          <w:p w14:paraId="762DB675">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≥200</w:t>
            </w:r>
          </w:p>
        </w:tc>
        <w:tc>
          <w:tcPr>
            <w:tcW w:w="1217" w:type="dxa"/>
            <w:shd w:val="clear" w:color="auto" w:fill="auto"/>
            <w:vAlign w:val="top"/>
          </w:tcPr>
          <w:p w14:paraId="43A1893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各种材质</w:t>
            </w:r>
          </w:p>
        </w:tc>
        <w:tc>
          <w:tcPr>
            <w:tcW w:w="1217" w:type="dxa"/>
            <w:shd w:val="clear" w:color="auto" w:fill="auto"/>
            <w:vAlign w:val="top"/>
          </w:tcPr>
          <w:p w14:paraId="35A248EB">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圆形、矩形、马蹄形等</w:t>
            </w:r>
          </w:p>
        </w:tc>
        <w:tc>
          <w:tcPr>
            <w:tcW w:w="1218" w:type="dxa"/>
            <w:shd w:val="clear" w:color="auto" w:fill="auto"/>
            <w:vAlign w:val="top"/>
          </w:tcPr>
          <w:p w14:paraId="4FA5A301">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bCs/>
                <w:color w:val="auto"/>
                <w:kern w:val="0"/>
                <w:sz w:val="18"/>
                <w:szCs w:val="21"/>
                <w:lang w:val="en-US" w:eastAsia="zh-CN" w:bidi="ar-SA"/>
              </w:rPr>
              <w:t>15</w:t>
            </w:r>
          </w:p>
        </w:tc>
        <w:tc>
          <w:tcPr>
            <w:tcW w:w="1218" w:type="dxa"/>
            <w:shd w:val="clear" w:color="auto" w:fill="auto"/>
            <w:vAlign w:val="top"/>
          </w:tcPr>
          <w:p w14:paraId="53D01BAD">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可</w:t>
            </w:r>
          </w:p>
        </w:tc>
        <w:tc>
          <w:tcPr>
            <w:tcW w:w="1218" w:type="dxa"/>
            <w:shd w:val="clear" w:color="auto" w:fill="auto"/>
            <w:vAlign w:val="top"/>
          </w:tcPr>
          <w:p w14:paraId="2A199CA3">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整体</w:t>
            </w:r>
          </w:p>
        </w:tc>
      </w:tr>
      <w:tr w14:paraId="14BF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1486C3F7">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垫衬法</w:t>
            </w:r>
          </w:p>
        </w:tc>
        <w:tc>
          <w:tcPr>
            <w:tcW w:w="1217" w:type="dxa"/>
          </w:tcPr>
          <w:p w14:paraId="32CE9FC5">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≥300</w:t>
            </w:r>
          </w:p>
        </w:tc>
        <w:tc>
          <w:tcPr>
            <w:tcW w:w="1217" w:type="dxa"/>
          </w:tcPr>
          <w:p w14:paraId="1AC70DD7">
            <w:pPr>
              <w:pStyle w:val="31"/>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各种材质</w:t>
            </w:r>
          </w:p>
        </w:tc>
        <w:tc>
          <w:tcPr>
            <w:tcW w:w="1217" w:type="dxa"/>
          </w:tcPr>
          <w:p w14:paraId="226F0C9D">
            <w:pPr>
              <w:pStyle w:val="31"/>
              <w:bidi w:val="0"/>
              <w:rPr>
                <w:rFonts w:hint="default" w:ascii="Times New Roman" w:hAnsi="Times New Roman" w:cs="Times New Roman"/>
              </w:rPr>
            </w:pPr>
            <w:r>
              <w:rPr>
                <w:rFonts w:hint="default" w:ascii="Times New Roman" w:hAnsi="Times New Roman" w:cs="Times New Roman"/>
                <w:lang w:val="en-US" w:eastAsia="zh-CN"/>
              </w:rPr>
              <w:t>圆形、蛋形、矩形等</w:t>
            </w:r>
          </w:p>
        </w:tc>
        <w:tc>
          <w:tcPr>
            <w:tcW w:w="1218" w:type="dxa"/>
          </w:tcPr>
          <w:p w14:paraId="1EF5369D">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90</w:t>
            </w:r>
          </w:p>
        </w:tc>
        <w:tc>
          <w:tcPr>
            <w:tcW w:w="1218" w:type="dxa"/>
          </w:tcPr>
          <w:p w14:paraId="0BCCEA70">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不可</w:t>
            </w:r>
          </w:p>
        </w:tc>
        <w:tc>
          <w:tcPr>
            <w:tcW w:w="1218" w:type="dxa"/>
          </w:tcPr>
          <w:p w14:paraId="48C7C59B">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整体</w:t>
            </w:r>
          </w:p>
        </w:tc>
      </w:tr>
      <w:tr w14:paraId="7E4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01790CBB">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点状原位固化法</w:t>
            </w:r>
          </w:p>
        </w:tc>
        <w:tc>
          <w:tcPr>
            <w:tcW w:w="1217" w:type="dxa"/>
            <w:shd w:val="clear" w:color="auto" w:fill="auto"/>
            <w:vAlign w:val="top"/>
          </w:tcPr>
          <w:p w14:paraId="44A8AB9D">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200~1500</w:t>
            </w:r>
          </w:p>
        </w:tc>
        <w:tc>
          <w:tcPr>
            <w:tcW w:w="1217" w:type="dxa"/>
            <w:shd w:val="clear" w:color="auto" w:fill="auto"/>
            <w:vAlign w:val="top"/>
          </w:tcPr>
          <w:p w14:paraId="410BD6A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各种材质</w:t>
            </w:r>
          </w:p>
        </w:tc>
        <w:tc>
          <w:tcPr>
            <w:tcW w:w="1217" w:type="dxa"/>
            <w:shd w:val="clear" w:color="auto" w:fill="auto"/>
            <w:vAlign w:val="top"/>
          </w:tcPr>
          <w:p w14:paraId="64675B47">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圆形、蛋形、矩形等</w:t>
            </w:r>
          </w:p>
        </w:tc>
        <w:tc>
          <w:tcPr>
            <w:tcW w:w="1218" w:type="dxa"/>
            <w:shd w:val="clear" w:color="auto" w:fill="auto"/>
            <w:vAlign w:val="top"/>
          </w:tcPr>
          <w:p w14:paraId="6F8DF57C">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w:t>
            </w:r>
          </w:p>
        </w:tc>
        <w:tc>
          <w:tcPr>
            <w:tcW w:w="1218" w:type="dxa"/>
            <w:shd w:val="clear" w:color="auto" w:fill="auto"/>
            <w:vAlign w:val="top"/>
          </w:tcPr>
          <w:p w14:paraId="4327EE9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不可</w:t>
            </w:r>
          </w:p>
        </w:tc>
        <w:tc>
          <w:tcPr>
            <w:tcW w:w="1218" w:type="dxa"/>
            <w:shd w:val="clear" w:color="auto" w:fill="auto"/>
            <w:vAlign w:val="top"/>
          </w:tcPr>
          <w:p w14:paraId="54F873E1">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局部</w:t>
            </w:r>
          </w:p>
        </w:tc>
      </w:tr>
      <w:tr w14:paraId="2817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79055915">
            <w:pPr>
              <w:pStyle w:val="3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不锈钢双胀环</w:t>
            </w:r>
          </w:p>
        </w:tc>
        <w:tc>
          <w:tcPr>
            <w:tcW w:w="1217" w:type="dxa"/>
            <w:shd w:val="clear" w:color="auto" w:fill="auto"/>
            <w:vAlign w:val="top"/>
          </w:tcPr>
          <w:p w14:paraId="2DC2B5D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≥800</w:t>
            </w:r>
          </w:p>
        </w:tc>
        <w:tc>
          <w:tcPr>
            <w:tcW w:w="1217" w:type="dxa"/>
            <w:shd w:val="clear" w:color="auto" w:fill="auto"/>
            <w:vAlign w:val="top"/>
          </w:tcPr>
          <w:p w14:paraId="62EB25BC">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混凝土、钢管、球墨铸铁等</w:t>
            </w:r>
          </w:p>
        </w:tc>
        <w:tc>
          <w:tcPr>
            <w:tcW w:w="1217" w:type="dxa"/>
            <w:shd w:val="clear" w:color="auto" w:fill="auto"/>
            <w:vAlign w:val="top"/>
          </w:tcPr>
          <w:p w14:paraId="3010490F">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w:t>
            </w:r>
          </w:p>
        </w:tc>
        <w:tc>
          <w:tcPr>
            <w:tcW w:w="1218" w:type="dxa"/>
            <w:shd w:val="clear" w:color="auto" w:fill="auto"/>
            <w:vAlign w:val="top"/>
          </w:tcPr>
          <w:p w14:paraId="18533505">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w:t>
            </w:r>
          </w:p>
        </w:tc>
        <w:tc>
          <w:tcPr>
            <w:tcW w:w="1218" w:type="dxa"/>
            <w:shd w:val="clear" w:color="auto" w:fill="auto"/>
            <w:vAlign w:val="top"/>
          </w:tcPr>
          <w:p w14:paraId="03CE629C">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不可</w:t>
            </w:r>
          </w:p>
        </w:tc>
        <w:tc>
          <w:tcPr>
            <w:tcW w:w="1218" w:type="dxa"/>
            <w:shd w:val="clear" w:color="auto" w:fill="auto"/>
            <w:vAlign w:val="top"/>
          </w:tcPr>
          <w:p w14:paraId="7627254F">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局部</w:t>
            </w:r>
          </w:p>
        </w:tc>
      </w:tr>
      <w:tr w14:paraId="498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7F3576F5">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不锈钢快速锁法</w:t>
            </w:r>
          </w:p>
        </w:tc>
        <w:tc>
          <w:tcPr>
            <w:tcW w:w="1217" w:type="dxa"/>
            <w:shd w:val="clear" w:color="auto" w:fill="auto"/>
            <w:vAlign w:val="top"/>
          </w:tcPr>
          <w:p w14:paraId="48E966FF">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300~1800</w:t>
            </w:r>
          </w:p>
        </w:tc>
        <w:tc>
          <w:tcPr>
            <w:tcW w:w="1217" w:type="dxa"/>
            <w:shd w:val="clear" w:color="auto" w:fill="auto"/>
            <w:vAlign w:val="top"/>
          </w:tcPr>
          <w:p w14:paraId="6F3C49F0">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混凝土、钢管、球墨铸铁等</w:t>
            </w:r>
          </w:p>
        </w:tc>
        <w:tc>
          <w:tcPr>
            <w:tcW w:w="1217" w:type="dxa"/>
            <w:shd w:val="clear" w:color="auto" w:fill="auto"/>
            <w:vAlign w:val="top"/>
          </w:tcPr>
          <w:p w14:paraId="1B944723">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圆形</w:t>
            </w:r>
          </w:p>
        </w:tc>
        <w:tc>
          <w:tcPr>
            <w:tcW w:w="1218" w:type="dxa"/>
            <w:shd w:val="clear" w:color="auto" w:fill="auto"/>
            <w:vAlign w:val="top"/>
          </w:tcPr>
          <w:p w14:paraId="4D5C1874">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w:t>
            </w:r>
          </w:p>
        </w:tc>
        <w:tc>
          <w:tcPr>
            <w:tcW w:w="1218" w:type="dxa"/>
            <w:shd w:val="clear" w:color="auto" w:fill="auto"/>
            <w:vAlign w:val="top"/>
          </w:tcPr>
          <w:p w14:paraId="550FA141">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不可</w:t>
            </w:r>
          </w:p>
        </w:tc>
        <w:tc>
          <w:tcPr>
            <w:tcW w:w="1218" w:type="dxa"/>
            <w:shd w:val="clear" w:color="auto" w:fill="auto"/>
            <w:vAlign w:val="top"/>
          </w:tcPr>
          <w:p w14:paraId="7473145E">
            <w:pPr>
              <w:pStyle w:val="31"/>
              <w:bidi w:val="0"/>
              <w:rPr>
                <w:rFonts w:hint="default" w:ascii="Times New Roman" w:hAnsi="Times New Roman" w:eastAsia="宋体" w:cs="Times New Roman"/>
                <w:bCs/>
                <w:color w:val="auto"/>
                <w:kern w:val="0"/>
                <w:sz w:val="18"/>
                <w:szCs w:val="21"/>
                <w:lang w:val="en-US" w:eastAsia="zh-CN" w:bidi="ar-SA"/>
              </w:rPr>
            </w:pPr>
            <w:r>
              <w:rPr>
                <w:rFonts w:hint="default" w:ascii="Times New Roman" w:hAnsi="Times New Roman" w:cs="Times New Roman"/>
                <w:lang w:val="en-US" w:eastAsia="zh-CN"/>
              </w:rPr>
              <w:t>局部</w:t>
            </w:r>
          </w:p>
        </w:tc>
      </w:tr>
      <w:tr w14:paraId="4C5F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28273A52">
            <w:pPr>
              <w:pStyle w:val="31"/>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水泥基材料喷筑法</w:t>
            </w:r>
          </w:p>
        </w:tc>
        <w:tc>
          <w:tcPr>
            <w:tcW w:w="1217" w:type="dxa"/>
            <w:shd w:val="clear" w:color="auto" w:fill="auto"/>
            <w:vAlign w:val="top"/>
          </w:tcPr>
          <w:p w14:paraId="49BF3492">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300~3000</w:t>
            </w:r>
          </w:p>
        </w:tc>
        <w:tc>
          <w:tcPr>
            <w:tcW w:w="1217" w:type="dxa"/>
            <w:shd w:val="clear" w:color="auto" w:fill="auto"/>
            <w:vAlign w:val="top"/>
          </w:tcPr>
          <w:p w14:paraId="29D5D172">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混凝土、钢管、球墨铸铁等</w:t>
            </w:r>
          </w:p>
        </w:tc>
        <w:tc>
          <w:tcPr>
            <w:tcW w:w="1217" w:type="dxa"/>
            <w:shd w:val="clear" w:color="auto" w:fill="auto"/>
            <w:vAlign w:val="top"/>
          </w:tcPr>
          <w:p w14:paraId="40A94995">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圆形、蛋形、矩形等</w:t>
            </w:r>
          </w:p>
        </w:tc>
        <w:tc>
          <w:tcPr>
            <w:tcW w:w="1218" w:type="dxa"/>
            <w:shd w:val="clear" w:color="auto" w:fill="auto"/>
            <w:vAlign w:val="top"/>
          </w:tcPr>
          <w:p w14:paraId="13F810F3">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218" w:type="dxa"/>
            <w:shd w:val="clear" w:color="auto" w:fill="auto"/>
            <w:vAlign w:val="top"/>
          </w:tcPr>
          <w:p w14:paraId="3EE03921">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不可</w:t>
            </w:r>
          </w:p>
        </w:tc>
        <w:tc>
          <w:tcPr>
            <w:tcW w:w="1218" w:type="dxa"/>
            <w:shd w:val="clear" w:color="auto" w:fill="auto"/>
            <w:vAlign w:val="top"/>
          </w:tcPr>
          <w:p w14:paraId="47FF37E3">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整体/局部</w:t>
            </w:r>
          </w:p>
        </w:tc>
      </w:tr>
    </w:tbl>
    <w:p w14:paraId="3F480E4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br w:type="page"/>
      </w:r>
    </w:p>
    <w:p w14:paraId="673E4A9E">
      <w:pPr>
        <w:pStyle w:val="2"/>
        <w:spacing w:line="576" w:lineRule="auto"/>
        <w:jc w:val="center"/>
        <w:rPr>
          <w:rFonts w:hint="default" w:ascii="Times New Roman" w:hAnsi="Times New Roman" w:cs="Times New Roman"/>
          <w:bCs w:val="0"/>
          <w:color w:val="auto"/>
          <w:sz w:val="28"/>
          <w:szCs w:val="24"/>
        </w:rPr>
      </w:pPr>
      <w:bookmarkStart w:id="358" w:name="_Toc188003645"/>
      <w:bookmarkStart w:id="359" w:name="_Toc163478432"/>
      <w:bookmarkStart w:id="360" w:name="_Toc10956"/>
      <w:bookmarkStart w:id="361" w:name="_Toc163402078"/>
      <w:r>
        <w:rPr>
          <w:rFonts w:hint="default" w:ascii="Times New Roman" w:hAnsi="Times New Roman" w:cs="Times New Roman"/>
          <w:bCs w:val="0"/>
          <w:color w:val="auto"/>
          <w:sz w:val="28"/>
          <w:szCs w:val="24"/>
        </w:rPr>
        <w:t>本标准用词说明</w:t>
      </w:r>
      <w:bookmarkEnd w:id="358"/>
      <w:bookmarkEnd w:id="359"/>
      <w:bookmarkEnd w:id="360"/>
      <w:bookmarkEnd w:id="361"/>
    </w:p>
    <w:p w14:paraId="1D59B345">
      <w:pPr>
        <w:spacing w:line="360" w:lineRule="auto"/>
        <w:rPr>
          <w:rStyle w:val="25"/>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1 </w:t>
      </w:r>
      <w:r>
        <w:rPr>
          <w:rStyle w:val="25"/>
          <w:rFonts w:hint="default" w:ascii="Times New Roman" w:hAnsi="Times New Roman" w:cs="Times New Roman"/>
          <w:color w:val="auto"/>
          <w:sz w:val="24"/>
          <w:szCs w:val="24"/>
        </w:rPr>
        <w:t>为便于在执行本标准条文时区别对待，对要求严格程度不同的用词说明如下：</w:t>
      </w:r>
    </w:p>
    <w:p w14:paraId="24E68042">
      <w:pPr>
        <w:spacing w:line="360" w:lineRule="auto"/>
        <w:ind w:firstLine="482" w:firstLineChars="200"/>
        <w:rPr>
          <w:rStyle w:val="25"/>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 1）</w:t>
      </w:r>
      <w:r>
        <w:rPr>
          <w:rStyle w:val="25"/>
          <w:rFonts w:hint="default" w:ascii="Times New Roman" w:hAnsi="Times New Roman" w:cs="Times New Roman"/>
          <w:color w:val="auto"/>
          <w:sz w:val="24"/>
          <w:szCs w:val="24"/>
        </w:rPr>
        <w:t>表示很严格，非要这样做不可的用词：</w:t>
      </w:r>
    </w:p>
    <w:p w14:paraId="221A8095">
      <w:pPr>
        <w:spacing w:line="360" w:lineRule="auto"/>
        <w:ind w:firstLine="480" w:firstLineChars="200"/>
        <w:rPr>
          <w:rStyle w:val="25"/>
          <w:rFonts w:hint="default" w:ascii="Times New Roman" w:hAnsi="Times New Roman" w:cs="Times New Roman"/>
          <w:color w:val="auto"/>
          <w:sz w:val="24"/>
          <w:szCs w:val="24"/>
        </w:rPr>
      </w:pPr>
      <w:r>
        <w:rPr>
          <w:rStyle w:val="25"/>
          <w:rFonts w:hint="default" w:ascii="Times New Roman" w:hAnsi="Times New Roman" w:cs="Times New Roman"/>
          <w:color w:val="auto"/>
          <w:sz w:val="24"/>
          <w:szCs w:val="24"/>
        </w:rPr>
        <w:t>正面词采用“必须”，反面词采用“严禁”；</w:t>
      </w:r>
    </w:p>
    <w:p w14:paraId="5D4C4708">
      <w:pPr>
        <w:spacing w:line="360" w:lineRule="auto"/>
        <w:ind w:firstLine="482" w:firstLineChars="200"/>
        <w:rPr>
          <w:rStyle w:val="25"/>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 2）</w:t>
      </w:r>
      <w:r>
        <w:rPr>
          <w:rStyle w:val="25"/>
          <w:rFonts w:hint="default" w:ascii="Times New Roman" w:hAnsi="Times New Roman" w:cs="Times New Roman"/>
          <w:color w:val="auto"/>
          <w:sz w:val="24"/>
          <w:szCs w:val="24"/>
        </w:rPr>
        <w:t>表示严格，在正常情况下均应这样做的用词：</w:t>
      </w:r>
    </w:p>
    <w:p w14:paraId="1A6119B1">
      <w:pPr>
        <w:spacing w:line="360" w:lineRule="auto"/>
        <w:ind w:firstLine="480" w:firstLineChars="200"/>
        <w:rPr>
          <w:rStyle w:val="25"/>
          <w:rFonts w:hint="default" w:ascii="Times New Roman" w:hAnsi="Times New Roman" w:cs="Times New Roman"/>
          <w:color w:val="auto"/>
          <w:sz w:val="24"/>
          <w:szCs w:val="24"/>
        </w:rPr>
      </w:pPr>
      <w:r>
        <w:rPr>
          <w:rStyle w:val="25"/>
          <w:rFonts w:hint="default" w:ascii="Times New Roman" w:hAnsi="Times New Roman" w:cs="Times New Roman"/>
          <w:color w:val="auto"/>
          <w:sz w:val="24"/>
          <w:szCs w:val="24"/>
        </w:rPr>
        <w:t>正面词采用“应”，反面词采用“不应”或“不得”；</w:t>
      </w:r>
    </w:p>
    <w:p w14:paraId="797D2CAF">
      <w:pPr>
        <w:spacing w:line="360" w:lineRule="auto"/>
        <w:ind w:firstLine="482" w:firstLineChars="200"/>
        <w:rPr>
          <w:rStyle w:val="25"/>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 3）</w:t>
      </w:r>
      <w:r>
        <w:rPr>
          <w:rStyle w:val="25"/>
          <w:rFonts w:hint="default" w:ascii="Times New Roman" w:hAnsi="Times New Roman" w:cs="Times New Roman"/>
          <w:color w:val="auto"/>
          <w:sz w:val="24"/>
          <w:szCs w:val="24"/>
        </w:rPr>
        <w:t>表示允许稍有选择，在条件许可时首先应这样做的用词：</w:t>
      </w:r>
    </w:p>
    <w:p w14:paraId="6B6B327F">
      <w:pPr>
        <w:spacing w:line="360" w:lineRule="auto"/>
        <w:ind w:firstLine="480" w:firstLineChars="200"/>
        <w:rPr>
          <w:rStyle w:val="25"/>
          <w:rFonts w:hint="default" w:ascii="Times New Roman" w:hAnsi="Times New Roman" w:cs="Times New Roman"/>
          <w:color w:val="auto"/>
          <w:sz w:val="24"/>
          <w:szCs w:val="24"/>
        </w:rPr>
      </w:pPr>
      <w:r>
        <w:rPr>
          <w:rStyle w:val="25"/>
          <w:rFonts w:hint="default" w:ascii="Times New Roman" w:hAnsi="Times New Roman" w:cs="Times New Roman"/>
          <w:color w:val="auto"/>
          <w:sz w:val="24"/>
          <w:szCs w:val="24"/>
        </w:rPr>
        <w:t>正面词采用“宜”，反面词采用“不宜”；</w:t>
      </w:r>
    </w:p>
    <w:p w14:paraId="3F87E6F9">
      <w:pPr>
        <w:spacing w:line="360" w:lineRule="auto"/>
        <w:ind w:firstLine="482" w:firstLineChars="200"/>
        <w:rPr>
          <w:rStyle w:val="25"/>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 4）</w:t>
      </w:r>
      <w:r>
        <w:rPr>
          <w:rStyle w:val="25"/>
          <w:rFonts w:hint="default" w:ascii="Times New Roman" w:hAnsi="Times New Roman" w:cs="Times New Roman"/>
          <w:color w:val="auto"/>
          <w:sz w:val="24"/>
          <w:szCs w:val="24"/>
        </w:rPr>
        <w:t>表示有选择，在一定条件下可以这样做的:</w:t>
      </w:r>
    </w:p>
    <w:p w14:paraId="0A4D6E0C">
      <w:pPr>
        <w:spacing w:line="360" w:lineRule="auto"/>
        <w:ind w:firstLine="480" w:firstLineChars="200"/>
        <w:rPr>
          <w:rStyle w:val="25"/>
          <w:rFonts w:hint="default" w:ascii="Times New Roman" w:hAnsi="Times New Roman" w:cs="Times New Roman"/>
          <w:color w:val="auto"/>
          <w:sz w:val="24"/>
          <w:szCs w:val="24"/>
        </w:rPr>
      </w:pPr>
      <w:r>
        <w:rPr>
          <w:rStyle w:val="25"/>
          <w:rFonts w:hint="default" w:ascii="Times New Roman" w:hAnsi="Times New Roman" w:cs="Times New Roman"/>
          <w:color w:val="auto"/>
          <w:sz w:val="24"/>
          <w:szCs w:val="24"/>
        </w:rPr>
        <w:t>正面词采用“可”，反面词采用“不可”。</w:t>
      </w:r>
    </w:p>
    <w:p w14:paraId="3B7A1CFD">
      <w:pPr>
        <w:spacing w:line="360" w:lineRule="auto"/>
        <w:rPr>
          <w:rFonts w:hint="default" w:ascii="Times New Roman" w:hAnsi="Times New Roman" w:cs="Times New Roman"/>
          <w:color w:val="auto"/>
          <w:sz w:val="24"/>
          <w:szCs w:val="24"/>
        </w:rPr>
      </w:pPr>
      <w:r>
        <w:rPr>
          <w:rStyle w:val="24"/>
          <w:rFonts w:hint="default" w:ascii="Times New Roman" w:hAnsi="Times New Roman" w:cs="Times New Roman"/>
          <w:color w:val="auto"/>
          <w:sz w:val="24"/>
          <w:szCs w:val="24"/>
        </w:rPr>
        <w:t xml:space="preserve"> 2 </w:t>
      </w:r>
      <w:r>
        <w:rPr>
          <w:rStyle w:val="25"/>
          <w:rFonts w:hint="default" w:ascii="Times New Roman" w:hAnsi="Times New Roman" w:cs="Times New Roman"/>
          <w:color w:val="auto"/>
          <w:sz w:val="24"/>
          <w:szCs w:val="24"/>
        </w:rPr>
        <w:t>本标准中指明应按其他有关标准执行的写法为“应符合......的规定”或“应按......执行”。</w:t>
      </w:r>
    </w:p>
    <w:p w14:paraId="1218D8F0">
      <w:pPr>
        <w:spacing w:line="360" w:lineRule="auto"/>
        <w:rPr>
          <w:rFonts w:hint="default" w:ascii="Times New Roman" w:hAnsi="Times New Roman" w:cs="Times New Roman"/>
        </w:rPr>
      </w:pPr>
    </w:p>
    <w:p w14:paraId="24906652">
      <w:pPr>
        <w:jc w:val="center"/>
        <w:rPr>
          <w:rFonts w:hint="default" w:ascii="Times New Roman" w:hAnsi="Times New Roman" w:cs="Times New Roman"/>
        </w:rPr>
      </w:pPr>
    </w:p>
    <w:p w14:paraId="4C35FCD4">
      <w:pPr>
        <w:jc w:val="center"/>
        <w:rPr>
          <w:rFonts w:hint="default" w:ascii="Times New Roman" w:hAnsi="Times New Roman" w:cs="Times New Roman"/>
        </w:rPr>
      </w:pPr>
    </w:p>
    <w:p w14:paraId="0F6E14E8">
      <w:pPr>
        <w:jc w:val="center"/>
        <w:rPr>
          <w:rFonts w:hint="default" w:ascii="Times New Roman" w:hAnsi="Times New Roman" w:cs="Times New Roman"/>
        </w:rPr>
        <w:sectPr>
          <w:pgSz w:w="11906" w:h="16838"/>
          <w:pgMar w:top="1440" w:right="1800" w:bottom="1440" w:left="1800" w:header="851" w:footer="992" w:gutter="0"/>
          <w:pgNumType w:fmt="decimal"/>
          <w:cols w:space="425" w:num="1"/>
          <w:docGrid w:type="lines" w:linePitch="312" w:charSpace="0"/>
        </w:sectPr>
      </w:pPr>
    </w:p>
    <w:p w14:paraId="564735B0">
      <w:pPr>
        <w:spacing w:line="360" w:lineRule="auto"/>
        <w:jc w:val="center"/>
        <w:outlineLvl w:val="0"/>
        <w:rPr>
          <w:rFonts w:hint="default" w:ascii="Times New Roman" w:hAnsi="Times New Roman" w:eastAsia="宋体" w:cs="Times New Roman"/>
          <w:b/>
          <w:bCs w:val="0"/>
          <w:color w:val="auto"/>
          <w:kern w:val="44"/>
          <w:sz w:val="28"/>
          <w:szCs w:val="24"/>
          <w:highlight w:val="none"/>
          <w:lang w:val="en-US" w:eastAsia="zh-CN" w:bidi="ar-SA"/>
        </w:rPr>
      </w:pPr>
      <w:bookmarkStart w:id="362" w:name="_Toc21721"/>
      <w:r>
        <w:rPr>
          <w:rFonts w:hint="default" w:ascii="Times New Roman" w:hAnsi="Times New Roman" w:eastAsia="宋体" w:cs="Times New Roman"/>
          <w:b/>
          <w:bCs w:val="0"/>
          <w:color w:val="auto"/>
          <w:kern w:val="44"/>
          <w:sz w:val="28"/>
          <w:szCs w:val="24"/>
          <w:highlight w:val="none"/>
          <w:lang w:val="en-US" w:eastAsia="zh-CN" w:bidi="ar-SA"/>
        </w:rPr>
        <w:t>引用标准名录</w:t>
      </w:r>
      <w:bookmarkEnd w:id="362"/>
    </w:p>
    <w:p w14:paraId="529EF2B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《城镇排水管道检测与评估技术规程》CJJ 181</w:t>
      </w:r>
    </w:p>
    <w:p w14:paraId="06E0CDC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《城镇排水管道非开挖修复更新工程技术规程》CJJ</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T 210</w:t>
      </w:r>
    </w:p>
    <w:p w14:paraId="79CAC7D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《排水检查井非开挖修复工程技术规程》T</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CECS1333</w:t>
      </w:r>
    </w:p>
    <w:p w14:paraId="0925F04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《给水排水管道原位固化法修复技术规程》T</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CECS 559</w:t>
      </w:r>
    </w:p>
    <w:p w14:paraId="69DB906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《喷筑法检查井修复技术规程》T/CECS 1252</w:t>
      </w:r>
    </w:p>
    <w:p w14:paraId="49A0E39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《地下无压排水管网非开挖修复用塑料管道系统第3部分:紧密贴合内衬法》GB/T 41666.3</w:t>
      </w:r>
    </w:p>
    <w:p w14:paraId="31D9F66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《地下无压排水管网非开挖修复用塑料管道系统</w:t>
      </w: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color w:val="auto"/>
          <w:kern w:val="2"/>
          <w:sz w:val="24"/>
          <w:szCs w:val="24"/>
          <w:highlight w:val="none"/>
          <w:lang w:eastAsia="zh-CN"/>
        </w:rPr>
        <w:t>第4部分:原位固化内衬法》GB/T 41666.4</w:t>
      </w:r>
    </w:p>
    <w:p w14:paraId="002DF59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《地下无压排水管网非开挖修复用塑料管道系统</w:t>
      </w: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color w:val="auto"/>
          <w:kern w:val="2"/>
          <w:sz w:val="24"/>
          <w:szCs w:val="24"/>
          <w:highlight w:val="none"/>
          <w:lang w:eastAsia="zh-CN"/>
        </w:rPr>
        <w:t>第7部分:螺旋缠绕内衬法》GB/T 41666.7</w:t>
      </w:r>
    </w:p>
    <w:p w14:paraId="442B26E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《城乡排水工程项目规范》GB 55027</w:t>
      </w:r>
    </w:p>
    <w:p w14:paraId="5BD0FB2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eastAsia="zh-CN"/>
        </w:rPr>
        <w:t>《非开挖修复用塑料管道</w:t>
      </w:r>
      <w:r>
        <w:rPr>
          <w:rFonts w:hint="default" w:ascii="Times New Roman" w:hAnsi="Times New Roman" w:cs="Times New Roman"/>
          <w:color w:val="auto"/>
          <w:kern w:val="2"/>
          <w:sz w:val="24"/>
          <w:szCs w:val="24"/>
          <w:highlight w:val="none"/>
          <w:lang w:val="en-US" w:eastAsia="zh-CN"/>
        </w:rPr>
        <w:t xml:space="preserve"> </w:t>
      </w:r>
      <w:r>
        <w:rPr>
          <w:rFonts w:hint="default" w:ascii="Times New Roman" w:hAnsi="Times New Roman" w:cs="Times New Roman"/>
          <w:color w:val="auto"/>
          <w:kern w:val="2"/>
          <w:sz w:val="24"/>
          <w:szCs w:val="24"/>
          <w:highlight w:val="none"/>
          <w:lang w:eastAsia="zh-CN"/>
        </w:rPr>
        <w:t>总则》GB/T 37862</w:t>
      </w:r>
    </w:p>
    <w:p w14:paraId="402DDF9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《建筑基坑支护技术规程》JGJ 120</w:t>
      </w:r>
    </w:p>
    <w:p w14:paraId="0A632CA7">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《给水排水管道结构工程设计规范》GB 50332</w:t>
      </w:r>
    </w:p>
    <w:p w14:paraId="77BD952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《建筑与市政工程施工质量控制通用规范》GB55032</w:t>
      </w:r>
    </w:p>
    <w:p w14:paraId="5AA1103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《给水排水管道工程施工及验收规范》GB50268</w:t>
      </w:r>
    </w:p>
    <w:p w14:paraId="153B695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《给水排水构筑物施工及验收规范》GB 50141</w:t>
      </w:r>
    </w:p>
    <w:p w14:paraId="243AABC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《城镇排水管道非开挖修复工程施工及验收规程》T</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CECS 717</w:t>
      </w:r>
    </w:p>
    <w:p w14:paraId="77EBFFB2">
      <w:pPr>
        <w:rPr>
          <w:rFonts w:hint="default" w:ascii="Times New Roman" w:hAnsi="Times New Roman" w:cs="Times New Roman"/>
          <w:b/>
          <w:bCs/>
          <w:color w:val="auto"/>
          <w:kern w:val="2"/>
          <w:sz w:val="32"/>
          <w:szCs w:val="32"/>
        </w:rPr>
      </w:pPr>
    </w:p>
    <w:p w14:paraId="3602C090">
      <w:pPr>
        <w:rPr>
          <w:rFonts w:hint="default" w:ascii="Times New Roman" w:hAnsi="Times New Roman" w:cs="Times New Roman"/>
          <w:b/>
          <w:bCs/>
          <w:color w:val="auto"/>
          <w:kern w:val="2"/>
          <w:sz w:val="32"/>
          <w:szCs w:val="32"/>
        </w:rPr>
      </w:pPr>
    </w:p>
    <w:p w14:paraId="203E3620">
      <w:pPr>
        <w:spacing w:line="360" w:lineRule="auto"/>
        <w:ind w:firstLine="643" w:firstLineChars="200"/>
        <w:rPr>
          <w:rFonts w:hint="default" w:ascii="Times New Roman" w:hAnsi="Times New Roman" w:cs="Times New Roman"/>
          <w:b/>
          <w:bCs/>
          <w:color w:val="auto"/>
          <w:kern w:val="2"/>
          <w:sz w:val="32"/>
          <w:szCs w:val="32"/>
        </w:rPr>
        <w:sectPr>
          <w:pgSz w:w="11906" w:h="16838"/>
          <w:pgMar w:top="1440" w:right="1800" w:bottom="1440" w:left="1800" w:header="851" w:footer="992" w:gutter="0"/>
          <w:pgNumType w:fmt="decimal"/>
          <w:cols w:space="425" w:num="1"/>
          <w:docGrid w:type="lines" w:linePitch="312" w:charSpace="0"/>
        </w:sectPr>
      </w:pPr>
    </w:p>
    <w:p w14:paraId="6F6776FE">
      <w:pPr>
        <w:rPr>
          <w:rFonts w:hint="default" w:ascii="Times New Roman" w:hAnsi="Times New Roman" w:cs="Times New Roman"/>
          <w:b/>
          <w:bCs/>
          <w:color w:val="auto"/>
          <w:kern w:val="2"/>
          <w:sz w:val="32"/>
          <w:szCs w:val="32"/>
        </w:rPr>
      </w:pPr>
    </w:p>
    <w:p w14:paraId="06C6AAF2">
      <w:pPr>
        <w:rPr>
          <w:rFonts w:hint="default" w:ascii="Times New Roman" w:hAnsi="Times New Roman" w:cs="Times New Roman"/>
          <w:b/>
          <w:bCs/>
          <w:color w:val="auto"/>
          <w:kern w:val="2"/>
          <w:sz w:val="32"/>
          <w:szCs w:val="32"/>
        </w:rPr>
      </w:pPr>
    </w:p>
    <w:p w14:paraId="76291C6D">
      <w:pPr>
        <w:rPr>
          <w:rFonts w:hint="default" w:ascii="Times New Roman" w:hAnsi="Times New Roman" w:cs="Times New Roman"/>
          <w:b/>
          <w:bCs/>
          <w:color w:val="auto"/>
          <w:kern w:val="2"/>
          <w:sz w:val="32"/>
          <w:szCs w:val="32"/>
        </w:rPr>
      </w:pPr>
    </w:p>
    <w:p w14:paraId="2A18B79A">
      <w:pPr>
        <w:widowControl/>
        <w:spacing w:line="360" w:lineRule="auto"/>
        <w:jc w:val="center"/>
        <w:rPr>
          <w:rFonts w:hint="default" w:ascii="Times New Roman" w:hAnsi="Times New Roman" w:eastAsia="仿宋" w:cs="Times New Roman"/>
          <w:b/>
          <w:color w:val="auto"/>
          <w:kern w:val="2"/>
          <w:sz w:val="36"/>
          <w:szCs w:val="36"/>
        </w:rPr>
      </w:pPr>
      <w:r>
        <w:rPr>
          <w:rFonts w:hint="default" w:ascii="Times New Roman" w:hAnsi="Times New Roman" w:eastAsia="仿宋" w:cs="Times New Roman"/>
          <w:b/>
          <w:color w:val="auto"/>
          <w:kern w:val="2"/>
          <w:sz w:val="36"/>
          <w:szCs w:val="36"/>
        </w:rPr>
        <w:t>四川省工程建设地方标准</w:t>
      </w:r>
    </w:p>
    <w:p w14:paraId="2DBFCAD7">
      <w:pPr>
        <w:widowControl/>
        <w:spacing w:line="360" w:lineRule="auto"/>
        <w:rPr>
          <w:rFonts w:hint="default" w:ascii="Times New Roman" w:hAnsi="Times New Roman" w:eastAsia="仿宋" w:cs="Times New Roman"/>
          <w:b/>
          <w:color w:val="auto"/>
          <w:kern w:val="2"/>
          <w:sz w:val="36"/>
          <w:szCs w:val="36"/>
        </w:rPr>
      </w:pPr>
    </w:p>
    <w:p w14:paraId="7A7378FE">
      <w:pPr>
        <w:widowControl/>
        <w:spacing w:line="360" w:lineRule="auto"/>
        <w:rPr>
          <w:rFonts w:hint="default" w:ascii="Times New Roman" w:hAnsi="Times New Roman" w:eastAsia="仿宋" w:cs="Times New Roman"/>
          <w:b/>
          <w:color w:val="auto"/>
          <w:kern w:val="2"/>
          <w:sz w:val="36"/>
          <w:szCs w:val="36"/>
        </w:rPr>
      </w:pPr>
    </w:p>
    <w:p w14:paraId="316E2A35">
      <w:pPr>
        <w:widowControl/>
        <w:spacing w:line="360" w:lineRule="auto"/>
        <w:jc w:val="center"/>
        <w:rPr>
          <w:rFonts w:hint="default" w:ascii="Times New Roman" w:hAnsi="Times New Roman" w:eastAsia="仿宋" w:cs="Times New Roman"/>
          <w:b/>
          <w:color w:val="auto"/>
          <w:kern w:val="2"/>
          <w:sz w:val="44"/>
          <w:szCs w:val="44"/>
        </w:rPr>
      </w:pPr>
      <w:r>
        <w:rPr>
          <w:rFonts w:hint="default" w:ascii="Times New Roman" w:hAnsi="Times New Roman" w:eastAsia="仿宋" w:cs="Times New Roman"/>
          <w:b/>
          <w:color w:val="auto"/>
          <w:kern w:val="2"/>
          <w:sz w:val="44"/>
          <w:szCs w:val="44"/>
        </w:rPr>
        <w:t>四川省排水管道非开挖修复技术规程</w:t>
      </w:r>
    </w:p>
    <w:p w14:paraId="18B7A7FD">
      <w:pPr>
        <w:widowControl/>
        <w:spacing w:line="360" w:lineRule="auto"/>
        <w:jc w:val="center"/>
        <w:rPr>
          <w:rFonts w:hint="default" w:ascii="Times New Roman" w:hAnsi="Times New Roman" w:eastAsia="仿宋" w:cs="Times New Roman"/>
          <w:b/>
          <w:color w:val="auto"/>
          <w:kern w:val="2"/>
          <w:sz w:val="32"/>
          <w:szCs w:val="32"/>
        </w:rPr>
      </w:pPr>
      <w:r>
        <w:rPr>
          <w:rFonts w:hint="default" w:ascii="Times New Roman" w:hAnsi="Times New Roman" w:eastAsia="仿宋" w:cs="Times New Roman"/>
          <w:b/>
          <w:color w:val="auto"/>
          <w:kern w:val="2"/>
          <w:sz w:val="32"/>
          <w:szCs w:val="32"/>
        </w:rPr>
        <w:t xml:space="preserve">（DB/ </w:t>
      </w:r>
      <w:r>
        <w:rPr>
          <w:rFonts w:hint="default" w:ascii="Times New Roman" w:hAnsi="Times New Roman" w:eastAsia="仿宋" w:cs="Times New Roman"/>
          <w:b/>
          <w:color w:val="auto"/>
          <w:sz w:val="32"/>
          <w:szCs w:val="32"/>
        </w:rPr>
        <w:t>***-20**</w:t>
      </w:r>
      <w:r>
        <w:rPr>
          <w:rFonts w:hint="default" w:ascii="Times New Roman" w:hAnsi="Times New Roman" w:eastAsia="仿宋" w:cs="Times New Roman"/>
          <w:b/>
          <w:color w:val="auto"/>
          <w:kern w:val="2"/>
          <w:sz w:val="32"/>
          <w:szCs w:val="32"/>
        </w:rPr>
        <w:t>）</w:t>
      </w:r>
    </w:p>
    <w:p w14:paraId="4F81B93C">
      <w:pPr>
        <w:widowControl/>
        <w:spacing w:line="360" w:lineRule="auto"/>
        <w:jc w:val="center"/>
        <w:rPr>
          <w:rFonts w:hint="default" w:ascii="Times New Roman" w:hAnsi="Times New Roman" w:eastAsia="仿宋" w:cs="Times New Roman"/>
          <w:b/>
          <w:color w:val="auto"/>
          <w:kern w:val="2"/>
          <w:sz w:val="32"/>
          <w:szCs w:val="32"/>
        </w:rPr>
      </w:pPr>
    </w:p>
    <w:p w14:paraId="6E4468CB">
      <w:pPr>
        <w:spacing w:before="240" w:after="240" w:line="360" w:lineRule="auto"/>
        <w:jc w:val="center"/>
        <w:outlineLvl w:val="0"/>
        <w:rPr>
          <w:rFonts w:hint="default" w:ascii="Times New Roman" w:hAnsi="Times New Roman" w:cs="Times New Roman"/>
          <w:b/>
          <w:bCs/>
          <w:color w:val="auto"/>
          <w:kern w:val="2"/>
          <w:sz w:val="44"/>
          <w:szCs w:val="44"/>
        </w:rPr>
      </w:pPr>
      <w:bookmarkStart w:id="363" w:name="_Toc13588"/>
      <w:r>
        <w:rPr>
          <w:rFonts w:hint="default" w:ascii="Times New Roman" w:hAnsi="Times New Roman" w:cs="Times New Roman"/>
          <w:b/>
          <w:bCs/>
          <w:color w:val="auto"/>
          <w:kern w:val="2"/>
          <w:sz w:val="44"/>
          <w:szCs w:val="44"/>
        </w:rPr>
        <w:t>条文说明</w:t>
      </w:r>
      <w:bookmarkEnd w:id="363"/>
    </w:p>
    <w:p w14:paraId="48073FD4">
      <w:pPr>
        <w:widowControl/>
        <w:spacing w:line="360" w:lineRule="auto"/>
        <w:rPr>
          <w:rFonts w:hint="default" w:ascii="Times New Roman" w:hAnsi="Times New Roman" w:eastAsia="仿宋" w:cs="Times New Roman"/>
          <w:b/>
          <w:color w:val="auto"/>
          <w:kern w:val="2"/>
          <w:sz w:val="36"/>
          <w:szCs w:val="36"/>
        </w:rPr>
      </w:pPr>
    </w:p>
    <w:p w14:paraId="2D43616B">
      <w:pPr>
        <w:widowControl/>
        <w:spacing w:line="360" w:lineRule="auto"/>
        <w:rPr>
          <w:rFonts w:hint="default" w:ascii="Times New Roman" w:hAnsi="Times New Roman" w:eastAsia="仿宋" w:cs="Times New Roman"/>
          <w:b/>
          <w:color w:val="auto"/>
          <w:kern w:val="2"/>
          <w:sz w:val="36"/>
          <w:szCs w:val="36"/>
        </w:rPr>
      </w:pPr>
    </w:p>
    <w:p w14:paraId="606F76FB">
      <w:pPr>
        <w:widowControl/>
        <w:spacing w:line="360" w:lineRule="auto"/>
        <w:rPr>
          <w:rFonts w:hint="default" w:ascii="Times New Roman" w:hAnsi="Times New Roman" w:eastAsia="仿宋" w:cs="Times New Roman"/>
          <w:b/>
          <w:color w:val="auto"/>
          <w:kern w:val="2"/>
          <w:sz w:val="36"/>
          <w:szCs w:val="36"/>
        </w:rPr>
      </w:pPr>
    </w:p>
    <w:p w14:paraId="4AEE5E81">
      <w:pPr>
        <w:widowControl/>
        <w:spacing w:line="360" w:lineRule="auto"/>
        <w:rPr>
          <w:rFonts w:hint="default" w:ascii="Times New Roman" w:hAnsi="Times New Roman" w:eastAsia="仿宋" w:cs="Times New Roman"/>
          <w:b/>
          <w:color w:val="auto"/>
          <w:kern w:val="2"/>
          <w:sz w:val="36"/>
          <w:szCs w:val="36"/>
        </w:rPr>
      </w:pPr>
    </w:p>
    <w:p w14:paraId="6D0AD096">
      <w:pPr>
        <w:rPr>
          <w:rFonts w:hint="default" w:ascii="Times New Roman" w:hAnsi="Times New Roman" w:cs="Times New Roma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9B6A5">
    <w:pPr>
      <w:pStyle w:val="9"/>
      <w:jc w:val="center"/>
    </w:pPr>
  </w:p>
  <w:p w14:paraId="69BAB491">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DC0E4">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8CD78">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58CD78">
                    <w:pPr>
                      <w:pStyle w:val="9"/>
                    </w:pPr>
                    <w:r>
                      <w:fldChar w:fldCharType="begin"/>
                    </w:r>
                    <w:r>
                      <w:instrText xml:space="preserve"> PAGE  \* MERGEFORMAT </w:instrText>
                    </w:r>
                    <w:r>
                      <w:fldChar w:fldCharType="separate"/>
                    </w:r>
                    <w:r>
                      <w:t>10</w:t>
                    </w:r>
                    <w:r>
                      <w:fldChar w:fldCharType="end"/>
                    </w:r>
                  </w:p>
                </w:txbxContent>
              </v:textbox>
            </v:shape>
          </w:pict>
        </mc:Fallback>
      </mc:AlternateContent>
    </w:r>
  </w:p>
  <w:p w14:paraId="494F7B5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179C7A"/>
    <w:multiLevelType w:val="singleLevel"/>
    <w:tmpl w:val="FD179C7A"/>
    <w:lvl w:ilvl="0" w:tentative="0">
      <w:start w:val="1"/>
      <w:numFmt w:val="decimal"/>
      <w:lvlText w:val="%1."/>
      <w:lvlJc w:val="left"/>
      <w:pPr>
        <w:ind w:left="425" w:hanging="425"/>
      </w:pPr>
      <w:rPr>
        <w:rFonts w:hint="default"/>
      </w:rPr>
    </w:lvl>
  </w:abstractNum>
  <w:abstractNum w:abstractNumId="1">
    <w:nsid w:val="0E9F1828"/>
    <w:multiLevelType w:val="multilevel"/>
    <w:tmpl w:val="0E9F1828"/>
    <w:lvl w:ilvl="0" w:tentative="0">
      <w:start w:val="6"/>
      <w:numFmt w:val="decimal"/>
      <w:lvlText w:val="%1"/>
      <w:lvlJc w:val="left"/>
      <w:pPr>
        <w:ind w:left="480" w:hanging="480"/>
      </w:pPr>
      <w:rPr>
        <w:rFonts w:hint="default"/>
        <w:b/>
      </w:rPr>
    </w:lvl>
    <w:lvl w:ilvl="1" w:tentative="0">
      <w:start w:val="8"/>
      <w:numFmt w:val="decimal"/>
      <w:lvlText w:val="%1.%2"/>
      <w:lvlJc w:val="left"/>
      <w:pPr>
        <w:ind w:left="480" w:hanging="480"/>
      </w:pPr>
      <w:rPr>
        <w:rFonts w:hint="default"/>
        <w:b/>
      </w:rPr>
    </w:lvl>
    <w:lvl w:ilvl="2" w:tentative="0">
      <w:start w:val="5"/>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YmE3ODJiMzdkN2Y2MGZiNmQ4MTYyZmUzYTM3ODgifQ=="/>
  </w:docVars>
  <w:rsids>
    <w:rsidRoot w:val="00172A27"/>
    <w:rsid w:val="000331EC"/>
    <w:rsid w:val="001F2F8C"/>
    <w:rsid w:val="00207571"/>
    <w:rsid w:val="0022446B"/>
    <w:rsid w:val="002E7C25"/>
    <w:rsid w:val="00310D44"/>
    <w:rsid w:val="004D04CE"/>
    <w:rsid w:val="00521298"/>
    <w:rsid w:val="0053003B"/>
    <w:rsid w:val="005661E9"/>
    <w:rsid w:val="005A2E30"/>
    <w:rsid w:val="005B7AB1"/>
    <w:rsid w:val="005D418A"/>
    <w:rsid w:val="00667821"/>
    <w:rsid w:val="006C45A4"/>
    <w:rsid w:val="006E282D"/>
    <w:rsid w:val="00803C7C"/>
    <w:rsid w:val="008E3DB2"/>
    <w:rsid w:val="00964CB2"/>
    <w:rsid w:val="009947FF"/>
    <w:rsid w:val="009C4A90"/>
    <w:rsid w:val="009F7DDF"/>
    <w:rsid w:val="00C627E4"/>
    <w:rsid w:val="00D040F3"/>
    <w:rsid w:val="00D65B42"/>
    <w:rsid w:val="00DE72E9"/>
    <w:rsid w:val="00E3456B"/>
    <w:rsid w:val="00EB3489"/>
    <w:rsid w:val="017165B7"/>
    <w:rsid w:val="01FE3017"/>
    <w:rsid w:val="028F221B"/>
    <w:rsid w:val="036D521A"/>
    <w:rsid w:val="04C025DD"/>
    <w:rsid w:val="04C20378"/>
    <w:rsid w:val="050959F0"/>
    <w:rsid w:val="055C6DCF"/>
    <w:rsid w:val="05692B9C"/>
    <w:rsid w:val="05D90BCF"/>
    <w:rsid w:val="06AA13AB"/>
    <w:rsid w:val="076B3625"/>
    <w:rsid w:val="07B25869"/>
    <w:rsid w:val="080261BB"/>
    <w:rsid w:val="095B74D8"/>
    <w:rsid w:val="09872544"/>
    <w:rsid w:val="09B463DB"/>
    <w:rsid w:val="09C4525F"/>
    <w:rsid w:val="0A145C92"/>
    <w:rsid w:val="0A56459C"/>
    <w:rsid w:val="0ACA1294"/>
    <w:rsid w:val="0B775E65"/>
    <w:rsid w:val="0BFB75FA"/>
    <w:rsid w:val="0C137F64"/>
    <w:rsid w:val="0CD70950"/>
    <w:rsid w:val="0D1F524B"/>
    <w:rsid w:val="0D843088"/>
    <w:rsid w:val="10481479"/>
    <w:rsid w:val="106C4C74"/>
    <w:rsid w:val="11D85360"/>
    <w:rsid w:val="12056982"/>
    <w:rsid w:val="136A6FD6"/>
    <w:rsid w:val="13CC7BE8"/>
    <w:rsid w:val="14486C50"/>
    <w:rsid w:val="14EE47A7"/>
    <w:rsid w:val="15AF53EB"/>
    <w:rsid w:val="15D9790E"/>
    <w:rsid w:val="160B1FD4"/>
    <w:rsid w:val="172E6DCA"/>
    <w:rsid w:val="190B50EC"/>
    <w:rsid w:val="19FA4BD0"/>
    <w:rsid w:val="1A265FD0"/>
    <w:rsid w:val="1AF53561"/>
    <w:rsid w:val="1AFE20BC"/>
    <w:rsid w:val="1B683EDF"/>
    <w:rsid w:val="1F0E5C0F"/>
    <w:rsid w:val="1F5D746C"/>
    <w:rsid w:val="1FED58A6"/>
    <w:rsid w:val="20917A0E"/>
    <w:rsid w:val="22AE0598"/>
    <w:rsid w:val="22EA6D9E"/>
    <w:rsid w:val="234C4080"/>
    <w:rsid w:val="23BB662F"/>
    <w:rsid w:val="23F43374"/>
    <w:rsid w:val="24400ADB"/>
    <w:rsid w:val="25C155AC"/>
    <w:rsid w:val="27DE503E"/>
    <w:rsid w:val="288816C3"/>
    <w:rsid w:val="28C80224"/>
    <w:rsid w:val="28CD6F8F"/>
    <w:rsid w:val="29B86675"/>
    <w:rsid w:val="29C70B19"/>
    <w:rsid w:val="2A805392"/>
    <w:rsid w:val="2B100A84"/>
    <w:rsid w:val="2B9D28FD"/>
    <w:rsid w:val="2BC27BA3"/>
    <w:rsid w:val="2C630004"/>
    <w:rsid w:val="2D3C5A1F"/>
    <w:rsid w:val="2D783781"/>
    <w:rsid w:val="2FA965E7"/>
    <w:rsid w:val="314E1BBD"/>
    <w:rsid w:val="31700137"/>
    <w:rsid w:val="31FA0EB5"/>
    <w:rsid w:val="320D7387"/>
    <w:rsid w:val="325541D0"/>
    <w:rsid w:val="325A07A3"/>
    <w:rsid w:val="33033A4F"/>
    <w:rsid w:val="333C69D1"/>
    <w:rsid w:val="33496447"/>
    <w:rsid w:val="3374240A"/>
    <w:rsid w:val="339A4C4A"/>
    <w:rsid w:val="34A27191"/>
    <w:rsid w:val="34FB5025"/>
    <w:rsid w:val="35977DB1"/>
    <w:rsid w:val="36D63C8A"/>
    <w:rsid w:val="36EA0E4B"/>
    <w:rsid w:val="37EF7333"/>
    <w:rsid w:val="384E6563"/>
    <w:rsid w:val="38512630"/>
    <w:rsid w:val="38AA5930"/>
    <w:rsid w:val="3A0D36F7"/>
    <w:rsid w:val="3A485400"/>
    <w:rsid w:val="3A4D6EBA"/>
    <w:rsid w:val="3A5F010F"/>
    <w:rsid w:val="3C634C5D"/>
    <w:rsid w:val="3C753428"/>
    <w:rsid w:val="3C7C5835"/>
    <w:rsid w:val="3F42665D"/>
    <w:rsid w:val="3FDA3E64"/>
    <w:rsid w:val="429C453B"/>
    <w:rsid w:val="433829C7"/>
    <w:rsid w:val="4386217A"/>
    <w:rsid w:val="43D72B87"/>
    <w:rsid w:val="44BE4109"/>
    <w:rsid w:val="45AA51BC"/>
    <w:rsid w:val="461D4376"/>
    <w:rsid w:val="46CE7EFA"/>
    <w:rsid w:val="492E435B"/>
    <w:rsid w:val="49CF359E"/>
    <w:rsid w:val="49FD3C06"/>
    <w:rsid w:val="4A2353D0"/>
    <w:rsid w:val="4A893ED1"/>
    <w:rsid w:val="4AA35B7E"/>
    <w:rsid w:val="4AD4711A"/>
    <w:rsid w:val="4C330BCE"/>
    <w:rsid w:val="4C9473A3"/>
    <w:rsid w:val="4CBB4142"/>
    <w:rsid w:val="4D19111E"/>
    <w:rsid w:val="4D9218E1"/>
    <w:rsid w:val="4D984ABE"/>
    <w:rsid w:val="4DD54DA5"/>
    <w:rsid w:val="4DE25B6F"/>
    <w:rsid w:val="4E561001"/>
    <w:rsid w:val="4E672CB6"/>
    <w:rsid w:val="4E9F0DB6"/>
    <w:rsid w:val="4F765DAE"/>
    <w:rsid w:val="503859D7"/>
    <w:rsid w:val="50AF752C"/>
    <w:rsid w:val="5539707A"/>
    <w:rsid w:val="55436A98"/>
    <w:rsid w:val="567A1369"/>
    <w:rsid w:val="56C66E8C"/>
    <w:rsid w:val="577D0A14"/>
    <w:rsid w:val="58CB5722"/>
    <w:rsid w:val="5928604A"/>
    <w:rsid w:val="59624727"/>
    <w:rsid w:val="5A0E34E6"/>
    <w:rsid w:val="5A3569B0"/>
    <w:rsid w:val="5ACC4635"/>
    <w:rsid w:val="5B1465DD"/>
    <w:rsid w:val="5B754D28"/>
    <w:rsid w:val="5BAE0420"/>
    <w:rsid w:val="5BD408F7"/>
    <w:rsid w:val="5C0D6AD2"/>
    <w:rsid w:val="5C454AAA"/>
    <w:rsid w:val="5C9444C9"/>
    <w:rsid w:val="5D100E94"/>
    <w:rsid w:val="5D290F11"/>
    <w:rsid w:val="5E346A5E"/>
    <w:rsid w:val="5E8731E9"/>
    <w:rsid w:val="5F917385"/>
    <w:rsid w:val="60ED02BE"/>
    <w:rsid w:val="60FE365C"/>
    <w:rsid w:val="620F042E"/>
    <w:rsid w:val="629E620F"/>
    <w:rsid w:val="64080016"/>
    <w:rsid w:val="648E61FC"/>
    <w:rsid w:val="654D7EE3"/>
    <w:rsid w:val="657A31C9"/>
    <w:rsid w:val="662D1612"/>
    <w:rsid w:val="67230024"/>
    <w:rsid w:val="67FF541C"/>
    <w:rsid w:val="682C392F"/>
    <w:rsid w:val="68FD4B11"/>
    <w:rsid w:val="6B421D41"/>
    <w:rsid w:val="6B472B04"/>
    <w:rsid w:val="6BB84F0A"/>
    <w:rsid w:val="6BDB22C4"/>
    <w:rsid w:val="6C875F9B"/>
    <w:rsid w:val="6E057402"/>
    <w:rsid w:val="6E0F1319"/>
    <w:rsid w:val="6EA32E89"/>
    <w:rsid w:val="6F1A57AF"/>
    <w:rsid w:val="6F225CE6"/>
    <w:rsid w:val="70710506"/>
    <w:rsid w:val="707149AA"/>
    <w:rsid w:val="70E161FE"/>
    <w:rsid w:val="71F362C4"/>
    <w:rsid w:val="72861913"/>
    <w:rsid w:val="72AB2AC7"/>
    <w:rsid w:val="72F1631C"/>
    <w:rsid w:val="73B06A07"/>
    <w:rsid w:val="73D60979"/>
    <w:rsid w:val="749A49F9"/>
    <w:rsid w:val="74E5385F"/>
    <w:rsid w:val="75096000"/>
    <w:rsid w:val="75BE20B2"/>
    <w:rsid w:val="764A5AF2"/>
    <w:rsid w:val="77232A4A"/>
    <w:rsid w:val="775F0DD0"/>
    <w:rsid w:val="782067F6"/>
    <w:rsid w:val="7861414E"/>
    <w:rsid w:val="79AC1FDF"/>
    <w:rsid w:val="7B9E5792"/>
    <w:rsid w:val="7BDD3615"/>
    <w:rsid w:val="7CFF2CB5"/>
    <w:rsid w:val="7D6B3264"/>
    <w:rsid w:val="7DBB4CA6"/>
    <w:rsid w:val="7E3B2DB5"/>
    <w:rsid w:val="7F1C4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color w:val="auto"/>
      <w:kern w:val="0"/>
      <w:sz w:val="24"/>
      <w:szCs w:val="21"/>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line="360" w:lineRule="auto"/>
      <w:jc w:val="center"/>
      <w:outlineLvl w:val="1"/>
    </w:pPr>
    <w:rPr>
      <w:rFonts w:ascii="Times New Roman" w:hAnsi="Times New Roman" w:eastAsia="宋体" w:cs="Times New Roman"/>
      <w:b/>
      <w:bCs/>
      <w:kern w:val="2"/>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firstLineChars="200"/>
    </w:pPr>
    <w:rPr>
      <w:rFonts w:eastAsia="方正仿宋简体"/>
    </w:rPr>
  </w:style>
  <w:style w:type="paragraph" w:styleId="5">
    <w:name w:val="annotation text"/>
    <w:basedOn w:val="1"/>
    <w:qFormat/>
    <w:uiPriority w:val="0"/>
    <w:pPr>
      <w:adjustRightInd/>
    </w:pPr>
    <w:rPr>
      <w:sz w:val="20"/>
      <w:szCs w:val="20"/>
    </w:rPr>
  </w:style>
  <w:style w:type="paragraph" w:styleId="6">
    <w:name w:val="Body Text"/>
    <w:basedOn w:val="1"/>
    <w:next w:val="1"/>
    <w:link w:val="37"/>
    <w:qFormat/>
    <w:uiPriority w:val="0"/>
    <w:pPr>
      <w:adjustRightInd w:val="0"/>
      <w:snapToGrid w:val="0"/>
    </w:pPr>
    <w:rPr>
      <w:szCs w:val="24"/>
    </w:rPr>
  </w:style>
  <w:style w:type="paragraph" w:styleId="7">
    <w:name w:val="toc 3"/>
    <w:basedOn w:val="1"/>
    <w:next w:val="1"/>
    <w:semiHidden/>
    <w:unhideWhenUsed/>
    <w:qFormat/>
    <w:uiPriority w:val="39"/>
    <w:pPr>
      <w:ind w:left="840" w:leftChars="400"/>
    </w:pPr>
  </w:style>
  <w:style w:type="paragraph" w:styleId="8">
    <w:name w:val="Balloon Text"/>
    <w:basedOn w:val="1"/>
    <w:link w:val="28"/>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styleId="18">
    <w:name w:val="annotation reference"/>
    <w:qFormat/>
    <w:uiPriority w:val="0"/>
    <w:rPr>
      <w:sz w:val="16"/>
      <w:szCs w:val="16"/>
    </w:rPr>
  </w:style>
  <w:style w:type="paragraph" w:customStyle="1" w:styleId="19">
    <w:name w:val="正文（绿盟科技）"/>
    <w:qFormat/>
    <w:uiPriority w:val="0"/>
    <w:pPr>
      <w:spacing w:line="300" w:lineRule="auto"/>
    </w:pPr>
    <w:rPr>
      <w:rFonts w:ascii="Arial" w:hAnsi="Arial" w:eastAsia="宋体" w:cs="黑体"/>
      <w:kern w:val="0"/>
      <w:sz w:val="21"/>
      <w:szCs w:val="21"/>
      <w:lang w:val="en-US" w:eastAsia="zh-CN" w:bidi="ar-SA"/>
    </w:rPr>
  </w:style>
  <w:style w:type="character" w:customStyle="1" w:styleId="20">
    <w:name w:val="15"/>
    <w:basedOn w:val="15"/>
    <w:qFormat/>
    <w:uiPriority w:val="0"/>
    <w:rPr>
      <w:rFonts w:hint="default" w:ascii="Times New Roman" w:hAnsi="Times New Roman" w:eastAsia="方正仿宋简体" w:cs="Times New Roman"/>
      <w:kern w:val="2"/>
      <w:sz w:val="32"/>
      <w:szCs w:val="32"/>
    </w:rPr>
  </w:style>
  <w:style w:type="character" w:customStyle="1" w:styleId="21">
    <w:name w:val="标题 2 Char"/>
    <w:link w:val="3"/>
    <w:qFormat/>
    <w:uiPriority w:val="9"/>
    <w:rPr>
      <w:rFonts w:ascii="Times New Roman" w:hAnsi="Times New Roman" w:eastAsia="宋体" w:cs="Times New Roman"/>
      <w:b/>
      <w:bCs/>
      <w:color w:val="auto"/>
      <w:kern w:val="2"/>
      <w:sz w:val="28"/>
      <w:szCs w:val="28"/>
      <w:lang w:val="en-US" w:eastAsia="zh-CN" w:bidi="ar-SA"/>
    </w:rPr>
  </w:style>
  <w:style w:type="character" w:customStyle="1" w:styleId="22">
    <w:name w:val="页眉 Char"/>
    <w:basedOn w:val="15"/>
    <w:link w:val="10"/>
    <w:qFormat/>
    <w:uiPriority w:val="99"/>
    <w:rPr>
      <w:rFonts w:ascii="Times New Roman" w:hAnsi="Times New Roman" w:eastAsia="宋体" w:cs="Times New Roman"/>
      <w:color w:val="0000FF"/>
      <w:kern w:val="0"/>
      <w:sz w:val="18"/>
      <w:szCs w:val="18"/>
    </w:rPr>
  </w:style>
  <w:style w:type="character" w:customStyle="1" w:styleId="23">
    <w:name w:val="页脚 Char"/>
    <w:basedOn w:val="15"/>
    <w:link w:val="9"/>
    <w:qFormat/>
    <w:uiPriority w:val="99"/>
    <w:rPr>
      <w:rFonts w:ascii="Times New Roman" w:hAnsi="Times New Roman" w:eastAsia="宋体" w:cs="Times New Roman"/>
      <w:color w:val="0000FF"/>
      <w:kern w:val="0"/>
      <w:sz w:val="18"/>
      <w:szCs w:val="18"/>
    </w:rPr>
  </w:style>
  <w:style w:type="character" w:customStyle="1" w:styleId="24">
    <w:name w:val="fontstyle01"/>
    <w:basedOn w:val="15"/>
    <w:qFormat/>
    <w:uiPriority w:val="0"/>
    <w:rPr>
      <w:rFonts w:hint="default" w:ascii="Times New Roman" w:hAnsi="Times New Roman" w:cs="Times New Roman"/>
      <w:b/>
      <w:bCs/>
      <w:color w:val="000000"/>
      <w:sz w:val="22"/>
      <w:szCs w:val="22"/>
    </w:rPr>
  </w:style>
  <w:style w:type="character" w:customStyle="1" w:styleId="25">
    <w:name w:val="fontstyle21"/>
    <w:basedOn w:val="15"/>
    <w:qFormat/>
    <w:uiPriority w:val="0"/>
    <w:rPr>
      <w:rFonts w:hint="eastAsia" w:ascii="宋体" w:hAnsi="宋体" w:eastAsia="宋体"/>
      <w:color w:val="000000"/>
      <w:sz w:val="22"/>
      <w:szCs w:val="22"/>
    </w:rPr>
  </w:style>
  <w:style w:type="character" w:customStyle="1" w:styleId="26">
    <w:name w:val="标题 1 Char"/>
    <w:basedOn w:val="15"/>
    <w:link w:val="2"/>
    <w:qFormat/>
    <w:uiPriority w:val="9"/>
    <w:rPr>
      <w:rFonts w:ascii="Times New Roman" w:hAnsi="Times New Roman" w:eastAsia="宋体" w:cs="Times New Roman"/>
      <w:b/>
      <w:bCs/>
      <w:color w:val="0000FF"/>
      <w:kern w:val="44"/>
      <w:sz w:val="44"/>
      <w:szCs w:val="44"/>
    </w:rPr>
  </w:style>
  <w:style w:type="paragraph" w:customStyle="1" w:styleId="27">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5"/>
    <w:link w:val="8"/>
    <w:semiHidden/>
    <w:qFormat/>
    <w:uiPriority w:val="99"/>
    <w:rPr>
      <w:rFonts w:ascii="Times New Roman" w:hAnsi="Times New Roman" w:eastAsia="宋体" w:cs="Times New Roman"/>
      <w:color w:val="0000FF"/>
      <w:kern w:val="0"/>
      <w:sz w:val="18"/>
      <w:szCs w:val="18"/>
    </w:rPr>
  </w:style>
  <w:style w:type="paragraph" w:customStyle="1" w:styleId="29">
    <w:name w:val="正文-表名"/>
    <w:basedOn w:val="30"/>
    <w:qFormat/>
    <w:uiPriority w:val="0"/>
    <w:pPr>
      <w:snapToGrid w:val="0"/>
      <w:spacing w:before="50" w:beforeLines="50" w:line="300" w:lineRule="auto"/>
    </w:pPr>
    <w:rPr>
      <w:rFonts w:eastAsia="黑体"/>
    </w:rPr>
  </w:style>
  <w:style w:type="paragraph" w:customStyle="1" w:styleId="30">
    <w:name w:val="图名"/>
    <w:basedOn w:val="1"/>
    <w:next w:val="1"/>
    <w:qFormat/>
    <w:uiPriority w:val="0"/>
    <w:pPr>
      <w:jc w:val="center"/>
    </w:pPr>
    <w:rPr>
      <w:bCs/>
      <w:szCs w:val="24"/>
    </w:rPr>
  </w:style>
  <w:style w:type="paragraph" w:customStyle="1" w:styleId="31">
    <w:name w:val="表格内容"/>
    <w:basedOn w:val="1"/>
    <w:qFormat/>
    <w:uiPriority w:val="0"/>
    <w:pPr>
      <w:adjustRightInd/>
      <w:jc w:val="center"/>
    </w:pPr>
    <w:rPr>
      <w:bCs/>
      <w:kern w:val="0"/>
      <w:sz w:val="18"/>
    </w:rPr>
  </w:style>
  <w:style w:type="paragraph" w:customStyle="1" w:styleId="32">
    <w:name w:val="正文-图"/>
    <w:basedOn w:val="29"/>
    <w:qFormat/>
    <w:uiPriority w:val="0"/>
    <w:pPr>
      <w:autoSpaceDE w:val="0"/>
      <w:adjustRightInd/>
      <w:spacing w:before="0" w:beforeLines="0"/>
    </w:pPr>
    <w:rPr>
      <w:szCs w:val="22"/>
    </w:rPr>
  </w:style>
  <w:style w:type="table" w:customStyle="1" w:styleId="33">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34">
    <w:name w:val="Table Paragraph"/>
    <w:basedOn w:val="1"/>
    <w:qFormat/>
    <w:uiPriority w:val="1"/>
    <w:pPr>
      <w:autoSpaceDE w:val="0"/>
      <w:autoSpaceDN w:val="0"/>
      <w:jc w:val="center"/>
    </w:pPr>
    <w:rPr>
      <w:rFonts w:ascii="宋体" w:hAnsi="宋体" w:eastAsia="宋体" w:cs="宋体"/>
      <w:kern w:val="0"/>
      <w:sz w:val="22"/>
      <w:lang w:eastAsia="en-US"/>
    </w:rPr>
  </w:style>
  <w:style w:type="paragraph" w:styleId="35">
    <w:name w:val="List Paragraph"/>
    <w:basedOn w:val="1"/>
    <w:unhideWhenUsed/>
    <w:qFormat/>
    <w:uiPriority w:val="99"/>
    <w:pPr>
      <w:ind w:firstLine="420" w:firstLineChars="200"/>
    </w:pPr>
  </w:style>
  <w:style w:type="paragraph" w:customStyle="1" w:styleId="36">
    <w:name w:val="段"/>
    <w:basedOn w:val="1"/>
    <w:qFormat/>
    <w:uiPriority w:val="0"/>
    <w:pPr>
      <w:tabs>
        <w:tab w:val="center" w:pos="4201"/>
        <w:tab w:val="right" w:leader="dot" w:pos="9298"/>
      </w:tabs>
      <w:autoSpaceDE w:val="0"/>
      <w:autoSpaceDN w:val="0"/>
      <w:adjustRightInd w:val="0"/>
      <w:ind w:firstLine="420" w:firstLineChars="200"/>
    </w:pPr>
    <w:rPr>
      <w:rFonts w:ascii="宋体"/>
      <w:color w:val="auto"/>
    </w:rPr>
  </w:style>
  <w:style w:type="character" w:customStyle="1" w:styleId="37">
    <w:name w:val="正文文本 字符"/>
    <w:basedOn w:val="15"/>
    <w:link w:val="6"/>
    <w:qFormat/>
    <w:uiPriority w:val="0"/>
    <w:rPr>
      <w:szCs w:val="24"/>
    </w:rPr>
  </w:style>
  <w:style w:type="paragraph" w:customStyle="1" w:styleId="38">
    <w:name w:val="正文条款-首行缩进"/>
    <w:basedOn w:val="1"/>
    <w:next w:val="1"/>
    <w:unhideWhenUsed/>
    <w:qFormat/>
    <w:uiPriority w:val="39"/>
    <w:pPr>
      <w:widowControl/>
      <w:adjustRightInd w:val="0"/>
      <w:snapToGrid w:val="0"/>
      <w:ind w:firstLine="200" w:firstLineChars="200"/>
      <w:jc w:val="left"/>
    </w:pPr>
    <w:rPr>
      <w:rFonts w:cstheme="majorBidi"/>
      <w:szCs w:val="28"/>
    </w:rPr>
  </w:style>
  <w:style w:type="paragraph" w:customStyle="1" w:styleId="39">
    <w:name w:val="图表内容-居中"/>
    <w:basedOn w:val="1"/>
    <w:next w:val="1"/>
    <w:qFormat/>
    <w:uiPriority w:val="0"/>
    <w:pPr>
      <w:adjustRightInd w:val="0"/>
      <w:snapToGrid w:val="0"/>
      <w:spacing w:after="160" w:line="240" w:lineRule="auto"/>
      <w:jc w:val="center"/>
    </w:pPr>
    <w:rPr>
      <w:bCs/>
      <w:kern w:val="2"/>
      <w:sz w:val="21"/>
    </w:rPr>
  </w:style>
  <w:style w:type="paragraph" w:customStyle="1" w:styleId="40">
    <w:name w:val="图表名-居中"/>
    <w:basedOn w:val="1"/>
    <w:next w:val="1"/>
    <w:qFormat/>
    <w:uiPriority w:val="0"/>
    <w:pPr>
      <w:spacing w:after="160"/>
      <w:contextualSpacing/>
      <w:jc w:val="center"/>
    </w:pPr>
    <w:rPr>
      <w:b/>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theme" Target="theme/theme1.xml"/><Relationship Id="rId69" Type="http://schemas.openxmlformats.org/officeDocument/2006/relationships/customXml" Target="../customXml/item1.xml"/><Relationship Id="rId68" Type="http://schemas.openxmlformats.org/officeDocument/2006/relationships/image" Target="media/image38.emf"/><Relationship Id="rId67" Type="http://schemas.openxmlformats.org/officeDocument/2006/relationships/image" Target="media/image37.wmf"/><Relationship Id="rId66" Type="http://schemas.openxmlformats.org/officeDocument/2006/relationships/oleObject" Target="embeddings/oleObject23.bin"/><Relationship Id="rId65" Type="http://schemas.openxmlformats.org/officeDocument/2006/relationships/image" Target="media/image36.wmf"/><Relationship Id="rId64" Type="http://schemas.openxmlformats.org/officeDocument/2006/relationships/oleObject" Target="embeddings/oleObject22.bin"/><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emf"/><Relationship Id="rId60" Type="http://schemas.openxmlformats.org/officeDocument/2006/relationships/image" Target="media/image32.wmf"/><Relationship Id="rId6" Type="http://schemas.openxmlformats.org/officeDocument/2006/relationships/footer" Target="footer2.xml"/><Relationship Id="rId59" Type="http://schemas.openxmlformats.org/officeDocument/2006/relationships/oleObject" Target="embeddings/oleObject21.bin"/><Relationship Id="rId58" Type="http://schemas.openxmlformats.org/officeDocument/2006/relationships/image" Target="media/image31.wmf"/><Relationship Id="rId57" Type="http://schemas.openxmlformats.org/officeDocument/2006/relationships/oleObject" Target="embeddings/oleObject20.bin"/><Relationship Id="rId56" Type="http://schemas.openxmlformats.org/officeDocument/2006/relationships/image" Target="media/image30.wmf"/><Relationship Id="rId55" Type="http://schemas.openxmlformats.org/officeDocument/2006/relationships/oleObject" Target="embeddings/oleObject19.bin"/><Relationship Id="rId54" Type="http://schemas.openxmlformats.org/officeDocument/2006/relationships/image" Target="media/image29.wmf"/><Relationship Id="rId53" Type="http://schemas.openxmlformats.org/officeDocument/2006/relationships/oleObject" Target="embeddings/oleObject18.bin"/><Relationship Id="rId52" Type="http://schemas.openxmlformats.org/officeDocument/2006/relationships/image" Target="media/image28.wmf"/><Relationship Id="rId51" Type="http://schemas.openxmlformats.org/officeDocument/2006/relationships/oleObject" Target="embeddings/oleObject17.bin"/><Relationship Id="rId50" Type="http://schemas.openxmlformats.org/officeDocument/2006/relationships/image" Target="media/image27.emf"/><Relationship Id="rId5" Type="http://schemas.openxmlformats.org/officeDocument/2006/relationships/footer" Target="footer1.xml"/><Relationship Id="rId49" Type="http://schemas.openxmlformats.org/officeDocument/2006/relationships/image" Target="media/image26.wmf"/><Relationship Id="rId48" Type="http://schemas.openxmlformats.org/officeDocument/2006/relationships/oleObject" Target="embeddings/oleObject16.bin"/><Relationship Id="rId47" Type="http://schemas.openxmlformats.org/officeDocument/2006/relationships/image" Target="media/image25.wmf"/><Relationship Id="rId46" Type="http://schemas.openxmlformats.org/officeDocument/2006/relationships/oleObject" Target="embeddings/oleObject15.bin"/><Relationship Id="rId45" Type="http://schemas.openxmlformats.org/officeDocument/2006/relationships/image" Target="media/image24.wmf"/><Relationship Id="rId44" Type="http://schemas.openxmlformats.org/officeDocument/2006/relationships/oleObject" Target="embeddings/oleObject14.bin"/><Relationship Id="rId43" Type="http://schemas.openxmlformats.org/officeDocument/2006/relationships/image" Target="media/image23.wmf"/><Relationship Id="rId42" Type="http://schemas.openxmlformats.org/officeDocument/2006/relationships/oleObject" Target="embeddings/oleObject13.bin"/><Relationship Id="rId41" Type="http://schemas.openxmlformats.org/officeDocument/2006/relationships/image" Target="media/image22.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21.wmf"/><Relationship Id="rId38" Type="http://schemas.openxmlformats.org/officeDocument/2006/relationships/oleObject" Target="embeddings/oleObject11.bin"/><Relationship Id="rId37" Type="http://schemas.openxmlformats.org/officeDocument/2006/relationships/image" Target="media/image20.wmf"/><Relationship Id="rId36" Type="http://schemas.openxmlformats.org/officeDocument/2006/relationships/oleObject" Target="embeddings/oleObject10.bin"/><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wmf"/><Relationship Id="rId32" Type="http://schemas.openxmlformats.org/officeDocument/2006/relationships/oleObject" Target="embeddings/oleObject8.bin"/><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8BACDD-E297-4D6C-A9A0-BB6B5051EBC2}">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87</Pages>
  <Words>41288</Words>
  <Characters>48382</Characters>
  <Lines>52</Lines>
  <Paragraphs>14</Paragraphs>
  <TotalTime>43</TotalTime>
  <ScaleCrop>false</ScaleCrop>
  <LinksUpToDate>false</LinksUpToDate>
  <CharactersWithSpaces>56592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2023-08-23T03:37:00Z</dcterms:created>
  <dc:creator>Owner</dc:creator>
  <cp:lastModifiedBy>张晓光</cp:lastModifiedBy>
  <dcterms:modified xsi:type="dcterms:W3CDTF">2025-11-11T02:23:48Z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E3C9BD1D7B3945E0AF8EF964A8DBAE93_13</vt:lpwstr>
  </property>
  <property fmtid="{D5CDD505-2E9C-101B-9397-08002B2CF9AE}" pid="4" name="KSOTemplateDocerSaveRecord">
    <vt:lpwstr>eyJoZGlkIjoiZGViNzM4NDNjNTQ0Y2M3ZmU2N2I1Mjk3NWRiMTNlZmQiLCJ1c2VySWQiOiIxNTU5NTU2MzgwIn0=</vt:lpwstr>
  </property>
</Properties>
</file>