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5B1A8">
      <w:pPr>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209D4409">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合同编码：</w:t>
      </w:r>
    </w:p>
    <w:p w14:paraId="2A321A4C">
      <w:pPr>
        <w:jc w:val="center"/>
        <w:rPr>
          <w:rFonts w:ascii="仿宋" w:hAnsi="仿宋" w:eastAsia="仿宋" w:cs="仿宋"/>
          <w:bCs/>
          <w:color w:val="auto"/>
          <w:w w:val="97"/>
          <w:kern w:val="0"/>
          <w:sz w:val="44"/>
          <w:szCs w:val="44"/>
        </w:rPr>
      </w:pPr>
    </w:p>
    <w:p w14:paraId="321B7521">
      <w:pPr>
        <w:jc w:val="center"/>
        <w:rPr>
          <w:rFonts w:ascii="仿宋" w:hAnsi="仿宋" w:eastAsia="仿宋" w:cs="仿宋"/>
          <w:bCs/>
          <w:color w:val="auto"/>
          <w:w w:val="97"/>
          <w:kern w:val="0"/>
          <w:sz w:val="44"/>
          <w:szCs w:val="44"/>
        </w:rPr>
      </w:pPr>
    </w:p>
    <w:p w14:paraId="6AB7214F">
      <w:pPr>
        <w:jc w:val="center"/>
        <w:rPr>
          <w:rFonts w:ascii="仿宋" w:hAnsi="仿宋" w:eastAsia="仿宋" w:cs="仿宋"/>
          <w:bCs/>
          <w:color w:val="auto"/>
          <w:w w:val="97"/>
          <w:kern w:val="0"/>
          <w:sz w:val="44"/>
          <w:szCs w:val="44"/>
        </w:rPr>
      </w:pPr>
    </w:p>
    <w:p w14:paraId="0DABA3FA">
      <w:pPr>
        <w:jc w:val="center"/>
        <w:rPr>
          <w:rFonts w:ascii="仿宋" w:hAnsi="仿宋" w:eastAsia="仿宋" w:cs="仿宋"/>
          <w:bCs/>
          <w:color w:val="auto"/>
          <w:w w:val="97"/>
          <w:kern w:val="0"/>
          <w:sz w:val="44"/>
          <w:szCs w:val="44"/>
        </w:rPr>
      </w:pPr>
    </w:p>
    <w:p w14:paraId="2A1606BC">
      <w:pPr>
        <w:jc w:val="center"/>
        <w:rPr>
          <w:rFonts w:ascii="仿宋" w:hAnsi="仿宋" w:eastAsia="仿宋" w:cs="仿宋"/>
          <w:bCs/>
          <w:color w:val="auto"/>
          <w:w w:val="97"/>
          <w:kern w:val="0"/>
          <w:sz w:val="44"/>
          <w:szCs w:val="44"/>
        </w:rPr>
      </w:pPr>
    </w:p>
    <w:p w14:paraId="08332747">
      <w:pPr>
        <w:jc w:val="center"/>
        <w:rPr>
          <w:rFonts w:ascii="仿宋" w:hAnsi="仿宋" w:eastAsia="仿宋" w:cs="仿宋"/>
          <w:bCs/>
          <w:color w:val="auto"/>
          <w:sz w:val="28"/>
          <w:szCs w:val="28"/>
        </w:rPr>
      </w:pPr>
      <w:r>
        <w:rPr>
          <w:rFonts w:hint="eastAsia" w:ascii="黑体" w:hAnsi="黑体" w:eastAsia="黑体" w:cs="黑体"/>
          <w:b w:val="0"/>
          <w:bCs/>
          <w:color w:val="auto"/>
          <w:w w:val="97"/>
          <w:kern w:val="0"/>
          <w:sz w:val="44"/>
          <w:szCs w:val="44"/>
          <w:lang w:eastAsia="zh-CN"/>
        </w:rPr>
        <w:t>四川</w:t>
      </w:r>
      <w:r>
        <w:rPr>
          <w:rFonts w:hint="eastAsia" w:ascii="黑体" w:hAnsi="黑体" w:eastAsia="黑体" w:cs="黑体"/>
          <w:b w:val="0"/>
          <w:bCs/>
          <w:color w:val="auto"/>
          <w:w w:val="97"/>
          <w:kern w:val="0"/>
          <w:sz w:val="44"/>
          <w:szCs w:val="44"/>
        </w:rPr>
        <w:t>省预拌混凝土</w:t>
      </w:r>
      <w:r>
        <w:rPr>
          <w:rFonts w:hint="eastAsia" w:ascii="黑体" w:hAnsi="黑体" w:eastAsia="黑体" w:cs="黑体"/>
          <w:b w:val="0"/>
          <w:bCs/>
          <w:color w:val="auto"/>
          <w:w w:val="97"/>
          <w:kern w:val="0"/>
          <w:sz w:val="44"/>
          <w:szCs w:val="44"/>
          <w:lang w:eastAsia="zh-CN"/>
        </w:rPr>
        <w:t>专业承包合同</w:t>
      </w:r>
      <w:r>
        <w:rPr>
          <w:rFonts w:hint="eastAsia" w:ascii="黑体" w:hAnsi="黑体" w:eastAsia="黑体" w:cs="黑体"/>
          <w:b w:val="0"/>
          <w:bCs/>
          <w:color w:val="auto"/>
          <w:w w:val="97"/>
          <w:kern w:val="0"/>
          <w:sz w:val="44"/>
          <w:szCs w:val="44"/>
        </w:rPr>
        <w:t>示范文本</w:t>
      </w:r>
    </w:p>
    <w:p w14:paraId="659254AE">
      <w:pPr>
        <w:jc w:val="center"/>
        <w:rPr>
          <w:rFonts w:hint="eastAsia" w:ascii="楷体_GB2312" w:hAnsi="楷体_GB2312" w:eastAsia="楷体_GB2312" w:cs="楷体_GB2312"/>
          <w:b w:val="0"/>
          <w:bCs/>
          <w:color w:val="auto"/>
          <w:w w:val="97"/>
          <w:kern w:val="0"/>
          <w:sz w:val="32"/>
          <w:szCs w:val="32"/>
          <w:lang w:eastAsia="zh-CN"/>
        </w:rPr>
      </w:pPr>
      <w:r>
        <w:rPr>
          <w:rFonts w:hint="eastAsia" w:ascii="楷体_GB2312" w:hAnsi="楷体_GB2312" w:eastAsia="楷体_GB2312" w:cs="楷体_GB2312"/>
          <w:b w:val="0"/>
          <w:bCs/>
          <w:color w:val="auto"/>
          <w:w w:val="97"/>
          <w:kern w:val="0"/>
          <w:sz w:val="32"/>
          <w:szCs w:val="32"/>
          <w:lang w:eastAsia="zh-CN"/>
        </w:rPr>
        <w:t>（征求意见稿）</w:t>
      </w:r>
    </w:p>
    <w:p w14:paraId="5BE8E877">
      <w:pPr>
        <w:rPr>
          <w:rFonts w:ascii="仿宋" w:hAnsi="仿宋" w:eastAsia="仿宋" w:cs="仿宋"/>
          <w:color w:val="auto"/>
          <w:sz w:val="28"/>
          <w:szCs w:val="28"/>
        </w:rPr>
      </w:pPr>
    </w:p>
    <w:p w14:paraId="0E65D029">
      <w:pPr>
        <w:rPr>
          <w:rFonts w:ascii="仿宋" w:hAnsi="仿宋" w:eastAsia="仿宋" w:cs="仿宋"/>
          <w:color w:val="auto"/>
          <w:sz w:val="28"/>
          <w:szCs w:val="28"/>
        </w:rPr>
      </w:pPr>
    </w:p>
    <w:p w14:paraId="3D58C1C4">
      <w:pPr>
        <w:ind w:firstLine="1400" w:firstLineChars="500"/>
        <w:rPr>
          <w:rFonts w:ascii="仿宋" w:hAnsi="仿宋" w:eastAsia="仿宋" w:cs="仿宋"/>
          <w:color w:val="auto"/>
          <w:sz w:val="28"/>
          <w:szCs w:val="28"/>
        </w:rPr>
      </w:pPr>
    </w:p>
    <w:p w14:paraId="607FCCC9">
      <w:pPr>
        <w:ind w:firstLine="1400" w:firstLineChars="500"/>
        <w:rPr>
          <w:rFonts w:ascii="仿宋" w:hAnsi="仿宋" w:eastAsia="仿宋" w:cs="仿宋"/>
          <w:color w:val="auto"/>
          <w:sz w:val="28"/>
          <w:szCs w:val="28"/>
        </w:rPr>
      </w:pPr>
    </w:p>
    <w:p w14:paraId="1F1EB1AD">
      <w:pPr>
        <w:ind w:firstLine="1400" w:firstLineChars="500"/>
        <w:rPr>
          <w:rFonts w:hint="eastAsia" w:ascii="仿宋_GB2312" w:hAnsi="仿宋_GB2312" w:eastAsia="仿宋_GB2312" w:cs="仿宋_GB2312"/>
          <w:color w:val="auto"/>
          <w:sz w:val="28"/>
          <w:szCs w:val="28"/>
        </w:rPr>
      </w:pPr>
    </w:p>
    <w:p w14:paraId="727DC4C7">
      <w:pPr>
        <w:ind w:firstLine="560" w:firstLineChars="200"/>
        <w:rPr>
          <w:rFonts w:hint="eastAsia"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sz w:val="28"/>
          <w:szCs w:val="28"/>
        </w:rPr>
        <w:t>甲方（</w:t>
      </w:r>
      <w:r>
        <w:rPr>
          <w:rFonts w:hint="eastAsia" w:ascii="仿宋_GB2312" w:hAnsi="仿宋_GB2312" w:eastAsia="仿宋_GB2312" w:cs="仿宋_GB2312"/>
          <w:b w:val="0"/>
          <w:bCs w:val="0"/>
          <w:color w:val="auto"/>
          <w:sz w:val="28"/>
          <w:szCs w:val="28"/>
          <w:lang w:eastAsia="zh-CN"/>
        </w:rPr>
        <w:t>发包单位</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u w:val="single"/>
        </w:rPr>
        <w:t xml:space="preserve">                                </w:t>
      </w:r>
    </w:p>
    <w:p w14:paraId="1BCA9679">
      <w:pPr>
        <w:ind w:firstLine="560" w:firstLineChars="200"/>
        <w:rPr>
          <w:rFonts w:hint="eastAsia" w:ascii="仿宋_GB2312" w:hAnsi="仿宋_GB2312" w:eastAsia="仿宋_GB2312" w:cs="仿宋_GB2312"/>
          <w:b w:val="0"/>
          <w:bCs w:val="0"/>
          <w:color w:val="auto"/>
          <w:sz w:val="28"/>
          <w:szCs w:val="28"/>
          <w:u w:val="single"/>
        </w:rPr>
      </w:pPr>
    </w:p>
    <w:p w14:paraId="7087CF22">
      <w:pPr>
        <w:spacing w:line="578" w:lineRule="exact"/>
        <w:ind w:firstLine="560" w:firstLineChars="200"/>
        <w:rPr>
          <w:rFonts w:hint="eastAsia" w:ascii="仿宋_GB2312" w:hAnsi="仿宋_GB2312" w:eastAsia="仿宋_GB2312" w:cs="仿宋_GB2312"/>
          <w:b/>
          <w:bCs/>
          <w:color w:val="auto"/>
          <w:sz w:val="28"/>
          <w:szCs w:val="28"/>
          <w:u w:val="single"/>
        </w:rPr>
      </w:pPr>
      <w:r>
        <w:rPr>
          <w:rFonts w:hint="eastAsia" w:ascii="仿宋_GB2312" w:hAnsi="仿宋_GB2312" w:eastAsia="仿宋_GB2312" w:cs="仿宋_GB2312"/>
          <w:b w:val="0"/>
          <w:bCs w:val="0"/>
          <w:color w:val="auto"/>
          <w:sz w:val="28"/>
          <w:szCs w:val="28"/>
        </w:rPr>
        <w:t>乙方（</w:t>
      </w:r>
      <w:r>
        <w:rPr>
          <w:rFonts w:hint="eastAsia" w:ascii="仿宋_GB2312" w:hAnsi="仿宋_GB2312" w:eastAsia="仿宋_GB2312" w:cs="仿宋_GB2312"/>
          <w:b w:val="0"/>
          <w:bCs w:val="0"/>
          <w:color w:val="auto"/>
          <w:sz w:val="28"/>
          <w:szCs w:val="28"/>
          <w:lang w:eastAsia="zh-CN"/>
        </w:rPr>
        <w:t>承包单位</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bCs/>
          <w:color w:val="auto"/>
          <w:sz w:val="28"/>
          <w:szCs w:val="28"/>
          <w:u w:val="single"/>
        </w:rPr>
        <w:t xml:space="preserve">                                </w:t>
      </w:r>
    </w:p>
    <w:p w14:paraId="5914DDE8">
      <w:pPr>
        <w:spacing w:line="578" w:lineRule="exact"/>
        <w:ind w:firstLine="560" w:firstLineChars="200"/>
        <w:rPr>
          <w:rFonts w:hint="eastAsia" w:ascii="仿宋_GB2312" w:hAnsi="仿宋_GB2312" w:eastAsia="仿宋_GB2312" w:cs="仿宋_GB2312"/>
          <w:color w:val="auto"/>
          <w:sz w:val="28"/>
          <w:szCs w:val="28"/>
        </w:rPr>
      </w:pPr>
    </w:p>
    <w:p w14:paraId="05DA24AB">
      <w:pPr>
        <w:spacing w:line="578" w:lineRule="exact"/>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签</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订</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期：</w:t>
      </w:r>
      <w:r>
        <w:rPr>
          <w:rFonts w:hint="eastAsia" w:ascii="仿宋_GB2312" w:hAnsi="仿宋_GB2312" w:eastAsia="仿宋_GB2312" w:cs="仿宋_GB2312"/>
          <w:color w:val="auto"/>
          <w:sz w:val="28"/>
          <w:szCs w:val="28"/>
          <w:u w:val="single"/>
        </w:rPr>
        <w:t xml:space="preserve">                                </w:t>
      </w:r>
    </w:p>
    <w:p w14:paraId="1DF641AC">
      <w:pPr>
        <w:spacing w:line="578" w:lineRule="exact"/>
        <w:ind w:firstLine="560" w:firstLineChars="200"/>
        <w:rPr>
          <w:rFonts w:hint="eastAsia" w:ascii="仿宋_GB2312" w:hAnsi="仿宋_GB2312" w:eastAsia="仿宋_GB2312" w:cs="仿宋_GB2312"/>
          <w:color w:val="auto"/>
          <w:sz w:val="28"/>
          <w:szCs w:val="28"/>
          <w:u w:val="single"/>
        </w:rPr>
      </w:pPr>
    </w:p>
    <w:p w14:paraId="6947BE92">
      <w:pPr>
        <w:spacing w:line="578"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订</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地</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点：</w:t>
      </w:r>
      <w:r>
        <w:rPr>
          <w:rFonts w:hint="eastAsia" w:ascii="仿宋_GB2312" w:hAnsi="仿宋_GB2312" w:eastAsia="仿宋_GB2312" w:cs="仿宋_GB2312"/>
          <w:color w:val="auto"/>
          <w:sz w:val="28"/>
          <w:szCs w:val="28"/>
          <w:u w:val="single"/>
        </w:rPr>
        <w:t xml:space="preserve">                                </w:t>
      </w:r>
    </w:p>
    <w:p w14:paraId="187A2DCC">
      <w:pPr>
        <w:pStyle w:val="2"/>
        <w:ind w:left="0" w:leftChars="0" w:firstLine="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2B3055D5">
      <w:pPr>
        <w:rPr>
          <w:rFonts w:hint="eastAsia"/>
          <w:lang w:val="en-US" w:eastAsia="zh-CN"/>
        </w:rPr>
      </w:pPr>
    </w:p>
    <w:p w14:paraId="6AC3F089">
      <w:pPr>
        <w:pStyle w:val="3"/>
        <w:spacing w:line="578" w:lineRule="exact"/>
        <w:ind w:firstLine="560" w:firstLineChars="200"/>
        <w:jc w:val="lef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依据《中华人民共和国民法典》《中华人民共和国建筑法》《建筑业企业资质管理规定》《四川省散装水泥管理条例》等相关法律法规，甲乙双方在公平、诚实、信用的基础上，签订本合同。</w:t>
      </w:r>
    </w:p>
    <w:p w14:paraId="3A6C47D5">
      <w:pPr>
        <w:spacing w:line="578" w:lineRule="exact"/>
        <w:rPr>
          <w:rFonts w:ascii="仿宋" w:hAnsi="仿宋" w:eastAsia="仿宋" w:cs="仿宋"/>
          <w:b/>
          <w:color w:val="auto"/>
          <w:sz w:val="28"/>
          <w:szCs w:val="28"/>
        </w:rPr>
      </w:pPr>
      <w:r>
        <w:rPr>
          <w:rFonts w:hint="eastAsia" w:ascii="黑体" w:hAnsi="黑体" w:eastAsia="黑体" w:cs="黑体"/>
          <w:b w:val="0"/>
          <w:bCs/>
          <w:color w:val="auto"/>
          <w:sz w:val="28"/>
          <w:szCs w:val="28"/>
        </w:rPr>
        <w:t>一、工程概况</w:t>
      </w:r>
    </w:p>
    <w:p w14:paraId="4E1D74CF">
      <w:pPr>
        <w:spacing w:line="578" w:lineRule="exact"/>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b w:val="0"/>
          <w:bCs w:val="0"/>
          <w:color w:val="auto"/>
          <w:sz w:val="28"/>
          <w:szCs w:val="28"/>
        </w:rPr>
        <w:t xml:space="preserve">1.1 </w:t>
      </w:r>
      <w:r>
        <w:rPr>
          <w:rFonts w:hint="default" w:ascii="Times New Roman" w:hAnsi="Times New Roman" w:eastAsia="仿宋_GB2312" w:cs="Times New Roman"/>
          <w:color w:val="auto"/>
          <w:sz w:val="28"/>
          <w:szCs w:val="28"/>
        </w:rPr>
        <w:t>工程名称：</w:t>
      </w:r>
      <w:r>
        <w:rPr>
          <w:rFonts w:hint="default" w:ascii="Times New Roman" w:hAnsi="Times New Roman" w:eastAsia="仿宋_GB2312" w:cs="Times New Roman"/>
          <w:color w:val="auto"/>
          <w:sz w:val="28"/>
          <w:szCs w:val="28"/>
          <w:u w:val="single"/>
        </w:rPr>
        <w:t xml:space="preserve">                             </w:t>
      </w:r>
    </w:p>
    <w:p w14:paraId="58AD02F7">
      <w:pPr>
        <w:spacing w:line="578" w:lineRule="exact"/>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b w:val="0"/>
          <w:bCs w:val="0"/>
          <w:color w:val="auto"/>
          <w:sz w:val="28"/>
          <w:szCs w:val="28"/>
        </w:rPr>
        <w:t>1.2 建设地址</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u w:val="single"/>
        </w:rPr>
        <w:t xml:space="preserve">                             </w:t>
      </w:r>
    </w:p>
    <w:p w14:paraId="607A9BE2">
      <w:pPr>
        <w:spacing w:line="578" w:lineRule="exact"/>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b w:val="0"/>
          <w:bCs w:val="0"/>
          <w:color w:val="auto"/>
          <w:sz w:val="28"/>
          <w:szCs w:val="28"/>
        </w:rPr>
        <w:t xml:space="preserve">1.3 </w:t>
      </w:r>
      <w:r>
        <w:rPr>
          <w:rFonts w:hint="default" w:ascii="Times New Roman" w:hAnsi="Times New Roman" w:eastAsia="仿宋_GB2312" w:cs="Times New Roman"/>
          <w:color w:val="auto"/>
          <w:sz w:val="28"/>
          <w:szCs w:val="28"/>
        </w:rPr>
        <w:t>建设单位：</w:t>
      </w:r>
      <w:r>
        <w:rPr>
          <w:rFonts w:hint="default" w:ascii="Times New Roman" w:hAnsi="Times New Roman" w:eastAsia="仿宋_GB2312" w:cs="Times New Roman"/>
          <w:color w:val="auto"/>
          <w:sz w:val="28"/>
          <w:szCs w:val="28"/>
          <w:u w:val="single"/>
        </w:rPr>
        <w:t xml:space="preserve">                             </w:t>
      </w:r>
    </w:p>
    <w:p w14:paraId="2D735A4D">
      <w:pPr>
        <w:spacing w:line="578" w:lineRule="exact"/>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b w:val="0"/>
          <w:bCs w:val="0"/>
          <w:color w:val="auto"/>
          <w:sz w:val="28"/>
          <w:szCs w:val="28"/>
        </w:rPr>
        <w:t xml:space="preserve">1.4 </w:t>
      </w:r>
      <w:r>
        <w:rPr>
          <w:rFonts w:hint="default" w:ascii="Times New Roman" w:hAnsi="Times New Roman" w:eastAsia="仿宋_GB2312" w:cs="Times New Roman"/>
          <w:color w:val="auto"/>
          <w:sz w:val="28"/>
          <w:szCs w:val="28"/>
        </w:rPr>
        <w:t>施工单位：</w:t>
      </w:r>
      <w:r>
        <w:rPr>
          <w:rFonts w:hint="default" w:ascii="Times New Roman" w:hAnsi="Times New Roman" w:eastAsia="仿宋_GB2312" w:cs="Times New Roman"/>
          <w:color w:val="auto"/>
          <w:sz w:val="28"/>
          <w:szCs w:val="28"/>
          <w:u w:val="single"/>
        </w:rPr>
        <w:t xml:space="preserve">                             </w:t>
      </w:r>
    </w:p>
    <w:p w14:paraId="4DEDA96C">
      <w:pPr>
        <w:spacing w:line="578" w:lineRule="exact"/>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b w:val="0"/>
          <w:bCs w:val="0"/>
          <w:color w:val="auto"/>
          <w:sz w:val="28"/>
          <w:szCs w:val="28"/>
        </w:rPr>
        <w:t>1.</w:t>
      </w:r>
      <w:r>
        <w:rPr>
          <w:rFonts w:hint="default"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eastAsia="zh-CN"/>
        </w:rPr>
        <w:t>监理</w:t>
      </w:r>
      <w:r>
        <w:rPr>
          <w:rFonts w:hint="default" w:ascii="Times New Roman" w:hAnsi="Times New Roman" w:eastAsia="仿宋_GB2312" w:cs="Times New Roman"/>
          <w:color w:val="auto"/>
          <w:sz w:val="28"/>
          <w:szCs w:val="28"/>
        </w:rPr>
        <w:t>单位：</w:t>
      </w:r>
      <w:r>
        <w:rPr>
          <w:rFonts w:hint="default" w:ascii="Times New Roman" w:hAnsi="Times New Roman" w:eastAsia="仿宋_GB2312" w:cs="Times New Roman"/>
          <w:color w:val="auto"/>
          <w:sz w:val="28"/>
          <w:szCs w:val="28"/>
          <w:u w:val="single"/>
        </w:rPr>
        <w:t xml:space="preserve">                             </w:t>
      </w:r>
    </w:p>
    <w:p w14:paraId="0FBA6002">
      <w:pPr>
        <w:spacing w:line="578"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val="0"/>
          <w:color w:val="auto"/>
          <w:kern w:val="2"/>
          <w:sz w:val="28"/>
          <w:szCs w:val="28"/>
        </w:rPr>
        <w:t>1.</w:t>
      </w:r>
      <w:r>
        <w:rPr>
          <w:rFonts w:hint="default" w:ascii="Times New Roman" w:hAnsi="Times New Roman" w:eastAsia="仿宋_GB2312" w:cs="Times New Roman"/>
          <w:b w:val="0"/>
          <w:bCs w:val="0"/>
          <w:color w:val="auto"/>
          <w:kern w:val="2"/>
          <w:sz w:val="28"/>
          <w:szCs w:val="28"/>
          <w:lang w:val="en-US" w:eastAsia="zh-CN"/>
        </w:rPr>
        <w:t>6</w:t>
      </w:r>
      <w:r>
        <w:rPr>
          <w:rFonts w:hint="default" w:ascii="Times New Roman" w:hAnsi="Times New Roman" w:eastAsia="仿宋_GB2312" w:cs="Times New Roman"/>
          <w:b w:val="0"/>
          <w:bCs w:val="0"/>
          <w:color w:val="auto"/>
          <w:kern w:val="2"/>
          <w:sz w:val="28"/>
          <w:szCs w:val="28"/>
        </w:rPr>
        <w:t xml:space="preserve"> </w:t>
      </w:r>
      <w:r>
        <w:rPr>
          <w:rFonts w:hint="default" w:ascii="Times New Roman" w:hAnsi="Times New Roman" w:eastAsia="仿宋_GB2312" w:cs="Times New Roman"/>
          <w:color w:val="auto"/>
          <w:sz w:val="28"/>
          <w:szCs w:val="28"/>
        </w:rPr>
        <w:t>建设规模：</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kern w:val="0"/>
          <w:sz w:val="28"/>
          <w:szCs w:val="28"/>
        </w:rPr>
        <w:t xml:space="preserve">    </w:t>
      </w:r>
    </w:p>
    <w:p w14:paraId="26872799">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rPr>
        <w:t>1.</w:t>
      </w:r>
      <w:r>
        <w:rPr>
          <w:rFonts w:hint="default"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rPr>
        <w:t xml:space="preserve"> </w:t>
      </w:r>
      <w:r>
        <w:rPr>
          <w:rFonts w:hint="default" w:ascii="Times New Roman" w:hAnsi="Times New Roman" w:eastAsia="仿宋_GB2312" w:cs="Times New Roman"/>
          <w:color w:val="auto"/>
          <w:sz w:val="28"/>
          <w:szCs w:val="28"/>
        </w:rPr>
        <w:t>甲方预</w:t>
      </w:r>
      <w:r>
        <w:rPr>
          <w:rFonts w:hint="default" w:ascii="Times New Roman" w:hAnsi="Times New Roman" w:eastAsia="仿宋_GB2312" w:cs="Times New Roman"/>
          <w:color w:val="auto"/>
          <w:sz w:val="28"/>
          <w:szCs w:val="28"/>
          <w:lang w:eastAsia="zh-CN"/>
        </w:rPr>
        <w:t>发包</w:t>
      </w:r>
      <w:r>
        <w:rPr>
          <w:rFonts w:hint="default" w:ascii="Times New Roman" w:hAnsi="Times New Roman" w:eastAsia="仿宋_GB2312" w:cs="Times New Roman"/>
          <w:color w:val="auto"/>
          <w:sz w:val="28"/>
          <w:szCs w:val="28"/>
        </w:rPr>
        <w:t>预拌混凝土（以下简称砼或混凝土）总量约</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立方米，预计总金额（人民币）：</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万元。最终供货量及金额，以实际供应</w:t>
      </w:r>
      <w:r>
        <w:rPr>
          <w:rFonts w:hint="default" w:ascii="Times New Roman" w:hAnsi="Times New Roman" w:eastAsia="仿宋_GB2312" w:cs="Times New Roman"/>
          <w:color w:val="auto"/>
          <w:sz w:val="28"/>
          <w:szCs w:val="28"/>
          <w:lang w:eastAsia="zh-CN"/>
        </w:rPr>
        <w:t>量</w:t>
      </w:r>
      <w:r>
        <w:rPr>
          <w:rFonts w:hint="default" w:ascii="Times New Roman" w:hAnsi="Times New Roman" w:eastAsia="仿宋_GB2312" w:cs="Times New Roman"/>
          <w:color w:val="auto"/>
          <w:sz w:val="28"/>
          <w:szCs w:val="28"/>
        </w:rPr>
        <w:t>为准。</w:t>
      </w:r>
    </w:p>
    <w:p w14:paraId="5D3B44C1">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rPr>
        <w:t>1.</w:t>
      </w:r>
      <w:r>
        <w:rPr>
          <w:rFonts w:hint="default"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color w:val="auto"/>
          <w:sz w:val="28"/>
          <w:szCs w:val="28"/>
        </w:rPr>
        <w:t xml:space="preserve"> 预估供应期限：</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月至</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p>
    <w:p w14:paraId="64649BA0">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二、单价计价</w:t>
      </w:r>
    </w:p>
    <w:p w14:paraId="1D6DDB15">
      <w:pPr>
        <w:spacing w:line="578" w:lineRule="exact"/>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rPr>
        <w:t>甲乙双方约定以下计价方式</w:t>
      </w:r>
      <w:r>
        <w:rPr>
          <w:rFonts w:hint="eastAsia" w:ascii="仿宋_GB2312" w:hAnsi="仿宋_GB2312" w:eastAsia="仿宋_GB2312" w:cs="仿宋_GB2312"/>
          <w:bCs/>
          <w:color w:val="auto"/>
          <w:sz w:val="28"/>
          <w:szCs w:val="28"/>
        </w:rPr>
        <w:t>。</w:t>
      </w:r>
    </w:p>
    <w:p w14:paraId="1897E14B">
      <w:pPr>
        <w:spacing w:line="578" w:lineRule="exact"/>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2.1 普通混凝土</w:t>
      </w:r>
      <w:r>
        <w:rPr>
          <w:rFonts w:hint="default" w:ascii="Times New Roman" w:hAnsi="Times New Roman" w:eastAsia="仿宋_GB2312" w:cs="Times New Roman"/>
          <w:b w:val="0"/>
          <w:bCs w:val="0"/>
          <w:strike w:val="0"/>
          <w:color w:val="auto"/>
          <w:sz w:val="28"/>
          <w:szCs w:val="28"/>
          <w:lang w:eastAsia="zh-CN"/>
        </w:rPr>
        <w:t>基本单价（不含泵送费用）</w:t>
      </w:r>
    </w:p>
    <w:tbl>
      <w:tblPr>
        <w:tblStyle w:val="8"/>
        <w:tblW w:w="8517" w:type="dxa"/>
        <w:jc w:val="center"/>
        <w:tblLayout w:type="fixed"/>
        <w:tblCellMar>
          <w:top w:w="15" w:type="dxa"/>
          <w:left w:w="15" w:type="dxa"/>
          <w:bottom w:w="15" w:type="dxa"/>
          <w:right w:w="15" w:type="dxa"/>
        </w:tblCellMar>
      </w:tblPr>
      <w:tblGrid>
        <w:gridCol w:w="881"/>
        <w:gridCol w:w="876"/>
        <w:gridCol w:w="1152"/>
        <w:gridCol w:w="1270"/>
        <w:gridCol w:w="737"/>
        <w:gridCol w:w="1099"/>
        <w:gridCol w:w="1152"/>
        <w:gridCol w:w="1350"/>
      </w:tblGrid>
      <w:tr w14:paraId="69ED4D36">
        <w:tblPrEx>
          <w:tblCellMar>
            <w:top w:w="15" w:type="dxa"/>
            <w:left w:w="15" w:type="dxa"/>
            <w:bottom w:w="15" w:type="dxa"/>
            <w:right w:w="15" w:type="dxa"/>
          </w:tblCellMar>
        </w:tblPrEx>
        <w:trPr>
          <w:trHeight w:val="971"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14:paraId="53D6D751">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序号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9C146AD">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规格</w:t>
            </w:r>
          </w:p>
          <w:p w14:paraId="4B96DFC5">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型号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080FD7D">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计划数量（m³）</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C37D837">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不含税单价（元/m³）</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F47A37F">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税率（%）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2C35AD43">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含税单价（元/m³）</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6F2C0F3">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不含税金额（元）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1282CB0">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价税合计金额（元）</w:t>
            </w:r>
          </w:p>
        </w:tc>
      </w:tr>
      <w:tr w14:paraId="29997C96">
        <w:tblPrEx>
          <w:tblCellMar>
            <w:top w:w="15" w:type="dxa"/>
            <w:left w:w="15" w:type="dxa"/>
            <w:bottom w:w="15" w:type="dxa"/>
            <w:right w:w="15" w:type="dxa"/>
          </w:tblCellMar>
        </w:tblPrEx>
        <w:trPr>
          <w:trHeight w:val="61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D220E25">
            <w:pPr>
              <w:widowControl/>
              <w:jc w:val="center"/>
              <w:textAlignment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kern w:val="0"/>
                <w:sz w:val="24"/>
                <w:lang w:val="en-US" w:eastAsia="zh-CN"/>
              </w:rPr>
              <w:t>1</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08D4D1E">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C15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0A9B3A1">
            <w:pPr>
              <w:widowControl/>
              <w:jc w:val="center"/>
              <w:textAlignment w:val="center"/>
              <w:rPr>
                <w:rFonts w:hint="default" w:ascii="Times New Roman" w:hAnsi="Times New Roman" w:eastAsia="仿宋_GB2312" w:cs="Times New Roman"/>
                <w:color w:val="auto"/>
                <w:kern w:val="0"/>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89ED130">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A25E43C">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463A43A3">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4EB66D2">
            <w:pPr>
              <w:widowControl/>
              <w:jc w:val="center"/>
              <w:textAlignment w:val="center"/>
              <w:rPr>
                <w:rFonts w:hint="default" w:ascii="Times New Roman" w:hAnsi="Times New Roman" w:eastAsia="仿宋_GB2312" w:cs="Times New Roman"/>
                <w:color w:val="auto"/>
                <w:kern w:val="0"/>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DFF4923">
            <w:pPr>
              <w:widowControl/>
              <w:jc w:val="center"/>
              <w:textAlignment w:val="center"/>
              <w:rPr>
                <w:rFonts w:hint="default" w:ascii="Times New Roman" w:hAnsi="Times New Roman" w:eastAsia="仿宋_GB2312" w:cs="Times New Roman"/>
                <w:color w:val="auto"/>
                <w:kern w:val="0"/>
                <w:sz w:val="24"/>
              </w:rPr>
            </w:pPr>
          </w:p>
        </w:tc>
      </w:tr>
      <w:tr w14:paraId="4695D5A9">
        <w:tblPrEx>
          <w:tblCellMar>
            <w:top w:w="15" w:type="dxa"/>
            <w:left w:w="15" w:type="dxa"/>
            <w:bottom w:w="15" w:type="dxa"/>
            <w:right w:w="15" w:type="dxa"/>
          </w:tblCellMar>
        </w:tblPrEx>
        <w:trPr>
          <w:trHeight w:val="61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1DC7CA4">
            <w:pPr>
              <w:widowControl/>
              <w:jc w:val="center"/>
              <w:textAlignment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kern w:val="0"/>
                <w:sz w:val="24"/>
                <w:lang w:val="en-US" w:eastAsia="zh-CN"/>
              </w:rPr>
              <w:t>2</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6B16672">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C20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AF2BAF5">
            <w:pPr>
              <w:widowControl/>
              <w:jc w:val="center"/>
              <w:textAlignment w:val="center"/>
              <w:rPr>
                <w:rFonts w:hint="default" w:ascii="Times New Roman" w:hAnsi="Times New Roman" w:eastAsia="仿宋_GB2312" w:cs="Times New Roman"/>
                <w:color w:val="auto"/>
                <w:kern w:val="0"/>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0157F79">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9A02D8D">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846DD9F">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1C0A996">
            <w:pPr>
              <w:widowControl/>
              <w:jc w:val="center"/>
              <w:textAlignment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EDE375">
            <w:pPr>
              <w:jc w:val="center"/>
              <w:rPr>
                <w:rFonts w:hint="default" w:ascii="Times New Roman" w:hAnsi="Times New Roman" w:eastAsia="仿宋_GB2312" w:cs="Times New Roman"/>
                <w:color w:val="auto"/>
                <w:sz w:val="24"/>
              </w:rPr>
            </w:pPr>
          </w:p>
        </w:tc>
      </w:tr>
      <w:tr w14:paraId="5DBF7B87">
        <w:tblPrEx>
          <w:tblCellMar>
            <w:top w:w="15" w:type="dxa"/>
            <w:left w:w="15" w:type="dxa"/>
            <w:bottom w:w="15" w:type="dxa"/>
            <w:right w:w="15" w:type="dxa"/>
          </w:tblCellMar>
        </w:tblPrEx>
        <w:trPr>
          <w:trHeight w:val="61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7B0B357">
            <w:pPr>
              <w:widowControl/>
              <w:jc w:val="center"/>
              <w:textAlignment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kern w:val="0"/>
                <w:sz w:val="24"/>
                <w:lang w:val="en-US" w:eastAsia="zh-CN"/>
              </w:rPr>
              <w:t>3</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BC6B46E">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C25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74446B2">
            <w:pPr>
              <w:widowControl/>
              <w:jc w:val="center"/>
              <w:textAlignment w:val="center"/>
              <w:rPr>
                <w:rFonts w:hint="default" w:ascii="Times New Roman" w:hAnsi="Times New Roman" w:eastAsia="仿宋_GB2312" w:cs="Times New Roman"/>
                <w:color w:val="auto"/>
                <w:kern w:val="0"/>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521B77D">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F6A05E5">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638067C6">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26904D6">
            <w:pPr>
              <w:widowControl/>
              <w:jc w:val="center"/>
              <w:textAlignment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680280">
            <w:pPr>
              <w:jc w:val="center"/>
              <w:rPr>
                <w:rFonts w:hint="default" w:ascii="Times New Roman" w:hAnsi="Times New Roman" w:eastAsia="仿宋_GB2312" w:cs="Times New Roman"/>
                <w:color w:val="auto"/>
                <w:sz w:val="24"/>
              </w:rPr>
            </w:pPr>
          </w:p>
        </w:tc>
      </w:tr>
      <w:tr w14:paraId="1AE50894">
        <w:tblPrEx>
          <w:tblCellMar>
            <w:top w:w="15" w:type="dxa"/>
            <w:left w:w="15" w:type="dxa"/>
            <w:bottom w:w="15" w:type="dxa"/>
            <w:right w:w="15" w:type="dxa"/>
          </w:tblCellMar>
        </w:tblPrEx>
        <w:trPr>
          <w:trHeight w:val="67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F4E8892">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val="en-US" w:eastAsia="zh-CN"/>
              </w:rPr>
              <w:t>4</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528A056B">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C30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325AE2D">
            <w:pPr>
              <w:widowControl/>
              <w:jc w:val="center"/>
              <w:textAlignment w:val="center"/>
              <w:rPr>
                <w:rFonts w:hint="default" w:ascii="Times New Roman" w:hAnsi="Times New Roman" w:eastAsia="仿宋_GB2312" w:cs="Times New Roman"/>
                <w:color w:val="auto"/>
                <w:kern w:val="0"/>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3B464BB">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3468F88">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0CB6566">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C56C6A9">
            <w:pPr>
              <w:widowControl/>
              <w:jc w:val="center"/>
              <w:textAlignment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C38C03">
            <w:pPr>
              <w:jc w:val="center"/>
              <w:rPr>
                <w:rFonts w:hint="default" w:ascii="Times New Roman" w:hAnsi="Times New Roman" w:eastAsia="仿宋_GB2312" w:cs="Times New Roman"/>
                <w:color w:val="auto"/>
                <w:sz w:val="24"/>
              </w:rPr>
            </w:pPr>
          </w:p>
        </w:tc>
      </w:tr>
      <w:tr w14:paraId="21B5F06D">
        <w:tblPrEx>
          <w:tblCellMar>
            <w:top w:w="15" w:type="dxa"/>
            <w:left w:w="15" w:type="dxa"/>
            <w:bottom w:w="15" w:type="dxa"/>
            <w:right w:w="15" w:type="dxa"/>
          </w:tblCellMar>
        </w:tblPrEx>
        <w:trPr>
          <w:trHeight w:val="68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EEDC577">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5</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36B43234">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C35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7343EF5">
            <w:pPr>
              <w:jc w:val="center"/>
              <w:rPr>
                <w:rFonts w:hint="default" w:ascii="Times New Roman" w:hAnsi="Times New Roman" w:eastAsia="仿宋_GB2312" w:cs="Times New Roman"/>
                <w:color w:val="auto"/>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4FE1670">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8505B3">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C62A52B">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4F8FB26">
            <w:pPr>
              <w:jc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62B208A">
            <w:pPr>
              <w:jc w:val="center"/>
              <w:rPr>
                <w:rFonts w:hint="default" w:ascii="Times New Roman" w:hAnsi="Times New Roman" w:eastAsia="仿宋_GB2312" w:cs="Times New Roman"/>
                <w:color w:val="auto"/>
                <w:sz w:val="24"/>
              </w:rPr>
            </w:pPr>
          </w:p>
        </w:tc>
      </w:tr>
      <w:tr w14:paraId="0294E615">
        <w:tblPrEx>
          <w:tblCellMar>
            <w:top w:w="15" w:type="dxa"/>
            <w:left w:w="15" w:type="dxa"/>
            <w:bottom w:w="15" w:type="dxa"/>
            <w:right w:w="15" w:type="dxa"/>
          </w:tblCellMar>
        </w:tblPrEx>
        <w:trPr>
          <w:trHeight w:val="68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A7A4DA2">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FDF1869">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C40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232E214">
            <w:pPr>
              <w:jc w:val="center"/>
              <w:rPr>
                <w:rFonts w:hint="default" w:ascii="Times New Roman" w:hAnsi="Times New Roman" w:eastAsia="仿宋_GB2312" w:cs="Times New Roman"/>
                <w:color w:val="auto"/>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C188C5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E79593">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63BB8927">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A2CD97E">
            <w:pPr>
              <w:jc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87A30A4">
            <w:pPr>
              <w:jc w:val="center"/>
              <w:rPr>
                <w:rFonts w:hint="default" w:ascii="Times New Roman" w:hAnsi="Times New Roman" w:eastAsia="仿宋_GB2312" w:cs="Times New Roman"/>
                <w:color w:val="auto"/>
                <w:sz w:val="24"/>
              </w:rPr>
            </w:pPr>
          </w:p>
        </w:tc>
      </w:tr>
      <w:tr w14:paraId="4861F527">
        <w:tblPrEx>
          <w:tblCellMar>
            <w:top w:w="15" w:type="dxa"/>
            <w:left w:w="15" w:type="dxa"/>
            <w:bottom w:w="15" w:type="dxa"/>
            <w:right w:w="15" w:type="dxa"/>
          </w:tblCellMar>
        </w:tblPrEx>
        <w:trPr>
          <w:trHeight w:val="68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878F478">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027C8921">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C45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D90700C">
            <w:pPr>
              <w:jc w:val="center"/>
              <w:rPr>
                <w:rFonts w:hint="default" w:ascii="Times New Roman" w:hAnsi="Times New Roman" w:eastAsia="仿宋_GB2312" w:cs="Times New Roman"/>
                <w:color w:val="auto"/>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007F06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7558B54">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6F2EE3F">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671AACF">
            <w:pPr>
              <w:jc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45EE205">
            <w:pPr>
              <w:jc w:val="center"/>
              <w:rPr>
                <w:rFonts w:hint="default" w:ascii="Times New Roman" w:hAnsi="Times New Roman" w:eastAsia="仿宋_GB2312" w:cs="Times New Roman"/>
                <w:color w:val="auto"/>
                <w:sz w:val="24"/>
              </w:rPr>
            </w:pPr>
          </w:p>
        </w:tc>
      </w:tr>
      <w:tr w14:paraId="2AFB2A3C">
        <w:tblPrEx>
          <w:tblCellMar>
            <w:top w:w="15" w:type="dxa"/>
            <w:left w:w="15" w:type="dxa"/>
            <w:bottom w:w="15" w:type="dxa"/>
            <w:right w:w="15" w:type="dxa"/>
          </w:tblCellMar>
        </w:tblPrEx>
        <w:trPr>
          <w:trHeight w:val="68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E573B26">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E651C9E">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C50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E0DF734">
            <w:pPr>
              <w:jc w:val="center"/>
              <w:rPr>
                <w:rFonts w:hint="default" w:ascii="Times New Roman" w:hAnsi="Times New Roman" w:eastAsia="仿宋_GB2312" w:cs="Times New Roman"/>
                <w:color w:val="auto"/>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D35C5FB">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84F858">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EB96F56">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8D362F6">
            <w:pPr>
              <w:jc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CB0B533">
            <w:pPr>
              <w:jc w:val="center"/>
              <w:rPr>
                <w:rFonts w:hint="default" w:ascii="Times New Roman" w:hAnsi="Times New Roman" w:eastAsia="仿宋_GB2312" w:cs="Times New Roman"/>
                <w:color w:val="auto"/>
                <w:sz w:val="24"/>
              </w:rPr>
            </w:pPr>
          </w:p>
        </w:tc>
      </w:tr>
      <w:tr w14:paraId="23BD53BA">
        <w:tblPrEx>
          <w:tblCellMar>
            <w:top w:w="15" w:type="dxa"/>
            <w:left w:w="15" w:type="dxa"/>
            <w:bottom w:w="15" w:type="dxa"/>
            <w:right w:w="15" w:type="dxa"/>
          </w:tblCellMar>
        </w:tblPrEx>
        <w:trPr>
          <w:trHeight w:val="68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9F9324C">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9</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2FB7429">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C55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BF8B3FD">
            <w:pPr>
              <w:jc w:val="center"/>
              <w:rPr>
                <w:rFonts w:hint="default" w:ascii="Times New Roman" w:hAnsi="Times New Roman" w:eastAsia="仿宋_GB2312" w:cs="Times New Roman"/>
                <w:color w:val="auto"/>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5FDF98C">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5634A32">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0AD224D">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C67EDC6">
            <w:pPr>
              <w:jc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B492390">
            <w:pPr>
              <w:jc w:val="center"/>
              <w:rPr>
                <w:rFonts w:hint="default" w:ascii="Times New Roman" w:hAnsi="Times New Roman" w:eastAsia="仿宋_GB2312" w:cs="Times New Roman"/>
                <w:color w:val="auto"/>
                <w:sz w:val="24"/>
              </w:rPr>
            </w:pPr>
          </w:p>
        </w:tc>
      </w:tr>
      <w:tr w14:paraId="0F94FAEE">
        <w:tblPrEx>
          <w:tblCellMar>
            <w:top w:w="15" w:type="dxa"/>
            <w:left w:w="15" w:type="dxa"/>
            <w:bottom w:w="15" w:type="dxa"/>
            <w:right w:w="15" w:type="dxa"/>
          </w:tblCellMar>
        </w:tblPrEx>
        <w:trPr>
          <w:trHeight w:val="68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FA3FDF2">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10</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5F800683">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C60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3E84956">
            <w:pPr>
              <w:jc w:val="center"/>
              <w:rPr>
                <w:rFonts w:hint="default" w:ascii="Times New Roman" w:hAnsi="Times New Roman" w:eastAsia="仿宋_GB2312" w:cs="Times New Roman"/>
                <w:color w:val="auto"/>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6FEDA05">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04C220F">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26AE786">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9303BFD">
            <w:pPr>
              <w:jc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B936471">
            <w:pPr>
              <w:jc w:val="center"/>
              <w:rPr>
                <w:rFonts w:hint="default" w:ascii="Times New Roman" w:hAnsi="Times New Roman" w:eastAsia="仿宋_GB2312" w:cs="Times New Roman"/>
                <w:color w:val="auto"/>
                <w:sz w:val="24"/>
              </w:rPr>
            </w:pPr>
          </w:p>
        </w:tc>
      </w:tr>
      <w:tr w14:paraId="14AC7B3E">
        <w:tblPrEx>
          <w:tblCellMar>
            <w:top w:w="15" w:type="dxa"/>
            <w:left w:w="15" w:type="dxa"/>
            <w:bottom w:w="15" w:type="dxa"/>
            <w:right w:w="15" w:type="dxa"/>
          </w:tblCellMar>
        </w:tblPrEx>
        <w:trPr>
          <w:trHeight w:val="68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6C872DD">
            <w:pPr>
              <w:jc w:val="center"/>
              <w:rPr>
                <w:rFonts w:hint="default" w:ascii="Times New Roman" w:hAnsi="Times New Roman" w:eastAsia="仿宋_GB2312" w:cs="Times New Roman"/>
                <w:color w:val="auto"/>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40D4F21D">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合计</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53607D0">
            <w:pPr>
              <w:jc w:val="center"/>
              <w:rPr>
                <w:rFonts w:hint="default" w:ascii="Times New Roman" w:hAnsi="Times New Roman" w:eastAsia="仿宋_GB2312" w:cs="Times New Roman"/>
                <w:color w:val="auto"/>
                <w:sz w:val="24"/>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1794E99">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B967E33">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C15F027">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A9F3CF6">
            <w:pPr>
              <w:jc w:val="center"/>
              <w:rPr>
                <w:rFonts w:hint="default" w:ascii="Times New Roman" w:hAnsi="Times New Roman" w:eastAsia="仿宋_GB2312"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572D412">
            <w:pPr>
              <w:jc w:val="center"/>
              <w:rPr>
                <w:rFonts w:hint="default" w:ascii="Times New Roman" w:hAnsi="Times New Roman" w:eastAsia="仿宋_GB2312" w:cs="Times New Roman"/>
                <w:color w:val="auto"/>
                <w:sz w:val="24"/>
              </w:rPr>
            </w:pPr>
          </w:p>
        </w:tc>
      </w:tr>
      <w:tr w14:paraId="051E78E3">
        <w:tblPrEx>
          <w:tblCellMar>
            <w:top w:w="15" w:type="dxa"/>
            <w:left w:w="15" w:type="dxa"/>
            <w:bottom w:w="15" w:type="dxa"/>
            <w:right w:w="15" w:type="dxa"/>
          </w:tblCellMar>
        </w:tblPrEx>
        <w:trPr>
          <w:trHeight w:val="689" w:hRule="atLeast"/>
          <w:jc w:val="center"/>
        </w:trPr>
        <w:tc>
          <w:tcPr>
            <w:tcW w:w="8517" w:type="dxa"/>
            <w:gridSpan w:val="8"/>
            <w:tcBorders>
              <w:top w:val="single" w:color="auto" w:sz="4" w:space="0"/>
              <w:left w:val="single" w:color="auto" w:sz="4" w:space="0"/>
              <w:bottom w:val="single" w:color="auto" w:sz="4" w:space="0"/>
              <w:right w:val="single" w:color="auto" w:sz="4" w:space="0"/>
            </w:tcBorders>
            <w:noWrap w:val="0"/>
            <w:vAlign w:val="center"/>
          </w:tcPr>
          <w:p w14:paraId="2E56FFA4">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不含税总金额（大写）：</w:t>
            </w:r>
          </w:p>
        </w:tc>
      </w:tr>
      <w:tr w14:paraId="75FFB94C">
        <w:tblPrEx>
          <w:tblCellMar>
            <w:top w:w="15" w:type="dxa"/>
            <w:left w:w="15" w:type="dxa"/>
            <w:bottom w:w="15" w:type="dxa"/>
            <w:right w:w="15" w:type="dxa"/>
          </w:tblCellMar>
        </w:tblPrEx>
        <w:trPr>
          <w:trHeight w:val="689" w:hRule="atLeast"/>
          <w:jc w:val="center"/>
        </w:trPr>
        <w:tc>
          <w:tcPr>
            <w:tcW w:w="8517" w:type="dxa"/>
            <w:gridSpan w:val="8"/>
            <w:tcBorders>
              <w:top w:val="single" w:color="auto" w:sz="4" w:space="0"/>
              <w:left w:val="single" w:color="auto" w:sz="4" w:space="0"/>
              <w:bottom w:val="single" w:color="auto" w:sz="4" w:space="0"/>
              <w:right w:val="single" w:color="auto" w:sz="4" w:space="0"/>
            </w:tcBorders>
            <w:noWrap w:val="0"/>
            <w:vAlign w:val="center"/>
          </w:tcPr>
          <w:p w14:paraId="6B4E54E7">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含税总金额（大写）：</w:t>
            </w:r>
          </w:p>
        </w:tc>
      </w:tr>
      <w:tr w14:paraId="50F07073">
        <w:tblPrEx>
          <w:tblCellMar>
            <w:top w:w="15" w:type="dxa"/>
            <w:left w:w="15" w:type="dxa"/>
            <w:bottom w:w="15" w:type="dxa"/>
            <w:right w:w="15" w:type="dxa"/>
          </w:tblCellMar>
        </w:tblPrEx>
        <w:trPr>
          <w:trHeight w:val="1508" w:hRule="atLeast"/>
          <w:jc w:val="center"/>
        </w:trPr>
        <w:tc>
          <w:tcPr>
            <w:tcW w:w="8517" w:type="dxa"/>
            <w:gridSpan w:val="8"/>
            <w:tcBorders>
              <w:top w:val="single" w:color="auto" w:sz="4" w:space="0"/>
              <w:left w:val="single" w:color="auto" w:sz="4" w:space="0"/>
              <w:bottom w:val="single" w:color="auto" w:sz="4" w:space="0"/>
              <w:right w:val="single" w:color="auto" w:sz="4" w:space="0"/>
            </w:tcBorders>
            <w:noWrap w:val="0"/>
            <w:vAlign w:val="bottom"/>
          </w:tcPr>
          <w:p w14:paraId="62B31853">
            <w:pPr>
              <w:spacing w:line="28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b w:val="0"/>
                <w:bCs w:val="0"/>
                <w:color w:val="auto"/>
                <w:sz w:val="24"/>
              </w:rPr>
              <w:t>单价调整</w:t>
            </w:r>
            <w:r>
              <w:rPr>
                <w:rFonts w:hint="default" w:ascii="Times New Roman" w:hAnsi="Times New Roman" w:eastAsia="仿宋_GB2312" w:cs="Times New Roman"/>
                <w:color w:val="auto"/>
                <w:sz w:val="24"/>
              </w:rPr>
              <w:t>：</w:t>
            </w:r>
          </w:p>
          <w:p w14:paraId="5CC14218">
            <w:pPr>
              <w:spacing w:line="280" w:lineRule="exact"/>
              <w:ind w:firstLine="480" w:firstLineChars="200"/>
              <w:jc w:val="left"/>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eastAsia="zh-CN"/>
              </w:rPr>
              <w:t>承包人采购材料和工程设备的，应在合同中约定主要材料、工程设备价格变化的范围或幅度；当没有约定，且材料、工程设备单价变化超过</w:t>
            </w:r>
            <w:r>
              <w:rPr>
                <w:rFonts w:hint="default" w:ascii="Times New Roman" w:hAnsi="Times New Roman" w:eastAsia="仿宋_GB2312" w:cs="Times New Roman"/>
                <w:color w:val="auto"/>
                <w:sz w:val="24"/>
                <w:lang w:val="en-US" w:eastAsia="zh-CN"/>
              </w:rPr>
              <w:t>5%时，按照《建设工程工程量清单计价规范》（GB50500）相关规定执行。</w:t>
            </w:r>
          </w:p>
          <w:p w14:paraId="7B5C7C43">
            <w:pPr>
              <w:spacing w:line="280" w:lineRule="exact"/>
              <w:ind w:firstLine="0" w:firstLineChars="0"/>
              <w:jc w:val="left"/>
              <w:rPr>
                <w:rFonts w:hint="default" w:ascii="Times New Roman" w:hAnsi="Times New Roman" w:eastAsia="仿宋_GB2312" w:cs="Times New Roman"/>
                <w:color w:val="auto"/>
                <w:sz w:val="24"/>
                <w:lang w:eastAsia="zh-CN"/>
              </w:rPr>
            </w:pPr>
          </w:p>
        </w:tc>
      </w:tr>
    </w:tbl>
    <w:p w14:paraId="529E4BB4">
      <w:pPr>
        <w:spacing w:line="578" w:lineRule="exact"/>
        <w:rPr>
          <w:rFonts w:hint="default" w:ascii="Times New Roman" w:hAnsi="Times New Roman" w:eastAsia="仿宋_GB2312" w:cs="Times New Roman"/>
          <w:b w:val="0"/>
          <w:bCs w:val="0"/>
          <w:color w:val="auto"/>
          <w:sz w:val="30"/>
          <w:szCs w:val="30"/>
        </w:rPr>
      </w:pPr>
      <w:r>
        <w:rPr>
          <w:rFonts w:hint="default" w:ascii="Times New Roman" w:hAnsi="Times New Roman" w:eastAsia="仿宋_GB2312" w:cs="Times New Roman"/>
          <w:b w:val="0"/>
          <w:bCs w:val="0"/>
          <w:color w:val="auto"/>
          <w:sz w:val="28"/>
          <w:szCs w:val="28"/>
        </w:rPr>
        <w:t>2.2 特殊</w:t>
      </w:r>
      <w:r>
        <w:rPr>
          <w:rFonts w:hint="default" w:ascii="Times New Roman" w:hAnsi="Times New Roman" w:eastAsia="仿宋_GB2312" w:cs="Times New Roman"/>
          <w:b w:val="0"/>
          <w:bCs w:val="0"/>
          <w:color w:val="auto"/>
          <w:sz w:val="28"/>
          <w:szCs w:val="28"/>
          <w:lang w:eastAsia="zh-CN"/>
        </w:rPr>
        <w:t>混凝土</w:t>
      </w:r>
      <w:r>
        <w:rPr>
          <w:rFonts w:hint="default" w:ascii="Times New Roman" w:hAnsi="Times New Roman" w:eastAsia="仿宋_GB2312" w:cs="Times New Roman"/>
          <w:b w:val="0"/>
          <w:bCs w:val="0"/>
          <w:color w:val="auto"/>
          <w:sz w:val="28"/>
          <w:szCs w:val="28"/>
        </w:rPr>
        <w:t>单价清单：在普通混凝土价格基础上按以下标准加价</w:t>
      </w:r>
    </w:p>
    <w:tbl>
      <w:tblPr>
        <w:tblStyle w:val="8"/>
        <w:tblW w:w="85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850"/>
        <w:gridCol w:w="1613"/>
        <w:gridCol w:w="1475"/>
        <w:gridCol w:w="2551"/>
      </w:tblGrid>
      <w:tr w14:paraId="6318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60" w:type="dxa"/>
            <w:noWrap w:val="0"/>
            <w:vAlign w:val="center"/>
          </w:tcPr>
          <w:p w14:paraId="6A7F3BAB">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序号</w:t>
            </w:r>
          </w:p>
        </w:tc>
        <w:tc>
          <w:tcPr>
            <w:tcW w:w="1850" w:type="dxa"/>
            <w:noWrap w:val="0"/>
            <w:vAlign w:val="center"/>
          </w:tcPr>
          <w:p w14:paraId="3F960020">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附加收费项</w:t>
            </w:r>
          </w:p>
        </w:tc>
        <w:tc>
          <w:tcPr>
            <w:tcW w:w="1613" w:type="dxa"/>
            <w:noWrap w:val="0"/>
            <w:vAlign w:val="center"/>
          </w:tcPr>
          <w:p w14:paraId="3C1E3543">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规格/类型</w:t>
            </w:r>
          </w:p>
        </w:tc>
        <w:tc>
          <w:tcPr>
            <w:tcW w:w="1475" w:type="dxa"/>
            <w:noWrap w:val="0"/>
            <w:vAlign w:val="center"/>
          </w:tcPr>
          <w:p w14:paraId="64E1B69B">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增加收费标准（含税价）</w:t>
            </w:r>
          </w:p>
        </w:tc>
        <w:tc>
          <w:tcPr>
            <w:tcW w:w="2551" w:type="dxa"/>
            <w:noWrap w:val="0"/>
            <w:vAlign w:val="center"/>
          </w:tcPr>
          <w:p w14:paraId="0BA2F547">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备注</w:t>
            </w:r>
          </w:p>
        </w:tc>
      </w:tr>
      <w:tr w14:paraId="665E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60" w:type="dxa"/>
            <w:noWrap w:val="0"/>
            <w:vAlign w:val="center"/>
          </w:tcPr>
          <w:p w14:paraId="2B1BD7A2">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1</w:t>
            </w:r>
          </w:p>
        </w:tc>
        <w:tc>
          <w:tcPr>
            <w:tcW w:w="1850" w:type="dxa"/>
            <w:noWrap w:val="0"/>
            <w:vAlign w:val="center"/>
          </w:tcPr>
          <w:p w14:paraId="5A823A8E">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细石砼</w:t>
            </w:r>
          </w:p>
        </w:tc>
        <w:tc>
          <w:tcPr>
            <w:tcW w:w="1613" w:type="dxa"/>
            <w:noWrap w:val="0"/>
            <w:vAlign w:val="center"/>
          </w:tcPr>
          <w:p w14:paraId="434F6E5B">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highlight w:val="none"/>
              </w:rPr>
              <w:t>5~20mm粒</w:t>
            </w:r>
            <w:r>
              <w:rPr>
                <w:rFonts w:hint="default" w:ascii="Times New Roman" w:hAnsi="Times New Roman" w:eastAsia="仿宋_GB2312" w:cs="Times New Roman"/>
                <w:color w:val="auto"/>
                <w:kern w:val="0"/>
                <w:sz w:val="24"/>
              </w:rPr>
              <w:t>径</w:t>
            </w:r>
          </w:p>
        </w:tc>
        <w:tc>
          <w:tcPr>
            <w:tcW w:w="1475" w:type="dxa"/>
            <w:noWrap w:val="0"/>
            <w:vAlign w:val="center"/>
          </w:tcPr>
          <w:p w14:paraId="7E3270DC">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元/m</w:t>
            </w:r>
            <w:r>
              <w:rPr>
                <w:rFonts w:hint="default" w:ascii="Times New Roman" w:hAnsi="Times New Roman" w:eastAsia="仿宋_GB2312" w:cs="Times New Roman"/>
                <w:color w:val="auto"/>
                <w:kern w:val="0"/>
                <w:sz w:val="24"/>
                <w:vertAlign w:val="superscript"/>
              </w:rPr>
              <w:t>3</w:t>
            </w:r>
          </w:p>
        </w:tc>
        <w:tc>
          <w:tcPr>
            <w:tcW w:w="2551" w:type="dxa"/>
            <w:vMerge w:val="restart"/>
            <w:noWrap w:val="0"/>
            <w:vAlign w:val="center"/>
          </w:tcPr>
          <w:p w14:paraId="71B57332">
            <w:pPr>
              <w:numPr>
                <w:ilvl w:val="0"/>
                <w:numId w:val="0"/>
              </w:numPr>
              <w:spacing w:line="578" w:lineRule="atLeast"/>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特殊材料按供货单载明的预拌砼量结算。</w:t>
            </w:r>
          </w:p>
          <w:p w14:paraId="2BAB93F4">
            <w:pPr>
              <w:numPr>
                <w:ilvl w:val="0"/>
                <w:numId w:val="0"/>
              </w:numPr>
              <w:spacing w:line="578" w:lineRule="atLeast"/>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若特殊材料甲供，乙方按</w:t>
            </w:r>
            <w:r>
              <w:rPr>
                <w:rFonts w:hint="default" w:ascii="Times New Roman" w:hAnsi="Times New Roman" w:eastAsia="仿宋_GB2312" w:cs="Times New Roman"/>
                <w:b w:val="0"/>
                <w:bCs w:val="0"/>
                <w:color w:val="auto"/>
                <w:sz w:val="24"/>
                <w:u w:val="single"/>
                <w:lang w:val="en-US" w:eastAsia="zh-CN"/>
              </w:rPr>
              <w:t xml:space="preserve"> *</w:t>
            </w:r>
            <w:r>
              <w:rPr>
                <w:rFonts w:hint="default" w:ascii="Times New Roman" w:hAnsi="Times New Roman" w:eastAsia="仿宋_GB2312" w:cs="Times New Roman"/>
                <w:b w:val="0"/>
                <w:bCs w:val="0"/>
                <w:color w:val="auto"/>
                <w:sz w:val="24"/>
                <w:u w:val="single"/>
              </w:rPr>
              <w:t>元/m³/种</w:t>
            </w:r>
            <w:r>
              <w:rPr>
                <w:rFonts w:hint="default" w:ascii="Times New Roman" w:hAnsi="Times New Roman" w:eastAsia="仿宋_GB2312" w:cs="Times New Roman"/>
                <w:b w:val="0"/>
                <w:bCs w:val="0"/>
                <w:color w:val="auto"/>
                <w:sz w:val="24"/>
                <w:u w:val="single"/>
                <w:lang w:eastAsia="zh-CN"/>
              </w:rPr>
              <w:t>（具体价格可由甲乙双方协商）</w:t>
            </w:r>
            <w:r>
              <w:rPr>
                <w:rFonts w:hint="default" w:ascii="Times New Roman" w:hAnsi="Times New Roman" w:eastAsia="仿宋_GB2312" w:cs="Times New Roman"/>
                <w:color w:val="auto"/>
                <w:sz w:val="24"/>
              </w:rPr>
              <w:t>收添加措施费。</w:t>
            </w:r>
          </w:p>
          <w:p w14:paraId="4FD3182C">
            <w:pPr>
              <w:rPr>
                <w:rFonts w:hint="default" w:ascii="Times New Roman" w:hAnsi="Times New Roman" w:eastAsia="仿宋_GB2312" w:cs="Times New Roman"/>
                <w:color w:val="auto"/>
              </w:rPr>
            </w:pPr>
          </w:p>
          <w:p w14:paraId="7BEBB024">
            <w:pPr>
              <w:spacing w:line="578" w:lineRule="exact"/>
              <w:jc w:val="center"/>
              <w:rPr>
                <w:rFonts w:hint="default" w:ascii="Times New Roman" w:hAnsi="Times New Roman" w:eastAsia="仿宋_GB2312" w:cs="Times New Roman"/>
                <w:color w:val="auto"/>
                <w:sz w:val="24"/>
              </w:rPr>
            </w:pPr>
          </w:p>
        </w:tc>
      </w:tr>
      <w:tr w14:paraId="2067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60" w:type="dxa"/>
            <w:noWrap w:val="0"/>
            <w:vAlign w:val="center"/>
          </w:tcPr>
          <w:p w14:paraId="1C3BE0D9">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2</w:t>
            </w:r>
          </w:p>
        </w:tc>
        <w:tc>
          <w:tcPr>
            <w:tcW w:w="1850" w:type="dxa"/>
            <w:noWrap w:val="0"/>
            <w:vAlign w:val="center"/>
          </w:tcPr>
          <w:p w14:paraId="56A2286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水下砼</w:t>
            </w:r>
          </w:p>
        </w:tc>
        <w:tc>
          <w:tcPr>
            <w:tcW w:w="1613" w:type="dxa"/>
            <w:noWrap w:val="0"/>
            <w:vAlign w:val="center"/>
          </w:tcPr>
          <w:p w14:paraId="12832E43">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475" w:type="dxa"/>
            <w:noWrap w:val="0"/>
            <w:vAlign w:val="center"/>
          </w:tcPr>
          <w:p w14:paraId="3EFA2723">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元/m</w:t>
            </w:r>
            <w:r>
              <w:rPr>
                <w:rFonts w:hint="default" w:ascii="Times New Roman" w:hAnsi="Times New Roman" w:eastAsia="仿宋_GB2312" w:cs="Times New Roman"/>
                <w:color w:val="auto"/>
                <w:kern w:val="0"/>
                <w:sz w:val="24"/>
                <w:vertAlign w:val="superscript"/>
              </w:rPr>
              <w:t>3</w:t>
            </w:r>
          </w:p>
        </w:tc>
        <w:tc>
          <w:tcPr>
            <w:tcW w:w="2551" w:type="dxa"/>
            <w:vMerge w:val="continue"/>
            <w:noWrap w:val="0"/>
            <w:vAlign w:val="center"/>
          </w:tcPr>
          <w:p w14:paraId="75179A9C">
            <w:pPr>
              <w:spacing w:line="578" w:lineRule="exact"/>
              <w:ind w:firstLine="480" w:firstLineChars="200"/>
              <w:rPr>
                <w:rFonts w:hint="default" w:ascii="Times New Roman" w:hAnsi="Times New Roman" w:eastAsia="仿宋_GB2312" w:cs="Times New Roman"/>
                <w:color w:val="auto"/>
                <w:sz w:val="24"/>
              </w:rPr>
            </w:pPr>
          </w:p>
        </w:tc>
      </w:tr>
      <w:tr w14:paraId="4CD8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60" w:type="dxa"/>
            <w:noWrap w:val="0"/>
            <w:vAlign w:val="center"/>
          </w:tcPr>
          <w:p w14:paraId="2E760601">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3</w:t>
            </w:r>
          </w:p>
        </w:tc>
        <w:tc>
          <w:tcPr>
            <w:tcW w:w="1850" w:type="dxa"/>
            <w:noWrap w:val="0"/>
            <w:vAlign w:val="center"/>
          </w:tcPr>
          <w:p w14:paraId="1FC0BFD5">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w:t>
            </w:r>
          </w:p>
        </w:tc>
        <w:tc>
          <w:tcPr>
            <w:tcW w:w="1613" w:type="dxa"/>
            <w:noWrap w:val="0"/>
            <w:vAlign w:val="center"/>
          </w:tcPr>
          <w:p w14:paraId="7F22406A">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475" w:type="dxa"/>
            <w:noWrap w:val="0"/>
            <w:vAlign w:val="center"/>
          </w:tcPr>
          <w:p w14:paraId="20CC4893">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元/m</w:t>
            </w:r>
            <w:r>
              <w:rPr>
                <w:rFonts w:hint="default" w:ascii="Times New Roman" w:hAnsi="Times New Roman" w:eastAsia="仿宋_GB2312" w:cs="Times New Roman"/>
                <w:color w:val="auto"/>
                <w:kern w:val="0"/>
                <w:sz w:val="24"/>
                <w:vertAlign w:val="superscript"/>
              </w:rPr>
              <w:t>3</w:t>
            </w:r>
          </w:p>
        </w:tc>
        <w:tc>
          <w:tcPr>
            <w:tcW w:w="2551" w:type="dxa"/>
            <w:vMerge w:val="continue"/>
            <w:noWrap w:val="0"/>
            <w:vAlign w:val="center"/>
          </w:tcPr>
          <w:p w14:paraId="407FD5AC">
            <w:pPr>
              <w:spacing w:line="578" w:lineRule="exact"/>
              <w:jc w:val="center"/>
              <w:rPr>
                <w:rFonts w:hint="default" w:ascii="Times New Roman" w:hAnsi="Times New Roman" w:eastAsia="仿宋_GB2312" w:cs="Times New Roman"/>
                <w:color w:val="auto"/>
                <w:sz w:val="24"/>
              </w:rPr>
            </w:pPr>
          </w:p>
        </w:tc>
      </w:tr>
      <w:tr w14:paraId="4A9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60" w:type="dxa"/>
            <w:noWrap w:val="0"/>
            <w:vAlign w:val="center"/>
          </w:tcPr>
          <w:p w14:paraId="46FBD9C6">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4</w:t>
            </w:r>
          </w:p>
        </w:tc>
        <w:tc>
          <w:tcPr>
            <w:tcW w:w="1850" w:type="dxa"/>
            <w:noWrap w:val="0"/>
            <w:vAlign w:val="center"/>
          </w:tcPr>
          <w:p w14:paraId="04F062D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u w:val="none"/>
                <w:lang w:val="en-US" w:eastAsia="zh-CN"/>
              </w:rPr>
              <w:t>.......</w:t>
            </w:r>
          </w:p>
        </w:tc>
        <w:tc>
          <w:tcPr>
            <w:tcW w:w="1613" w:type="dxa"/>
            <w:noWrap w:val="0"/>
            <w:vAlign w:val="center"/>
          </w:tcPr>
          <w:p w14:paraId="2245B398">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475" w:type="dxa"/>
            <w:noWrap w:val="0"/>
            <w:vAlign w:val="center"/>
          </w:tcPr>
          <w:p w14:paraId="0D35C749">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元/m</w:t>
            </w:r>
            <w:r>
              <w:rPr>
                <w:rFonts w:hint="default" w:ascii="Times New Roman" w:hAnsi="Times New Roman" w:eastAsia="仿宋_GB2312" w:cs="Times New Roman"/>
                <w:color w:val="auto"/>
                <w:kern w:val="0"/>
                <w:sz w:val="24"/>
                <w:vertAlign w:val="superscript"/>
              </w:rPr>
              <w:t>3</w:t>
            </w:r>
          </w:p>
        </w:tc>
        <w:tc>
          <w:tcPr>
            <w:tcW w:w="2551" w:type="dxa"/>
            <w:vMerge w:val="continue"/>
            <w:noWrap w:val="0"/>
            <w:vAlign w:val="center"/>
          </w:tcPr>
          <w:p w14:paraId="04B9F210">
            <w:pPr>
              <w:spacing w:line="578" w:lineRule="exact"/>
              <w:jc w:val="center"/>
              <w:rPr>
                <w:rFonts w:hint="default" w:ascii="Times New Roman" w:hAnsi="Times New Roman" w:eastAsia="仿宋_GB2312" w:cs="Times New Roman"/>
                <w:color w:val="auto"/>
                <w:sz w:val="24"/>
              </w:rPr>
            </w:pPr>
          </w:p>
        </w:tc>
      </w:tr>
      <w:tr w14:paraId="607D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60" w:type="dxa"/>
            <w:noWrap w:val="0"/>
            <w:vAlign w:val="center"/>
          </w:tcPr>
          <w:p w14:paraId="1FB91277">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5</w:t>
            </w:r>
          </w:p>
        </w:tc>
        <w:tc>
          <w:tcPr>
            <w:tcW w:w="1850" w:type="dxa"/>
            <w:noWrap w:val="0"/>
            <w:vAlign w:val="center"/>
          </w:tcPr>
          <w:p w14:paraId="51F6F81E">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w:t>
            </w:r>
          </w:p>
        </w:tc>
        <w:tc>
          <w:tcPr>
            <w:tcW w:w="1613" w:type="dxa"/>
            <w:noWrap w:val="0"/>
            <w:vAlign w:val="center"/>
          </w:tcPr>
          <w:p w14:paraId="1216A922">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475" w:type="dxa"/>
            <w:noWrap w:val="0"/>
            <w:vAlign w:val="center"/>
          </w:tcPr>
          <w:p w14:paraId="12306417">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元/m</w:t>
            </w:r>
            <w:r>
              <w:rPr>
                <w:rFonts w:hint="default" w:ascii="Times New Roman" w:hAnsi="Times New Roman" w:eastAsia="仿宋_GB2312" w:cs="Times New Roman"/>
                <w:color w:val="auto"/>
                <w:kern w:val="0"/>
                <w:sz w:val="24"/>
                <w:vertAlign w:val="superscript"/>
              </w:rPr>
              <w:t>3</w:t>
            </w:r>
          </w:p>
        </w:tc>
        <w:tc>
          <w:tcPr>
            <w:tcW w:w="2551" w:type="dxa"/>
            <w:vMerge w:val="continue"/>
            <w:noWrap w:val="0"/>
            <w:vAlign w:val="center"/>
          </w:tcPr>
          <w:p w14:paraId="2BCCB6D7">
            <w:pPr>
              <w:spacing w:line="578" w:lineRule="exact"/>
              <w:jc w:val="center"/>
              <w:rPr>
                <w:rFonts w:hint="default" w:ascii="Times New Roman" w:hAnsi="Times New Roman" w:eastAsia="仿宋_GB2312" w:cs="Times New Roman"/>
                <w:color w:val="auto"/>
                <w:sz w:val="24"/>
              </w:rPr>
            </w:pPr>
          </w:p>
        </w:tc>
      </w:tr>
      <w:tr w14:paraId="4040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60" w:type="dxa"/>
            <w:noWrap w:val="0"/>
            <w:vAlign w:val="center"/>
          </w:tcPr>
          <w:p w14:paraId="7EC61B1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6</w:t>
            </w:r>
          </w:p>
        </w:tc>
        <w:tc>
          <w:tcPr>
            <w:tcW w:w="1850" w:type="dxa"/>
            <w:noWrap w:val="0"/>
            <w:vAlign w:val="center"/>
          </w:tcPr>
          <w:p w14:paraId="4C4E10E1">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w:t>
            </w:r>
          </w:p>
        </w:tc>
        <w:tc>
          <w:tcPr>
            <w:tcW w:w="1613" w:type="dxa"/>
            <w:noWrap w:val="0"/>
            <w:vAlign w:val="center"/>
          </w:tcPr>
          <w:p w14:paraId="39DAB7A8">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475" w:type="dxa"/>
            <w:noWrap w:val="0"/>
            <w:vAlign w:val="center"/>
          </w:tcPr>
          <w:p w14:paraId="162FF92C">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元/m</w:t>
            </w:r>
            <w:r>
              <w:rPr>
                <w:rFonts w:hint="default" w:ascii="Times New Roman" w:hAnsi="Times New Roman" w:eastAsia="仿宋_GB2312" w:cs="Times New Roman"/>
                <w:color w:val="auto"/>
                <w:kern w:val="0"/>
                <w:sz w:val="24"/>
                <w:vertAlign w:val="superscript"/>
              </w:rPr>
              <w:t>3</w:t>
            </w:r>
          </w:p>
        </w:tc>
        <w:tc>
          <w:tcPr>
            <w:tcW w:w="2551" w:type="dxa"/>
            <w:vMerge w:val="continue"/>
            <w:noWrap w:val="0"/>
            <w:vAlign w:val="center"/>
          </w:tcPr>
          <w:p w14:paraId="1DDBF656">
            <w:pPr>
              <w:spacing w:line="578" w:lineRule="exact"/>
              <w:jc w:val="center"/>
              <w:rPr>
                <w:rFonts w:hint="default" w:ascii="Times New Roman" w:hAnsi="Times New Roman" w:eastAsia="仿宋_GB2312" w:cs="Times New Roman"/>
                <w:color w:val="auto"/>
                <w:sz w:val="24"/>
              </w:rPr>
            </w:pPr>
          </w:p>
        </w:tc>
      </w:tr>
      <w:tr w14:paraId="43EB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60" w:type="dxa"/>
            <w:noWrap w:val="0"/>
            <w:vAlign w:val="center"/>
          </w:tcPr>
          <w:p w14:paraId="02FFDF2E">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7</w:t>
            </w:r>
          </w:p>
        </w:tc>
        <w:tc>
          <w:tcPr>
            <w:tcW w:w="1850" w:type="dxa"/>
            <w:noWrap w:val="0"/>
            <w:vAlign w:val="center"/>
          </w:tcPr>
          <w:p w14:paraId="6122456A">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w:t>
            </w:r>
          </w:p>
        </w:tc>
        <w:tc>
          <w:tcPr>
            <w:tcW w:w="1613" w:type="dxa"/>
            <w:noWrap w:val="0"/>
            <w:vAlign w:val="center"/>
          </w:tcPr>
          <w:p w14:paraId="14B3678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p>
        </w:tc>
        <w:tc>
          <w:tcPr>
            <w:tcW w:w="1475" w:type="dxa"/>
            <w:noWrap w:val="0"/>
            <w:vAlign w:val="center"/>
          </w:tcPr>
          <w:p w14:paraId="16D32812">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元/m</w:t>
            </w:r>
            <w:r>
              <w:rPr>
                <w:rFonts w:hint="default" w:ascii="Times New Roman" w:hAnsi="Times New Roman" w:eastAsia="仿宋_GB2312" w:cs="Times New Roman"/>
                <w:color w:val="auto"/>
                <w:kern w:val="0"/>
                <w:sz w:val="24"/>
                <w:vertAlign w:val="superscript"/>
              </w:rPr>
              <w:t>3</w:t>
            </w:r>
          </w:p>
        </w:tc>
        <w:tc>
          <w:tcPr>
            <w:tcW w:w="2551" w:type="dxa"/>
            <w:vMerge w:val="continue"/>
            <w:noWrap w:val="0"/>
            <w:vAlign w:val="center"/>
          </w:tcPr>
          <w:p w14:paraId="20371CF9">
            <w:pPr>
              <w:spacing w:line="578" w:lineRule="exact"/>
              <w:jc w:val="center"/>
              <w:rPr>
                <w:rFonts w:hint="default" w:ascii="Times New Roman" w:hAnsi="Times New Roman" w:eastAsia="仿宋_GB2312" w:cs="Times New Roman"/>
                <w:color w:val="auto"/>
                <w:sz w:val="24"/>
              </w:rPr>
            </w:pPr>
          </w:p>
        </w:tc>
      </w:tr>
    </w:tbl>
    <w:p w14:paraId="18274D05">
      <w:pPr>
        <w:spacing w:line="578" w:lineRule="exact"/>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 xml:space="preserve">2.3 泵送价格约定 </w:t>
      </w:r>
    </w:p>
    <w:tbl>
      <w:tblPr>
        <w:tblStyle w:val="8"/>
        <w:tblW w:w="859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34"/>
        <w:gridCol w:w="1676"/>
        <w:gridCol w:w="2124"/>
        <w:gridCol w:w="2780"/>
      </w:tblGrid>
      <w:tr w14:paraId="55B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6" w:type="dxa"/>
            <w:noWrap w:val="0"/>
            <w:vAlign w:val="center"/>
          </w:tcPr>
          <w:p w14:paraId="5E2FA3F1">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序号</w:t>
            </w:r>
          </w:p>
        </w:tc>
        <w:tc>
          <w:tcPr>
            <w:tcW w:w="1234" w:type="dxa"/>
            <w:noWrap w:val="0"/>
            <w:vAlign w:val="center"/>
          </w:tcPr>
          <w:p w14:paraId="20ACF5AA">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泵送</w:t>
            </w:r>
          </w:p>
          <w:p w14:paraId="7F8D7ACA">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种类</w:t>
            </w:r>
          </w:p>
        </w:tc>
        <w:tc>
          <w:tcPr>
            <w:tcW w:w="1676" w:type="dxa"/>
            <w:noWrap w:val="0"/>
            <w:vAlign w:val="center"/>
          </w:tcPr>
          <w:p w14:paraId="0B1370E6">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规格分类</w:t>
            </w:r>
          </w:p>
        </w:tc>
        <w:tc>
          <w:tcPr>
            <w:tcW w:w="2124" w:type="dxa"/>
            <w:noWrap w:val="0"/>
            <w:vAlign w:val="center"/>
          </w:tcPr>
          <w:p w14:paraId="0517032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含税单价</w:t>
            </w:r>
          </w:p>
          <w:p w14:paraId="5D23F079">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（元/ m³）</w:t>
            </w:r>
          </w:p>
        </w:tc>
        <w:tc>
          <w:tcPr>
            <w:tcW w:w="2780" w:type="dxa"/>
            <w:noWrap w:val="0"/>
            <w:vAlign w:val="center"/>
          </w:tcPr>
          <w:p w14:paraId="5B3C7DF6">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备注</w:t>
            </w:r>
          </w:p>
        </w:tc>
      </w:tr>
      <w:tr w14:paraId="1F42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6" w:type="dxa"/>
            <w:noWrap w:val="0"/>
            <w:vAlign w:val="center"/>
          </w:tcPr>
          <w:p w14:paraId="146A618D">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w:t>
            </w:r>
          </w:p>
        </w:tc>
        <w:tc>
          <w:tcPr>
            <w:tcW w:w="1234" w:type="dxa"/>
            <w:vMerge w:val="restart"/>
            <w:noWrap w:val="0"/>
            <w:vAlign w:val="center"/>
          </w:tcPr>
          <w:p w14:paraId="41040B07">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汽车泵</w:t>
            </w:r>
          </w:p>
        </w:tc>
        <w:tc>
          <w:tcPr>
            <w:tcW w:w="1676" w:type="dxa"/>
            <w:noWrap w:val="0"/>
            <w:vAlign w:val="center"/>
          </w:tcPr>
          <w:p w14:paraId="1E367DAF">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52米以下（不含52米)</w:t>
            </w:r>
          </w:p>
        </w:tc>
        <w:tc>
          <w:tcPr>
            <w:tcW w:w="2124" w:type="dxa"/>
            <w:noWrap w:val="0"/>
            <w:vAlign w:val="center"/>
          </w:tcPr>
          <w:p w14:paraId="628B2643">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u w:val="single"/>
                <w:lang w:val="en-US" w:eastAsia="zh-CN"/>
              </w:rPr>
              <w:t>**</w:t>
            </w:r>
          </w:p>
        </w:tc>
        <w:tc>
          <w:tcPr>
            <w:tcW w:w="2780" w:type="dxa"/>
            <w:noWrap w:val="0"/>
            <w:vAlign w:val="center"/>
          </w:tcPr>
          <w:p w14:paraId="55DBCB4C">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8"/>
                <w:szCs w:val="28"/>
              </w:rPr>
              <w:t>普通泵送</w:t>
            </w:r>
          </w:p>
        </w:tc>
      </w:tr>
      <w:tr w14:paraId="4A75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6" w:type="dxa"/>
            <w:noWrap w:val="0"/>
            <w:vAlign w:val="center"/>
          </w:tcPr>
          <w:p w14:paraId="0EF42225">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2</w:t>
            </w:r>
          </w:p>
        </w:tc>
        <w:tc>
          <w:tcPr>
            <w:tcW w:w="1234" w:type="dxa"/>
            <w:vMerge w:val="continue"/>
            <w:noWrap w:val="0"/>
            <w:vAlign w:val="center"/>
          </w:tcPr>
          <w:p w14:paraId="4FD3FACA">
            <w:pPr>
              <w:widowControl/>
              <w:jc w:val="center"/>
              <w:textAlignment w:val="center"/>
              <w:rPr>
                <w:rFonts w:hint="default" w:ascii="Times New Roman" w:hAnsi="Times New Roman" w:eastAsia="仿宋_GB2312" w:cs="Times New Roman"/>
                <w:color w:val="auto"/>
                <w:kern w:val="0"/>
                <w:sz w:val="24"/>
                <w:szCs w:val="24"/>
                <w:lang w:val="en-US" w:eastAsia="zh-CN" w:bidi="ar-SA"/>
              </w:rPr>
            </w:pPr>
          </w:p>
        </w:tc>
        <w:tc>
          <w:tcPr>
            <w:tcW w:w="1676" w:type="dxa"/>
            <w:noWrap w:val="0"/>
            <w:vAlign w:val="center"/>
          </w:tcPr>
          <w:p w14:paraId="1513C9D6">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52米及以上</w:t>
            </w:r>
          </w:p>
        </w:tc>
        <w:tc>
          <w:tcPr>
            <w:tcW w:w="2124" w:type="dxa"/>
            <w:noWrap w:val="0"/>
            <w:vAlign w:val="center"/>
          </w:tcPr>
          <w:p w14:paraId="67D628A6">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每米另加</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w:t>
            </w:r>
            <w:r>
              <w:rPr>
                <w:rFonts w:hint="default" w:ascii="Times New Roman" w:hAnsi="Times New Roman" w:eastAsia="仿宋_GB2312" w:cs="Times New Roman"/>
                <w:color w:val="auto"/>
                <w:kern w:val="0"/>
                <w:sz w:val="24"/>
                <w:lang w:val="en"/>
              </w:rPr>
              <w:t>m</w:t>
            </w:r>
            <w:r>
              <w:rPr>
                <w:rFonts w:hint="default" w:ascii="Times New Roman" w:hAnsi="Times New Roman" w:eastAsia="仿宋_GB2312" w:cs="Times New Roman"/>
                <w:color w:val="auto"/>
                <w:kern w:val="0"/>
                <w:sz w:val="24"/>
                <w:vertAlign w:val="superscript"/>
                <w:lang w:val="en"/>
              </w:rPr>
              <w:t>3</w:t>
            </w:r>
          </w:p>
        </w:tc>
        <w:tc>
          <w:tcPr>
            <w:tcW w:w="2780" w:type="dxa"/>
            <w:noWrap w:val="0"/>
            <w:vAlign w:val="center"/>
          </w:tcPr>
          <w:p w14:paraId="568B46AA">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52米及以上汽车泵，臂架长度每增加1米，单价在普通泵送费基础上每米另加</w:t>
            </w:r>
            <w:r>
              <w:rPr>
                <w:rFonts w:hint="default" w:ascii="Times New Roman" w:hAnsi="Times New Roman" w:eastAsia="仿宋_GB2312" w:cs="Times New Roman"/>
                <w:color w:val="auto"/>
                <w:kern w:val="0"/>
                <w:sz w:val="24"/>
                <w:u w:val="single"/>
                <w:lang w:val="en"/>
              </w:rPr>
              <w:t>**</w:t>
            </w:r>
            <w:r>
              <w:rPr>
                <w:rFonts w:hint="default" w:ascii="Times New Roman" w:hAnsi="Times New Roman" w:eastAsia="仿宋_GB2312" w:cs="Times New Roman"/>
                <w:color w:val="auto"/>
                <w:kern w:val="0"/>
                <w:sz w:val="24"/>
              </w:rPr>
              <w:t>元/m³。</w:t>
            </w:r>
          </w:p>
        </w:tc>
      </w:tr>
      <w:tr w14:paraId="60B7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6" w:type="dxa"/>
            <w:noWrap w:val="0"/>
            <w:vAlign w:val="center"/>
          </w:tcPr>
          <w:p w14:paraId="15F2E834">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3</w:t>
            </w:r>
          </w:p>
        </w:tc>
        <w:tc>
          <w:tcPr>
            <w:tcW w:w="1234" w:type="dxa"/>
            <w:vMerge w:val="restart"/>
            <w:noWrap w:val="0"/>
            <w:vAlign w:val="center"/>
          </w:tcPr>
          <w:p w14:paraId="7D5A9956">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车载泵</w:t>
            </w:r>
          </w:p>
        </w:tc>
        <w:tc>
          <w:tcPr>
            <w:tcW w:w="1676" w:type="dxa"/>
            <w:noWrap w:val="0"/>
            <w:vAlign w:val="center"/>
          </w:tcPr>
          <w:p w14:paraId="389804BD">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泵送高度低于100米且泵送气压在18Mpa(含)以下</w:t>
            </w:r>
          </w:p>
        </w:tc>
        <w:tc>
          <w:tcPr>
            <w:tcW w:w="2124" w:type="dxa"/>
            <w:noWrap w:val="0"/>
            <w:vAlign w:val="center"/>
          </w:tcPr>
          <w:p w14:paraId="67BE300C">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u w:val="single"/>
                <w:lang w:val="en-US" w:eastAsia="zh-CN"/>
              </w:rPr>
              <w:t>**</w:t>
            </w:r>
          </w:p>
        </w:tc>
        <w:tc>
          <w:tcPr>
            <w:tcW w:w="2780" w:type="dxa"/>
            <w:noWrap w:val="0"/>
            <w:vAlign w:val="center"/>
          </w:tcPr>
          <w:p w14:paraId="1ACF7092">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8"/>
                <w:szCs w:val="28"/>
              </w:rPr>
              <w:t>普通泵送</w:t>
            </w:r>
          </w:p>
        </w:tc>
      </w:tr>
      <w:tr w14:paraId="39BB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6" w:type="dxa"/>
            <w:noWrap w:val="0"/>
            <w:vAlign w:val="center"/>
          </w:tcPr>
          <w:p w14:paraId="08D66ADD">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4</w:t>
            </w:r>
          </w:p>
        </w:tc>
        <w:tc>
          <w:tcPr>
            <w:tcW w:w="1234" w:type="dxa"/>
            <w:vMerge w:val="continue"/>
            <w:noWrap w:val="0"/>
            <w:vAlign w:val="center"/>
          </w:tcPr>
          <w:p w14:paraId="2091A063">
            <w:pPr>
              <w:widowControl/>
              <w:jc w:val="center"/>
              <w:textAlignment w:val="center"/>
              <w:rPr>
                <w:rFonts w:hint="default" w:ascii="Times New Roman" w:hAnsi="Times New Roman" w:eastAsia="仿宋_GB2312" w:cs="Times New Roman"/>
                <w:color w:val="auto"/>
                <w:kern w:val="0"/>
                <w:sz w:val="24"/>
                <w:szCs w:val="24"/>
                <w:lang w:val="en-US" w:eastAsia="zh-CN" w:bidi="ar-SA"/>
              </w:rPr>
            </w:pPr>
          </w:p>
        </w:tc>
        <w:tc>
          <w:tcPr>
            <w:tcW w:w="1676" w:type="dxa"/>
            <w:noWrap w:val="0"/>
            <w:vAlign w:val="center"/>
          </w:tcPr>
          <w:p w14:paraId="28F4A015">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100米—150米(不含)</w:t>
            </w:r>
          </w:p>
        </w:tc>
        <w:tc>
          <w:tcPr>
            <w:tcW w:w="2124" w:type="dxa"/>
            <w:noWrap w:val="0"/>
            <w:vAlign w:val="center"/>
          </w:tcPr>
          <w:p w14:paraId="1A8446D3">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 xml:space="preserve"> 普通泵送费基础上另加</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元/m³</w:t>
            </w:r>
          </w:p>
        </w:tc>
        <w:tc>
          <w:tcPr>
            <w:tcW w:w="2780" w:type="dxa"/>
            <w:noWrap w:val="0"/>
            <w:vAlign w:val="center"/>
          </w:tcPr>
          <w:p w14:paraId="1AEAC8D4">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w:t>
            </w:r>
          </w:p>
        </w:tc>
      </w:tr>
      <w:tr w14:paraId="6A5C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76" w:type="dxa"/>
            <w:noWrap w:val="0"/>
            <w:vAlign w:val="center"/>
          </w:tcPr>
          <w:p w14:paraId="68F76718">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5</w:t>
            </w:r>
          </w:p>
        </w:tc>
        <w:tc>
          <w:tcPr>
            <w:tcW w:w="1234" w:type="dxa"/>
            <w:vMerge w:val="continue"/>
            <w:noWrap w:val="0"/>
            <w:vAlign w:val="center"/>
          </w:tcPr>
          <w:p w14:paraId="6900AC02">
            <w:pPr>
              <w:widowControl/>
              <w:jc w:val="center"/>
              <w:textAlignment w:val="center"/>
              <w:rPr>
                <w:rFonts w:hint="default" w:ascii="Times New Roman" w:hAnsi="Times New Roman" w:eastAsia="仿宋_GB2312" w:cs="Times New Roman"/>
                <w:color w:val="auto"/>
                <w:kern w:val="0"/>
                <w:sz w:val="24"/>
              </w:rPr>
            </w:pPr>
          </w:p>
        </w:tc>
        <w:tc>
          <w:tcPr>
            <w:tcW w:w="1676" w:type="dxa"/>
            <w:noWrap w:val="0"/>
            <w:vAlign w:val="center"/>
          </w:tcPr>
          <w:p w14:paraId="316C1262">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150米(含)—200米（不含）</w:t>
            </w:r>
          </w:p>
        </w:tc>
        <w:tc>
          <w:tcPr>
            <w:tcW w:w="2124" w:type="dxa"/>
            <w:noWrap w:val="0"/>
            <w:vAlign w:val="center"/>
          </w:tcPr>
          <w:p w14:paraId="70851F6B">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 xml:space="preserve"> 普通泵送费基础上另加</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元/m³</w:t>
            </w:r>
          </w:p>
        </w:tc>
        <w:tc>
          <w:tcPr>
            <w:tcW w:w="2780" w:type="dxa"/>
            <w:noWrap w:val="0"/>
            <w:vAlign w:val="center"/>
          </w:tcPr>
          <w:p w14:paraId="05D501E1">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w:t>
            </w:r>
          </w:p>
        </w:tc>
      </w:tr>
      <w:tr w14:paraId="0BEC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76" w:type="dxa"/>
            <w:noWrap w:val="0"/>
            <w:vAlign w:val="center"/>
          </w:tcPr>
          <w:p w14:paraId="0C68BFED">
            <w:pPr>
              <w:widowControl/>
              <w:jc w:val="center"/>
              <w:textAlignment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w:t>
            </w:r>
          </w:p>
        </w:tc>
        <w:tc>
          <w:tcPr>
            <w:tcW w:w="1234" w:type="dxa"/>
            <w:vMerge w:val="continue"/>
            <w:noWrap w:val="0"/>
            <w:vAlign w:val="center"/>
          </w:tcPr>
          <w:p w14:paraId="2A9CDF03">
            <w:pPr>
              <w:widowControl/>
              <w:jc w:val="center"/>
              <w:textAlignment w:val="center"/>
              <w:rPr>
                <w:rFonts w:hint="default" w:ascii="Times New Roman" w:hAnsi="Times New Roman" w:eastAsia="仿宋_GB2312" w:cs="Times New Roman"/>
                <w:color w:val="auto"/>
                <w:kern w:val="0"/>
                <w:sz w:val="24"/>
              </w:rPr>
            </w:pPr>
          </w:p>
        </w:tc>
        <w:tc>
          <w:tcPr>
            <w:tcW w:w="1676" w:type="dxa"/>
            <w:noWrap w:val="0"/>
            <w:vAlign w:val="center"/>
          </w:tcPr>
          <w:p w14:paraId="4817B0F3">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200米（含）以上</w:t>
            </w:r>
          </w:p>
        </w:tc>
        <w:tc>
          <w:tcPr>
            <w:tcW w:w="2124" w:type="dxa"/>
            <w:noWrap w:val="0"/>
            <w:vAlign w:val="center"/>
          </w:tcPr>
          <w:p w14:paraId="351AAA29">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 xml:space="preserve"> 普通泵送费基础上另加</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元/m³</w:t>
            </w:r>
          </w:p>
        </w:tc>
        <w:tc>
          <w:tcPr>
            <w:tcW w:w="2780" w:type="dxa"/>
            <w:noWrap w:val="0"/>
            <w:vAlign w:val="center"/>
          </w:tcPr>
          <w:p w14:paraId="0A95724B">
            <w:pPr>
              <w:widowControl/>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rPr>
              <w:t>\</w:t>
            </w:r>
          </w:p>
        </w:tc>
      </w:tr>
      <w:tr w14:paraId="2095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76" w:type="dxa"/>
            <w:noWrap w:val="0"/>
            <w:vAlign w:val="center"/>
          </w:tcPr>
          <w:p w14:paraId="633E44A3">
            <w:pPr>
              <w:widowControl/>
              <w:jc w:val="center"/>
              <w:textAlignment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val="en-US" w:eastAsia="zh-CN"/>
              </w:rPr>
              <w:t>7</w:t>
            </w:r>
          </w:p>
        </w:tc>
        <w:tc>
          <w:tcPr>
            <w:tcW w:w="1234" w:type="dxa"/>
            <w:noWrap w:val="0"/>
            <w:vAlign w:val="center"/>
          </w:tcPr>
          <w:p w14:paraId="16B66591">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高压车载泵</w:t>
            </w:r>
          </w:p>
        </w:tc>
        <w:tc>
          <w:tcPr>
            <w:tcW w:w="1676" w:type="dxa"/>
            <w:noWrap w:val="0"/>
            <w:vAlign w:val="center"/>
          </w:tcPr>
          <w:p w14:paraId="66D308A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18Mpa-22Mpa</w:t>
            </w:r>
          </w:p>
        </w:tc>
        <w:tc>
          <w:tcPr>
            <w:tcW w:w="2124" w:type="dxa"/>
            <w:noWrap w:val="0"/>
            <w:vAlign w:val="center"/>
          </w:tcPr>
          <w:p w14:paraId="353727AE">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普通泵送费基础上另加</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元/m³</w:t>
            </w:r>
          </w:p>
        </w:tc>
        <w:tc>
          <w:tcPr>
            <w:tcW w:w="2780" w:type="dxa"/>
            <w:noWrap w:val="0"/>
            <w:vAlign w:val="center"/>
          </w:tcPr>
          <w:p w14:paraId="10AEFCF9">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泵送高度低于100米时适用，泵送气压超过22Mpa（不含）时价格另议。</w:t>
            </w:r>
          </w:p>
        </w:tc>
      </w:tr>
      <w:tr w14:paraId="2D23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6" w:type="dxa"/>
            <w:noWrap w:val="0"/>
            <w:vAlign w:val="center"/>
          </w:tcPr>
          <w:p w14:paraId="054B23B9">
            <w:pPr>
              <w:widowControl/>
              <w:jc w:val="center"/>
              <w:textAlignment w:val="center"/>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val="en-US" w:eastAsia="zh-CN"/>
              </w:rPr>
              <w:t>8</w:t>
            </w:r>
          </w:p>
        </w:tc>
        <w:tc>
          <w:tcPr>
            <w:tcW w:w="1234" w:type="dxa"/>
            <w:noWrap w:val="0"/>
            <w:vAlign w:val="center"/>
          </w:tcPr>
          <w:p w14:paraId="25A3DA6D">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w:t>
            </w:r>
          </w:p>
        </w:tc>
        <w:tc>
          <w:tcPr>
            <w:tcW w:w="1676" w:type="dxa"/>
            <w:noWrap w:val="0"/>
            <w:vAlign w:val="center"/>
          </w:tcPr>
          <w:p w14:paraId="11CA4CDC">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w:t>
            </w:r>
          </w:p>
        </w:tc>
        <w:tc>
          <w:tcPr>
            <w:tcW w:w="2124" w:type="dxa"/>
            <w:noWrap w:val="0"/>
            <w:vAlign w:val="center"/>
          </w:tcPr>
          <w:p w14:paraId="5F5034C4">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w:t>
            </w:r>
          </w:p>
        </w:tc>
        <w:tc>
          <w:tcPr>
            <w:tcW w:w="2780" w:type="dxa"/>
            <w:noWrap w:val="0"/>
            <w:vAlign w:val="center"/>
          </w:tcPr>
          <w:p w14:paraId="2F5CE8AB">
            <w:pPr>
              <w:widowControl/>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eastAsia="zh-CN"/>
              </w:rPr>
              <w:t>其他</w:t>
            </w:r>
          </w:p>
        </w:tc>
      </w:tr>
      <w:tr w14:paraId="2F05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exact"/>
        </w:trPr>
        <w:tc>
          <w:tcPr>
            <w:tcW w:w="776" w:type="dxa"/>
            <w:noWrap w:val="0"/>
            <w:vAlign w:val="center"/>
          </w:tcPr>
          <w:p w14:paraId="47BF0091">
            <w:pPr>
              <w:widowControl/>
              <w:spacing w:line="300" w:lineRule="exact"/>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备注</w:t>
            </w:r>
          </w:p>
        </w:tc>
        <w:tc>
          <w:tcPr>
            <w:tcW w:w="7814" w:type="dxa"/>
            <w:gridSpan w:val="4"/>
            <w:noWrap w:val="0"/>
            <w:vAlign w:val="center"/>
          </w:tcPr>
          <w:p w14:paraId="5F8562CC">
            <w:pPr>
              <w:widowControl/>
              <w:spacing w:line="300" w:lineRule="exact"/>
              <w:ind w:left="120"/>
              <w:jc w:val="lef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1.若遇特殊部位浇筑、超时泵送等情况乙方需进行台班设备租赁时，甲方需支付乙方实际发生的租赁设备台班费用</w:t>
            </w:r>
            <w:r>
              <w:rPr>
                <w:rFonts w:hint="default" w:ascii="Times New Roman" w:hAnsi="Times New Roman" w:eastAsia="仿宋_GB2312" w:cs="Times New Roman"/>
                <w:color w:val="auto"/>
                <w:kern w:val="0"/>
                <w:sz w:val="24"/>
                <w:lang w:eastAsia="zh-CN"/>
              </w:rPr>
              <w:t>。</w:t>
            </w:r>
          </w:p>
          <w:p w14:paraId="7ECE7657">
            <w:pPr>
              <w:widowControl/>
              <w:spacing w:line="300" w:lineRule="exact"/>
              <w:ind w:left="120"/>
              <w:jc w:val="lef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2.甲方单次泵送需求量不足</w:t>
            </w:r>
            <w:r>
              <w:rPr>
                <w:rFonts w:hint="default" w:ascii="Times New Roman" w:hAnsi="Times New Roman" w:eastAsia="仿宋_GB2312" w:cs="Times New Roman"/>
                <w:color w:val="auto"/>
                <w:kern w:val="0"/>
                <w:sz w:val="24"/>
                <w:highlight w:val="none"/>
                <w:u w:val="single"/>
              </w:rPr>
              <w:t>**</w:t>
            </w:r>
            <w:r>
              <w:rPr>
                <w:rFonts w:hint="default" w:ascii="Times New Roman" w:hAnsi="Times New Roman" w:eastAsia="仿宋_GB2312" w:cs="Times New Roman"/>
                <w:color w:val="auto"/>
                <w:kern w:val="0"/>
                <w:sz w:val="24"/>
              </w:rPr>
              <w:t>m³时，需支付乙方单批次实际发生的租赁设备台班费用。单次台班费为</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元，时间为</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小时内（含），超出</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小时的每小时加收</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元，上不封顶。</w:t>
            </w:r>
          </w:p>
          <w:p w14:paraId="489FED25">
            <w:pPr>
              <w:widowControl/>
              <w:spacing w:line="300" w:lineRule="exact"/>
              <w:ind w:left="120"/>
              <w:jc w:val="lef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3.混凝土罐车到场后未能及时卸料，将收取超时费用，超时费用按罐车到场小时以上收取，每超时1小时收取超时费用</w:t>
            </w:r>
            <w:r>
              <w:rPr>
                <w:rFonts w:hint="default" w:ascii="Times New Roman" w:hAnsi="Times New Roman" w:eastAsia="仿宋_GB2312" w:cs="Times New Roman"/>
                <w:color w:val="auto"/>
                <w:kern w:val="0"/>
                <w:sz w:val="24"/>
                <w:u w:val="single"/>
              </w:rPr>
              <w:t>**</w:t>
            </w:r>
            <w:r>
              <w:rPr>
                <w:rFonts w:hint="default" w:ascii="Times New Roman" w:hAnsi="Times New Roman" w:eastAsia="仿宋_GB2312" w:cs="Times New Roman"/>
                <w:color w:val="auto"/>
                <w:kern w:val="0"/>
                <w:sz w:val="24"/>
              </w:rPr>
              <w:t>元/m³</w:t>
            </w:r>
            <w:r>
              <w:rPr>
                <w:rFonts w:hint="default" w:ascii="Times New Roman" w:hAnsi="Times New Roman" w:eastAsia="仿宋_GB2312" w:cs="Times New Roman"/>
                <w:color w:val="auto"/>
                <w:kern w:val="0"/>
                <w:sz w:val="24"/>
                <w:lang w:eastAsia="zh-CN"/>
              </w:rPr>
              <w:t>（不足半小时不予计取，超过半个小时按</w:t>
            </w:r>
            <w:r>
              <w:rPr>
                <w:rFonts w:hint="default" w:ascii="Times New Roman" w:hAnsi="Times New Roman" w:eastAsia="仿宋_GB2312" w:cs="Times New Roman"/>
                <w:color w:val="auto"/>
                <w:kern w:val="0"/>
                <w:sz w:val="24"/>
                <w:lang w:val="en-US" w:eastAsia="zh-CN"/>
              </w:rPr>
              <w:t>一个小时计取</w:t>
            </w: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rPr>
              <w:t>。</w:t>
            </w:r>
          </w:p>
        </w:tc>
      </w:tr>
    </w:tbl>
    <w:p w14:paraId="623D545E">
      <w:pPr>
        <w:spacing w:line="578" w:lineRule="exact"/>
        <w:rPr>
          <w:rFonts w:hint="default" w:ascii="Times New Roman" w:hAnsi="Times New Roman" w:eastAsia="仿宋" w:cs="Times New Roman"/>
          <w:b/>
          <w:color w:val="auto"/>
          <w:sz w:val="28"/>
          <w:szCs w:val="28"/>
          <w:lang w:val="en-US" w:eastAsia="zh-CN"/>
        </w:rPr>
      </w:pPr>
      <w:r>
        <w:rPr>
          <w:rFonts w:hint="default" w:ascii="Times New Roman" w:hAnsi="Times New Roman" w:eastAsia="仿宋" w:cs="Times New Roman"/>
          <w:b w:val="0"/>
          <w:bCs/>
          <w:color w:val="auto"/>
          <w:sz w:val="28"/>
          <w:szCs w:val="28"/>
          <w:lang w:val="en-US" w:eastAsia="zh-CN"/>
        </w:rPr>
        <w:t>2.4  单价计价的其他约定。</w:t>
      </w:r>
      <w:r>
        <w:rPr>
          <w:rFonts w:hint="default" w:ascii="Times New Roman" w:hAnsi="Times New Roman" w:eastAsia="仿宋" w:cs="Times New Roman"/>
          <w:b/>
          <w:color w:val="auto"/>
          <w:sz w:val="28"/>
          <w:szCs w:val="28"/>
          <w:u w:val="single"/>
          <w:lang w:val="en-US" w:eastAsia="zh-CN"/>
        </w:rPr>
        <w:t xml:space="preserve">                                 </w:t>
      </w:r>
      <w:r>
        <w:rPr>
          <w:rFonts w:hint="default" w:ascii="Times New Roman" w:hAnsi="Times New Roman" w:eastAsia="仿宋" w:cs="Times New Roman"/>
          <w:b/>
          <w:color w:val="auto"/>
          <w:sz w:val="28"/>
          <w:szCs w:val="28"/>
          <w:lang w:val="en-US" w:eastAsia="zh-CN"/>
        </w:rPr>
        <w:t xml:space="preserve">  </w:t>
      </w:r>
    </w:p>
    <w:p w14:paraId="33CAE2AD">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三、结算及付款</w:t>
      </w:r>
    </w:p>
    <w:p w14:paraId="296F7DD7">
      <w:pPr>
        <w:spacing w:line="578" w:lineRule="exact"/>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3.1 预拌混凝土计量按第</w:t>
      </w:r>
      <w:r>
        <w:rPr>
          <w:rFonts w:hint="default" w:ascii="Times New Roman" w:hAnsi="Times New Roman" w:eastAsia="仿宋_GB2312" w:cs="Times New Roman"/>
          <w:b w:val="0"/>
          <w:bCs/>
          <w:color w:val="auto"/>
          <w:sz w:val="28"/>
          <w:szCs w:val="28"/>
          <w:u w:val="single"/>
        </w:rPr>
        <w:t xml:space="preserve">     </w:t>
      </w:r>
      <w:r>
        <w:rPr>
          <w:rFonts w:hint="default" w:ascii="Times New Roman" w:hAnsi="Times New Roman" w:eastAsia="仿宋_GB2312" w:cs="Times New Roman"/>
          <w:b w:val="0"/>
          <w:bCs/>
          <w:color w:val="auto"/>
          <w:sz w:val="28"/>
          <w:szCs w:val="28"/>
        </w:rPr>
        <w:t>条方式进行结算</w:t>
      </w:r>
    </w:p>
    <w:p w14:paraId="0A4C5462">
      <w:pPr>
        <w:spacing w:line="578"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3.1.</w:t>
      </w:r>
      <w:r>
        <w:rPr>
          <w:rFonts w:hint="default" w:ascii="Times New Roman" w:hAnsi="Times New Roman" w:eastAsia="仿宋_GB2312" w:cs="Times New Roman"/>
          <w:bCs/>
          <w:color w:val="auto"/>
          <w:sz w:val="28"/>
          <w:szCs w:val="28"/>
          <w:lang w:val="en-US" w:eastAsia="zh-CN"/>
        </w:rPr>
        <w:t>1</w:t>
      </w:r>
      <w:r>
        <w:rPr>
          <w:rFonts w:hint="default" w:ascii="Times New Roman" w:hAnsi="Times New Roman" w:eastAsia="仿宋_GB2312" w:cs="Times New Roman"/>
          <w:bCs/>
          <w:color w:val="auto"/>
          <w:sz w:val="28"/>
          <w:szCs w:val="28"/>
        </w:rPr>
        <w:t xml:space="preserve"> 按过磅计量方式结算</w:t>
      </w:r>
    </w:p>
    <w:p w14:paraId="7F177040">
      <w:pPr>
        <w:spacing w:line="578" w:lineRule="exact"/>
        <w:ind w:firstLine="560" w:firstLineChars="20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Cs/>
          <w:color w:val="auto"/>
          <w:sz w:val="28"/>
          <w:szCs w:val="28"/>
        </w:rPr>
        <w:t>预拌混凝土以甲方收验货系统现场过磅重量为准，</w:t>
      </w:r>
      <w:r>
        <w:rPr>
          <w:rFonts w:hint="default" w:ascii="Times New Roman" w:hAnsi="Times New Roman" w:eastAsia="仿宋_GB2312" w:cs="Times New Roman"/>
          <w:bCs/>
          <w:color w:val="auto"/>
          <w:sz w:val="28"/>
          <w:szCs w:val="28"/>
          <w:highlight w:val="none"/>
        </w:rPr>
        <w:t>C</w:t>
      </w:r>
      <w:r>
        <w:rPr>
          <w:rFonts w:hint="default" w:ascii="Times New Roman" w:hAnsi="Times New Roman" w:eastAsia="仿宋_GB2312" w:cs="Times New Roman"/>
          <w:bCs/>
          <w:color w:val="auto"/>
          <w:sz w:val="28"/>
          <w:szCs w:val="28"/>
          <w:highlight w:val="none"/>
          <w:lang w:val="en-US" w:eastAsia="zh-CN"/>
        </w:rPr>
        <w:t>15</w:t>
      </w:r>
      <w:r>
        <w:rPr>
          <w:rFonts w:hint="eastAsia" w:ascii="Times New Roman" w:hAnsi="Times New Roman" w:eastAsia="仿宋_GB2312" w:cs="Times New Roman"/>
          <w:bCs/>
          <w:color w:val="auto"/>
          <w:sz w:val="28"/>
          <w:szCs w:val="28"/>
          <w:highlight w:val="none"/>
          <w:lang w:val="en-US" w:eastAsia="zh-CN"/>
        </w:rPr>
        <w:t>-</w:t>
      </w:r>
      <w:r>
        <w:rPr>
          <w:rFonts w:hint="default" w:ascii="Times New Roman" w:hAnsi="Times New Roman" w:eastAsia="仿宋_GB2312" w:cs="Times New Roman"/>
          <w:bCs/>
          <w:color w:val="auto"/>
          <w:sz w:val="28"/>
          <w:szCs w:val="28"/>
          <w:highlight w:val="none"/>
        </w:rPr>
        <w:t>C60</w:t>
      </w:r>
      <w:r>
        <w:rPr>
          <w:rFonts w:hint="default" w:ascii="Times New Roman" w:hAnsi="Times New Roman" w:eastAsia="仿宋_GB2312" w:cs="Times New Roman"/>
          <w:bCs/>
          <w:color w:val="auto"/>
          <w:sz w:val="28"/>
          <w:szCs w:val="28"/>
        </w:rPr>
        <w:t>混凝土容重</w:t>
      </w:r>
      <w:r>
        <w:rPr>
          <w:rFonts w:hint="default" w:ascii="Times New Roman" w:hAnsi="Times New Roman" w:eastAsia="仿宋_GB2312" w:cs="Times New Roman"/>
          <w:bCs/>
          <w:color w:val="auto"/>
          <w:sz w:val="28"/>
          <w:szCs w:val="28"/>
          <w:highlight w:val="none"/>
        </w:rPr>
        <w:t>按</w:t>
      </w:r>
      <w:r>
        <w:rPr>
          <w:rFonts w:hint="default" w:ascii="Times New Roman" w:hAnsi="Times New Roman" w:eastAsia="仿宋_GB2312" w:cs="Times New Roman"/>
          <w:bCs/>
          <w:color w:val="auto"/>
          <w:sz w:val="28"/>
          <w:szCs w:val="28"/>
          <w:highlight w:val="none"/>
          <w:lang w:val="en-US" w:eastAsia="zh-CN"/>
        </w:rPr>
        <w:t>所在区域相关</w:t>
      </w:r>
      <w:r>
        <w:rPr>
          <w:rFonts w:hint="default" w:ascii="Times New Roman" w:hAnsi="Times New Roman" w:eastAsia="仿宋_GB2312" w:cs="Times New Roman"/>
          <w:bCs/>
          <w:color w:val="auto"/>
          <w:sz w:val="28"/>
          <w:szCs w:val="28"/>
          <w:highlight w:val="none"/>
        </w:rPr>
        <w:t>标准</w:t>
      </w:r>
      <w:r>
        <w:rPr>
          <w:rFonts w:hint="default" w:ascii="Times New Roman" w:hAnsi="Times New Roman" w:eastAsia="仿宋_GB2312" w:cs="Times New Roman"/>
          <w:bCs/>
          <w:color w:val="auto"/>
          <w:sz w:val="28"/>
          <w:szCs w:val="28"/>
        </w:rPr>
        <w:t>进行换算计量，偏差不超过±2%。因甲方原因导致乙方供货后未完成过磅计量，按照乙方的供货小票或供货清单计量当次供货量。若项目不具备过磅条件时，按合同约定综合单价及甲方签认的车单计量为准办理价款结算。</w:t>
      </w:r>
    </w:p>
    <w:p w14:paraId="443A93CF">
      <w:pPr>
        <w:spacing w:line="578"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3.1.</w:t>
      </w:r>
      <w:r>
        <w:rPr>
          <w:rFonts w:hint="default" w:ascii="Times New Roman" w:hAnsi="Times New Roman" w:eastAsia="仿宋_GB2312" w:cs="Times New Roman"/>
          <w:bCs/>
          <w:color w:val="auto"/>
          <w:sz w:val="28"/>
          <w:szCs w:val="28"/>
          <w:lang w:val="en-US" w:eastAsia="zh-CN"/>
        </w:rPr>
        <w:t>2</w:t>
      </w:r>
      <w:r>
        <w:rPr>
          <w:rFonts w:hint="default" w:ascii="Times New Roman" w:hAnsi="Times New Roman" w:eastAsia="仿宋_GB2312" w:cs="Times New Roman"/>
          <w:bCs/>
          <w:color w:val="auto"/>
          <w:sz w:val="28"/>
          <w:szCs w:val="28"/>
        </w:rPr>
        <w:t xml:space="preserve"> 按车单计量（即预拌混凝土运输发货单，下同）方式结算</w:t>
      </w:r>
    </w:p>
    <w:p w14:paraId="422CF298">
      <w:pPr>
        <w:spacing w:line="578" w:lineRule="exact"/>
        <w:ind w:firstLine="560" w:firstLineChars="20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按合同约定综合单价及甲方签认的车单数量为准办理价款结算。</w:t>
      </w:r>
    </w:p>
    <w:p w14:paraId="69920DD0">
      <w:pPr>
        <w:spacing w:line="578"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3.1.</w:t>
      </w:r>
      <w:r>
        <w:rPr>
          <w:rFonts w:hint="default" w:ascii="Times New Roman" w:hAnsi="Times New Roman" w:eastAsia="仿宋_GB2312" w:cs="Times New Roman"/>
          <w:bCs/>
          <w:color w:val="auto"/>
          <w:sz w:val="28"/>
          <w:szCs w:val="28"/>
          <w:lang w:val="en-US" w:eastAsia="zh-CN"/>
        </w:rPr>
        <w:t xml:space="preserve">3 </w:t>
      </w:r>
      <w:r>
        <w:rPr>
          <w:rFonts w:hint="default" w:ascii="Times New Roman" w:hAnsi="Times New Roman" w:eastAsia="仿宋_GB2312" w:cs="Times New Roman"/>
          <w:bCs/>
          <w:color w:val="auto"/>
          <w:sz w:val="28"/>
          <w:szCs w:val="28"/>
        </w:rPr>
        <w:t>按</w:t>
      </w:r>
      <w:r>
        <w:rPr>
          <w:rFonts w:hint="default" w:ascii="Times New Roman" w:hAnsi="Times New Roman" w:eastAsia="仿宋_GB2312" w:cs="Times New Roman"/>
          <w:bCs/>
          <w:color w:val="auto"/>
          <w:sz w:val="28"/>
          <w:szCs w:val="28"/>
          <w:lang w:val="en-US" w:eastAsia="zh-CN"/>
        </w:rPr>
        <w:t>图纸结合小票</w:t>
      </w:r>
      <w:r>
        <w:rPr>
          <w:rFonts w:hint="default" w:ascii="Times New Roman" w:hAnsi="Times New Roman" w:eastAsia="仿宋_GB2312" w:cs="Times New Roman"/>
          <w:bCs/>
          <w:color w:val="auto"/>
          <w:sz w:val="28"/>
          <w:szCs w:val="28"/>
        </w:rPr>
        <w:t>方式结算</w:t>
      </w:r>
    </w:p>
    <w:p w14:paraId="5747914A">
      <w:pPr>
        <w:spacing w:line="578" w:lineRule="exact"/>
        <w:ind w:firstLine="560"/>
        <w:rPr>
          <w:rFonts w:hint="default" w:ascii="Times New Roman" w:hAnsi="Times New Roman" w:eastAsia="仿宋_GB2312" w:cs="Times New Roman"/>
          <w:bCs/>
          <w:color w:val="auto"/>
          <w:sz w:val="28"/>
          <w:szCs w:val="28"/>
          <w:u w:val="none"/>
          <w:lang w:val="en-US" w:eastAsia="zh-CN"/>
        </w:rPr>
      </w:pPr>
      <w:r>
        <w:rPr>
          <w:rFonts w:hint="default" w:ascii="Times New Roman" w:hAnsi="Times New Roman" w:eastAsia="仿宋_GB2312" w:cs="Times New Roman"/>
          <w:bCs/>
          <w:color w:val="auto"/>
          <w:sz w:val="28"/>
          <w:szCs w:val="28"/>
          <w:u w:val="none"/>
          <w:lang w:val="en-US" w:eastAsia="zh-CN"/>
        </w:rPr>
        <w:t>按双方协商确定的综合单价及施工图纸量办理价款结算，不扣钢筋、不计损耗。桩基、马路、垫层、二次构造、圈梁、地坪、细石砼楼地面、屋面找平层、坡屋面砼、导墙、支撑系统、构造柱、过梁、女儿墙（含零星砼）等部位以甲方现场签认的混凝土运输发货单计量。</w:t>
      </w:r>
    </w:p>
    <w:p w14:paraId="40D5C4EA">
      <w:pPr>
        <w:spacing w:line="578" w:lineRule="exact"/>
        <w:ind w:firstLine="560"/>
        <w:rPr>
          <w:rFonts w:hint="default" w:ascii="Times New Roman" w:hAnsi="Times New Roman" w:eastAsia="仿宋_GB2312" w:cs="Times New Roman"/>
          <w:bCs/>
          <w:color w:val="auto"/>
          <w:sz w:val="28"/>
          <w:szCs w:val="28"/>
          <w:u w:val="none"/>
          <w:lang w:val="en-US" w:eastAsia="zh-CN"/>
        </w:rPr>
      </w:pPr>
      <w:r>
        <w:rPr>
          <w:rFonts w:hint="default" w:ascii="Times New Roman" w:hAnsi="Times New Roman" w:eastAsia="仿宋_GB2312" w:cs="Times New Roman"/>
          <w:bCs/>
          <w:color w:val="auto"/>
          <w:sz w:val="28"/>
          <w:szCs w:val="28"/>
          <w:u w:val="none"/>
          <w:lang w:val="en-US" w:eastAsia="zh-CN"/>
        </w:rPr>
        <w:t>本合同签订一周内甲方应向乙方提供全套施工图纸。若发生设计变更，甲方应在变更后一周内向乙方提供施工图纸并以此据实结算。若甲方未按约定时间提供图纸，则在甲方提供全套完整图纸前的供应量以甲方现场签认的混凝土运输发货单结算。</w:t>
      </w:r>
    </w:p>
    <w:p w14:paraId="74A05AC1">
      <w:pPr>
        <w:spacing w:line="578" w:lineRule="exact"/>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bCs/>
          <w:color w:val="auto"/>
          <w:sz w:val="28"/>
          <w:szCs w:val="28"/>
          <w:u w:val="none"/>
          <w:lang w:val="en-US" w:eastAsia="zh-CN"/>
        </w:rPr>
        <w:t xml:space="preserve">   </w:t>
      </w:r>
      <w:r>
        <w:rPr>
          <w:rFonts w:hint="default" w:ascii="Times New Roman" w:hAnsi="Times New Roman" w:eastAsia="仿宋_GB2312" w:cs="Times New Roman"/>
          <w:bCs/>
          <w:color w:val="auto"/>
          <w:sz w:val="28"/>
          <w:szCs w:val="28"/>
          <w:lang w:val="en-US" w:eastAsia="zh-CN"/>
        </w:rPr>
        <w:t>注：秉持公平原则，甲乙双方应优先适用于3.1.1款结算方式，当出现施工现场不具备过磅条件、甲方所需混凝土体量较小或建筑工程结构简单的情况时，可适用3.1.2或3.1.3款结算方式。</w:t>
      </w:r>
    </w:p>
    <w:p w14:paraId="43901331">
      <w:pPr>
        <w:spacing w:line="578" w:lineRule="exact"/>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3.2 结算时间</w:t>
      </w:r>
    </w:p>
    <w:p w14:paraId="466E9397">
      <w:pPr>
        <w:pStyle w:val="4"/>
        <w:spacing w:line="578"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甲乙双方于每月</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rPr>
        <w:t>日至</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rPr>
        <w:t>日就上月</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rPr>
        <w:t>日至本月</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rPr>
        <w:t>日所供应的混凝土进行结算。结算手续办理时间最长不超过</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lang w:eastAsia="zh-CN"/>
        </w:rPr>
        <w:t>个工作</w:t>
      </w:r>
      <w:r>
        <w:rPr>
          <w:rFonts w:hint="eastAsia" w:ascii="仿宋_GB2312" w:hAnsi="仿宋_GB2312" w:eastAsia="仿宋_GB2312" w:cs="仿宋_GB2312"/>
          <w:bCs/>
          <w:color w:val="auto"/>
          <w:sz w:val="28"/>
          <w:szCs w:val="28"/>
        </w:rPr>
        <w:t>日</w:t>
      </w:r>
      <w:r>
        <w:rPr>
          <w:rFonts w:hint="eastAsia" w:ascii="仿宋_GB2312" w:hAnsi="仿宋_GB2312" w:eastAsia="仿宋_GB2312" w:cs="仿宋_GB2312"/>
          <w:color w:val="auto"/>
          <w:sz w:val="28"/>
          <w:szCs w:val="28"/>
        </w:rPr>
        <w:t>。本合同9.</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款所指定的</w:t>
      </w:r>
      <w:r>
        <w:rPr>
          <w:rFonts w:hint="eastAsia" w:ascii="仿宋_GB2312" w:hAnsi="仿宋_GB2312" w:eastAsia="仿宋_GB2312" w:cs="仿宋_GB2312"/>
          <w:bCs/>
          <w:color w:val="auto"/>
          <w:sz w:val="28"/>
          <w:szCs w:val="28"/>
        </w:rPr>
        <w:t>甲方人员收到结算单之日起</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rPr>
        <w:t>个工作日内未予确认又未提出书面异议的，视为确认该结算单的结算价款</w:t>
      </w:r>
      <w:r>
        <w:rPr>
          <w:rFonts w:hint="eastAsia" w:ascii="仿宋_GB2312" w:hAnsi="仿宋_GB2312" w:eastAsia="仿宋_GB2312" w:cs="仿宋_GB2312"/>
          <w:color w:val="auto"/>
          <w:sz w:val="28"/>
          <w:szCs w:val="28"/>
        </w:rPr>
        <w:t>。</w:t>
      </w:r>
    </w:p>
    <w:p w14:paraId="4284E50D">
      <w:pPr>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3.3 货款支付</w:t>
      </w:r>
    </w:p>
    <w:p w14:paraId="6FA7B11A">
      <w:pPr>
        <w:widowControl/>
        <w:spacing w:line="6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3.3.1 货款支付约定：</w:t>
      </w:r>
    </w:p>
    <w:p w14:paraId="029ED69A">
      <w:pPr>
        <w:widowControl/>
        <w:spacing w:line="60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甲方按照以下第</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种方式支付砼款，但最迟应于</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月</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日前付清全部款项（含砼款、泵送费及其他甲方应付款）。</w:t>
      </w:r>
    </w:p>
    <w:p w14:paraId="40EB5236">
      <w:pPr>
        <w:widowControl/>
        <w:spacing w:line="60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（1）预付款：先款后货，甲方在合同签订后</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个工作日内，预付乙方砼款</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万元，待乙方混凝土供应至该笔预付款金额届满之日，甲方再行支付乙方砼款</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万元，以此类推，直至项目混凝土供应完毕。</w:t>
      </w:r>
    </w:p>
    <w:p w14:paraId="7B026D2E">
      <w:pPr>
        <w:widowControl/>
        <w:spacing w:line="60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（2）按月支付：每月</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日前甲方支付乙方上月所供砼款的</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%，余款</w:t>
      </w:r>
      <w:r>
        <w:rPr>
          <w:rFonts w:hint="default" w:ascii="Times New Roman" w:hAnsi="Times New Roman" w:eastAsia="仿宋_GB2312" w:cs="Times New Roman"/>
          <w:color w:val="auto"/>
          <w:kern w:val="0"/>
          <w:sz w:val="28"/>
          <w:szCs w:val="28"/>
          <w:highlight w:val="none"/>
        </w:rPr>
        <w:t>在单栋</w:t>
      </w:r>
      <w:r>
        <w:rPr>
          <w:rFonts w:hint="default" w:ascii="Times New Roman" w:hAnsi="Times New Roman" w:eastAsia="仿宋_GB2312" w:cs="Times New Roman"/>
          <w:color w:val="auto"/>
          <w:kern w:val="0"/>
          <w:sz w:val="28"/>
          <w:szCs w:val="28"/>
        </w:rPr>
        <w:t>建筑物主体结构封顶（单栋顶层屋面梁板浇筑完毕，以下均同）之日</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个月内全部付清，有多栋建筑的，以此类推。</w:t>
      </w:r>
    </w:p>
    <w:p w14:paraId="07876954">
      <w:pPr>
        <w:widowControl/>
        <w:spacing w:line="60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（3）按季度支付：每季度第一个月</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日前甲方支付乙方上季度所供砼款的</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%，余款在</w:t>
      </w:r>
      <w:r>
        <w:rPr>
          <w:rFonts w:hint="default" w:ascii="Times New Roman" w:hAnsi="Times New Roman" w:eastAsia="仿宋_GB2312" w:cs="Times New Roman"/>
          <w:color w:val="auto"/>
          <w:kern w:val="0"/>
          <w:sz w:val="28"/>
          <w:szCs w:val="28"/>
          <w:highlight w:val="none"/>
        </w:rPr>
        <w:t>单栋</w:t>
      </w:r>
      <w:r>
        <w:rPr>
          <w:rFonts w:hint="default" w:ascii="Times New Roman" w:hAnsi="Times New Roman" w:eastAsia="仿宋_GB2312" w:cs="Times New Roman"/>
          <w:color w:val="auto"/>
          <w:kern w:val="0"/>
          <w:sz w:val="28"/>
          <w:szCs w:val="28"/>
        </w:rPr>
        <w:t>建筑物主体结构封顶之日</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月内全部付清，有多栋建筑的，以此类推。</w:t>
      </w:r>
    </w:p>
    <w:p w14:paraId="63E57E71">
      <w:pPr>
        <w:widowControl/>
        <w:spacing w:line="60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（4）按方量支付：乙方每供砼</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m³，甲方应在3个工作日支付乙方已供砼款的</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%，以此类推。余款在最后一栋建筑物主体结构封顶之日</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个月内全部付清。</w:t>
      </w:r>
    </w:p>
    <w:p w14:paraId="4491E07C">
      <w:pPr>
        <w:widowControl/>
        <w:spacing w:line="60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（5）按施工节点支付：一般按底板垫层、地下室封顶、裙楼封顶、主体每多少层、主体封顶，将整个工程划分为不少于五个支付节点，具体如下：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2835"/>
        <w:gridCol w:w="2740"/>
      </w:tblGrid>
      <w:tr w14:paraId="1FE4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noWrap w:val="0"/>
            <w:vAlign w:val="top"/>
          </w:tcPr>
          <w:p w14:paraId="0A3EDF60">
            <w:pPr>
              <w:widowControl/>
              <w:spacing w:line="600" w:lineRule="exact"/>
              <w:jc w:val="center"/>
              <w:rPr>
                <w:rFonts w:hint="eastAsia" w:ascii="仿宋_GB2312" w:hAnsi="仿宋_GB2312" w:eastAsia="仿宋_GB2312" w:cs="仿宋_GB2312"/>
                <w:color w:val="auto"/>
                <w:kern w:val="0"/>
                <w:sz w:val="28"/>
                <w:szCs w:val="28"/>
              </w:rPr>
            </w:pPr>
          </w:p>
        </w:tc>
        <w:tc>
          <w:tcPr>
            <w:tcW w:w="2835" w:type="dxa"/>
            <w:noWrap w:val="0"/>
            <w:vAlign w:val="top"/>
          </w:tcPr>
          <w:p w14:paraId="0EB99540">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施工内容</w:t>
            </w:r>
          </w:p>
        </w:tc>
        <w:tc>
          <w:tcPr>
            <w:tcW w:w="2740" w:type="dxa"/>
            <w:noWrap w:val="0"/>
            <w:vAlign w:val="top"/>
          </w:tcPr>
          <w:p w14:paraId="2364DB9E">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进度目标</w:t>
            </w:r>
          </w:p>
        </w:tc>
      </w:tr>
      <w:tr w14:paraId="4418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noWrap w:val="0"/>
            <w:vAlign w:val="top"/>
          </w:tcPr>
          <w:p w14:paraId="573D0091">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支付节点一</w:t>
            </w:r>
          </w:p>
        </w:tc>
        <w:tc>
          <w:tcPr>
            <w:tcW w:w="2835" w:type="dxa"/>
            <w:noWrap w:val="0"/>
            <w:vAlign w:val="top"/>
          </w:tcPr>
          <w:p w14:paraId="127C1CA7">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底板垫层施工</w:t>
            </w:r>
          </w:p>
        </w:tc>
        <w:tc>
          <w:tcPr>
            <w:tcW w:w="2740" w:type="dxa"/>
            <w:noWrap w:val="0"/>
            <w:vAlign w:val="top"/>
          </w:tcPr>
          <w:p w14:paraId="4D005C67">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底板垫层施工完毕</w:t>
            </w:r>
          </w:p>
        </w:tc>
      </w:tr>
      <w:tr w14:paraId="2276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noWrap w:val="0"/>
            <w:vAlign w:val="top"/>
          </w:tcPr>
          <w:p w14:paraId="0812508F">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支付节点二</w:t>
            </w:r>
          </w:p>
        </w:tc>
        <w:tc>
          <w:tcPr>
            <w:tcW w:w="2835" w:type="dxa"/>
            <w:noWrap w:val="0"/>
            <w:vAlign w:val="top"/>
          </w:tcPr>
          <w:p w14:paraId="122606DB">
            <w:pPr>
              <w:widowControl/>
              <w:spacing w:line="600" w:lineRule="exact"/>
              <w:jc w:val="center"/>
              <w:rPr>
                <w:rFonts w:hint="eastAsia" w:ascii="仿宋_GB2312" w:hAnsi="仿宋_GB2312" w:eastAsia="仿宋_GB2312" w:cs="仿宋_GB2312"/>
                <w:color w:val="auto"/>
                <w:kern w:val="0"/>
                <w:sz w:val="28"/>
                <w:szCs w:val="28"/>
              </w:rPr>
            </w:pPr>
          </w:p>
        </w:tc>
        <w:tc>
          <w:tcPr>
            <w:tcW w:w="2740" w:type="dxa"/>
            <w:noWrap w:val="0"/>
            <w:vAlign w:val="top"/>
          </w:tcPr>
          <w:p w14:paraId="7709DA7E">
            <w:pPr>
              <w:widowControl/>
              <w:spacing w:line="600" w:lineRule="exact"/>
              <w:jc w:val="center"/>
              <w:rPr>
                <w:rFonts w:hint="eastAsia" w:ascii="仿宋_GB2312" w:hAnsi="仿宋_GB2312" w:eastAsia="仿宋_GB2312" w:cs="仿宋_GB2312"/>
                <w:color w:val="auto"/>
                <w:kern w:val="0"/>
                <w:sz w:val="28"/>
                <w:szCs w:val="28"/>
              </w:rPr>
            </w:pPr>
          </w:p>
        </w:tc>
      </w:tr>
      <w:tr w14:paraId="720D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noWrap w:val="0"/>
            <w:vAlign w:val="top"/>
          </w:tcPr>
          <w:p w14:paraId="569C2F1E">
            <w:pPr>
              <w:widowControl/>
              <w:spacing w:line="6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2835" w:type="dxa"/>
            <w:noWrap w:val="0"/>
            <w:vAlign w:val="top"/>
          </w:tcPr>
          <w:p w14:paraId="3510D3AB">
            <w:pPr>
              <w:widowControl/>
              <w:spacing w:line="600" w:lineRule="exact"/>
              <w:jc w:val="center"/>
              <w:rPr>
                <w:rFonts w:hint="eastAsia" w:ascii="仿宋_GB2312" w:hAnsi="仿宋_GB2312" w:eastAsia="仿宋_GB2312" w:cs="仿宋_GB2312"/>
                <w:color w:val="auto"/>
                <w:kern w:val="0"/>
                <w:sz w:val="28"/>
                <w:szCs w:val="28"/>
              </w:rPr>
            </w:pPr>
          </w:p>
        </w:tc>
        <w:tc>
          <w:tcPr>
            <w:tcW w:w="2740" w:type="dxa"/>
            <w:noWrap w:val="0"/>
            <w:vAlign w:val="top"/>
          </w:tcPr>
          <w:p w14:paraId="1F170156">
            <w:pPr>
              <w:widowControl/>
              <w:spacing w:line="600" w:lineRule="exact"/>
              <w:jc w:val="center"/>
              <w:rPr>
                <w:rFonts w:hint="eastAsia" w:ascii="仿宋_GB2312" w:hAnsi="仿宋_GB2312" w:eastAsia="仿宋_GB2312" w:cs="仿宋_GB2312"/>
                <w:color w:val="auto"/>
                <w:kern w:val="0"/>
                <w:sz w:val="28"/>
                <w:szCs w:val="28"/>
              </w:rPr>
            </w:pPr>
          </w:p>
        </w:tc>
      </w:tr>
    </w:tbl>
    <w:p w14:paraId="1FA4AD43">
      <w:pPr>
        <w:widowControl/>
        <w:spacing w:line="600" w:lineRule="exact"/>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工程每施工至以上各个支付节点</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日后，甲方应支付乙方已供砼款的</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%。单栋工程主体结构封顶之日</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rPr>
        <w:t>个月内付清该单栋全部砼款。</w:t>
      </w:r>
    </w:p>
    <w:p w14:paraId="1E701CBB">
      <w:pPr>
        <w:spacing w:line="578"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3.3.2 付款方式</w:t>
      </w:r>
    </w:p>
    <w:p w14:paraId="6208FAB3">
      <w:pPr>
        <w:spacing w:line="578" w:lineRule="exact"/>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 xml:space="preserve">    甲方按照</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sz w:val="28"/>
          <w:szCs w:val="28"/>
          <w:u w:val="none"/>
          <w:lang w:val="en-US" w:eastAsia="zh-CN"/>
        </w:rPr>
        <w:t>（如网银转账、银行承兑汇票等）的付款方式向乙方支付砼款。</w:t>
      </w:r>
    </w:p>
    <w:p w14:paraId="3C0DE084">
      <w:pPr>
        <w:widowControl/>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i w:val="0"/>
          <w:iCs w:val="0"/>
          <w:color w:val="auto"/>
          <w:sz w:val="28"/>
          <w:szCs w:val="28"/>
        </w:rPr>
        <w:t xml:space="preserve">3.3.3 </w:t>
      </w:r>
      <w:r>
        <w:rPr>
          <w:rFonts w:hint="default" w:ascii="Times New Roman" w:hAnsi="Times New Roman" w:eastAsia="仿宋_GB2312" w:cs="Times New Roman"/>
          <w:b w:val="0"/>
          <w:bCs w:val="0"/>
          <w:color w:val="auto"/>
          <w:sz w:val="28"/>
          <w:szCs w:val="28"/>
        </w:rPr>
        <w:t>乙方指定以下收款账户进行收款</w:t>
      </w:r>
    </w:p>
    <w:p w14:paraId="50A61854">
      <w:pPr>
        <w:spacing w:line="578"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收款单位：</w:t>
      </w:r>
      <w:r>
        <w:rPr>
          <w:rFonts w:hint="default" w:ascii="Times New Roman" w:hAnsi="Times New Roman" w:eastAsia="仿宋_GB2312" w:cs="Times New Roman"/>
          <w:color w:val="auto"/>
          <w:sz w:val="28"/>
          <w:szCs w:val="28"/>
          <w:u w:val="single"/>
        </w:rPr>
        <w:t xml:space="preserve">                             </w:t>
      </w:r>
    </w:p>
    <w:p w14:paraId="234F9E58">
      <w:pPr>
        <w:spacing w:line="578"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开户银行：</w:t>
      </w:r>
      <w:r>
        <w:rPr>
          <w:rFonts w:hint="default" w:ascii="Times New Roman" w:hAnsi="Times New Roman" w:eastAsia="仿宋_GB2312" w:cs="Times New Roman"/>
          <w:color w:val="auto"/>
          <w:sz w:val="28"/>
          <w:szCs w:val="28"/>
          <w:u w:val="single"/>
        </w:rPr>
        <w:t xml:space="preserve">                             </w:t>
      </w:r>
    </w:p>
    <w:p w14:paraId="0B5DB72A">
      <w:pPr>
        <w:spacing w:line="578"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收款账号：</w:t>
      </w:r>
      <w:r>
        <w:rPr>
          <w:rFonts w:hint="default" w:ascii="Times New Roman" w:hAnsi="Times New Roman" w:eastAsia="仿宋_GB2312" w:cs="Times New Roman"/>
          <w:color w:val="auto"/>
          <w:sz w:val="28"/>
          <w:szCs w:val="28"/>
          <w:u w:val="single"/>
        </w:rPr>
        <w:t xml:space="preserve">                             </w:t>
      </w:r>
    </w:p>
    <w:p w14:paraId="4E3C9851">
      <w:pPr>
        <w:spacing w:line="578" w:lineRule="exact"/>
        <w:ind w:firstLine="560" w:firstLineChars="200"/>
        <w:jc w:val="left"/>
        <w:rPr>
          <w:rFonts w:ascii="仿宋" w:hAnsi="仿宋" w:eastAsia="仿宋" w:cs="仿宋"/>
          <w:color w:val="auto"/>
          <w:sz w:val="28"/>
          <w:szCs w:val="28"/>
        </w:rPr>
      </w:pPr>
      <w:r>
        <w:rPr>
          <w:rFonts w:hint="default" w:ascii="Times New Roman" w:hAnsi="Times New Roman" w:eastAsia="仿宋_GB2312" w:cs="Times New Roman"/>
          <w:color w:val="auto"/>
          <w:sz w:val="28"/>
          <w:szCs w:val="28"/>
        </w:rPr>
        <w:t>甲方支付的款项应支付至乙方上述指定账户。若乙方上述收款账户发生变更的，以加盖乙方公章的书面文件为准，且自变更之日起5</w:t>
      </w:r>
      <w:r>
        <w:rPr>
          <w:rFonts w:hint="default" w:ascii="Times New Roman" w:hAnsi="Times New Roman" w:eastAsia="仿宋_GB2312" w:cs="Times New Roman"/>
          <w:color w:val="auto"/>
          <w:sz w:val="28"/>
          <w:szCs w:val="28"/>
          <w:lang w:eastAsia="zh-CN"/>
        </w:rPr>
        <w:t>个工作</w:t>
      </w:r>
      <w:r>
        <w:rPr>
          <w:rFonts w:hint="default" w:ascii="Times New Roman" w:hAnsi="Times New Roman" w:eastAsia="仿宋_GB2312" w:cs="Times New Roman"/>
          <w:color w:val="auto"/>
          <w:sz w:val="28"/>
          <w:szCs w:val="28"/>
        </w:rPr>
        <w:t>日内通知甲方，否则由此造成的损失由乙方承担。</w:t>
      </w:r>
    </w:p>
    <w:p w14:paraId="3E42A4CA">
      <w:pPr>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3.3.4甲方发票信息</w:t>
      </w:r>
    </w:p>
    <w:p w14:paraId="65CE0B3C">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单位名称：</w:t>
      </w:r>
      <w:r>
        <w:rPr>
          <w:rFonts w:hint="default" w:ascii="Times New Roman" w:hAnsi="Times New Roman" w:eastAsia="仿宋_GB2312" w:cs="Times New Roman"/>
          <w:color w:val="auto"/>
          <w:sz w:val="28"/>
          <w:szCs w:val="28"/>
          <w:u w:val="single"/>
        </w:rPr>
        <w:t xml:space="preserve">                                  </w:t>
      </w:r>
    </w:p>
    <w:p w14:paraId="7EAB1B64">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纳税人识别号：</w:t>
      </w:r>
      <w:r>
        <w:rPr>
          <w:rFonts w:hint="default" w:ascii="Times New Roman" w:hAnsi="Times New Roman" w:eastAsia="仿宋_GB2312" w:cs="Times New Roman"/>
          <w:color w:val="auto"/>
          <w:sz w:val="28"/>
          <w:szCs w:val="28"/>
          <w:u w:val="single"/>
        </w:rPr>
        <w:t xml:space="preserve">                              </w:t>
      </w:r>
    </w:p>
    <w:p w14:paraId="15AA5948">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开户行：</w:t>
      </w:r>
      <w:r>
        <w:rPr>
          <w:rFonts w:hint="default" w:ascii="Times New Roman" w:hAnsi="Times New Roman" w:eastAsia="仿宋_GB2312" w:cs="Times New Roman"/>
          <w:color w:val="auto"/>
          <w:sz w:val="28"/>
          <w:szCs w:val="28"/>
          <w:u w:val="single"/>
        </w:rPr>
        <w:t xml:space="preserve">                                    </w:t>
      </w:r>
    </w:p>
    <w:p w14:paraId="2E6217F9">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账  号：</w:t>
      </w:r>
      <w:r>
        <w:rPr>
          <w:rFonts w:hint="default" w:ascii="Times New Roman" w:hAnsi="Times New Roman" w:eastAsia="仿宋_GB2312" w:cs="Times New Roman"/>
          <w:color w:val="auto"/>
          <w:sz w:val="28"/>
          <w:szCs w:val="28"/>
          <w:u w:val="single"/>
        </w:rPr>
        <w:t xml:space="preserve">                                    </w:t>
      </w:r>
    </w:p>
    <w:p w14:paraId="30E687DD">
      <w:pPr>
        <w:spacing w:line="578" w:lineRule="exact"/>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地址、电话：</w:t>
      </w:r>
      <w:r>
        <w:rPr>
          <w:rFonts w:hint="default" w:ascii="Times New Roman" w:hAnsi="Times New Roman" w:eastAsia="仿宋_GB2312" w:cs="Times New Roman"/>
          <w:color w:val="auto"/>
          <w:sz w:val="28"/>
          <w:szCs w:val="28"/>
          <w:u w:val="single"/>
        </w:rPr>
        <w:t xml:space="preserve">                                </w:t>
      </w:r>
    </w:p>
    <w:p w14:paraId="7019979B">
      <w:pPr>
        <w:spacing w:line="578"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若甲方以上发票信息发生变更的，应自变更之日起5日内通知乙方，否则由此造成的损失由甲方承担。</w:t>
      </w:r>
    </w:p>
    <w:p w14:paraId="15C80F83">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rPr>
        <w:t xml:space="preserve">3.4 </w:t>
      </w:r>
      <w:r>
        <w:rPr>
          <w:rFonts w:hint="default" w:ascii="Times New Roman" w:hAnsi="Times New Roman" w:eastAsia="仿宋_GB2312" w:cs="Times New Roman"/>
          <w:color w:val="auto"/>
          <w:sz w:val="28"/>
          <w:szCs w:val="28"/>
        </w:rPr>
        <w:t>乙方向甲方提供发票票种为：□增值税专用发票 □增值税普通发票，乙方提供的发票税率为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%。如遇国家税率政策调整，本合同约定税率相应做出调整。</w:t>
      </w:r>
    </w:p>
    <w:p w14:paraId="76A1E384">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四、质量及验收</w:t>
      </w:r>
    </w:p>
    <w:p w14:paraId="5F23CAAF">
      <w:pPr>
        <w:spacing w:line="578" w:lineRule="exact"/>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rPr>
        <w:t>4.1 乙方供应预拌混凝土质量应按《预拌混凝土》（GB/T</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14902）、《混凝土强度检验评定标准》（GB</w:t>
      </w:r>
      <w:r>
        <w:rPr>
          <w:rFonts w:hint="default" w:ascii="Times New Roman" w:hAnsi="Times New Roman" w:eastAsia="仿宋_GB2312" w:cs="Times New Roman"/>
          <w:b w:val="0"/>
          <w:bCs w:val="0"/>
          <w:color w:val="auto"/>
          <w:sz w:val="28"/>
          <w:szCs w:val="28"/>
          <w:lang w:val="en-US" w:eastAsia="zh-CN"/>
        </w:rPr>
        <w:t xml:space="preserve">/T </w:t>
      </w:r>
      <w:r>
        <w:rPr>
          <w:rFonts w:hint="default" w:ascii="Times New Roman" w:hAnsi="Times New Roman" w:eastAsia="仿宋_GB2312" w:cs="Times New Roman"/>
          <w:b w:val="0"/>
          <w:bCs w:val="0"/>
          <w:color w:val="auto"/>
          <w:sz w:val="28"/>
          <w:szCs w:val="28"/>
        </w:rPr>
        <w:t>50107）等相关标准、规范及本合同的约定履行。</w:t>
      </w:r>
      <w:r>
        <w:rPr>
          <w:rFonts w:hint="default" w:ascii="Times New Roman" w:hAnsi="Times New Roman" w:eastAsia="仿宋_GB2312" w:cs="Times New Roman"/>
          <w:b w:val="0"/>
          <w:bCs w:val="0"/>
          <w:color w:val="auto"/>
          <w:sz w:val="28"/>
          <w:szCs w:val="28"/>
          <w:lang w:val="en-US" w:eastAsia="zh-CN"/>
        </w:rPr>
        <w:t>甲乙双方履约适用前述相关标准、规范时，相关标准、规范的版本应为合同履行时生效的版本。</w:t>
      </w:r>
    </w:p>
    <w:p w14:paraId="6C9BD099">
      <w:pPr>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4.2 甲方应对乙方供货到施工现场的预拌混凝土</w:t>
      </w:r>
      <w:r>
        <w:rPr>
          <w:rFonts w:hint="default" w:ascii="Times New Roman" w:hAnsi="Times New Roman" w:eastAsia="仿宋_GB2312" w:cs="Times New Roman"/>
          <w:b w:val="0"/>
          <w:bCs w:val="0"/>
          <w:color w:val="auto"/>
          <w:sz w:val="28"/>
          <w:szCs w:val="28"/>
          <w:lang w:eastAsia="zh-CN"/>
        </w:rPr>
        <w:t>工作性能、</w:t>
      </w:r>
      <w:r>
        <w:rPr>
          <w:rFonts w:hint="default" w:ascii="Times New Roman" w:hAnsi="Times New Roman" w:eastAsia="仿宋_GB2312" w:cs="Times New Roman"/>
          <w:b w:val="0"/>
          <w:bCs w:val="0"/>
          <w:color w:val="auto"/>
          <w:sz w:val="28"/>
          <w:szCs w:val="28"/>
        </w:rPr>
        <w:t>数量及浇筑时间等内容进行核实，并在随车发货单上签字确认。甲乙双方及监理单位应在交货现场共同对进场的预拌混凝土进行验收，见证取样后进行物理性能检验，并在现场验收单上签字确认。</w:t>
      </w:r>
    </w:p>
    <w:p w14:paraId="7490285E">
      <w:pPr>
        <w:spacing w:line="578"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4.3 如对发货单载明的数量有疑义的，甲方应当场通知乙方，经双方核实后以书面形式确认供货数量。甲方验收时发现方量误差等非质量问题，应当场（收货两小时）提出并通知乙方协商解决。甲方逾期未提出视为验收无误。</w:t>
      </w:r>
    </w:p>
    <w:p w14:paraId="5BC8076B">
      <w:pPr>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4.4 若甲方对已浇筑的预拌混凝土质量有异议的，应当自质量问题发生之日起15日内以书面形式向乙方提出，由双方协商解决；乙方收到书面异议之日起15日内未予回应的，由此产生的责任由乙方承担。如甲乙双方对该质量问题</w:t>
      </w:r>
      <w:r>
        <w:rPr>
          <w:rFonts w:hint="default" w:ascii="Times New Roman" w:hAnsi="Times New Roman" w:eastAsia="仿宋_GB2312" w:cs="Times New Roman"/>
          <w:b w:val="0"/>
          <w:bCs w:val="0"/>
          <w:color w:val="auto"/>
          <w:sz w:val="28"/>
          <w:szCs w:val="28"/>
          <w:lang w:eastAsia="zh-CN"/>
        </w:rPr>
        <w:t>责任归属</w:t>
      </w:r>
      <w:r>
        <w:rPr>
          <w:rFonts w:hint="default" w:ascii="Times New Roman" w:hAnsi="Times New Roman" w:eastAsia="仿宋_GB2312" w:cs="Times New Roman"/>
          <w:b w:val="0"/>
          <w:bCs w:val="0"/>
          <w:color w:val="auto"/>
          <w:sz w:val="28"/>
          <w:szCs w:val="28"/>
        </w:rPr>
        <w:t>有争议的，双方应在乙方收到甲方书面异议之日起45日内会同有资质的检测机构、工程监理</w:t>
      </w:r>
      <w:r>
        <w:rPr>
          <w:rFonts w:hint="default" w:ascii="Times New Roman" w:hAnsi="Times New Roman" w:eastAsia="仿宋_GB2312" w:cs="Times New Roman"/>
          <w:b w:val="0"/>
          <w:bCs w:val="0"/>
          <w:color w:val="auto"/>
          <w:sz w:val="28"/>
          <w:szCs w:val="28"/>
          <w:lang w:eastAsia="zh-CN"/>
        </w:rPr>
        <w:t>等相关单位</w:t>
      </w:r>
      <w:r>
        <w:rPr>
          <w:rFonts w:hint="default" w:ascii="Times New Roman" w:hAnsi="Times New Roman" w:eastAsia="仿宋_GB2312" w:cs="Times New Roman"/>
          <w:b w:val="0"/>
          <w:bCs w:val="0"/>
          <w:color w:val="auto"/>
          <w:sz w:val="28"/>
          <w:szCs w:val="28"/>
        </w:rPr>
        <w:t>共同确定责任，各方按划定的责任各担其责。</w:t>
      </w:r>
    </w:p>
    <w:p w14:paraId="35E2C2E4">
      <w:pPr>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4.5交货检验执行见证取样送检制度，由甲方负责按</w:t>
      </w:r>
      <w:r>
        <w:rPr>
          <w:rFonts w:hint="default" w:ascii="Times New Roman" w:hAnsi="Times New Roman" w:eastAsia="仿宋_GB2312" w:cs="Times New Roman"/>
          <w:b w:val="0"/>
          <w:bCs w:val="0"/>
          <w:color w:val="auto"/>
          <w:sz w:val="28"/>
          <w:szCs w:val="28"/>
          <w:lang w:eastAsia="zh-CN"/>
        </w:rPr>
        <w:t>相关标准、规范</w:t>
      </w:r>
      <w:r>
        <w:rPr>
          <w:rFonts w:hint="default" w:ascii="Times New Roman" w:hAnsi="Times New Roman" w:eastAsia="仿宋_GB2312" w:cs="Times New Roman"/>
          <w:b w:val="0"/>
          <w:bCs w:val="0"/>
          <w:color w:val="auto"/>
          <w:sz w:val="28"/>
          <w:szCs w:val="28"/>
        </w:rPr>
        <w:t>规定的频次、制作方法制样，乙方、监理单位旁站见证，甲方按</w:t>
      </w:r>
      <w:r>
        <w:rPr>
          <w:rFonts w:hint="default" w:ascii="Times New Roman" w:hAnsi="Times New Roman" w:eastAsia="仿宋_GB2312" w:cs="Times New Roman"/>
          <w:b w:val="0"/>
          <w:bCs w:val="0"/>
          <w:color w:val="auto"/>
          <w:sz w:val="28"/>
          <w:szCs w:val="28"/>
          <w:lang w:eastAsia="zh-CN"/>
        </w:rPr>
        <w:t>相关标准规范</w:t>
      </w:r>
      <w:r>
        <w:rPr>
          <w:rFonts w:hint="default" w:ascii="Times New Roman" w:hAnsi="Times New Roman" w:eastAsia="仿宋_GB2312" w:cs="Times New Roman"/>
          <w:b w:val="0"/>
          <w:bCs w:val="0"/>
          <w:color w:val="auto"/>
          <w:sz w:val="28"/>
          <w:szCs w:val="28"/>
        </w:rPr>
        <w:t>规定对试块进行有效养护。</w:t>
      </w:r>
    </w:p>
    <w:p w14:paraId="23EEDDE6">
      <w:pPr>
        <w:pStyle w:val="5"/>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4.6 甲方项目负责人：</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，联系方式：</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 xml:space="preserve">。  </w:t>
      </w:r>
    </w:p>
    <w:p w14:paraId="66D1131B">
      <w:pPr>
        <w:pStyle w:val="5"/>
        <w:spacing w:line="578" w:lineRule="exact"/>
        <w:ind w:firstLine="560" w:firstLineChars="200"/>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乙方项目负责人：</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，联系方式：</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w:t>
      </w:r>
    </w:p>
    <w:p w14:paraId="718F2CAE">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五、双方权利与义务</w:t>
      </w:r>
    </w:p>
    <w:p w14:paraId="776EDE50">
      <w:pPr>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5.1 甲方权利与义务</w:t>
      </w:r>
    </w:p>
    <w:p w14:paraId="79466B93">
      <w:pPr>
        <w:pStyle w:val="5"/>
        <w:spacing w:line="578"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5.1.1 甲方须提供预拌混凝土卸料</w:t>
      </w:r>
      <w:r>
        <w:rPr>
          <w:rFonts w:hint="default" w:ascii="Times New Roman" w:hAnsi="Times New Roman" w:eastAsia="仿宋_GB2312" w:cs="Times New Roman"/>
          <w:color w:val="auto"/>
          <w:sz w:val="28"/>
          <w:szCs w:val="28"/>
          <w:highlight w:val="none"/>
        </w:rPr>
        <w:t>条件</w:t>
      </w:r>
      <w:r>
        <w:rPr>
          <w:rFonts w:hint="default" w:ascii="Times New Roman" w:hAnsi="Times New Roman" w:eastAsia="仿宋_GB2312" w:cs="Times New Roman"/>
          <w:color w:val="auto"/>
          <w:sz w:val="28"/>
          <w:szCs w:val="28"/>
        </w:rPr>
        <w:t>，做到施工现场交通通畅，并配备必要的安全、电力、照明及车辆冲洗等设施，确保乙方设备、材料能安全架设或送至使用现场。</w:t>
      </w:r>
    </w:p>
    <w:p w14:paraId="36714023">
      <w:pPr>
        <w:pStyle w:val="5"/>
        <w:spacing w:line="578" w:lineRule="exact"/>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5.1.2 甲方对乙方混凝土运输车辆进入施工现场进行指挥调度，配备专职人员负责混凝土放料、清理混凝土车料槽、出场混凝土车清洁等工作。甲方负责协调解决由于运输、泵送及浇筑等原因所引起的投诉及由此引起的环保、交通等问题。</w:t>
      </w:r>
      <w:r>
        <w:rPr>
          <w:rFonts w:hint="default" w:ascii="Times New Roman" w:hAnsi="Times New Roman" w:eastAsia="仿宋_GB2312" w:cs="Times New Roman"/>
          <w:color w:val="auto"/>
          <w:sz w:val="28"/>
          <w:szCs w:val="28"/>
          <w:lang w:eastAsia="zh-CN"/>
        </w:rPr>
        <w:t>甲方有权拒绝超限、超载车辆进入施工现场。</w:t>
      </w:r>
    </w:p>
    <w:p w14:paraId="35820030">
      <w:pPr>
        <w:pStyle w:val="5"/>
        <w:spacing w:line="578"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5.1.3 乙方的泵送设备进场后，甲方负责签收保管的，对损坏或丢失承担赔偿。需泵送施工时，应组织人员按安全操作规程施工。</w:t>
      </w:r>
    </w:p>
    <w:p w14:paraId="0A48C988">
      <w:pPr>
        <w:pStyle w:val="5"/>
        <w:spacing w:line="578"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5.1.4 本合同签订后，甲方在每月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日前向乙方提供混凝土供应月计划；甲方根据工程进度需要，提前24小时以书面形式向乙方发送供货计划，明确浇筑时间、数量、部位及强度、等级、坍落度。甲方要求提供特殊要求的产品时提前5</w:t>
      </w:r>
      <w:r>
        <w:rPr>
          <w:rFonts w:hint="default" w:ascii="Times New Roman" w:hAnsi="Times New Roman" w:eastAsia="仿宋_GB2312" w:cs="Times New Roman"/>
          <w:color w:val="auto"/>
          <w:sz w:val="28"/>
          <w:szCs w:val="28"/>
          <w:lang w:eastAsia="zh-CN"/>
        </w:rPr>
        <w:t>个工作日</w:t>
      </w:r>
      <w:r>
        <w:rPr>
          <w:rFonts w:hint="default" w:ascii="Times New Roman" w:hAnsi="Times New Roman" w:eastAsia="仿宋_GB2312" w:cs="Times New Roman"/>
          <w:color w:val="auto"/>
          <w:sz w:val="28"/>
          <w:szCs w:val="28"/>
        </w:rPr>
        <w:t>通知乙方备料。</w:t>
      </w:r>
    </w:p>
    <w:p w14:paraId="5D5D6F5D">
      <w:pPr>
        <w:pStyle w:val="5"/>
        <w:spacing w:line="578" w:lineRule="exact"/>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5.1.5 甲方及时组织安排浇筑预拌混凝土。因甲方原因致使抵场预拌混凝土停留时间超过2小时以上造成坍落度损失过大或报废的，甲方应承担由此给乙方造成的损失；甲方按设计要求的砼等级及浇筑部位</w:t>
      </w:r>
      <w:r>
        <w:rPr>
          <w:rFonts w:hint="default" w:ascii="Times New Roman" w:hAnsi="Times New Roman" w:eastAsia="仿宋_GB2312" w:cs="Times New Roman"/>
          <w:color w:val="auto"/>
          <w:sz w:val="28"/>
          <w:szCs w:val="28"/>
          <w:lang w:eastAsia="zh-CN"/>
        </w:rPr>
        <w:t>以</w:t>
      </w:r>
      <w:r>
        <w:rPr>
          <w:rFonts w:hint="default" w:ascii="Times New Roman" w:hAnsi="Times New Roman" w:eastAsia="仿宋_GB2312" w:cs="Times New Roman"/>
          <w:color w:val="auto"/>
          <w:sz w:val="28"/>
          <w:szCs w:val="28"/>
        </w:rPr>
        <w:t>书面（含电子）方式通知乙方供应并组织浇筑，若通知错误或浇筑时发生串料而产生的质量问题和发生的费用，由甲方负责并承担。</w:t>
      </w:r>
      <w:r>
        <w:rPr>
          <w:rFonts w:hint="default" w:ascii="Times New Roman" w:hAnsi="Times New Roman" w:eastAsia="仿宋_GB2312" w:cs="Times New Roman"/>
          <w:color w:val="auto"/>
          <w:sz w:val="28"/>
          <w:szCs w:val="28"/>
          <w:lang w:eastAsia="zh-CN"/>
        </w:rPr>
        <w:t>甲方应承担浇筑完成后的混凝土现场养护工作，混凝土浇筑完成</w:t>
      </w:r>
      <w:r>
        <w:rPr>
          <w:rFonts w:hint="default" w:ascii="Times New Roman" w:hAnsi="Times New Roman" w:eastAsia="仿宋_GB2312" w:cs="Times New Roman"/>
          <w:color w:val="auto"/>
          <w:sz w:val="28"/>
          <w:szCs w:val="28"/>
          <w:lang w:val="en-US" w:eastAsia="zh-CN"/>
        </w:rPr>
        <w:t>后，</w:t>
      </w:r>
      <w:r>
        <w:rPr>
          <w:rFonts w:hint="default" w:ascii="Times New Roman" w:hAnsi="Times New Roman" w:eastAsia="仿宋_GB2312" w:cs="Times New Roman"/>
          <w:color w:val="auto"/>
          <w:sz w:val="28"/>
          <w:szCs w:val="28"/>
          <w:lang w:eastAsia="zh-CN"/>
        </w:rPr>
        <w:t>因甲方现场养护不到位产生的混凝土质量问题由甲方承担。</w:t>
      </w:r>
    </w:p>
    <w:p w14:paraId="568F80E4">
      <w:pPr>
        <w:pStyle w:val="5"/>
        <w:spacing w:line="578"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5.1.6 在政府及相关部门禁止施工期间，甲方因连续施工等原因要求继续供应混凝土的，须保证为乙方预留足够的供货时间并办理相关许可手续。</w:t>
      </w:r>
    </w:p>
    <w:p w14:paraId="6713AEC7">
      <w:pPr>
        <w:pStyle w:val="5"/>
        <w:spacing w:line="578"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5.1.7 未经乙方技术负责人签字同意，甲方自行加水、外加剂或掺合料导致混凝土质量出现问题的，由此带来的责任与损失由甲方承担。</w:t>
      </w:r>
    </w:p>
    <w:p w14:paraId="0D5A32DA">
      <w:pP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5.1.8 甲方具体安全责任。甲方应保证施工现场道路具备顺利通行条件并在关键位置和危险地段设置警示标志。甲方应提供车泵浇筑必要的安全作业环境，以及用电安全和夜间施工照明保障。甲方不应在不符合安全要求的情况下违规指挥乙方开盘浇筑混凝土。如因非乙方原因造成乙方设备损失及人员伤亡事故，责任及损失由甲方承担。</w:t>
      </w:r>
    </w:p>
    <w:p w14:paraId="542D8CCE">
      <w:pPr>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5.2 乙方权利与义务</w:t>
      </w:r>
    </w:p>
    <w:p w14:paraId="25312B07">
      <w:pPr>
        <w:pStyle w:val="5"/>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5.2.1 乙方应按</w:t>
      </w:r>
      <w:r>
        <w:rPr>
          <w:rFonts w:hint="default" w:ascii="Times New Roman" w:hAnsi="Times New Roman" w:eastAsia="仿宋_GB2312" w:cs="Times New Roman"/>
          <w:b w:val="0"/>
          <w:bCs w:val="0"/>
          <w:color w:val="auto"/>
          <w:sz w:val="28"/>
          <w:szCs w:val="28"/>
          <w:lang w:val="en-US" w:eastAsia="zh-CN"/>
        </w:rPr>
        <w:t>相关</w:t>
      </w:r>
      <w:r>
        <w:rPr>
          <w:rFonts w:hint="default" w:ascii="Times New Roman" w:hAnsi="Times New Roman" w:eastAsia="仿宋_GB2312" w:cs="Times New Roman"/>
          <w:b w:val="0"/>
          <w:bCs w:val="0"/>
          <w:color w:val="auto"/>
          <w:sz w:val="28"/>
          <w:szCs w:val="28"/>
          <w:lang w:eastAsia="zh-CN"/>
        </w:rPr>
        <w:t>标准、</w:t>
      </w:r>
      <w:r>
        <w:rPr>
          <w:rFonts w:hint="default" w:ascii="Times New Roman" w:hAnsi="Times New Roman" w:eastAsia="仿宋_GB2312" w:cs="Times New Roman"/>
          <w:b w:val="0"/>
          <w:bCs w:val="0"/>
          <w:color w:val="auto"/>
          <w:sz w:val="28"/>
          <w:szCs w:val="28"/>
        </w:rPr>
        <w:t>规范及合同约定的要求，负责混凝土的配合比设计、试验</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并在混凝土开始供应前将各原材料的检验报告、配合比报告提供给甲方。</w:t>
      </w:r>
    </w:p>
    <w:p w14:paraId="31535AAD">
      <w:pPr>
        <w:pStyle w:val="5"/>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5.2.2 乙方应按本合同约定及甲方提供的供应计划表中的供货时间及时供应混凝土，保证工程连续浇筑的需要，但因不可抗力或甲方书面认可的未能及时保供情形除外。乙方因不可抗力或甲方书面认可的未能及时保供情形致未能按时供应时，应将上述情况及时告知甲方，甲方应顺延供应时间。</w:t>
      </w:r>
    </w:p>
    <w:p w14:paraId="6129C031">
      <w:pPr>
        <w:pStyle w:val="5"/>
        <w:spacing w:line="578" w:lineRule="exact"/>
        <w:jc w:val="left"/>
        <w:rPr>
          <w:rFonts w:hint="default" w:ascii="Times New Roman" w:hAnsi="Times New Roman" w:eastAsia="仿宋_GB2312" w:cs="Times New Roman"/>
          <w:b w:val="0"/>
          <w:bCs w:val="0"/>
          <w:i/>
          <w:iCs/>
          <w:color w:val="auto"/>
          <w:sz w:val="28"/>
          <w:szCs w:val="28"/>
          <w:highlight w:val="yellow"/>
        </w:rPr>
      </w:pPr>
      <w:r>
        <w:rPr>
          <w:rFonts w:hint="default" w:ascii="Times New Roman" w:hAnsi="Times New Roman" w:eastAsia="仿宋_GB2312" w:cs="Times New Roman"/>
          <w:b w:val="0"/>
          <w:bCs w:val="0"/>
          <w:color w:val="auto"/>
          <w:sz w:val="28"/>
          <w:szCs w:val="28"/>
        </w:rPr>
        <w:t>5.2.3 乙方进入本工程施工现场的人员，应佩戴安全帽，并遵守国家及</w:t>
      </w:r>
      <w:r>
        <w:rPr>
          <w:rFonts w:hint="default" w:ascii="Times New Roman" w:hAnsi="Times New Roman" w:eastAsia="仿宋_GB2312" w:cs="Times New Roman"/>
          <w:b w:val="0"/>
          <w:bCs w:val="0"/>
          <w:color w:val="auto"/>
          <w:sz w:val="28"/>
          <w:szCs w:val="28"/>
          <w:lang w:eastAsia="zh-CN"/>
        </w:rPr>
        <w:t>四川</w:t>
      </w:r>
      <w:r>
        <w:rPr>
          <w:rFonts w:hint="default" w:ascii="Times New Roman" w:hAnsi="Times New Roman" w:eastAsia="仿宋_GB2312" w:cs="Times New Roman"/>
          <w:b w:val="0"/>
          <w:bCs w:val="0"/>
          <w:color w:val="auto"/>
          <w:sz w:val="28"/>
          <w:szCs w:val="28"/>
        </w:rPr>
        <w:t>省有关安全操作规程，服从甲方施工现场安全管理规定，乙方协助并配合甲方做好泵送作业相关安全工作。</w:t>
      </w:r>
    </w:p>
    <w:p w14:paraId="5DF8F6F1">
      <w:pPr>
        <w:pStyle w:val="5"/>
        <w:spacing w:line="578" w:lineRule="exact"/>
        <w:jc w:val="left"/>
        <w:rPr>
          <w:rFonts w:hint="default" w:ascii="Times New Roman" w:hAnsi="Times New Roman" w:eastAsia="仿宋_GB2312" w:cs="Times New Roman"/>
          <w:b w:val="0"/>
          <w:bCs w:val="0"/>
          <w:i/>
          <w:iCs/>
          <w:color w:val="auto"/>
          <w:sz w:val="28"/>
          <w:szCs w:val="28"/>
          <w:highlight w:val="yellow"/>
        </w:rPr>
      </w:pPr>
      <w:r>
        <w:rPr>
          <w:rFonts w:hint="default" w:ascii="Times New Roman" w:hAnsi="Times New Roman" w:eastAsia="仿宋_GB2312" w:cs="Times New Roman"/>
          <w:b w:val="0"/>
          <w:bCs w:val="0"/>
          <w:color w:val="auto"/>
          <w:sz w:val="28"/>
          <w:szCs w:val="28"/>
        </w:rPr>
        <w:t>5.2.4 乙方应派专人定期或需要时到施工现场与甲方共同协调混凝土供应事宜，参加甲方组织的关于重点结构部位或特种混凝土的技术交底会，提出混凝土浇筑相关控制措施和施工注意事项等。</w:t>
      </w:r>
    </w:p>
    <w:p w14:paraId="76ECC0EE">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5.2.5 乙方应配合甲方建立安全保证体系，参加甲方工地的安全领导小组。乙方应加强安全教育，提高全员安全意识；认真执行安全技术规范，严守安全规则；落实安全措施，确保安全施工。</w:t>
      </w:r>
    </w:p>
    <w:p w14:paraId="455E3C33">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5.2.6 乙方具体安全责任。乙方必须遵守《中华人民共和国道路交通安全法》的规定，在施工现场以外发生的道路交通安全事故，甲方不承担责任。乙方混凝土运输车辆必须保持车况良好，其操作人员必须持证上岗，并经公司三级安全培训。乙方预拌混凝土运输车辆不得超载进入施工现场。乙方车辆进入施工现场必须听从甲方现场人员的指挥，乙方人员必须遵守甲方关于施工现场安全管理的规定。如因乙方操作失误、机械故障等原因造成设备损失及人员伤亡，责任及损失由乙方承担。</w:t>
      </w:r>
    </w:p>
    <w:p w14:paraId="6A269A7E">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六、违约责任</w:t>
      </w:r>
    </w:p>
    <w:p w14:paraId="0E32C886">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6.1 未按照相关标准、规范及本合同约定组织生产预拌混凝土，所造成的质量责任由乙方承担。交货检验过程中，在双方共同见证下，现场抽样试块经过标准养护后强度检验不合格时，双方可协商由第三方有检测资质的检测机构进行复检鉴定，综合项目生产、施工所使用的预拌混凝土全部要素对混凝土进行检测，鉴定费用先由提出异议方垫付，最终由确定的责任方承担。确因乙方供应的混凝土质量问题导致工程需要重建、修复等整改的，由双方自行协商处理办法。</w:t>
      </w:r>
    </w:p>
    <w:p w14:paraId="0560E0B0">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6.2</w:t>
      </w:r>
      <w:r>
        <w:rPr>
          <w:rFonts w:hint="eastAsia" w:ascii="Times New Roman" w:hAnsi="Times New Roman" w:eastAsia="仿宋_GB2312" w:cs="Times New Roman"/>
          <w:b w:val="0"/>
          <w:bCs w:val="0"/>
          <w:color w:val="auto"/>
          <w:kern w:val="2"/>
          <w:sz w:val="28"/>
          <w:szCs w:val="28"/>
          <w:lang w:val="en-US" w:eastAsia="zh-CN" w:bidi="ar-SA"/>
        </w:rPr>
        <w:t xml:space="preserve"> </w:t>
      </w:r>
      <w:r>
        <w:rPr>
          <w:rFonts w:hint="default" w:ascii="Times New Roman" w:hAnsi="Times New Roman" w:eastAsia="仿宋_GB2312" w:cs="Times New Roman"/>
          <w:b w:val="0"/>
          <w:bCs w:val="0"/>
          <w:color w:val="auto"/>
          <w:kern w:val="2"/>
          <w:sz w:val="28"/>
          <w:szCs w:val="28"/>
          <w:lang w:val="en-US" w:eastAsia="zh-CN" w:bidi="ar-SA"/>
        </w:rPr>
        <w:t>非因不可抗力，乙方未按照供货计划供货，所造成的甲方工期延误、人员窝工、设备、周转料具停置等经济损失由乙方承担。</w:t>
      </w:r>
    </w:p>
    <w:p w14:paraId="264DBAA6">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6.3</w:t>
      </w:r>
      <w:r>
        <w:rPr>
          <w:rFonts w:hint="eastAsia" w:ascii="Times New Roman" w:hAnsi="Times New Roman" w:eastAsia="仿宋_GB2312" w:cs="Times New Roman"/>
          <w:b w:val="0"/>
          <w:bCs w:val="0"/>
          <w:color w:val="auto"/>
          <w:kern w:val="2"/>
          <w:sz w:val="28"/>
          <w:szCs w:val="28"/>
          <w:lang w:val="en-US" w:eastAsia="zh-CN" w:bidi="ar-SA"/>
        </w:rPr>
        <w:t xml:space="preserve"> </w:t>
      </w:r>
      <w:r>
        <w:rPr>
          <w:rFonts w:hint="default" w:ascii="Times New Roman" w:hAnsi="Times New Roman" w:eastAsia="仿宋_GB2312" w:cs="Times New Roman"/>
          <w:b w:val="0"/>
          <w:bCs w:val="0"/>
          <w:color w:val="auto"/>
          <w:kern w:val="2"/>
          <w:sz w:val="28"/>
          <w:szCs w:val="28"/>
          <w:lang w:val="en-US" w:eastAsia="zh-CN" w:bidi="ar-SA"/>
        </w:rPr>
        <w:t>乙方未向甲方提供预拌混凝土出厂质量合格证明等相关技术资料和本合同规定的其他资料，导致甲方拒绝接收乙方货物所造成的经济损失由乙方承担。</w:t>
      </w:r>
    </w:p>
    <w:p w14:paraId="595DF577">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6.4 甲方未能提供预拌混凝土卸料安全保障和现场作业条件，造成混凝土初凝期内未浇筑完毕或造成其他安全事故的，所造成的经济损失由甲方承担。</w:t>
      </w:r>
    </w:p>
    <w:p w14:paraId="41DB1EEA">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6.5 甲方未按约定办理结算，且超过15日仍拒办理结算的，乙方有权停止供应，同时乙方有权以合同约定单价和车单量为依据追索砼款。甲方逾期付款超过15日的，乙方有权停止供货；超过30日的，乙方可解除合同并向甲方主张支付全额货款。</w:t>
      </w:r>
    </w:p>
    <w:p w14:paraId="527E9D00">
      <w:pPr>
        <w:pStyle w:val="3"/>
        <w:spacing w:line="578" w:lineRule="exact"/>
        <w:ind w:firstLine="0" w:firstLineChars="0"/>
        <w:jc w:val="both"/>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6.6 甲方逾期付款的，每逾期一日按照(            )承担违约金。</w:t>
      </w:r>
    </w:p>
    <w:p w14:paraId="6766B6F3">
      <w:pPr>
        <w:pStyle w:val="3"/>
        <w:spacing w:line="578" w:lineRule="exact"/>
        <w:ind w:firstLine="0" w:firstLineChars="0"/>
        <w:jc w:val="both"/>
        <w:rPr>
          <w:rFonts w:hint="default" w:ascii="Times New Roman" w:hAnsi="Times New Roman" w:eastAsia="仿宋_GB2312" w:cs="Times New Roman"/>
          <w:b w:val="0"/>
          <w:bCs w:val="0"/>
          <w:color w:val="auto"/>
          <w:sz w:val="28"/>
          <w:szCs w:val="28"/>
          <w:u w:val="none"/>
        </w:rPr>
      </w:pPr>
      <w:r>
        <w:rPr>
          <w:rFonts w:hint="default" w:ascii="Times New Roman" w:hAnsi="Times New Roman" w:eastAsia="仿宋_GB2312" w:cs="Times New Roman"/>
          <w:b w:val="0"/>
          <w:bCs w:val="0"/>
          <w:color w:val="auto"/>
          <w:sz w:val="28"/>
          <w:szCs w:val="28"/>
          <w:lang w:val="en-US" w:eastAsia="zh-CN"/>
        </w:rPr>
        <w:t>6.7</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其他事项。</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u w:val="single"/>
          <w:lang w:val="en-US" w:eastAsia="zh-CN"/>
        </w:rPr>
        <w:t xml:space="preserve">                                   </w:t>
      </w:r>
      <w:r>
        <w:rPr>
          <w:rFonts w:hint="default" w:ascii="Times New Roman" w:hAnsi="Times New Roman" w:eastAsia="仿宋_GB2312" w:cs="Times New Roman"/>
          <w:b w:val="0"/>
          <w:bCs w:val="0"/>
          <w:color w:val="auto"/>
          <w:sz w:val="28"/>
          <w:szCs w:val="28"/>
          <w:u w:val="single"/>
        </w:rPr>
        <w:t xml:space="preserve"> </w:t>
      </w:r>
    </w:p>
    <w:p w14:paraId="2B8A2803">
      <w:pPr>
        <w:pStyle w:val="3"/>
        <w:spacing w:line="578" w:lineRule="exact"/>
        <w:ind w:firstLine="0" w:firstLineChars="0"/>
        <w:jc w:val="both"/>
        <w:rPr>
          <w:rFonts w:hint="default" w:ascii="Times New Roman" w:hAnsi="Times New Roman" w:eastAsia="仿宋_GB2312" w:cs="Times New Roman"/>
          <w:b w:val="0"/>
          <w:bCs w:val="0"/>
          <w:strike w:val="0"/>
          <w:color w:val="auto"/>
          <w:sz w:val="28"/>
          <w:szCs w:val="28"/>
          <w:lang w:val="en-US" w:eastAsia="zh-CN"/>
        </w:rPr>
      </w:pPr>
      <w:r>
        <w:rPr>
          <w:rFonts w:hint="default" w:ascii="Times New Roman" w:hAnsi="Times New Roman" w:eastAsia="仿宋_GB2312" w:cs="Times New Roman"/>
          <w:b w:val="0"/>
          <w:bCs w:val="0"/>
          <w:strike w:val="0"/>
          <w:color w:val="auto"/>
          <w:sz w:val="28"/>
          <w:szCs w:val="28"/>
          <w:lang w:val="en-US" w:eastAsia="zh-CN"/>
        </w:rPr>
        <w:t>6.8 甲乙双方出现违约的，</w:t>
      </w:r>
      <w:r>
        <w:rPr>
          <w:rFonts w:hint="default" w:ascii="Times New Roman" w:hAnsi="Times New Roman" w:eastAsia="仿宋_GB2312" w:cs="Times New Roman"/>
          <w:b w:val="0"/>
          <w:bCs w:val="0"/>
          <w:strike w:val="0"/>
          <w:color w:val="auto"/>
          <w:sz w:val="28"/>
          <w:szCs w:val="28"/>
          <w:lang w:eastAsia="zh-CN"/>
        </w:rPr>
        <w:t>违约方除承担违约责任外，需同时支付守约方为实现权益所支出的诉讼费、仲裁费、代理费等费用。</w:t>
      </w:r>
    </w:p>
    <w:p w14:paraId="53F2D736">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七、送达约定</w:t>
      </w:r>
    </w:p>
    <w:p w14:paraId="1235D989">
      <w:pPr>
        <w:spacing w:line="578"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7.1甲乙双方在本合同中均已如实提供</w:t>
      </w:r>
      <w:r>
        <w:rPr>
          <w:rFonts w:hint="default" w:ascii="Times New Roman" w:hAnsi="Times New Roman" w:eastAsia="仿宋_GB2312" w:cs="Times New Roman"/>
          <w:b w:val="0"/>
          <w:bCs w:val="0"/>
          <w:color w:val="auto"/>
          <w:sz w:val="28"/>
          <w:szCs w:val="28"/>
          <w:highlight w:val="none"/>
        </w:rPr>
        <w:t>了</w:t>
      </w:r>
      <w:r>
        <w:rPr>
          <w:rFonts w:hint="default" w:ascii="Times New Roman" w:hAnsi="Times New Roman" w:eastAsia="仿宋_GB2312" w:cs="Times New Roman"/>
          <w:b w:val="0"/>
          <w:bCs w:val="0"/>
          <w:color w:val="auto"/>
          <w:sz w:val="28"/>
          <w:szCs w:val="28"/>
          <w:highlight w:val="none"/>
          <w:lang w:eastAsia="zh-CN"/>
        </w:rPr>
        <w:t>通讯</w:t>
      </w:r>
      <w:r>
        <w:rPr>
          <w:rFonts w:hint="default" w:ascii="Times New Roman" w:hAnsi="Times New Roman" w:eastAsia="仿宋_GB2312" w:cs="Times New Roman"/>
          <w:b w:val="0"/>
          <w:bCs w:val="0"/>
          <w:color w:val="auto"/>
          <w:sz w:val="28"/>
          <w:szCs w:val="28"/>
          <w:highlight w:val="none"/>
        </w:rPr>
        <w:t>地址</w:t>
      </w:r>
      <w:r>
        <w:rPr>
          <w:rFonts w:hint="default" w:ascii="Times New Roman" w:hAnsi="Times New Roman" w:eastAsia="仿宋_GB2312" w:cs="Times New Roman"/>
          <w:b w:val="0"/>
          <w:bCs w:val="0"/>
          <w:color w:val="auto"/>
          <w:sz w:val="28"/>
          <w:szCs w:val="28"/>
        </w:rPr>
        <w:t>给对方:</w:t>
      </w:r>
    </w:p>
    <w:p w14:paraId="4D2FF98A">
      <w:pPr>
        <w:spacing w:line="578"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甲方收件人：</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联系方式：</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 xml:space="preserve"> </w:t>
      </w:r>
    </w:p>
    <w:p w14:paraId="00FCCBE4">
      <w:pPr>
        <w:spacing w:line="578" w:lineRule="exact"/>
        <w:rPr>
          <w:rFonts w:hint="default" w:ascii="Times New Roman" w:hAnsi="Times New Roman" w:eastAsia="仿宋_GB2312" w:cs="Times New Roman"/>
          <w:b w:val="0"/>
          <w:bCs w:val="0"/>
          <w:color w:val="auto"/>
          <w:sz w:val="28"/>
          <w:szCs w:val="28"/>
          <w:u w:val="single"/>
        </w:rPr>
      </w:pPr>
      <w:r>
        <w:rPr>
          <w:rFonts w:hint="default" w:ascii="Times New Roman" w:hAnsi="Times New Roman" w:eastAsia="仿宋_GB2312" w:cs="Times New Roman"/>
          <w:b w:val="0"/>
          <w:bCs w:val="0"/>
          <w:color w:val="auto"/>
          <w:sz w:val="28"/>
          <w:szCs w:val="28"/>
        </w:rPr>
        <w:t xml:space="preserve">地址： </w:t>
      </w:r>
      <w:r>
        <w:rPr>
          <w:rFonts w:hint="default" w:ascii="Times New Roman" w:hAnsi="Times New Roman" w:eastAsia="仿宋_GB2312" w:cs="Times New Roman"/>
          <w:b w:val="0"/>
          <w:bCs w:val="0"/>
          <w:color w:val="auto"/>
          <w:sz w:val="28"/>
          <w:szCs w:val="28"/>
          <w:u w:val="single"/>
        </w:rPr>
        <w:t xml:space="preserve">                                         </w:t>
      </w:r>
    </w:p>
    <w:p w14:paraId="0B33C642">
      <w:pPr>
        <w:spacing w:line="578" w:lineRule="exact"/>
        <w:rPr>
          <w:rFonts w:hint="default" w:ascii="Times New Roman" w:hAnsi="Times New Roman" w:eastAsia="仿宋_GB2312" w:cs="Times New Roman"/>
          <w:b w:val="0"/>
          <w:bCs w:val="0"/>
          <w:color w:val="auto"/>
          <w:sz w:val="28"/>
          <w:szCs w:val="28"/>
          <w:u w:val="single"/>
        </w:rPr>
      </w:pPr>
      <w:r>
        <w:rPr>
          <w:rFonts w:hint="default" w:ascii="Times New Roman" w:hAnsi="Times New Roman" w:eastAsia="仿宋_GB2312" w:cs="Times New Roman"/>
          <w:b w:val="0"/>
          <w:bCs w:val="0"/>
          <w:color w:val="auto"/>
          <w:sz w:val="28"/>
          <w:szCs w:val="28"/>
        </w:rPr>
        <w:t xml:space="preserve">邮箱： </w:t>
      </w:r>
      <w:r>
        <w:rPr>
          <w:rFonts w:hint="default" w:ascii="Times New Roman" w:hAnsi="Times New Roman" w:eastAsia="仿宋_GB2312" w:cs="Times New Roman"/>
          <w:b w:val="0"/>
          <w:bCs w:val="0"/>
          <w:color w:val="auto"/>
          <w:sz w:val="28"/>
          <w:szCs w:val="28"/>
          <w:u w:val="single"/>
        </w:rPr>
        <w:t xml:space="preserve">                                         </w:t>
      </w:r>
    </w:p>
    <w:p w14:paraId="7E8DA397">
      <w:pPr>
        <w:spacing w:line="578"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乙方收件人：</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联系方式：</w:t>
      </w:r>
      <w:r>
        <w:rPr>
          <w:rFonts w:hint="default" w:ascii="Times New Roman" w:hAnsi="Times New Roman" w:eastAsia="仿宋_GB2312" w:cs="Times New Roman"/>
          <w:b w:val="0"/>
          <w:bCs w:val="0"/>
          <w:color w:val="auto"/>
          <w:sz w:val="28"/>
          <w:szCs w:val="28"/>
          <w:u w:val="single"/>
        </w:rPr>
        <w:t xml:space="preserve">               </w:t>
      </w:r>
      <w:r>
        <w:rPr>
          <w:rFonts w:hint="default" w:ascii="Times New Roman" w:hAnsi="Times New Roman" w:eastAsia="仿宋_GB2312" w:cs="Times New Roman"/>
          <w:b w:val="0"/>
          <w:bCs w:val="0"/>
          <w:color w:val="auto"/>
          <w:sz w:val="28"/>
          <w:szCs w:val="28"/>
        </w:rPr>
        <w:t xml:space="preserve"> </w:t>
      </w:r>
    </w:p>
    <w:p w14:paraId="60A7FF89">
      <w:pPr>
        <w:spacing w:line="578" w:lineRule="exact"/>
        <w:rPr>
          <w:rFonts w:hint="default" w:ascii="Times New Roman" w:hAnsi="Times New Roman" w:eastAsia="仿宋_GB2312" w:cs="Times New Roman"/>
          <w:b w:val="0"/>
          <w:bCs w:val="0"/>
          <w:color w:val="auto"/>
          <w:sz w:val="28"/>
          <w:szCs w:val="28"/>
          <w:u w:val="single"/>
        </w:rPr>
      </w:pPr>
      <w:r>
        <w:rPr>
          <w:rFonts w:hint="default" w:ascii="Times New Roman" w:hAnsi="Times New Roman" w:eastAsia="仿宋_GB2312" w:cs="Times New Roman"/>
          <w:b w:val="0"/>
          <w:bCs w:val="0"/>
          <w:color w:val="auto"/>
          <w:sz w:val="28"/>
          <w:szCs w:val="28"/>
        </w:rPr>
        <w:t xml:space="preserve">地址： </w:t>
      </w:r>
      <w:r>
        <w:rPr>
          <w:rFonts w:hint="default" w:ascii="Times New Roman" w:hAnsi="Times New Roman" w:eastAsia="仿宋_GB2312" w:cs="Times New Roman"/>
          <w:b w:val="0"/>
          <w:bCs w:val="0"/>
          <w:color w:val="auto"/>
          <w:sz w:val="28"/>
          <w:szCs w:val="28"/>
          <w:u w:val="single"/>
        </w:rPr>
        <w:t xml:space="preserve">                                         </w:t>
      </w:r>
    </w:p>
    <w:p w14:paraId="05DD6399">
      <w:pPr>
        <w:spacing w:line="578" w:lineRule="exact"/>
        <w:rPr>
          <w:rFonts w:hint="default" w:ascii="Times New Roman" w:hAnsi="Times New Roman" w:eastAsia="仿宋_GB2312" w:cs="Times New Roman"/>
          <w:b w:val="0"/>
          <w:bCs w:val="0"/>
          <w:color w:val="auto"/>
          <w:sz w:val="28"/>
          <w:szCs w:val="28"/>
          <w:u w:val="single"/>
        </w:rPr>
      </w:pPr>
      <w:r>
        <w:rPr>
          <w:rFonts w:hint="default" w:ascii="Times New Roman" w:hAnsi="Times New Roman" w:eastAsia="仿宋_GB2312" w:cs="Times New Roman"/>
          <w:b w:val="0"/>
          <w:bCs w:val="0"/>
          <w:color w:val="auto"/>
          <w:sz w:val="28"/>
          <w:szCs w:val="28"/>
        </w:rPr>
        <w:t xml:space="preserve">邮箱： </w:t>
      </w:r>
      <w:r>
        <w:rPr>
          <w:rFonts w:hint="default" w:ascii="Times New Roman" w:hAnsi="Times New Roman" w:eastAsia="仿宋_GB2312" w:cs="Times New Roman"/>
          <w:b w:val="0"/>
          <w:bCs w:val="0"/>
          <w:color w:val="auto"/>
          <w:sz w:val="28"/>
          <w:szCs w:val="28"/>
          <w:u w:val="single"/>
        </w:rPr>
        <w:t xml:space="preserve">                                         </w:t>
      </w:r>
    </w:p>
    <w:p w14:paraId="6DE6C33E">
      <w:pPr>
        <w:spacing w:line="578"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7.2 甲乙双方一致同意，除非收到对</w:t>
      </w:r>
      <w:r>
        <w:rPr>
          <w:rFonts w:hint="default" w:ascii="Times New Roman" w:hAnsi="Times New Roman" w:eastAsia="仿宋_GB2312" w:cs="Times New Roman"/>
          <w:b w:val="0"/>
          <w:bCs w:val="0"/>
          <w:color w:val="auto"/>
          <w:sz w:val="28"/>
          <w:szCs w:val="28"/>
          <w:highlight w:val="none"/>
        </w:rPr>
        <w:t>方关于变更通讯地址的书面通知，双方在本合同约定通讯地址作为向双方送达司法文</w:t>
      </w:r>
      <w:r>
        <w:rPr>
          <w:rFonts w:hint="default" w:ascii="Times New Roman" w:hAnsi="Times New Roman" w:eastAsia="仿宋_GB2312" w:cs="Times New Roman"/>
          <w:b w:val="0"/>
          <w:bCs w:val="0"/>
          <w:color w:val="auto"/>
          <w:sz w:val="28"/>
          <w:szCs w:val="28"/>
        </w:rPr>
        <w:t>书及其他书面文件的地址。</w:t>
      </w:r>
    </w:p>
    <w:p w14:paraId="3EA56F59">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八、合同变更、解除及争议解决</w:t>
      </w:r>
    </w:p>
    <w:p w14:paraId="40FE34D6">
      <w:pPr>
        <w:pStyle w:val="5"/>
        <w:spacing w:line="578" w:lineRule="exac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8.1 双方拟变更本合同时签署补充协议，补充协议作为本合同的组成部分。</w:t>
      </w:r>
    </w:p>
    <w:p w14:paraId="33C42B86">
      <w:pPr>
        <w:pStyle w:val="5"/>
        <w:spacing w:line="578" w:lineRule="exact"/>
        <w:jc w:val="left"/>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8.2 非乙方原因，甲方停用（乙方最后一次送货之日起算）乙方的砼达30日，甲方应自</w:t>
      </w:r>
      <w:r>
        <w:rPr>
          <w:rFonts w:hint="default" w:ascii="Times New Roman" w:hAnsi="Times New Roman" w:eastAsia="仿宋_GB2312" w:cs="Times New Roman"/>
          <w:b w:val="0"/>
          <w:bCs w:val="0"/>
          <w:color w:val="auto"/>
          <w:kern w:val="2"/>
          <w:sz w:val="30"/>
          <w:szCs w:val="30"/>
          <w:lang w:val="en-US" w:eastAsia="zh-CN" w:bidi="ar-SA"/>
        </w:rPr>
        <w:t>停用满30日之日起7日内</w:t>
      </w:r>
      <w:r>
        <w:rPr>
          <w:rFonts w:hint="default" w:ascii="Times New Roman" w:hAnsi="Times New Roman" w:eastAsia="仿宋_GB2312" w:cs="Times New Roman"/>
          <w:b w:val="0"/>
          <w:bCs w:val="0"/>
          <w:color w:val="auto"/>
          <w:sz w:val="28"/>
          <w:szCs w:val="28"/>
        </w:rPr>
        <w:t>付清所有乙方砼款</w:t>
      </w:r>
      <w:r>
        <w:rPr>
          <w:rFonts w:hint="default" w:ascii="Times New Roman" w:hAnsi="Times New Roman" w:eastAsia="仿宋_GB2312" w:cs="Times New Roman"/>
          <w:b w:val="0"/>
          <w:bCs w:val="0"/>
          <w:color w:val="auto"/>
          <w:sz w:val="28"/>
          <w:szCs w:val="28"/>
          <w:lang w:eastAsia="zh-CN"/>
        </w:rPr>
        <w:t>，并同时解除合同。</w:t>
      </w:r>
    </w:p>
    <w:p w14:paraId="249DC667">
      <w:pPr>
        <w:pStyle w:val="4"/>
        <w:spacing w:line="578" w:lineRule="exact"/>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8.3</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本合同实施过程中如发生争议，由双方协商解决；协商解决争议时，预拌混凝土生产、使用过程的质量判定，应符合国家标准和行业行政主管部门的有关规定；预拌混凝土质量检测由有</w:t>
      </w:r>
      <w:r>
        <w:rPr>
          <w:rFonts w:hint="default" w:ascii="Times New Roman" w:hAnsi="Times New Roman" w:eastAsia="仿宋_GB2312" w:cs="Times New Roman"/>
          <w:b w:val="0"/>
          <w:bCs w:val="0"/>
          <w:color w:val="auto"/>
          <w:sz w:val="28"/>
          <w:szCs w:val="28"/>
          <w:lang w:eastAsia="zh-CN"/>
        </w:rPr>
        <w:t>检测</w:t>
      </w:r>
      <w:r>
        <w:rPr>
          <w:rFonts w:hint="default" w:ascii="Times New Roman" w:hAnsi="Times New Roman" w:eastAsia="仿宋_GB2312" w:cs="Times New Roman"/>
          <w:b w:val="0"/>
          <w:bCs w:val="0"/>
          <w:color w:val="auto"/>
          <w:sz w:val="28"/>
          <w:szCs w:val="28"/>
        </w:rPr>
        <w:t>资质的检测单位实施。</w:t>
      </w:r>
    </w:p>
    <w:p w14:paraId="58646121">
      <w:pPr>
        <w:pStyle w:val="4"/>
        <w:spacing w:line="578" w:lineRule="exact"/>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8.4</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本合同</w:t>
      </w:r>
      <w:r>
        <w:rPr>
          <w:rFonts w:hint="default" w:ascii="Times New Roman" w:hAnsi="Times New Roman" w:eastAsia="仿宋_GB2312" w:cs="Times New Roman"/>
          <w:b w:val="0"/>
          <w:bCs w:val="0"/>
          <w:color w:val="auto"/>
          <w:sz w:val="28"/>
          <w:szCs w:val="28"/>
          <w:lang w:eastAsia="zh-CN"/>
        </w:rPr>
        <w:t>在履行</w:t>
      </w:r>
      <w:r>
        <w:rPr>
          <w:rFonts w:hint="default" w:ascii="Times New Roman" w:hAnsi="Times New Roman" w:eastAsia="仿宋_GB2312" w:cs="Times New Roman"/>
          <w:b w:val="0"/>
          <w:bCs w:val="0"/>
          <w:color w:val="auto"/>
          <w:sz w:val="28"/>
          <w:szCs w:val="28"/>
          <w:lang w:val="en-US" w:eastAsia="zh-CN"/>
        </w:rPr>
        <w:t>过程</w:t>
      </w:r>
      <w:r>
        <w:rPr>
          <w:rFonts w:hint="default" w:ascii="Times New Roman" w:hAnsi="Times New Roman" w:eastAsia="仿宋_GB2312" w:cs="Times New Roman"/>
          <w:b w:val="0"/>
          <w:bCs w:val="0"/>
          <w:color w:val="auto"/>
          <w:sz w:val="28"/>
          <w:szCs w:val="28"/>
          <w:lang w:eastAsia="zh-CN"/>
        </w:rPr>
        <w:t>中若</w:t>
      </w:r>
      <w:r>
        <w:rPr>
          <w:rFonts w:hint="default" w:ascii="Times New Roman" w:hAnsi="Times New Roman" w:eastAsia="仿宋_GB2312" w:cs="Times New Roman"/>
          <w:b w:val="0"/>
          <w:bCs w:val="0"/>
          <w:color w:val="auto"/>
          <w:sz w:val="28"/>
          <w:szCs w:val="28"/>
        </w:rPr>
        <w:t>发生争议</w:t>
      </w:r>
      <w:r>
        <w:rPr>
          <w:rFonts w:hint="default" w:ascii="Times New Roman" w:hAnsi="Times New Roman" w:eastAsia="仿宋_GB2312" w:cs="Times New Roman"/>
          <w:b w:val="0"/>
          <w:bCs w:val="0"/>
          <w:color w:val="auto"/>
          <w:sz w:val="28"/>
          <w:szCs w:val="28"/>
          <w:lang w:eastAsia="zh-CN"/>
        </w:rPr>
        <w:t>，甲乙双方</w:t>
      </w:r>
      <w:r>
        <w:rPr>
          <w:rFonts w:hint="default" w:ascii="Times New Roman" w:hAnsi="Times New Roman" w:eastAsia="仿宋_GB2312" w:cs="Times New Roman"/>
          <w:b w:val="0"/>
          <w:bCs w:val="0"/>
          <w:color w:val="auto"/>
          <w:sz w:val="28"/>
          <w:szCs w:val="28"/>
        </w:rPr>
        <w:t>协商解决。如协商不成，按下列第</w:t>
      </w:r>
      <w:r>
        <w:rPr>
          <w:rFonts w:hint="default" w:ascii="Times New Roman" w:hAnsi="Times New Roman" w:eastAsia="仿宋_GB2312" w:cs="Times New Roman"/>
          <w:b w:val="0"/>
          <w:bCs w:val="0"/>
          <w:color w:val="auto"/>
          <w:sz w:val="28"/>
          <w:szCs w:val="28"/>
          <w:u w:val="single"/>
        </w:rPr>
        <w:t>（  ）</w:t>
      </w:r>
      <w:r>
        <w:rPr>
          <w:rFonts w:hint="default" w:ascii="Times New Roman" w:hAnsi="Times New Roman" w:eastAsia="仿宋_GB2312" w:cs="Times New Roman"/>
          <w:b w:val="0"/>
          <w:bCs w:val="0"/>
          <w:color w:val="auto"/>
          <w:sz w:val="28"/>
          <w:szCs w:val="28"/>
        </w:rPr>
        <w:t xml:space="preserve"> 种方式解决：</w:t>
      </w:r>
    </w:p>
    <w:p w14:paraId="1A23AF76">
      <w:pPr>
        <w:pStyle w:val="4"/>
        <w:spacing w:line="578" w:lineRule="exact"/>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w:t>
      </w:r>
      <w:r>
        <w:rPr>
          <w:rFonts w:hint="default" w:ascii="Times New Roman" w:hAnsi="Times New Roman" w:eastAsia="仿宋_GB2312" w:cs="Times New Roman"/>
          <w:b w:val="0"/>
          <w:bCs w:val="0"/>
          <w:color w:val="auto"/>
          <w:sz w:val="28"/>
          <w:szCs w:val="28"/>
          <w:lang w:eastAsia="zh-CN"/>
        </w:rPr>
        <w:t>依法向</w:t>
      </w:r>
      <w:r>
        <w:rPr>
          <w:rFonts w:hint="default" w:ascii="Times New Roman" w:hAnsi="Times New Roman" w:eastAsia="仿宋_GB2312" w:cs="Times New Roman"/>
          <w:b w:val="0"/>
          <w:bCs w:val="0"/>
          <w:color w:val="auto"/>
          <w:sz w:val="28"/>
          <w:szCs w:val="28"/>
        </w:rPr>
        <w:t>合同履约地（工程所在地）人民法院起诉；</w:t>
      </w:r>
    </w:p>
    <w:p w14:paraId="1C72087C">
      <w:pPr>
        <w:pStyle w:val="4"/>
        <w:numPr>
          <w:ilvl w:val="-1"/>
          <w:numId w:val="0"/>
        </w:numPr>
        <w:spacing w:line="578" w:lineRule="exact"/>
        <w:ind w:firstLine="0" w:firstLineChars="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提交</w:t>
      </w:r>
      <w:r>
        <w:rPr>
          <w:rFonts w:hint="default" w:ascii="Times New Roman" w:hAnsi="Times New Roman" w:eastAsia="仿宋_GB2312" w:cs="Times New Roman"/>
          <w:b w:val="0"/>
          <w:bCs w:val="0"/>
          <w:color w:val="auto"/>
          <w:sz w:val="28"/>
          <w:szCs w:val="28"/>
          <w:u w:val="single"/>
        </w:rPr>
        <w:t>（  ）</w:t>
      </w:r>
      <w:r>
        <w:rPr>
          <w:rFonts w:hint="default" w:ascii="Times New Roman" w:hAnsi="Times New Roman" w:eastAsia="仿宋_GB2312" w:cs="Times New Roman"/>
          <w:b w:val="0"/>
          <w:bCs w:val="0"/>
          <w:color w:val="auto"/>
          <w:sz w:val="28"/>
          <w:szCs w:val="28"/>
        </w:rPr>
        <w:t xml:space="preserve"> 仲裁委员会仲裁。</w:t>
      </w:r>
    </w:p>
    <w:p w14:paraId="0606CC39">
      <w:pPr>
        <w:spacing w:line="578"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九、其他</w:t>
      </w:r>
    </w:p>
    <w:p w14:paraId="00BC88F1">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rPr>
        <w:t xml:space="preserve">9.1 </w:t>
      </w:r>
      <w:r>
        <w:rPr>
          <w:rFonts w:hint="default" w:ascii="Times New Roman" w:hAnsi="Times New Roman" w:eastAsia="仿宋_GB2312" w:cs="Times New Roman"/>
          <w:color w:val="auto"/>
          <w:sz w:val="28"/>
          <w:szCs w:val="28"/>
        </w:rPr>
        <w:t>本合同一式四份、双方各执</w:t>
      </w:r>
      <w:r>
        <w:rPr>
          <w:rFonts w:hint="default" w:ascii="Times New Roman" w:hAnsi="Times New Roman" w:eastAsia="仿宋_GB2312" w:cs="Times New Roman"/>
          <w:color w:val="auto"/>
          <w:sz w:val="28"/>
          <w:szCs w:val="28"/>
          <w:lang w:eastAsia="zh-CN"/>
        </w:rPr>
        <w:t>两</w:t>
      </w:r>
      <w:r>
        <w:rPr>
          <w:rFonts w:hint="default" w:ascii="Times New Roman" w:hAnsi="Times New Roman" w:eastAsia="仿宋_GB2312" w:cs="Times New Roman"/>
          <w:color w:val="auto"/>
          <w:sz w:val="28"/>
          <w:szCs w:val="28"/>
        </w:rPr>
        <w:t>份，自双方签字盖章之日起生效。</w:t>
      </w:r>
    </w:p>
    <w:p w14:paraId="5AFBBE44">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rPr>
        <w:t xml:space="preserve">9.2 </w:t>
      </w:r>
      <w:r>
        <w:rPr>
          <w:rFonts w:hint="default" w:ascii="Times New Roman" w:hAnsi="Times New Roman" w:eastAsia="仿宋_GB2312" w:cs="Times New Roman"/>
          <w:color w:val="auto"/>
          <w:sz w:val="28"/>
          <w:szCs w:val="28"/>
        </w:rPr>
        <w:t>本合同及协议采用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w:t>
      </w:r>
      <w:r>
        <w:rPr>
          <w:rFonts w:hint="default" w:ascii="Times New Roman" w:hAnsi="Times New Roman" w:eastAsia="仿宋_GB2312" w:cs="Times New Roman"/>
          <w:color w:val="auto"/>
          <w:sz w:val="28"/>
          <w:szCs w:val="28"/>
          <w:u w:val="single"/>
        </w:rPr>
        <w:t>书面形式</w:t>
      </w:r>
      <w:r>
        <w:rPr>
          <w:rFonts w:hint="default" w:ascii="Times New Roman" w:hAnsi="Times New Roman" w:eastAsia="仿宋_GB2312" w:cs="Times New Roman"/>
          <w:color w:val="auto"/>
          <w:sz w:val="28"/>
          <w:szCs w:val="28"/>
          <w:u w:val="single"/>
          <w:lang w:eastAsia="zh-CN"/>
        </w:rPr>
        <w:t>、电子签约等）</w:t>
      </w:r>
      <w:r>
        <w:rPr>
          <w:rFonts w:hint="default" w:ascii="Times New Roman" w:hAnsi="Times New Roman" w:eastAsia="仿宋_GB2312" w:cs="Times New Roman"/>
          <w:color w:val="auto"/>
          <w:sz w:val="28"/>
          <w:szCs w:val="28"/>
        </w:rPr>
        <w:t>；如有变更，应经双方签字确认方可。</w:t>
      </w:r>
    </w:p>
    <w:p w14:paraId="7BB8BBA3">
      <w:pPr>
        <w:spacing w:line="578"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 xml:space="preserve">9.3 </w:t>
      </w:r>
      <w:r>
        <w:rPr>
          <w:rFonts w:hint="default" w:ascii="Times New Roman" w:hAnsi="Times New Roman" w:eastAsia="仿宋_GB2312" w:cs="Times New Roman"/>
          <w:color w:val="auto"/>
          <w:sz w:val="28"/>
          <w:szCs w:val="28"/>
          <w:lang w:val="en-US" w:eastAsia="zh-CN"/>
        </w:rPr>
        <w:t>乙方取得的有效预拌混凝土专业承包资质文件复印件作为</w:t>
      </w:r>
      <w:r>
        <w:rPr>
          <w:rFonts w:hint="default" w:ascii="Times New Roman" w:hAnsi="Times New Roman" w:eastAsia="仿宋_GB2312" w:cs="Times New Roman"/>
          <w:color w:val="auto"/>
          <w:sz w:val="28"/>
          <w:szCs w:val="28"/>
        </w:rPr>
        <w:t>本合同</w:t>
      </w:r>
      <w:r>
        <w:rPr>
          <w:rFonts w:hint="default" w:ascii="Times New Roman" w:hAnsi="Times New Roman" w:eastAsia="仿宋_GB2312" w:cs="Times New Roman"/>
          <w:color w:val="auto"/>
          <w:sz w:val="28"/>
          <w:szCs w:val="28"/>
          <w:lang w:eastAsia="zh-CN"/>
        </w:rPr>
        <w:t>附件，一并存档。</w:t>
      </w:r>
    </w:p>
    <w:p w14:paraId="04813CF3">
      <w:pPr>
        <w:spacing w:line="578"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val="0"/>
          <w:color w:val="auto"/>
          <w:sz w:val="28"/>
          <w:szCs w:val="28"/>
        </w:rPr>
        <w:t>9.</w:t>
      </w:r>
      <w:r>
        <w:rPr>
          <w:rFonts w:hint="default"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color w:val="auto"/>
          <w:sz w:val="28"/>
          <w:szCs w:val="28"/>
        </w:rPr>
        <w:t xml:space="preserve"> 合同履行过程中，甲乙双方授权同意加盖下列印章或人员签字的全部文件有效。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624"/>
        <w:gridCol w:w="2088"/>
        <w:gridCol w:w="2381"/>
      </w:tblGrid>
      <w:tr w14:paraId="08BB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center"/>
          </w:tcPr>
          <w:p w14:paraId="7E9CBAA8">
            <w:pPr>
              <w:spacing w:line="578" w:lineRule="exact"/>
              <w:jc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授权人</w:t>
            </w:r>
          </w:p>
        </w:tc>
        <w:tc>
          <w:tcPr>
            <w:tcW w:w="2768" w:type="dxa"/>
            <w:noWrap w:val="0"/>
            <w:vAlign w:val="center"/>
          </w:tcPr>
          <w:p w14:paraId="334191B1">
            <w:pPr>
              <w:spacing w:line="440" w:lineRule="exact"/>
              <w:jc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授权人签名</w:t>
            </w:r>
          </w:p>
          <w:p w14:paraId="01F62A0E">
            <w:pPr>
              <w:spacing w:line="440" w:lineRule="exact"/>
              <w:jc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（盖章）</w:t>
            </w:r>
          </w:p>
        </w:tc>
        <w:tc>
          <w:tcPr>
            <w:tcW w:w="2190" w:type="dxa"/>
            <w:noWrap w:val="0"/>
            <w:vAlign w:val="center"/>
          </w:tcPr>
          <w:p w14:paraId="2A58067C">
            <w:pPr>
              <w:spacing w:line="440" w:lineRule="exact"/>
              <w:jc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被授权人签名（盖章）</w:t>
            </w:r>
          </w:p>
        </w:tc>
        <w:tc>
          <w:tcPr>
            <w:tcW w:w="2528" w:type="dxa"/>
            <w:noWrap w:val="0"/>
            <w:vAlign w:val="center"/>
          </w:tcPr>
          <w:p w14:paraId="2244ECE4">
            <w:pPr>
              <w:spacing w:line="578" w:lineRule="exact"/>
              <w:jc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被授权人</w:t>
            </w:r>
          </w:p>
          <w:p w14:paraId="2778A865">
            <w:pPr>
              <w:spacing w:line="578" w:lineRule="exact"/>
              <w:jc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身份证号</w:t>
            </w:r>
          </w:p>
        </w:tc>
      </w:tr>
      <w:tr w14:paraId="367D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14:paraId="1E685750">
            <w:pPr>
              <w:spacing w:line="578"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w:t>
            </w:r>
            <w:r>
              <w:rPr>
                <w:rFonts w:hint="default" w:ascii="Times New Roman" w:hAnsi="Times New Roman" w:eastAsia="仿宋_GB2312" w:cs="Times New Roman"/>
                <w:color w:val="auto"/>
                <w:kern w:val="0"/>
                <w:sz w:val="28"/>
                <w:szCs w:val="28"/>
                <w:lang w:eastAsia="zh-CN"/>
              </w:rPr>
              <w:t>负责人</w:t>
            </w:r>
            <w:r>
              <w:rPr>
                <w:rFonts w:hint="default" w:ascii="Times New Roman" w:hAnsi="Times New Roman" w:eastAsia="仿宋_GB2312" w:cs="Times New Roman"/>
                <w:color w:val="auto"/>
                <w:kern w:val="0"/>
                <w:sz w:val="28"/>
                <w:szCs w:val="28"/>
              </w:rPr>
              <w:t>（委托代理人）</w:t>
            </w:r>
          </w:p>
        </w:tc>
        <w:tc>
          <w:tcPr>
            <w:tcW w:w="2768" w:type="dxa"/>
            <w:vMerge w:val="restart"/>
            <w:noWrap w:val="0"/>
            <w:vAlign w:val="center"/>
          </w:tcPr>
          <w:p w14:paraId="0CD2A64D">
            <w:pPr>
              <w:spacing w:line="578" w:lineRule="exact"/>
              <w:jc w:val="center"/>
              <w:rPr>
                <w:rFonts w:hint="default" w:ascii="Times New Roman" w:hAnsi="Times New Roman" w:eastAsia="仿宋_GB2312" w:cs="Times New Roman"/>
                <w:color w:val="auto"/>
                <w:kern w:val="0"/>
                <w:sz w:val="28"/>
                <w:szCs w:val="28"/>
              </w:rPr>
            </w:pPr>
          </w:p>
        </w:tc>
        <w:tc>
          <w:tcPr>
            <w:tcW w:w="2190" w:type="dxa"/>
            <w:noWrap w:val="0"/>
            <w:vAlign w:val="center"/>
          </w:tcPr>
          <w:p w14:paraId="7200AF47">
            <w:pPr>
              <w:spacing w:line="578" w:lineRule="exact"/>
              <w:jc w:val="center"/>
              <w:rPr>
                <w:rFonts w:hint="default" w:ascii="Times New Roman" w:hAnsi="Times New Roman" w:eastAsia="仿宋_GB2312" w:cs="Times New Roman"/>
                <w:color w:val="auto"/>
                <w:kern w:val="0"/>
                <w:sz w:val="28"/>
                <w:szCs w:val="28"/>
              </w:rPr>
            </w:pPr>
          </w:p>
        </w:tc>
        <w:tc>
          <w:tcPr>
            <w:tcW w:w="2528" w:type="dxa"/>
            <w:noWrap w:val="0"/>
            <w:vAlign w:val="center"/>
          </w:tcPr>
          <w:p w14:paraId="4604D225">
            <w:pPr>
              <w:spacing w:line="578" w:lineRule="exact"/>
              <w:jc w:val="center"/>
              <w:rPr>
                <w:rFonts w:hint="default" w:ascii="Times New Roman" w:hAnsi="Times New Roman" w:eastAsia="仿宋_GB2312" w:cs="Times New Roman"/>
                <w:color w:val="auto"/>
                <w:kern w:val="0"/>
                <w:sz w:val="28"/>
                <w:szCs w:val="28"/>
              </w:rPr>
            </w:pPr>
          </w:p>
        </w:tc>
      </w:tr>
      <w:tr w14:paraId="3708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14:paraId="711E3AEF">
            <w:pPr>
              <w:spacing w:line="578" w:lineRule="exact"/>
              <w:jc w:val="center"/>
              <w:rPr>
                <w:rFonts w:hint="default" w:ascii="Times New Roman" w:hAnsi="Times New Roman" w:eastAsia="仿宋_GB2312" w:cs="Times New Roman"/>
                <w:color w:val="auto"/>
                <w:kern w:val="0"/>
                <w:sz w:val="28"/>
                <w:szCs w:val="28"/>
              </w:rPr>
            </w:pPr>
          </w:p>
        </w:tc>
        <w:tc>
          <w:tcPr>
            <w:tcW w:w="2768" w:type="dxa"/>
            <w:vMerge w:val="continue"/>
            <w:noWrap w:val="0"/>
            <w:vAlign w:val="center"/>
          </w:tcPr>
          <w:p w14:paraId="72E2B078">
            <w:pPr>
              <w:spacing w:line="578" w:lineRule="exact"/>
              <w:jc w:val="center"/>
              <w:rPr>
                <w:rFonts w:hint="default" w:ascii="Times New Roman" w:hAnsi="Times New Roman" w:eastAsia="仿宋_GB2312" w:cs="Times New Roman"/>
                <w:color w:val="auto"/>
                <w:kern w:val="0"/>
                <w:sz w:val="28"/>
                <w:szCs w:val="28"/>
              </w:rPr>
            </w:pPr>
          </w:p>
        </w:tc>
        <w:tc>
          <w:tcPr>
            <w:tcW w:w="2190" w:type="dxa"/>
            <w:noWrap w:val="0"/>
            <w:vAlign w:val="center"/>
          </w:tcPr>
          <w:p w14:paraId="6DD57412">
            <w:pPr>
              <w:spacing w:line="578" w:lineRule="exact"/>
              <w:jc w:val="center"/>
              <w:rPr>
                <w:rFonts w:hint="default" w:ascii="Times New Roman" w:hAnsi="Times New Roman" w:eastAsia="仿宋_GB2312" w:cs="Times New Roman"/>
                <w:color w:val="auto"/>
                <w:kern w:val="0"/>
                <w:sz w:val="28"/>
                <w:szCs w:val="28"/>
              </w:rPr>
            </w:pPr>
          </w:p>
        </w:tc>
        <w:tc>
          <w:tcPr>
            <w:tcW w:w="2528" w:type="dxa"/>
            <w:noWrap w:val="0"/>
            <w:vAlign w:val="center"/>
          </w:tcPr>
          <w:p w14:paraId="021866A6">
            <w:pPr>
              <w:spacing w:line="578" w:lineRule="exact"/>
              <w:jc w:val="center"/>
              <w:rPr>
                <w:rFonts w:hint="default" w:ascii="Times New Roman" w:hAnsi="Times New Roman" w:eastAsia="仿宋_GB2312" w:cs="Times New Roman"/>
                <w:color w:val="auto"/>
                <w:kern w:val="0"/>
                <w:sz w:val="28"/>
                <w:szCs w:val="28"/>
              </w:rPr>
            </w:pPr>
          </w:p>
        </w:tc>
      </w:tr>
      <w:tr w14:paraId="2A85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14:paraId="5EE10FFA">
            <w:pPr>
              <w:spacing w:line="578" w:lineRule="exact"/>
              <w:jc w:val="center"/>
              <w:rPr>
                <w:rFonts w:hint="default" w:ascii="Times New Roman" w:hAnsi="Times New Roman" w:eastAsia="仿宋_GB2312" w:cs="Times New Roman"/>
                <w:color w:val="auto"/>
                <w:kern w:val="0"/>
                <w:sz w:val="28"/>
                <w:szCs w:val="28"/>
              </w:rPr>
            </w:pPr>
          </w:p>
        </w:tc>
        <w:tc>
          <w:tcPr>
            <w:tcW w:w="2768" w:type="dxa"/>
            <w:vMerge w:val="continue"/>
            <w:noWrap w:val="0"/>
            <w:vAlign w:val="center"/>
          </w:tcPr>
          <w:p w14:paraId="38BB2539">
            <w:pPr>
              <w:spacing w:line="578" w:lineRule="exact"/>
              <w:jc w:val="center"/>
              <w:rPr>
                <w:rFonts w:hint="default" w:ascii="Times New Roman" w:hAnsi="Times New Roman" w:eastAsia="仿宋_GB2312" w:cs="Times New Roman"/>
                <w:color w:val="auto"/>
                <w:kern w:val="0"/>
                <w:sz w:val="28"/>
                <w:szCs w:val="28"/>
              </w:rPr>
            </w:pPr>
          </w:p>
        </w:tc>
        <w:tc>
          <w:tcPr>
            <w:tcW w:w="2190" w:type="dxa"/>
            <w:noWrap w:val="0"/>
            <w:vAlign w:val="center"/>
          </w:tcPr>
          <w:p w14:paraId="4E37F42F">
            <w:pPr>
              <w:spacing w:line="578" w:lineRule="exact"/>
              <w:jc w:val="center"/>
              <w:rPr>
                <w:rFonts w:hint="default" w:ascii="Times New Roman" w:hAnsi="Times New Roman" w:eastAsia="仿宋_GB2312" w:cs="Times New Roman"/>
                <w:color w:val="auto"/>
                <w:kern w:val="0"/>
                <w:sz w:val="28"/>
                <w:szCs w:val="28"/>
              </w:rPr>
            </w:pPr>
          </w:p>
        </w:tc>
        <w:tc>
          <w:tcPr>
            <w:tcW w:w="2528" w:type="dxa"/>
            <w:noWrap w:val="0"/>
            <w:vAlign w:val="center"/>
          </w:tcPr>
          <w:p w14:paraId="6C318691">
            <w:pPr>
              <w:spacing w:line="578" w:lineRule="exact"/>
              <w:jc w:val="center"/>
              <w:rPr>
                <w:rFonts w:hint="default" w:ascii="Times New Roman" w:hAnsi="Times New Roman" w:eastAsia="仿宋_GB2312" w:cs="Times New Roman"/>
                <w:color w:val="auto"/>
                <w:kern w:val="0"/>
                <w:sz w:val="28"/>
                <w:szCs w:val="28"/>
              </w:rPr>
            </w:pPr>
          </w:p>
        </w:tc>
      </w:tr>
      <w:tr w14:paraId="3697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14:paraId="71A01240">
            <w:pPr>
              <w:spacing w:line="578"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厂（站）长（委托代理人）</w:t>
            </w:r>
          </w:p>
        </w:tc>
        <w:tc>
          <w:tcPr>
            <w:tcW w:w="2768" w:type="dxa"/>
            <w:vMerge w:val="restart"/>
            <w:noWrap w:val="0"/>
            <w:vAlign w:val="center"/>
          </w:tcPr>
          <w:p w14:paraId="0EEA6018">
            <w:pPr>
              <w:spacing w:line="578" w:lineRule="exact"/>
              <w:jc w:val="center"/>
              <w:rPr>
                <w:rFonts w:hint="default" w:ascii="Times New Roman" w:hAnsi="Times New Roman" w:eastAsia="仿宋_GB2312" w:cs="Times New Roman"/>
                <w:color w:val="auto"/>
                <w:kern w:val="0"/>
                <w:sz w:val="28"/>
                <w:szCs w:val="28"/>
              </w:rPr>
            </w:pPr>
          </w:p>
        </w:tc>
        <w:tc>
          <w:tcPr>
            <w:tcW w:w="2190" w:type="dxa"/>
            <w:noWrap w:val="0"/>
            <w:vAlign w:val="center"/>
          </w:tcPr>
          <w:p w14:paraId="0DB1C8AD">
            <w:pPr>
              <w:spacing w:line="578" w:lineRule="exact"/>
              <w:jc w:val="center"/>
              <w:rPr>
                <w:rFonts w:hint="default" w:ascii="Times New Roman" w:hAnsi="Times New Roman" w:eastAsia="仿宋_GB2312" w:cs="Times New Roman"/>
                <w:color w:val="auto"/>
                <w:kern w:val="0"/>
                <w:sz w:val="28"/>
                <w:szCs w:val="28"/>
              </w:rPr>
            </w:pPr>
          </w:p>
        </w:tc>
        <w:tc>
          <w:tcPr>
            <w:tcW w:w="2528" w:type="dxa"/>
            <w:noWrap w:val="0"/>
            <w:vAlign w:val="center"/>
          </w:tcPr>
          <w:p w14:paraId="31E51E6C">
            <w:pPr>
              <w:spacing w:line="578" w:lineRule="exact"/>
              <w:jc w:val="center"/>
              <w:rPr>
                <w:rFonts w:hint="default" w:ascii="Times New Roman" w:hAnsi="Times New Roman" w:eastAsia="仿宋_GB2312" w:cs="Times New Roman"/>
                <w:color w:val="auto"/>
                <w:kern w:val="0"/>
                <w:sz w:val="28"/>
                <w:szCs w:val="28"/>
              </w:rPr>
            </w:pPr>
          </w:p>
        </w:tc>
      </w:tr>
      <w:tr w14:paraId="7485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14:paraId="72F7C030">
            <w:pPr>
              <w:spacing w:line="578" w:lineRule="exact"/>
              <w:rPr>
                <w:rFonts w:hint="default" w:ascii="Times New Roman" w:hAnsi="Times New Roman" w:eastAsia="仿宋_GB2312" w:cs="Times New Roman"/>
                <w:color w:val="auto"/>
                <w:kern w:val="0"/>
                <w:sz w:val="28"/>
                <w:szCs w:val="28"/>
              </w:rPr>
            </w:pPr>
          </w:p>
        </w:tc>
        <w:tc>
          <w:tcPr>
            <w:tcW w:w="2768" w:type="dxa"/>
            <w:vMerge w:val="continue"/>
            <w:noWrap w:val="0"/>
            <w:vAlign w:val="center"/>
          </w:tcPr>
          <w:p w14:paraId="56BE7CEE">
            <w:pPr>
              <w:spacing w:line="578" w:lineRule="exact"/>
              <w:jc w:val="center"/>
              <w:rPr>
                <w:rFonts w:hint="default" w:ascii="Times New Roman" w:hAnsi="Times New Roman" w:eastAsia="仿宋_GB2312" w:cs="Times New Roman"/>
                <w:color w:val="auto"/>
                <w:kern w:val="0"/>
                <w:sz w:val="28"/>
                <w:szCs w:val="28"/>
              </w:rPr>
            </w:pPr>
          </w:p>
        </w:tc>
        <w:tc>
          <w:tcPr>
            <w:tcW w:w="2190" w:type="dxa"/>
            <w:noWrap w:val="0"/>
            <w:vAlign w:val="center"/>
          </w:tcPr>
          <w:p w14:paraId="675E1C30">
            <w:pPr>
              <w:spacing w:line="578" w:lineRule="exact"/>
              <w:jc w:val="center"/>
              <w:rPr>
                <w:rFonts w:hint="default" w:ascii="Times New Roman" w:hAnsi="Times New Roman" w:eastAsia="仿宋_GB2312" w:cs="Times New Roman"/>
                <w:color w:val="auto"/>
                <w:kern w:val="0"/>
                <w:sz w:val="28"/>
                <w:szCs w:val="28"/>
              </w:rPr>
            </w:pPr>
          </w:p>
        </w:tc>
        <w:tc>
          <w:tcPr>
            <w:tcW w:w="2528" w:type="dxa"/>
            <w:noWrap w:val="0"/>
            <w:vAlign w:val="center"/>
          </w:tcPr>
          <w:p w14:paraId="67F23335">
            <w:pPr>
              <w:spacing w:line="578" w:lineRule="exact"/>
              <w:jc w:val="center"/>
              <w:rPr>
                <w:rFonts w:hint="default" w:ascii="Times New Roman" w:hAnsi="Times New Roman" w:eastAsia="仿宋_GB2312" w:cs="Times New Roman"/>
                <w:color w:val="auto"/>
                <w:kern w:val="0"/>
                <w:sz w:val="28"/>
                <w:szCs w:val="28"/>
              </w:rPr>
            </w:pPr>
          </w:p>
        </w:tc>
      </w:tr>
      <w:tr w14:paraId="38CB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14:paraId="7ED46F82">
            <w:pPr>
              <w:spacing w:line="578" w:lineRule="exact"/>
              <w:rPr>
                <w:rFonts w:hint="default" w:ascii="Times New Roman" w:hAnsi="Times New Roman" w:eastAsia="仿宋_GB2312" w:cs="Times New Roman"/>
                <w:color w:val="auto"/>
                <w:kern w:val="0"/>
                <w:sz w:val="28"/>
                <w:szCs w:val="28"/>
              </w:rPr>
            </w:pPr>
          </w:p>
        </w:tc>
        <w:tc>
          <w:tcPr>
            <w:tcW w:w="2768" w:type="dxa"/>
            <w:vMerge w:val="continue"/>
            <w:noWrap w:val="0"/>
            <w:vAlign w:val="center"/>
          </w:tcPr>
          <w:p w14:paraId="20534821">
            <w:pPr>
              <w:spacing w:line="578" w:lineRule="exact"/>
              <w:jc w:val="center"/>
              <w:rPr>
                <w:rFonts w:hint="default" w:ascii="Times New Roman" w:hAnsi="Times New Roman" w:eastAsia="仿宋_GB2312" w:cs="Times New Roman"/>
                <w:color w:val="auto"/>
                <w:kern w:val="0"/>
                <w:sz w:val="28"/>
                <w:szCs w:val="28"/>
              </w:rPr>
            </w:pPr>
          </w:p>
        </w:tc>
        <w:tc>
          <w:tcPr>
            <w:tcW w:w="2190" w:type="dxa"/>
            <w:noWrap w:val="0"/>
            <w:vAlign w:val="center"/>
          </w:tcPr>
          <w:p w14:paraId="3681A527">
            <w:pPr>
              <w:spacing w:line="578" w:lineRule="exact"/>
              <w:jc w:val="center"/>
              <w:rPr>
                <w:rFonts w:hint="default" w:ascii="Times New Roman" w:hAnsi="Times New Roman" w:eastAsia="仿宋_GB2312" w:cs="Times New Roman"/>
                <w:color w:val="auto"/>
                <w:kern w:val="0"/>
                <w:sz w:val="28"/>
                <w:szCs w:val="28"/>
              </w:rPr>
            </w:pPr>
          </w:p>
        </w:tc>
        <w:tc>
          <w:tcPr>
            <w:tcW w:w="2528" w:type="dxa"/>
            <w:noWrap w:val="0"/>
            <w:vAlign w:val="center"/>
          </w:tcPr>
          <w:p w14:paraId="591C1752">
            <w:pPr>
              <w:spacing w:line="578" w:lineRule="exact"/>
              <w:jc w:val="center"/>
              <w:rPr>
                <w:rFonts w:hint="default" w:ascii="Times New Roman" w:hAnsi="Times New Roman" w:eastAsia="仿宋_GB2312" w:cs="Times New Roman"/>
                <w:color w:val="auto"/>
                <w:kern w:val="0"/>
                <w:sz w:val="28"/>
                <w:szCs w:val="28"/>
              </w:rPr>
            </w:pPr>
          </w:p>
        </w:tc>
      </w:tr>
    </w:tbl>
    <w:p w14:paraId="1E702C1B">
      <w:pPr>
        <w:spacing w:line="578"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授权日期自本授权出具之日起，至双方权利义务履行完毕之日止。合同履行过程中，上述印章或授权人员发生变更的，变更方应在变更后5日内通知相对方，如未通知所造成的</w:t>
      </w:r>
      <w:r>
        <w:rPr>
          <w:rFonts w:hint="default" w:ascii="Times New Roman" w:hAnsi="Times New Roman" w:eastAsia="仿宋_GB2312" w:cs="Times New Roman"/>
          <w:color w:val="auto"/>
          <w:sz w:val="28"/>
          <w:szCs w:val="28"/>
          <w:lang w:val="en-US" w:eastAsia="zh-CN"/>
        </w:rPr>
        <w:t>相关</w:t>
      </w:r>
      <w:r>
        <w:rPr>
          <w:rFonts w:hint="default" w:ascii="Times New Roman" w:hAnsi="Times New Roman" w:eastAsia="仿宋_GB2312" w:cs="Times New Roman"/>
          <w:color w:val="auto"/>
          <w:sz w:val="28"/>
          <w:szCs w:val="28"/>
        </w:rPr>
        <w:t>损失由变更方承担。</w:t>
      </w:r>
    </w:p>
    <w:p w14:paraId="18EA4788">
      <w:pPr>
        <w:spacing w:line="578"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授权范围：结算单、对账函（询证函）、会议纪要、工作联系函、供应计划表、付款承诺书、现场签证等工程资料及其他因履行本合同所签署的文件。</w:t>
      </w:r>
    </w:p>
    <w:p w14:paraId="1A5DB76A">
      <w:pPr>
        <w:spacing w:line="240" w:lineRule="auto"/>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7959CF0A">
      <w:pPr>
        <w:spacing w:line="578"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授权签字样本、印章印模如下：</w:t>
      </w:r>
    </w:p>
    <w:tbl>
      <w:tblPr>
        <w:tblStyle w:val="8"/>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3"/>
        <w:gridCol w:w="3886"/>
      </w:tblGrid>
      <w:tr w14:paraId="5DF0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273" w:type="dxa"/>
            <w:noWrap w:val="0"/>
            <w:vAlign w:val="center"/>
          </w:tcPr>
          <w:p w14:paraId="4A99D2A5">
            <w:pPr>
              <w:spacing w:line="578"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签字印模</w:t>
            </w:r>
          </w:p>
        </w:tc>
        <w:tc>
          <w:tcPr>
            <w:tcW w:w="3886" w:type="dxa"/>
            <w:noWrap w:val="0"/>
            <w:vAlign w:val="center"/>
          </w:tcPr>
          <w:p w14:paraId="52FF15D1">
            <w:pPr>
              <w:spacing w:line="578"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授权印章印模</w:t>
            </w:r>
          </w:p>
        </w:tc>
      </w:tr>
      <w:tr w14:paraId="1A3F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trPr>
        <w:tc>
          <w:tcPr>
            <w:tcW w:w="4273" w:type="dxa"/>
            <w:noWrap w:val="0"/>
            <w:vAlign w:val="center"/>
          </w:tcPr>
          <w:p w14:paraId="6A4781E2">
            <w:pPr>
              <w:spacing w:line="578" w:lineRule="exact"/>
              <w:ind w:firstLine="560" w:firstLineChars="200"/>
              <w:jc w:val="center"/>
              <w:rPr>
                <w:rFonts w:hint="eastAsia" w:ascii="仿宋_GB2312" w:hAnsi="仿宋_GB2312" w:eastAsia="仿宋_GB2312" w:cs="仿宋_GB2312"/>
                <w:color w:val="auto"/>
                <w:kern w:val="0"/>
                <w:sz w:val="28"/>
                <w:szCs w:val="28"/>
              </w:rPr>
            </w:pPr>
          </w:p>
        </w:tc>
        <w:tc>
          <w:tcPr>
            <w:tcW w:w="3886" w:type="dxa"/>
            <w:noWrap w:val="0"/>
            <w:vAlign w:val="center"/>
          </w:tcPr>
          <w:p w14:paraId="013AE2BA">
            <w:pPr>
              <w:spacing w:line="578" w:lineRule="exact"/>
              <w:ind w:firstLine="560" w:firstLineChars="200"/>
              <w:jc w:val="center"/>
              <w:rPr>
                <w:rFonts w:hint="eastAsia" w:ascii="仿宋_GB2312" w:hAnsi="仿宋_GB2312" w:eastAsia="仿宋_GB2312" w:cs="仿宋_GB2312"/>
                <w:color w:val="auto"/>
                <w:kern w:val="0"/>
                <w:sz w:val="28"/>
                <w:szCs w:val="28"/>
              </w:rPr>
            </w:pPr>
          </w:p>
        </w:tc>
      </w:tr>
    </w:tbl>
    <w:p w14:paraId="03CE8AD2">
      <w:pPr>
        <w:spacing w:line="240" w:lineRule="auto"/>
        <w:rPr>
          <w:rFonts w:hint="eastAsia" w:ascii="仿宋" w:hAnsi="仿宋" w:eastAsia="仿宋" w:cs="仿宋"/>
          <w:color w:val="auto"/>
          <w:kern w:val="30"/>
          <w:sz w:val="30"/>
          <w:szCs w:val="30"/>
        </w:rPr>
      </w:pPr>
      <w:r>
        <w:rPr>
          <w:rFonts w:hint="eastAsia" w:ascii="仿宋" w:hAnsi="仿宋" w:eastAsia="仿宋" w:cs="仿宋"/>
          <w:color w:val="auto"/>
          <w:kern w:val="30"/>
          <w:sz w:val="30"/>
          <w:szCs w:val="30"/>
        </w:rPr>
        <w:br w:type="page"/>
      </w:r>
    </w:p>
    <w:p w14:paraId="09A75BC6">
      <w:pPr>
        <w:spacing w:line="600" w:lineRule="exact"/>
        <w:rPr>
          <w:rFonts w:hint="eastAsia" w:ascii="仿宋_GB2312" w:hAnsi="仿宋_GB2312" w:eastAsia="仿宋_GB2312" w:cs="仿宋_GB2312"/>
          <w:color w:val="auto"/>
          <w:kern w:val="30"/>
          <w:sz w:val="30"/>
          <w:szCs w:val="30"/>
        </w:rPr>
      </w:pPr>
      <w:r>
        <w:rPr>
          <w:rFonts w:hint="eastAsia" w:ascii="仿宋_GB2312" w:hAnsi="仿宋_GB2312" w:eastAsia="仿宋_GB2312" w:cs="仿宋_GB2312"/>
          <w:color w:val="auto"/>
          <w:kern w:val="30"/>
          <w:sz w:val="30"/>
          <w:szCs w:val="30"/>
        </w:rPr>
        <w:t>（此页为签署页，无正文）</w:t>
      </w:r>
    </w:p>
    <w:p w14:paraId="63843692">
      <w:pPr>
        <w:spacing w:line="600" w:lineRule="exact"/>
        <w:rPr>
          <w:rFonts w:hint="eastAsia" w:ascii="仿宋_GB2312" w:hAnsi="仿宋_GB2312" w:eastAsia="仿宋_GB2312" w:cs="仿宋_GB2312"/>
          <w:color w:val="auto"/>
          <w:kern w:val="30"/>
          <w:sz w:val="30"/>
          <w:szCs w:val="30"/>
        </w:rPr>
      </w:pPr>
    </w:p>
    <w:p w14:paraId="104EE2FD">
      <w:pPr>
        <w:spacing w:line="600" w:lineRule="exact"/>
        <w:rPr>
          <w:rFonts w:hint="eastAsia" w:ascii="仿宋_GB2312" w:hAnsi="仿宋_GB2312" w:eastAsia="仿宋_GB2312" w:cs="仿宋_GB2312"/>
          <w:color w:val="auto"/>
          <w:kern w:val="30"/>
          <w:sz w:val="30"/>
          <w:szCs w:val="30"/>
        </w:rPr>
      </w:pPr>
    </w:p>
    <w:p w14:paraId="3B23C932">
      <w:pPr>
        <w:spacing w:line="600" w:lineRule="exact"/>
        <w:rPr>
          <w:rFonts w:hint="eastAsia" w:ascii="仿宋_GB2312" w:hAnsi="仿宋_GB2312" w:eastAsia="仿宋_GB2312" w:cs="仿宋_GB2312"/>
          <w:color w:val="auto"/>
          <w:kern w:val="30"/>
          <w:sz w:val="30"/>
          <w:szCs w:val="30"/>
        </w:rPr>
      </w:pPr>
    </w:p>
    <w:p w14:paraId="2D6E225B">
      <w:pPr>
        <w:adjustRightInd w:val="0"/>
        <w:snapToGrid w:val="0"/>
        <w:spacing w:line="600" w:lineRule="exact"/>
        <w:rPr>
          <w:rFonts w:hint="eastAsia" w:ascii="仿宋_GB2312" w:hAnsi="仿宋_GB2312" w:eastAsia="仿宋_GB2312" w:cs="仿宋_GB2312"/>
          <w:color w:val="auto"/>
          <w:kern w:val="30"/>
          <w:sz w:val="30"/>
          <w:szCs w:val="30"/>
        </w:rPr>
      </w:pPr>
    </w:p>
    <w:p w14:paraId="1967854D">
      <w:pPr>
        <w:adjustRightInd w:val="0"/>
        <w:snapToGrid w:val="0"/>
        <w:spacing w:line="600" w:lineRule="exact"/>
        <w:rPr>
          <w:rFonts w:hint="eastAsia" w:ascii="仿宋_GB2312" w:hAnsi="仿宋_GB2312" w:eastAsia="仿宋_GB2312" w:cs="仿宋_GB2312"/>
          <w:color w:val="auto"/>
          <w:kern w:val="30"/>
          <w:sz w:val="30"/>
          <w:szCs w:val="30"/>
        </w:rPr>
      </w:pPr>
    </w:p>
    <w:p w14:paraId="090F3433">
      <w:pPr>
        <w:adjustRightInd w:val="0"/>
        <w:snapToGrid w:val="0"/>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30"/>
          <w:sz w:val="30"/>
          <w:szCs w:val="30"/>
        </w:rPr>
        <w:t>甲方签</w:t>
      </w:r>
      <w:r>
        <w:rPr>
          <w:rFonts w:hint="eastAsia" w:ascii="仿宋_GB2312" w:hAnsi="仿宋_GB2312" w:eastAsia="仿宋_GB2312" w:cs="仿宋_GB2312"/>
          <w:color w:val="auto"/>
          <w:sz w:val="30"/>
          <w:szCs w:val="30"/>
        </w:rPr>
        <w:t>章：                       乙方签章：</w:t>
      </w:r>
    </w:p>
    <w:p w14:paraId="415F760D">
      <w:pPr>
        <w:adjustRightInd w:val="0"/>
        <w:snapToGrid w:val="0"/>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                     法定代表人：</w:t>
      </w:r>
    </w:p>
    <w:p w14:paraId="26D631DF">
      <w:pPr>
        <w:adjustRightInd w:val="0"/>
        <w:snapToGrid w:val="0"/>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委托代理人：                     委托代理人：</w:t>
      </w:r>
    </w:p>
    <w:p w14:paraId="3E52E62F">
      <w:pPr>
        <w:adjustRightInd w:val="0"/>
        <w:snapToGrid w:val="0"/>
        <w:spacing w:line="6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联系电话：                       联系电话：</w:t>
      </w:r>
    </w:p>
    <w:p w14:paraId="7466DCF7">
      <w:pPr>
        <w:rPr>
          <w:color w:val="auto"/>
        </w:rPr>
      </w:pPr>
    </w:p>
    <w:p w14:paraId="64CD9830">
      <w:pPr>
        <w:ind w:firstLine="5120" w:firstLineChars="1600"/>
        <w:rPr>
          <w:rFonts w:hint="default" w:ascii="仿宋_GB2312" w:hAnsi="仿宋_GB2312" w:eastAsia="仿宋_GB2312" w:cs="仿宋_GB2312"/>
          <w:i w:val="0"/>
          <w:iCs w:val="0"/>
          <w:caps w:val="0"/>
          <w:color w:val="auto"/>
          <w:spacing w:val="0"/>
          <w:sz w:val="32"/>
          <w:szCs w:val="32"/>
          <w:shd w:val="clear" w:color="auto" w:fill="FFFFFF"/>
          <w:lang w:val="en-US" w:eastAsia="zh-CN"/>
        </w:rPr>
      </w:pPr>
    </w:p>
    <w:p w14:paraId="278A74D5">
      <w:pPr>
        <w:rPr>
          <w:color w:val="auto"/>
        </w:rPr>
      </w:pPr>
    </w:p>
    <w:p w14:paraId="06542E7E">
      <w:pPr>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8EA5">
    <w:pPr>
      <w:pStyle w:val="6"/>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01835">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201835">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FE00E"/>
    <w:rsid w:val="07E89CD8"/>
    <w:rsid w:val="0ABED4B3"/>
    <w:rsid w:val="1675B248"/>
    <w:rsid w:val="17F75AFA"/>
    <w:rsid w:val="1B9FACA0"/>
    <w:rsid w:val="1DFCB327"/>
    <w:rsid w:val="27D96E70"/>
    <w:rsid w:val="2AFF4767"/>
    <w:rsid w:val="2EFF3E5D"/>
    <w:rsid w:val="2F4E9207"/>
    <w:rsid w:val="2FE7FCD6"/>
    <w:rsid w:val="3367E59F"/>
    <w:rsid w:val="34ED1C61"/>
    <w:rsid w:val="367F7E60"/>
    <w:rsid w:val="37FB3280"/>
    <w:rsid w:val="39FF4A75"/>
    <w:rsid w:val="3B5FCD88"/>
    <w:rsid w:val="3BA5C342"/>
    <w:rsid w:val="3CBF4D91"/>
    <w:rsid w:val="3DBFAD2B"/>
    <w:rsid w:val="3DDFA12C"/>
    <w:rsid w:val="3DFF7532"/>
    <w:rsid w:val="3EEFFD27"/>
    <w:rsid w:val="3F5DD7D8"/>
    <w:rsid w:val="3FCF4B55"/>
    <w:rsid w:val="3FEC908F"/>
    <w:rsid w:val="3FFFD648"/>
    <w:rsid w:val="43DE8FB8"/>
    <w:rsid w:val="46D737C0"/>
    <w:rsid w:val="47FACA7C"/>
    <w:rsid w:val="4AD1DFC0"/>
    <w:rsid w:val="4AF7D1D2"/>
    <w:rsid w:val="4D8F521B"/>
    <w:rsid w:val="4DAE5459"/>
    <w:rsid w:val="4FF99C2B"/>
    <w:rsid w:val="579BA3E6"/>
    <w:rsid w:val="58FFFA94"/>
    <w:rsid w:val="59FFF930"/>
    <w:rsid w:val="5AD20C24"/>
    <w:rsid w:val="5BDE9763"/>
    <w:rsid w:val="5BEFE357"/>
    <w:rsid w:val="5BFDA445"/>
    <w:rsid w:val="5BFEE4D3"/>
    <w:rsid w:val="5BFF18AF"/>
    <w:rsid w:val="5CAB810A"/>
    <w:rsid w:val="5CF78B0F"/>
    <w:rsid w:val="5D6F06EA"/>
    <w:rsid w:val="5D7DE0B6"/>
    <w:rsid w:val="5D9F2502"/>
    <w:rsid w:val="5DFF640F"/>
    <w:rsid w:val="5E63C1FE"/>
    <w:rsid w:val="5EDC2358"/>
    <w:rsid w:val="5F4FC280"/>
    <w:rsid w:val="5F776FFE"/>
    <w:rsid w:val="5F9F44FB"/>
    <w:rsid w:val="5FFFE876"/>
    <w:rsid w:val="64CB5D23"/>
    <w:rsid w:val="665F4BC7"/>
    <w:rsid w:val="67AD6F83"/>
    <w:rsid w:val="687E2344"/>
    <w:rsid w:val="69524ECF"/>
    <w:rsid w:val="697AAEB5"/>
    <w:rsid w:val="6ABFF83C"/>
    <w:rsid w:val="6BF5620E"/>
    <w:rsid w:val="6BFF5E85"/>
    <w:rsid w:val="6C5EC952"/>
    <w:rsid w:val="6DAF01E5"/>
    <w:rsid w:val="6DCCD8A6"/>
    <w:rsid w:val="6EB93BD9"/>
    <w:rsid w:val="6F372C1B"/>
    <w:rsid w:val="6F3C78D2"/>
    <w:rsid w:val="6FFE4328"/>
    <w:rsid w:val="6FFF872A"/>
    <w:rsid w:val="6FFFB4B2"/>
    <w:rsid w:val="70FF9329"/>
    <w:rsid w:val="72B7B4A0"/>
    <w:rsid w:val="72BE87D9"/>
    <w:rsid w:val="745DAAB2"/>
    <w:rsid w:val="755A5BDA"/>
    <w:rsid w:val="76A7D721"/>
    <w:rsid w:val="77BB76AB"/>
    <w:rsid w:val="77E7BDFF"/>
    <w:rsid w:val="77EE67C9"/>
    <w:rsid w:val="77FD0C9B"/>
    <w:rsid w:val="77FE75E5"/>
    <w:rsid w:val="791FF4EA"/>
    <w:rsid w:val="79F75F2A"/>
    <w:rsid w:val="79FC3895"/>
    <w:rsid w:val="79FFBE3E"/>
    <w:rsid w:val="7A3DAC60"/>
    <w:rsid w:val="7ABF2C39"/>
    <w:rsid w:val="7ABF8580"/>
    <w:rsid w:val="7B2FA1B9"/>
    <w:rsid w:val="7BDC3D8D"/>
    <w:rsid w:val="7BE77260"/>
    <w:rsid w:val="7BFE6AC4"/>
    <w:rsid w:val="7BFFB51A"/>
    <w:rsid w:val="7BFFC9D9"/>
    <w:rsid w:val="7BFFEDE9"/>
    <w:rsid w:val="7CC9C896"/>
    <w:rsid w:val="7CCFE00E"/>
    <w:rsid w:val="7DC6712F"/>
    <w:rsid w:val="7DEF6069"/>
    <w:rsid w:val="7DEFD7AB"/>
    <w:rsid w:val="7DFD6D64"/>
    <w:rsid w:val="7DFF1D75"/>
    <w:rsid w:val="7EBF0841"/>
    <w:rsid w:val="7EEEC091"/>
    <w:rsid w:val="7EFD243B"/>
    <w:rsid w:val="7EFF688D"/>
    <w:rsid w:val="7F4FA825"/>
    <w:rsid w:val="7F5B8AF5"/>
    <w:rsid w:val="7F6B4DB9"/>
    <w:rsid w:val="7F6D5C5F"/>
    <w:rsid w:val="7F75EA47"/>
    <w:rsid w:val="7F7FE2C4"/>
    <w:rsid w:val="7FBA54CA"/>
    <w:rsid w:val="7FBAAD78"/>
    <w:rsid w:val="7FBF6D0F"/>
    <w:rsid w:val="7FE51FFF"/>
    <w:rsid w:val="7FE7C718"/>
    <w:rsid w:val="7FEC78F5"/>
    <w:rsid w:val="7FEE6772"/>
    <w:rsid w:val="7FF5555D"/>
    <w:rsid w:val="7FFDE11A"/>
    <w:rsid w:val="7FFDFC51"/>
    <w:rsid w:val="7FFFA90C"/>
    <w:rsid w:val="87EE80A1"/>
    <w:rsid w:val="8FDA4459"/>
    <w:rsid w:val="92FE1D84"/>
    <w:rsid w:val="9FBB14F0"/>
    <w:rsid w:val="AA3F1B68"/>
    <w:rsid w:val="AEC70353"/>
    <w:rsid w:val="AFBF5109"/>
    <w:rsid w:val="B0DFDFF7"/>
    <w:rsid w:val="B3E43940"/>
    <w:rsid w:val="B3FFF93D"/>
    <w:rsid w:val="B7BB8354"/>
    <w:rsid w:val="B7D71926"/>
    <w:rsid w:val="B7EB8E10"/>
    <w:rsid w:val="B9EFAB39"/>
    <w:rsid w:val="BAED8A34"/>
    <w:rsid w:val="BBEFE9FB"/>
    <w:rsid w:val="BCFFC76D"/>
    <w:rsid w:val="BDDD0BAB"/>
    <w:rsid w:val="BE56E669"/>
    <w:rsid w:val="BE6F587E"/>
    <w:rsid w:val="BEB7497B"/>
    <w:rsid w:val="BEFF78D4"/>
    <w:rsid w:val="BF3F7C20"/>
    <w:rsid w:val="BFCFEF34"/>
    <w:rsid w:val="BFDF319C"/>
    <w:rsid w:val="BFFB4C6E"/>
    <w:rsid w:val="C3DFAE8B"/>
    <w:rsid w:val="C57708E6"/>
    <w:rsid w:val="CBF3AD2E"/>
    <w:rsid w:val="CF5FCF7F"/>
    <w:rsid w:val="CFED2021"/>
    <w:rsid w:val="CFFF92E6"/>
    <w:rsid w:val="D3B6E8A1"/>
    <w:rsid w:val="D3CF6F26"/>
    <w:rsid w:val="D7DF472C"/>
    <w:rsid w:val="D7EFECA2"/>
    <w:rsid w:val="D7FE0513"/>
    <w:rsid w:val="DAFFF308"/>
    <w:rsid w:val="DB5F8C2E"/>
    <w:rsid w:val="DBBE29F4"/>
    <w:rsid w:val="DBFDAA9B"/>
    <w:rsid w:val="DDD2609D"/>
    <w:rsid w:val="DDFD7D3F"/>
    <w:rsid w:val="DDFE786E"/>
    <w:rsid w:val="DEBD61D7"/>
    <w:rsid w:val="DEBDC3EB"/>
    <w:rsid w:val="DEEF82AF"/>
    <w:rsid w:val="DFADB594"/>
    <w:rsid w:val="DFF76EA8"/>
    <w:rsid w:val="DFFE745F"/>
    <w:rsid w:val="DFFF2333"/>
    <w:rsid w:val="E38B783F"/>
    <w:rsid w:val="E7EDBA33"/>
    <w:rsid w:val="E7EF65E1"/>
    <w:rsid w:val="E7F275EA"/>
    <w:rsid w:val="E8BB401D"/>
    <w:rsid w:val="EB7DCE32"/>
    <w:rsid w:val="EB7F7CFE"/>
    <w:rsid w:val="EBFD5935"/>
    <w:rsid w:val="ED3B4E61"/>
    <w:rsid w:val="EDF3DFDC"/>
    <w:rsid w:val="EE6FC2DA"/>
    <w:rsid w:val="EE778B4E"/>
    <w:rsid w:val="EEDAAF06"/>
    <w:rsid w:val="EF1FDC2F"/>
    <w:rsid w:val="EF7FE846"/>
    <w:rsid w:val="EFB57C56"/>
    <w:rsid w:val="EFBF8BC6"/>
    <w:rsid w:val="EFFF82EB"/>
    <w:rsid w:val="F33E9F60"/>
    <w:rsid w:val="F3DCB3E5"/>
    <w:rsid w:val="F4BB487B"/>
    <w:rsid w:val="F65FC04C"/>
    <w:rsid w:val="F6CF7538"/>
    <w:rsid w:val="F7FFC926"/>
    <w:rsid w:val="F8CCA60A"/>
    <w:rsid w:val="F93EC750"/>
    <w:rsid w:val="F96782C8"/>
    <w:rsid w:val="F96F7083"/>
    <w:rsid w:val="F9E70ACD"/>
    <w:rsid w:val="F9ED2287"/>
    <w:rsid w:val="FAFD617A"/>
    <w:rsid w:val="FB2E7504"/>
    <w:rsid w:val="FB5F478B"/>
    <w:rsid w:val="FB7F7993"/>
    <w:rsid w:val="FBB78D7C"/>
    <w:rsid w:val="FBBBC777"/>
    <w:rsid w:val="FBEF869F"/>
    <w:rsid w:val="FBFEB819"/>
    <w:rsid w:val="FBFF3A7D"/>
    <w:rsid w:val="FC3F49FA"/>
    <w:rsid w:val="FC54E7B0"/>
    <w:rsid w:val="FC9F6ECD"/>
    <w:rsid w:val="FCED5F4D"/>
    <w:rsid w:val="FCF98234"/>
    <w:rsid w:val="FCFA2563"/>
    <w:rsid w:val="FDAED806"/>
    <w:rsid w:val="FDFDB471"/>
    <w:rsid w:val="FDFEC041"/>
    <w:rsid w:val="FEAA9EB6"/>
    <w:rsid w:val="FEC5A2EF"/>
    <w:rsid w:val="FED7D6FA"/>
    <w:rsid w:val="FEDE3E75"/>
    <w:rsid w:val="FEFEEF7A"/>
    <w:rsid w:val="FF03C405"/>
    <w:rsid w:val="FF1E16EE"/>
    <w:rsid w:val="FF3F2DC5"/>
    <w:rsid w:val="FF7F46B1"/>
    <w:rsid w:val="FFBB14AC"/>
    <w:rsid w:val="FFBF5C91"/>
    <w:rsid w:val="FFDDC960"/>
    <w:rsid w:val="FFEE25EF"/>
    <w:rsid w:val="FFEE3D92"/>
    <w:rsid w:val="FFF8C1ED"/>
    <w:rsid w:val="FFF9ED83"/>
    <w:rsid w:val="FFFC00FE"/>
    <w:rsid w:val="FFFCB791"/>
    <w:rsid w:val="FFFCD0B9"/>
    <w:rsid w:val="FFFE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640" w:firstLineChars="200"/>
    </w:pPr>
  </w:style>
  <w:style w:type="paragraph" w:styleId="3">
    <w:name w:val="Body Text Indent"/>
    <w:basedOn w:val="1"/>
    <w:unhideWhenUsed/>
    <w:qFormat/>
    <w:uiPriority w:val="99"/>
    <w:rPr>
      <w:b/>
      <w:bCs/>
    </w:rPr>
  </w:style>
  <w:style w:type="paragraph" w:styleId="4">
    <w:name w:val="annotation text"/>
    <w:basedOn w:val="1"/>
    <w:qFormat/>
    <w:uiPriority w:val="0"/>
    <w:pPr>
      <w:jc w:val="left"/>
    </w:pPr>
    <w:rPr>
      <w:rFonts w:ascii="Calibri" w:hAnsi="Calibri" w:eastAsia="宋体" w:cs="Times New Roman"/>
      <w:szCs w:val="24"/>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1134</Words>
  <Characters>1329</Characters>
  <Lines>0</Lines>
  <Paragraphs>0</Paragraphs>
  <TotalTime>4</TotalTime>
  <ScaleCrop>false</ScaleCrop>
  <LinksUpToDate>false</LinksUpToDate>
  <CharactersWithSpaces>1699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2024-08-30T15:35:00Z</dcterms:created>
  <dc:creator>user</dc:creator>
  <cp:lastModifiedBy>⌒寻⌒</cp:lastModifiedBy>
  <cp:lastPrinted>2024-08-30T09:27:00Z</cp:lastPrinted>
  <dcterms:modified xsi:type="dcterms:W3CDTF">2025-05-30T09:15:42Z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0D37A33C2C6C477B8AB0423A60C6F46C_13</vt:lpwstr>
  </property>
</Properties>
</file>