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FEE92">
      <w:pPr>
        <w:pStyle w:val="2"/>
      </w:pPr>
      <w:bookmarkStart w:id="0" w:name="_Hlk205194072"/>
    </w:p>
    <w:p w14:paraId="36CB9B4B">
      <w:pPr>
        <w:spacing w:line="576" w:lineRule="exact"/>
        <w:jc w:val="center"/>
        <w:rPr>
          <w:rFonts w:hint="eastAsia" w:ascii="方正小标宋_GBK" w:hAnsi="方正小标宋_GBK" w:eastAsia="方正小标宋_GBK" w:cs="方正小标宋_GBK"/>
          <w:sz w:val="44"/>
          <w:szCs w:val="44"/>
        </w:rPr>
      </w:pPr>
      <w:bookmarkStart w:id="1" w:name="_GoBack"/>
      <w:r>
        <w:rPr>
          <w:rFonts w:hint="eastAsia" w:ascii="方正小标宋_GBK" w:hAnsi="方正小标宋_GBK" w:eastAsia="方正小标宋_GBK" w:cs="方正小标宋_GBK"/>
          <w:sz w:val="44"/>
          <w:szCs w:val="44"/>
        </w:rPr>
        <w:t>关于协同推进川渝地区</w:t>
      </w:r>
      <w:r>
        <w:rPr>
          <w:rFonts w:ascii="方正小标宋_GBK" w:hAnsi="方正小标宋_GBK" w:eastAsia="方正小标宋_GBK" w:cs="方正小标宋_GBK"/>
          <w:sz w:val="44"/>
          <w:szCs w:val="44"/>
        </w:rPr>
        <w:t>城乡建设领域</w:t>
      </w:r>
    </w:p>
    <w:p w14:paraId="3C115EE4">
      <w:pPr>
        <w:spacing w:line="576" w:lineRule="exact"/>
        <w:jc w:val="center"/>
        <w:rPr>
          <w:rFonts w:hint="eastAsia"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科技创新</w:t>
      </w:r>
      <w:r>
        <w:rPr>
          <w:rFonts w:hint="eastAsia" w:ascii="方正小标宋_GBK" w:hAnsi="方正小标宋_GBK" w:eastAsia="方正小标宋_GBK" w:cs="方正小标宋_GBK"/>
          <w:sz w:val="44"/>
          <w:szCs w:val="44"/>
        </w:rPr>
        <w:t>工作的若干措施</w:t>
      </w:r>
      <w:bookmarkEnd w:id="1"/>
    </w:p>
    <w:p w14:paraId="15DE3CA6">
      <w:pPr>
        <w:spacing w:line="576" w:lineRule="exact"/>
        <w:rPr>
          <w:szCs w:val="32"/>
        </w:rPr>
      </w:pPr>
    </w:p>
    <w:bookmarkEnd w:id="0"/>
    <w:p w14:paraId="3FD1142E">
      <w:pPr>
        <w:pStyle w:val="16"/>
        <w:spacing w:after="0" w:line="576" w:lineRule="exact"/>
        <w:ind w:firstLine="632" w:firstLineChars="200"/>
        <w:rPr>
          <w:rFonts w:hint="eastAsia" w:ascii="仿宋" w:hAnsi="仿宋" w:eastAsia="仿宋" w:cs="方正仿宋_GBK"/>
          <w:sz w:val="32"/>
        </w:rPr>
      </w:pPr>
      <w:r>
        <w:rPr>
          <w:rFonts w:hint="eastAsia" w:ascii="仿宋" w:hAnsi="仿宋" w:eastAsia="仿宋" w:cs="方正仿宋_GBK"/>
          <w:sz w:val="32"/>
        </w:rPr>
        <w:t>为深入贯彻习近平总书记关于推动成渝地区双城经济圈建设的重要指示精神，全面落实创新驱动发展战略，强化企业科技创新主体地位，加快构建川渝地区城乡建设领域协同创新格局，打造具有全国影响力的行业科技创新基地，制定如下政策措施。</w:t>
      </w:r>
    </w:p>
    <w:p w14:paraId="7661A934">
      <w:pPr>
        <w:pStyle w:val="16"/>
        <w:spacing w:after="0" w:line="576" w:lineRule="exact"/>
        <w:ind w:firstLine="632" w:firstLineChars="200"/>
        <w:rPr>
          <w:rFonts w:hint="eastAsia" w:ascii="仿宋" w:hAnsi="仿宋" w:eastAsia="仿宋" w:cs="方正仿宋_GBK"/>
          <w:kern w:val="2"/>
          <w:sz w:val="32"/>
        </w:rPr>
      </w:pPr>
      <w:r>
        <w:rPr>
          <w:rFonts w:hint="eastAsia" w:ascii="黑体" w:hAnsi="黑体" w:eastAsia="黑体" w:cs="方正黑体_GBK"/>
          <w:sz w:val="32"/>
        </w:rPr>
        <w:t>一、突出企业创新主体地位。</w:t>
      </w:r>
      <w:r>
        <w:rPr>
          <w:rFonts w:hint="eastAsia" w:ascii="仿宋" w:hAnsi="仿宋" w:eastAsia="仿宋" w:cs="方正仿宋_GBK"/>
          <w:sz w:val="32"/>
        </w:rPr>
        <w:t>充分发挥企业在科技创新决策、研发投入、科研组织和成果转化中的主体作用，鼓励企业参与行业科技项目决策、政策制定，支持企业参与国家、行业、地方标准的编制。鼓励行业骨干企业建立国家级、省级重点实验室、工程（技术）研究中心等创新平台。实施科技企业倍增行动，加大对建筑科技企业资质申报支持力度，对行业高新技术企业、科技型中小企业予以信用激励；支持行业科技型中小企业积极争取科技型中小企业创新基金，通过贷款贴息、研发资助等方式开展创新活动；鼓励各地出台行业科技企业支持政策。建立行业科研资源开放共享机制，搭建行业科研设施和仪器设备等科技资源开放平台，引导科研机构、院校加大对企业技术、人才服务支持力度。</w:t>
      </w:r>
      <w:r>
        <w:rPr>
          <w:rFonts w:hint="eastAsia" w:ascii="仿宋" w:hAnsi="仿宋" w:eastAsia="仿宋" w:cs="方正仿宋_GBK"/>
          <w:kern w:val="2"/>
          <w:sz w:val="32"/>
        </w:rPr>
        <w:t>支持、引导行业科技服务机构开展知识产权、检验检测、成果转化等科技服务工作，加快发展行业科技服务业市场发展。</w:t>
      </w:r>
    </w:p>
    <w:p w14:paraId="011576A2">
      <w:pPr>
        <w:pStyle w:val="16"/>
        <w:spacing w:after="0" w:line="576" w:lineRule="exact"/>
        <w:ind w:firstLine="632" w:firstLineChars="200"/>
        <w:rPr>
          <w:rFonts w:ascii="Times New Roman" w:hAnsi="Times New Roman" w:eastAsia="方正仿宋_GBK" w:cs="Times New Roman"/>
          <w:sz w:val="32"/>
        </w:rPr>
      </w:pPr>
      <w:r>
        <w:rPr>
          <w:rFonts w:hint="eastAsia" w:ascii="黑体" w:hAnsi="黑体" w:eastAsia="黑体" w:cs="方正黑体_GBK"/>
          <w:sz w:val="32"/>
        </w:rPr>
        <w:t>二、支持行业创新平台建设。</w:t>
      </w:r>
      <w:r>
        <w:rPr>
          <w:rFonts w:hint="eastAsia" w:ascii="仿宋" w:hAnsi="仿宋" w:eastAsia="仿宋" w:cs="Times New Roman"/>
          <w:sz w:val="32"/>
        </w:rPr>
        <w:t>加大行业创新平台建设支持力度，实施行业创新平台创建行动，鼓励行业企业、科研机构、院校申报国家级、省级工程</w:t>
      </w:r>
      <w:r>
        <w:rPr>
          <w:rFonts w:hint="eastAsia" w:ascii="仿宋" w:hAnsi="仿宋" w:eastAsia="仿宋" w:cs="方正仿宋_GBK"/>
          <w:sz w:val="32"/>
        </w:rPr>
        <w:t>（技术）研究中心、</w:t>
      </w:r>
      <w:r>
        <w:rPr>
          <w:rFonts w:ascii="仿宋" w:hAnsi="仿宋" w:eastAsia="仿宋" w:cs="Times New Roman"/>
          <w:sz w:val="32"/>
        </w:rPr>
        <w:t>重点实验室</w:t>
      </w:r>
      <w:r>
        <w:rPr>
          <w:rFonts w:hint="eastAsia" w:ascii="仿宋" w:hAnsi="仿宋" w:eastAsia="仿宋" w:cs="方正仿宋_GBK"/>
          <w:kern w:val="2"/>
          <w:sz w:val="32"/>
        </w:rPr>
        <w:t>等科</w:t>
      </w:r>
      <w:r>
        <w:rPr>
          <w:rFonts w:ascii="仿宋" w:hAnsi="仿宋" w:eastAsia="仿宋" w:cs="Times New Roman"/>
          <w:sz w:val="32"/>
        </w:rPr>
        <w:t>创平台</w:t>
      </w:r>
      <w:r>
        <w:rPr>
          <w:rFonts w:hint="eastAsia" w:ascii="仿宋" w:hAnsi="仿宋" w:eastAsia="仿宋" w:cs="Times New Roman"/>
          <w:sz w:val="32"/>
        </w:rPr>
        <w:t>，探索建立“一企一策”</w:t>
      </w:r>
      <w:r>
        <w:rPr>
          <w:rFonts w:hint="eastAsia" w:ascii="仿宋" w:hAnsi="仿宋" w:eastAsia="仿宋" w:cs="方正仿宋_GBK"/>
          <w:spacing w:val="-1"/>
          <w:sz w:val="32"/>
        </w:rPr>
        <w:t>帮扶模式</w:t>
      </w:r>
      <w:r>
        <w:rPr>
          <w:rFonts w:hint="eastAsia" w:ascii="仿宋" w:hAnsi="仿宋" w:eastAsia="仿宋" w:cs="Times New Roman"/>
          <w:sz w:val="32"/>
        </w:rPr>
        <w:t>。支持行业创新平台参与国家、行业、地方标准编制，承接行业科研项目、从事科技服务。</w:t>
      </w:r>
    </w:p>
    <w:p w14:paraId="4E37B0C3">
      <w:pPr>
        <w:pStyle w:val="16"/>
        <w:spacing w:after="0" w:line="576" w:lineRule="exact"/>
        <w:ind w:firstLine="632" w:firstLineChars="200"/>
        <w:rPr>
          <w:rFonts w:hint="eastAsia" w:ascii="方正仿宋_GBK" w:hAnsi="方正仿宋_GBK" w:eastAsia="方正仿宋_GBK" w:cs="方正仿宋_GBK"/>
          <w:kern w:val="2"/>
          <w:sz w:val="32"/>
        </w:rPr>
      </w:pPr>
      <w:r>
        <w:rPr>
          <w:rFonts w:hint="eastAsia" w:ascii="黑体" w:hAnsi="黑体" w:eastAsia="黑体" w:cs="方正黑体_GBK"/>
          <w:sz w:val="32"/>
        </w:rPr>
        <w:t>三、强化创新人才培育。</w:t>
      </w:r>
      <w:r>
        <w:rPr>
          <w:rFonts w:hint="eastAsia" w:ascii="仿宋" w:hAnsi="仿宋" w:eastAsia="仿宋" w:cs="方正仿宋_GBK"/>
          <w:kern w:val="2"/>
          <w:sz w:val="32"/>
        </w:rPr>
        <w:t>加强专业技术人才和高技能人才队伍建设，培养科技领军人才、优秀创新团队，对于贡献突出的科技人员，可优先晋升职务职称。加大行业创新人才激励力度，将创新能力作为勘察设计大师、优秀青年设计师等奖项评选的重要内容，将获得国家或省级科学技术奖、受到国家或省级行政主管部门表彰、完成国家或省级行业科技示范工程等内容纳入评审得分项。建立川渝地区城乡建设领域科技创新专家智库，加强两地创新交流合作，参与川渝城乡建设领域科技创新政策制定，为行业科技示范工程建设、新技术推广应用提供技术支撑。</w:t>
      </w:r>
    </w:p>
    <w:p w14:paraId="76F665C6">
      <w:pPr>
        <w:pStyle w:val="16"/>
        <w:spacing w:after="0" w:line="576" w:lineRule="exact"/>
        <w:ind w:firstLine="632" w:firstLineChars="200"/>
        <w:rPr>
          <w:rFonts w:hint="eastAsia" w:ascii="仿宋" w:hAnsi="仿宋" w:eastAsia="仿宋" w:cs="Times New Roman"/>
          <w:sz w:val="32"/>
        </w:rPr>
      </w:pPr>
      <w:r>
        <w:rPr>
          <w:rFonts w:hint="eastAsia" w:ascii="黑体" w:hAnsi="黑体" w:eastAsia="黑体" w:cs="方正黑体_GBK"/>
          <w:sz w:val="32"/>
        </w:rPr>
        <w:t>四、推动建设标准一体化发展。</w:t>
      </w:r>
      <w:r>
        <w:rPr>
          <w:rFonts w:hint="eastAsia" w:ascii="仿宋" w:hAnsi="仿宋" w:eastAsia="仿宋" w:cs="Times New Roman"/>
          <w:sz w:val="32"/>
        </w:rPr>
        <w:t>完善川渝两地工程建设地方标准一体化建设工作机制，促进两地基础设施互联互通、建设科技创新深度融合、建筑业市场环境公平开放。加大川渝两地标准互认力度，共同做好互认标准的复审、修订、废止等工作。围绕智能建造、建筑工业化、绿色建筑、市政交通基础设施等重点领域，编制一批区域性工程建设标准，协同推进标准的立项、审查、报批等工作，对有效支撑重大项目建设和产业发展的标准编制单位</w:t>
      </w:r>
      <w:r>
        <w:rPr>
          <w:rFonts w:hint="eastAsia" w:ascii="仿宋" w:hAnsi="仿宋" w:eastAsia="仿宋" w:cs="Times New Roman"/>
          <w:sz w:val="32"/>
          <w:lang w:val="en-US" w:eastAsia="zh-CN"/>
        </w:rPr>
        <w:t>给予</w:t>
      </w:r>
      <w:r>
        <w:rPr>
          <w:rFonts w:hint="eastAsia" w:ascii="仿宋" w:hAnsi="仿宋" w:eastAsia="仿宋" w:cs="Times New Roman"/>
          <w:sz w:val="32"/>
        </w:rPr>
        <w:t>经费支持。</w:t>
      </w:r>
    </w:p>
    <w:p w14:paraId="5B1B3ECA">
      <w:pPr>
        <w:pStyle w:val="16"/>
        <w:spacing w:after="0" w:line="576" w:lineRule="exact"/>
        <w:ind w:firstLine="632" w:firstLineChars="200"/>
        <w:rPr>
          <w:rFonts w:hint="eastAsia" w:ascii="方正仿宋_GBK" w:hAnsi="方正仿宋_GBK" w:eastAsia="方正仿宋_GBK" w:cs="方正仿宋_GBK"/>
          <w:kern w:val="2"/>
          <w:sz w:val="32"/>
        </w:rPr>
      </w:pPr>
      <w:r>
        <w:rPr>
          <w:rFonts w:hint="eastAsia" w:ascii="黑体" w:hAnsi="黑体" w:eastAsia="黑体" w:cs="方正黑体_GBK"/>
          <w:sz w:val="32"/>
        </w:rPr>
        <w:t>五、协同促进科技成果转化。</w:t>
      </w:r>
      <w:r>
        <w:rPr>
          <w:rFonts w:hint="eastAsia" w:ascii="仿宋" w:hAnsi="仿宋" w:eastAsia="仿宋" w:cs="方正仿宋_GBK"/>
          <w:kern w:val="2"/>
          <w:sz w:val="32"/>
        </w:rPr>
        <w:t>建立川渝地区城乡建设领域科技成果转化协同机制，共同发布行业推广应用新技术清单；利用川渝住房城乡建设博览会等大型交流平台，组织开展行业新技术推广活动；聚焦建筑信息模型（BIM）</w:t>
      </w:r>
      <w:r>
        <w:rPr>
          <w:rFonts w:ascii="仿宋" w:hAnsi="仿宋" w:eastAsia="仿宋" w:cs="Times New Roman"/>
          <w:sz w:val="32"/>
        </w:rPr>
        <w:t>全过程正向应用</w:t>
      </w:r>
      <w:r>
        <w:rPr>
          <w:rFonts w:hint="eastAsia" w:ascii="仿宋" w:hAnsi="仿宋" w:eastAsia="仿宋" w:cs="方正仿宋_GBK"/>
          <w:kern w:val="2"/>
          <w:sz w:val="32"/>
        </w:rPr>
        <w:t>、绿色低碳、智能建造等技术，组织实施川渝地区城乡建设领域科技示范工程，鼓励将科技示范工程纳入本地资金奖补范围。积极争取国家科技成果转化引导基金，加大对新技术、新工艺、新产品应用推广的支持力度。</w:t>
      </w:r>
    </w:p>
    <w:p w14:paraId="5E3A2D67">
      <w:pPr>
        <w:pStyle w:val="16"/>
        <w:spacing w:after="0" w:line="576" w:lineRule="exact"/>
        <w:ind w:firstLine="632" w:firstLineChars="200"/>
        <w:rPr>
          <w:rFonts w:ascii="Times New Roman" w:hAnsi="Times New Roman" w:eastAsia="方正仿宋_GBK" w:cs="Times New Roman"/>
          <w:sz w:val="32"/>
          <w:highlight w:val="yellow"/>
        </w:rPr>
      </w:pPr>
      <w:r>
        <w:rPr>
          <w:rFonts w:hint="eastAsia" w:ascii="黑体" w:hAnsi="黑体" w:eastAsia="黑体" w:cs="方正黑体_GBK"/>
          <w:sz w:val="32"/>
        </w:rPr>
        <w:t>六、优化行业科技产业布局。</w:t>
      </w:r>
      <w:r>
        <w:rPr>
          <w:rFonts w:hint="eastAsia" w:ascii="仿宋" w:hAnsi="仿宋" w:eastAsia="仿宋" w:cs="方正仿宋_GBK"/>
          <w:kern w:val="2"/>
          <w:sz w:val="32"/>
        </w:rPr>
        <w:t>发布两地城乡建设领域科技型企业、创新平台名录，推动行业科技产业协同发展，打造川渝行业科技产业地图。聚焦行业新兴领域，协同培育布局行业科技型企业和创新平台，探索建立具有国际影响力的川渝行业科创走廊。</w:t>
      </w:r>
    </w:p>
    <w:p w14:paraId="4825BC77">
      <w:pPr>
        <w:pStyle w:val="16"/>
        <w:spacing w:after="0" w:line="576" w:lineRule="exact"/>
        <w:ind w:firstLine="632" w:firstLineChars="200"/>
        <w:rPr>
          <w:rFonts w:hint="eastAsia" w:ascii="仿宋" w:hAnsi="仿宋" w:eastAsia="仿宋" w:cs="方正仿宋_GBK"/>
          <w:kern w:val="2"/>
          <w:sz w:val="32"/>
        </w:rPr>
      </w:pPr>
      <w:r>
        <w:rPr>
          <w:rFonts w:hint="eastAsia" w:ascii="黑体" w:hAnsi="黑体" w:eastAsia="黑体" w:cs="方正黑体_GBK"/>
          <w:sz w:val="32"/>
        </w:rPr>
        <w:t>七、营造高效协同的创新环境。</w:t>
      </w:r>
      <w:r>
        <w:rPr>
          <w:rFonts w:hint="eastAsia" w:ascii="仿宋" w:hAnsi="仿宋" w:eastAsia="仿宋" w:cs="方正仿宋_GBK"/>
          <w:kern w:val="2"/>
          <w:sz w:val="32"/>
        </w:rPr>
        <w:t>完善川渝地区城乡建设领域协同创新合作机制，将协同创新工作作为成渝地区双城经济圈建设住建领域协同发展的重要内容，健全两地领导协调机制、沟通联络机制、工作推进机制的等合作机制。鼓励两地行业协会、企业、院校、科研机构等单位加强科技交流合作。提升行业科技工作者职业荣誉感</w:t>
      </w:r>
      <w:r>
        <w:rPr>
          <w:rFonts w:hint="eastAsia" w:ascii="仿宋" w:hAnsi="仿宋" w:eastAsia="仿宋" w:cs="方正仿宋_GBK"/>
          <w:color w:val="000000" w:themeColor="text1"/>
          <w:kern w:val="2"/>
          <w:sz w:val="32"/>
          <w14:textFill>
            <w14:solidFill>
              <w14:schemeClr w14:val="tx1"/>
            </w14:solidFill>
          </w14:textFill>
        </w:rPr>
        <w:t>，共同</w:t>
      </w:r>
      <w:r>
        <w:rPr>
          <w:rFonts w:hint="eastAsia" w:ascii="仿宋" w:hAnsi="仿宋" w:eastAsia="仿宋" w:cs="Times New Roman"/>
          <w:color w:val="000000" w:themeColor="text1"/>
          <w:sz w:val="32"/>
          <w14:textFill>
            <w14:solidFill>
              <w14:schemeClr w14:val="tx1"/>
            </w14:solidFill>
          </w14:textFill>
        </w:rPr>
        <w:t>对推广应用新技术工作中作出突出贡献的单位和个人</w:t>
      </w:r>
      <w:r>
        <w:rPr>
          <w:rFonts w:hint="eastAsia" w:ascii="仿宋" w:hAnsi="仿宋" w:eastAsia="仿宋" w:cs="Times New Roman"/>
          <w:color w:val="000000" w:themeColor="text1"/>
          <w:sz w:val="32"/>
          <w:lang w:val="en-US" w:eastAsia="zh-CN"/>
          <w14:textFill>
            <w14:solidFill>
              <w14:schemeClr w14:val="tx1"/>
            </w14:solidFill>
          </w14:textFill>
        </w:rPr>
        <w:t>进行通报表扬</w:t>
      </w:r>
      <w:r>
        <w:rPr>
          <w:rFonts w:hint="eastAsia" w:ascii="仿宋" w:hAnsi="仿宋" w:eastAsia="仿宋" w:cs="Times New Roman"/>
          <w:color w:val="000000" w:themeColor="text1"/>
          <w:sz w:val="32"/>
          <w14:textFill>
            <w14:solidFill>
              <w14:schemeClr w14:val="tx1"/>
            </w14:solidFill>
          </w14:textFill>
        </w:rPr>
        <w:t>，加强宣传引导，</w:t>
      </w:r>
      <w:r>
        <w:rPr>
          <w:rFonts w:hint="eastAsia" w:ascii="仿宋" w:hAnsi="仿宋" w:eastAsia="仿宋" w:cs="方正仿宋_GBK"/>
          <w:color w:val="000000" w:themeColor="text1"/>
          <w:kern w:val="2"/>
          <w:sz w:val="32"/>
          <w14:textFill>
            <w14:solidFill>
              <w14:schemeClr w14:val="tx1"/>
            </w14:solidFill>
          </w14:textFill>
        </w:rPr>
        <w:t>加大对行业创新企业、创新成果、创新人才宣传力度。</w:t>
      </w:r>
    </w:p>
    <w:p w14:paraId="524A14F4"/>
    <w:sectPr>
      <w:footerReference r:id="rId3" w:type="default"/>
      <w:footerReference r:id="rId4" w:type="even"/>
      <w:pgSz w:w="11906" w:h="16838"/>
      <w:pgMar w:top="2098" w:right="1474" w:bottom="1985" w:left="1588" w:header="851" w:footer="1418" w:gutter="0"/>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4600822"/>
    </w:sdtPr>
    <w:sdtEndPr>
      <w:rPr>
        <w:rFonts w:asciiTheme="minorEastAsia" w:hAnsiTheme="minorEastAsia"/>
        <w:sz w:val="28"/>
        <w:szCs w:val="28"/>
      </w:rPr>
    </w:sdtEndPr>
    <w:sdtContent>
      <w:p w14:paraId="3753BC12">
        <w:pPr>
          <w:pStyle w:val="5"/>
          <w:jc w:val="right"/>
          <w:rPr>
            <w:rFonts w:hint="eastAsia" w:asciiTheme="minorEastAsia" w:hAnsiTheme="minorEastAsia"/>
            <w:sz w:val="28"/>
            <w:szCs w:val="28"/>
          </w:rPr>
        </w:pP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hint="eastAsia"/>
            <w:sz w:val="28"/>
            <w:szCs w:val="28"/>
          </w:rPr>
          <w:t>—</w:t>
        </w:r>
      </w:p>
    </w:sdtContent>
  </w:sdt>
  <w:p w14:paraId="2262E0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559494"/>
    </w:sdtPr>
    <w:sdtEndPr>
      <w:rPr>
        <w:sz w:val="28"/>
        <w:szCs w:val="28"/>
      </w:rPr>
    </w:sdtEndPr>
    <w:sdtContent>
      <w:p w14:paraId="73962DA3">
        <w:pPr>
          <w:pStyle w:val="5"/>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0NzYzM2EyNzlhNTYxOGU5ZTFmMWViYzkwNzBmZGIifQ=="/>
  </w:docVars>
  <w:rsids>
    <w:rsidRoot w:val="00F023D6"/>
    <w:rsid w:val="00022CF0"/>
    <w:rsid w:val="00035C32"/>
    <w:rsid w:val="000422AF"/>
    <w:rsid w:val="00043579"/>
    <w:rsid w:val="00055F74"/>
    <w:rsid w:val="000731EA"/>
    <w:rsid w:val="00082E6A"/>
    <w:rsid w:val="00086758"/>
    <w:rsid w:val="00087C47"/>
    <w:rsid w:val="00090D7C"/>
    <w:rsid w:val="000B678C"/>
    <w:rsid w:val="000D4AFE"/>
    <w:rsid w:val="000E03D9"/>
    <w:rsid w:val="000E69CF"/>
    <w:rsid w:val="001224B0"/>
    <w:rsid w:val="00126CA7"/>
    <w:rsid w:val="00154361"/>
    <w:rsid w:val="001632D8"/>
    <w:rsid w:val="00166C10"/>
    <w:rsid w:val="001710B9"/>
    <w:rsid w:val="00177CF0"/>
    <w:rsid w:val="00195B60"/>
    <w:rsid w:val="001B19B2"/>
    <w:rsid w:val="001B7C12"/>
    <w:rsid w:val="00220FDF"/>
    <w:rsid w:val="002250FA"/>
    <w:rsid w:val="002354A9"/>
    <w:rsid w:val="00261560"/>
    <w:rsid w:val="002652B4"/>
    <w:rsid w:val="00277340"/>
    <w:rsid w:val="00281B32"/>
    <w:rsid w:val="00283373"/>
    <w:rsid w:val="00295AC0"/>
    <w:rsid w:val="002A0199"/>
    <w:rsid w:val="002A1E73"/>
    <w:rsid w:val="002C089B"/>
    <w:rsid w:val="002D5BDA"/>
    <w:rsid w:val="00322E9B"/>
    <w:rsid w:val="003302EA"/>
    <w:rsid w:val="00330A2A"/>
    <w:rsid w:val="00397236"/>
    <w:rsid w:val="003A37FC"/>
    <w:rsid w:val="003B0E08"/>
    <w:rsid w:val="003B63F5"/>
    <w:rsid w:val="003C08D5"/>
    <w:rsid w:val="003C6FBD"/>
    <w:rsid w:val="003D3B2E"/>
    <w:rsid w:val="003E2F8E"/>
    <w:rsid w:val="00420782"/>
    <w:rsid w:val="00425528"/>
    <w:rsid w:val="00432687"/>
    <w:rsid w:val="00432C50"/>
    <w:rsid w:val="0045157A"/>
    <w:rsid w:val="004648B0"/>
    <w:rsid w:val="0046619B"/>
    <w:rsid w:val="004876D4"/>
    <w:rsid w:val="00495A13"/>
    <w:rsid w:val="00496125"/>
    <w:rsid w:val="004E2236"/>
    <w:rsid w:val="004F7408"/>
    <w:rsid w:val="004F7AE4"/>
    <w:rsid w:val="00505B6C"/>
    <w:rsid w:val="00510969"/>
    <w:rsid w:val="0051330F"/>
    <w:rsid w:val="005175F8"/>
    <w:rsid w:val="00553F57"/>
    <w:rsid w:val="0057290E"/>
    <w:rsid w:val="0057378F"/>
    <w:rsid w:val="00576E95"/>
    <w:rsid w:val="005A527E"/>
    <w:rsid w:val="005D5755"/>
    <w:rsid w:val="00616A37"/>
    <w:rsid w:val="00621781"/>
    <w:rsid w:val="00622156"/>
    <w:rsid w:val="006343F6"/>
    <w:rsid w:val="00647EF3"/>
    <w:rsid w:val="006501B7"/>
    <w:rsid w:val="00672FD0"/>
    <w:rsid w:val="006742D8"/>
    <w:rsid w:val="00675A63"/>
    <w:rsid w:val="006777E9"/>
    <w:rsid w:val="006926D7"/>
    <w:rsid w:val="006964A3"/>
    <w:rsid w:val="006A5268"/>
    <w:rsid w:val="006E0209"/>
    <w:rsid w:val="006F7674"/>
    <w:rsid w:val="007023A3"/>
    <w:rsid w:val="00714B50"/>
    <w:rsid w:val="007557B9"/>
    <w:rsid w:val="00757A37"/>
    <w:rsid w:val="007600B9"/>
    <w:rsid w:val="00763BCC"/>
    <w:rsid w:val="00770A7A"/>
    <w:rsid w:val="007711D0"/>
    <w:rsid w:val="00773391"/>
    <w:rsid w:val="0077519A"/>
    <w:rsid w:val="0077525A"/>
    <w:rsid w:val="00782A79"/>
    <w:rsid w:val="007A348A"/>
    <w:rsid w:val="007B4363"/>
    <w:rsid w:val="007C7D35"/>
    <w:rsid w:val="007E52FD"/>
    <w:rsid w:val="00841B69"/>
    <w:rsid w:val="00853A9F"/>
    <w:rsid w:val="008634DA"/>
    <w:rsid w:val="00863967"/>
    <w:rsid w:val="00865496"/>
    <w:rsid w:val="0086582F"/>
    <w:rsid w:val="00881A84"/>
    <w:rsid w:val="008B2B8B"/>
    <w:rsid w:val="008C2D2A"/>
    <w:rsid w:val="008C363C"/>
    <w:rsid w:val="008D5D12"/>
    <w:rsid w:val="008E6716"/>
    <w:rsid w:val="008E6B8D"/>
    <w:rsid w:val="008F7404"/>
    <w:rsid w:val="00902D2C"/>
    <w:rsid w:val="00914FC3"/>
    <w:rsid w:val="00927937"/>
    <w:rsid w:val="0095146A"/>
    <w:rsid w:val="009517EF"/>
    <w:rsid w:val="00954101"/>
    <w:rsid w:val="00976693"/>
    <w:rsid w:val="0098147F"/>
    <w:rsid w:val="009A79B5"/>
    <w:rsid w:val="009C7D84"/>
    <w:rsid w:val="009D2A71"/>
    <w:rsid w:val="00A13456"/>
    <w:rsid w:val="00A21C8D"/>
    <w:rsid w:val="00A267FD"/>
    <w:rsid w:val="00A276FF"/>
    <w:rsid w:val="00A33CEE"/>
    <w:rsid w:val="00A64082"/>
    <w:rsid w:val="00AA361C"/>
    <w:rsid w:val="00AA7C50"/>
    <w:rsid w:val="00AD3A21"/>
    <w:rsid w:val="00AF4324"/>
    <w:rsid w:val="00B02134"/>
    <w:rsid w:val="00B055D7"/>
    <w:rsid w:val="00B10A33"/>
    <w:rsid w:val="00B1163E"/>
    <w:rsid w:val="00B43D72"/>
    <w:rsid w:val="00B4577A"/>
    <w:rsid w:val="00B5206E"/>
    <w:rsid w:val="00B55426"/>
    <w:rsid w:val="00B66284"/>
    <w:rsid w:val="00B7386C"/>
    <w:rsid w:val="00B80887"/>
    <w:rsid w:val="00B87663"/>
    <w:rsid w:val="00B94119"/>
    <w:rsid w:val="00BA2D92"/>
    <w:rsid w:val="00BA484A"/>
    <w:rsid w:val="00BB3957"/>
    <w:rsid w:val="00BE71A1"/>
    <w:rsid w:val="00BF790E"/>
    <w:rsid w:val="00C20E53"/>
    <w:rsid w:val="00C27034"/>
    <w:rsid w:val="00C40478"/>
    <w:rsid w:val="00C5162A"/>
    <w:rsid w:val="00C523CE"/>
    <w:rsid w:val="00C52BA8"/>
    <w:rsid w:val="00C55068"/>
    <w:rsid w:val="00C67B7A"/>
    <w:rsid w:val="00C70500"/>
    <w:rsid w:val="00C7351D"/>
    <w:rsid w:val="00C73BEA"/>
    <w:rsid w:val="00C73E66"/>
    <w:rsid w:val="00C81081"/>
    <w:rsid w:val="00C921B2"/>
    <w:rsid w:val="00CB3F32"/>
    <w:rsid w:val="00CB5AF9"/>
    <w:rsid w:val="00CB7F03"/>
    <w:rsid w:val="00CC7810"/>
    <w:rsid w:val="00CE7BB7"/>
    <w:rsid w:val="00CF77DA"/>
    <w:rsid w:val="00D01A73"/>
    <w:rsid w:val="00D021D3"/>
    <w:rsid w:val="00D1504D"/>
    <w:rsid w:val="00D17910"/>
    <w:rsid w:val="00D264BF"/>
    <w:rsid w:val="00D40267"/>
    <w:rsid w:val="00D43C32"/>
    <w:rsid w:val="00D44CE4"/>
    <w:rsid w:val="00D536E9"/>
    <w:rsid w:val="00D57EA0"/>
    <w:rsid w:val="00D664D9"/>
    <w:rsid w:val="00D6699D"/>
    <w:rsid w:val="00D725F7"/>
    <w:rsid w:val="00D77409"/>
    <w:rsid w:val="00D81C29"/>
    <w:rsid w:val="00DA0770"/>
    <w:rsid w:val="00DA4317"/>
    <w:rsid w:val="00DB11DE"/>
    <w:rsid w:val="00DB2200"/>
    <w:rsid w:val="00DB4F54"/>
    <w:rsid w:val="00DB5B01"/>
    <w:rsid w:val="00DC4B25"/>
    <w:rsid w:val="00DC7136"/>
    <w:rsid w:val="00DF1CFF"/>
    <w:rsid w:val="00E07695"/>
    <w:rsid w:val="00E42BE5"/>
    <w:rsid w:val="00E450F4"/>
    <w:rsid w:val="00E64C9F"/>
    <w:rsid w:val="00E92BAA"/>
    <w:rsid w:val="00E954A2"/>
    <w:rsid w:val="00E97169"/>
    <w:rsid w:val="00EC4D1F"/>
    <w:rsid w:val="00EC6F3A"/>
    <w:rsid w:val="00ED2DF1"/>
    <w:rsid w:val="00EF177F"/>
    <w:rsid w:val="00EF57B5"/>
    <w:rsid w:val="00F023D6"/>
    <w:rsid w:val="00F056BF"/>
    <w:rsid w:val="00F07385"/>
    <w:rsid w:val="00F233E9"/>
    <w:rsid w:val="00F259DB"/>
    <w:rsid w:val="00F41715"/>
    <w:rsid w:val="00F540AA"/>
    <w:rsid w:val="00F64580"/>
    <w:rsid w:val="00FB4055"/>
    <w:rsid w:val="00FB7528"/>
    <w:rsid w:val="00FC05FA"/>
    <w:rsid w:val="00FF4711"/>
    <w:rsid w:val="030E4FDF"/>
    <w:rsid w:val="077801B8"/>
    <w:rsid w:val="0D4374E6"/>
    <w:rsid w:val="124C4452"/>
    <w:rsid w:val="17434F2B"/>
    <w:rsid w:val="17EF833B"/>
    <w:rsid w:val="25DE1BBE"/>
    <w:rsid w:val="2DCC477A"/>
    <w:rsid w:val="347D557F"/>
    <w:rsid w:val="37FB680C"/>
    <w:rsid w:val="3FDFCA75"/>
    <w:rsid w:val="51656440"/>
    <w:rsid w:val="52387F53"/>
    <w:rsid w:val="5A9009D2"/>
    <w:rsid w:val="6B0D5D80"/>
    <w:rsid w:val="6E79102F"/>
    <w:rsid w:val="7CB65EE7"/>
    <w:rsid w:val="7EC7EECC"/>
    <w:rsid w:val="83782236"/>
    <w:rsid w:val="E3FFC0CF"/>
    <w:rsid w:val="F9FD61E4"/>
    <w:rsid w:val="FDF3D889"/>
    <w:rsid w:val="FEB34A50"/>
    <w:rsid w:val="FECBAAD2"/>
    <w:rsid w:val="FF7BC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next w:val="1"/>
    <w:qFormat/>
    <w:uiPriority w:val="0"/>
    <w:pPr>
      <w:widowControl w:val="0"/>
      <w:spacing w:after="120" w:line="600" w:lineRule="exact"/>
    </w:pPr>
    <w:rPr>
      <w:rFonts w:ascii="仿宋" w:hAnsi="仿宋" w:eastAsia="宋体" w:cs="宋体"/>
      <w:kern w:val="2"/>
      <w:sz w:val="32"/>
      <w:szCs w:val="24"/>
      <w:lang w:val="en-US" w:eastAsia="zh-CN" w:bidi="ar-SA"/>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8"/>
    <w:qFormat/>
    <w:uiPriority w:val="10"/>
    <w:pPr>
      <w:spacing w:after="160" w:line="278" w:lineRule="auto"/>
      <w:jc w:val="center"/>
      <w:outlineLvl w:val="0"/>
    </w:pPr>
    <w:rPr>
      <w:rFonts w:eastAsia="方正小标宋_GBK" w:asciiTheme="minorHAnsi" w:hAnsiTheme="minorHAnsi" w:cstheme="minorBidi"/>
      <w:bCs/>
      <w:sz w:val="44"/>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rFonts w:ascii="Times New Roman" w:hAnsi="Times New Roman" w:eastAsia="仿宋_GB2312" w:cs="Times New Roman"/>
      <w:sz w:val="18"/>
      <w:szCs w:val="18"/>
    </w:rPr>
  </w:style>
  <w:style w:type="paragraph" w:styleId="14">
    <w:name w:val="List Paragraph"/>
    <w:basedOn w:val="1"/>
    <w:unhideWhenUsed/>
    <w:qFormat/>
    <w:uiPriority w:val="99"/>
    <w:pPr>
      <w:ind w:firstLine="420" w:firstLineChars="200"/>
    </w:pPr>
  </w:style>
  <w:style w:type="paragraph" w:customStyle="1" w:styleId="15">
    <w:name w:val="修订1"/>
    <w:hidden/>
    <w:unhideWhenUsed/>
    <w:qFormat/>
    <w:uiPriority w:val="99"/>
    <w:rPr>
      <w:rFonts w:ascii="Times New Roman" w:hAnsi="Times New Roman" w:eastAsia="仿宋_GB2312" w:cs="Times New Roman"/>
      <w:kern w:val="2"/>
      <w:sz w:val="32"/>
      <w:szCs w:val="24"/>
      <w:lang w:val="en-US" w:eastAsia="zh-CN" w:bidi="ar-SA"/>
    </w:rPr>
  </w:style>
  <w:style w:type="paragraph" w:customStyle="1" w:styleId="16">
    <w:name w:val="BodyText"/>
    <w:basedOn w:val="1"/>
    <w:next w:val="17"/>
    <w:qFormat/>
    <w:uiPriority w:val="0"/>
    <w:pPr>
      <w:spacing w:after="160" w:line="278" w:lineRule="auto"/>
      <w:textAlignment w:val="baseline"/>
    </w:pPr>
    <w:rPr>
      <w:rFonts w:asciiTheme="minorHAnsi" w:hAnsiTheme="minorHAnsi" w:eastAsiaTheme="minorEastAsia" w:cstheme="minorBidi"/>
      <w:kern w:val="0"/>
      <w:sz w:val="21"/>
      <w:szCs w:val="32"/>
    </w:rPr>
  </w:style>
  <w:style w:type="paragraph" w:customStyle="1" w:styleId="17">
    <w:name w:val="TOC5"/>
    <w:basedOn w:val="1"/>
    <w:next w:val="1"/>
    <w:qFormat/>
    <w:uiPriority w:val="0"/>
    <w:pPr>
      <w:spacing w:after="160" w:line="278" w:lineRule="auto"/>
      <w:ind w:left="840"/>
      <w:jc w:val="left"/>
      <w:textAlignment w:val="baseline"/>
    </w:pPr>
    <w:rPr>
      <w:rFonts w:ascii="Calibri" w:hAnsi="Calibri" w:eastAsiaTheme="minorEastAsia" w:cstheme="minorBidi"/>
      <w:sz w:val="18"/>
      <w:szCs w:val="18"/>
    </w:rPr>
  </w:style>
  <w:style w:type="character" w:customStyle="1" w:styleId="18">
    <w:name w:val="标题 字符"/>
    <w:basedOn w:val="10"/>
    <w:link w:val="7"/>
    <w:qFormat/>
    <w:uiPriority w:val="10"/>
    <w:rPr>
      <w:rFonts w:eastAsia="方正小标宋_GBK"/>
      <w:bCs/>
      <w:kern w:val="2"/>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04B7B-B560-41F9-A5EA-E97D12378947}">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746</Words>
  <Characters>749</Characters>
  <Lines>13</Lines>
  <Paragraphs>3</Paragraphs>
  <TotalTime>38</TotalTime>
  <ScaleCrop>false</ScaleCrop>
  <LinksUpToDate>false</LinksUpToDate>
  <CharactersWithSpaces>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2024-03-01T03:50:00Z</dcterms:created>
  <dc:creator>sun</dc:creator>
  <cp:lastModifiedBy>⌒寻⌒</cp:lastModifiedBy>
  <cp:lastPrinted>2025-09-04T00:50:00Z</cp:lastPrinted>
  <dcterms:modified xsi:type="dcterms:W3CDTF">2025-09-22T10:06:34Z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584A4669E71B4C04BAC650BC60916C40_13</vt:lpwstr>
  </property>
  <property fmtid="{D5CDD505-2E9C-101B-9397-08002B2CF9AE}" pid="4" name="KSOTemplateDocerSaveRecord">
    <vt:lpwstr>eyJoZGlkIjoiZGU3MGExN2Y1ZDU2OTc2NDQxNGEyZWQyZjAxYjI3NGEiLCJ1c2VySWQiOiIzOTA1OTc5MzYifQ==</vt:lpwstr>
  </property>
</Properties>
</file>