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5AB03">
      <w:pPr>
        <w:spacing w:line="262" w:lineRule="auto"/>
      </w:pPr>
      <w:bookmarkStart w:id="0" w:name="_Toc368241590"/>
      <w:bookmarkStart w:id="1" w:name="_Toc365482171"/>
      <w:bookmarkStart w:id="2" w:name="_Toc363073574"/>
      <w:bookmarkStart w:id="3" w:name="_Toc13396"/>
    </w:p>
    <w:p w14:paraId="03B99A5C">
      <w:pPr>
        <w:pStyle w:val="40"/>
        <w:rPr>
          <w:rFonts w:ascii="黑体" w:hAnsi="黑体" w:eastAsia="黑体"/>
          <w:sz w:val="36"/>
          <w:szCs w:val="36"/>
        </w:rPr>
      </w:pPr>
      <w:r>
        <w:rPr>
          <w:rFonts w:ascii="Times New Roman" w:hAnsi="Times New Roman" w:eastAsia="黑体"/>
          <w:sz w:val="32"/>
          <w:szCs w:val="32"/>
        </w:rPr>
        <mc:AlternateContent>
          <mc:Choice Requires="wps">
            <w:drawing>
              <wp:anchor distT="0" distB="0" distL="114300" distR="114300" simplePos="0" relativeHeight="251666432" behindDoc="0" locked="0" layoutInCell="1" allowOverlap="1">
                <wp:simplePos x="0" y="0"/>
                <wp:positionH relativeFrom="column">
                  <wp:posOffset>4418330</wp:posOffset>
                </wp:positionH>
                <wp:positionV relativeFrom="paragraph">
                  <wp:posOffset>59690</wp:posOffset>
                </wp:positionV>
                <wp:extent cx="1089660" cy="664845"/>
                <wp:effectExtent l="5080" t="5080" r="10160" b="15875"/>
                <wp:wrapNone/>
                <wp:docPr id="704" name="文本框 704"/>
                <wp:cNvGraphicFramePr/>
                <a:graphic xmlns:a="http://schemas.openxmlformats.org/drawingml/2006/main">
                  <a:graphicData uri="http://schemas.microsoft.com/office/word/2010/wordprocessingShape">
                    <wps:wsp>
                      <wps:cNvSpPr txBox="1">
                        <a:spLocks noChangeArrowheads="1"/>
                      </wps:cNvSpPr>
                      <wps:spPr bwMode="auto">
                        <a:xfrm>
                          <a:off x="0" y="0"/>
                          <a:ext cx="1089660" cy="664845"/>
                        </a:xfrm>
                        <a:prstGeom prst="rect">
                          <a:avLst/>
                        </a:prstGeom>
                        <a:solidFill>
                          <a:srgbClr val="FFFFFF"/>
                        </a:solidFill>
                        <a:ln w="9525">
                          <a:solidFill>
                            <a:srgbClr val="FFFFFF"/>
                          </a:solidFill>
                          <a:miter lim="800000"/>
                        </a:ln>
                      </wps:spPr>
                      <wps:txbx>
                        <w:txbxContent>
                          <w:p w14:paraId="32D0FC14">
                            <w:pPr>
                              <w:spacing w:line="980" w:lineRule="exact"/>
                              <w:rPr>
                                <w:rFonts w:eastAsia="仿宋_GB2312"/>
                                <w:b/>
                                <w:bCs/>
                                <w:outline/>
                                <w:sz w:val="84"/>
                                <w:szCs w:val="84"/>
                                <w14:textOutline w14:w="9525" w14:cap="flat" w14:cmpd="sng" w14:algn="ctr">
                                  <w14:solidFill>
                                    <w14:srgbClr w14:val="000000"/>
                                  </w14:solidFill>
                                  <w14:prstDash w14:val="solid"/>
                                  <w14:round/>
                                </w14:textOutline>
                                <w14:textFill>
                                  <w14:noFill/>
                                </w14:textFill>
                              </w:rPr>
                            </w:pPr>
                            <w:r>
                              <w:rPr>
                                <w:rFonts w:eastAsia="仿宋_GB2312"/>
                                <w:b/>
                                <w:bCs/>
                                <w:outline/>
                                <w:sz w:val="84"/>
                                <w:szCs w:val="84"/>
                                <w14:textOutline w14:w="9525" w14:cap="flat" w14:cmpd="sng" w14:algn="ctr">
                                  <w14:solidFill>
                                    <w14:srgbClr w14:val="000000"/>
                                  </w14:solidFill>
                                  <w14:prstDash w14:val="solid"/>
                                  <w14:round/>
                                </w14:textOutline>
                                <w14:textFill>
                                  <w14:noFill/>
                                </w14:textFill>
                              </w:rPr>
                              <w:t>DB</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47.9pt;margin-top:4.7pt;height:52.35pt;width:85.8pt;z-index:251666432;mso-width-relative:page;mso-height-relative:page;" fillcolor="#FFFFFF" filled="t" stroked="t" coordsize="21600,21600" o:gfxdata="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A9n22AAAAAkBAAAPAAAAAAAAAAEAIAAAACIAAABkcnMvZG93bnJl&#10;di54bWxQSwECFAAUAAAACACHTuJAP8FmoTYCAAB7BAAADgAAAAAAAAABACAAAAAnAQAAZHJzL2Uy&#10;b0RvYy54bWxQSwUGAAAAAAYABgBZAQAAzwUAAAAA&#10;">
                <v:fill on="t" focussize="0,0"/>
                <v:stroke color="#FFFFFF" miterlimit="8" joinstyle="miter"/>
                <v:imagedata o:title=""/>
                <o:lock v:ext="edit" aspectratio="f"/>
                <v:textbox inset="0mm,0mm,0mm,0mm">
                  <w:txbxContent>
                    <w:p w14:paraId="32D0FC14">
                      <w:pPr>
                        <w:spacing w:line="980" w:lineRule="exact"/>
                        <w:rPr>
                          <w:rFonts w:eastAsia="仿宋_GB2312"/>
                          <w:b/>
                          <w:bCs/>
                          <w:outline/>
                          <w:sz w:val="84"/>
                          <w:szCs w:val="84"/>
                          <w14:textOutline w14:w="9525" w14:cap="flat" w14:cmpd="sng" w14:algn="ctr">
                            <w14:solidFill>
                              <w14:srgbClr w14:val="000000"/>
                            </w14:solidFill>
                            <w14:prstDash w14:val="solid"/>
                            <w14:round/>
                          </w14:textOutline>
                          <w14:textFill>
                            <w14:noFill/>
                          </w14:textFill>
                        </w:rPr>
                      </w:pPr>
                      <w:r>
                        <w:rPr>
                          <w:rFonts w:eastAsia="仿宋_GB2312"/>
                          <w:b/>
                          <w:bCs/>
                          <w:outline/>
                          <w:sz w:val="84"/>
                          <w:szCs w:val="84"/>
                          <w14:textOutline w14:w="9525" w14:cap="flat" w14:cmpd="sng" w14:algn="ctr">
                            <w14:solidFill>
                              <w14:srgbClr w14:val="000000"/>
                            </w14:solidFill>
                            <w14:prstDash w14:val="solid"/>
                            <w14:round/>
                          </w14:textOutline>
                          <w14:textFill>
                            <w14:noFill/>
                          </w14:textFill>
                        </w:rPr>
                        <w:t>DB</w:t>
                      </w:r>
                    </w:p>
                  </w:txbxContent>
                </v:textbox>
              </v:shape>
            </w:pict>
          </mc:Fallback>
        </mc:AlternateContent>
      </w:r>
    </w:p>
    <w:p w14:paraId="3BF909E8">
      <w:pPr>
        <w:spacing w:line="240" w:lineRule="auto"/>
        <w:ind w:left="-2" w:leftChars="-1" w:right="48" w:rightChars="20" w:firstLine="660" w:firstLineChars="150"/>
        <w:rPr>
          <w:rFonts w:eastAsia="黑体"/>
          <w:sz w:val="44"/>
          <w:szCs w:val="44"/>
          <w:lang w:eastAsia="zh-CN"/>
        </w:rPr>
      </w:pPr>
      <w:r>
        <w:rPr>
          <w:rFonts w:hint="eastAsia" w:eastAsia="黑体"/>
          <w:sz w:val="44"/>
          <w:szCs w:val="44"/>
          <w:lang w:eastAsia="zh-CN"/>
        </w:rPr>
        <w:t>四川省工程建设地方标准</w:t>
      </w:r>
    </w:p>
    <w:p w14:paraId="35584370">
      <w:pPr>
        <w:spacing w:line="400" w:lineRule="exact"/>
        <w:rPr>
          <w:rFonts w:ascii="黑体" w:eastAsia="黑体"/>
          <w:sz w:val="32"/>
          <w:szCs w:val="32"/>
          <w:lang w:eastAsia="zh-CN"/>
        </w:rPr>
      </w:pPr>
      <w:r>
        <w:rPr>
          <w:rFonts w:ascii="黑体" w:eastAsia="黑体"/>
          <w:sz w:val="32"/>
          <w:szCs w:val="32"/>
        </w:rPr>
        <mc:AlternateContent>
          <mc:Choice Requires="wps">
            <w:drawing>
              <wp:anchor distT="0" distB="0" distL="114300" distR="114300" simplePos="0" relativeHeight="251665408" behindDoc="0" locked="0" layoutInCell="1" allowOverlap="1">
                <wp:simplePos x="0" y="0"/>
                <wp:positionH relativeFrom="column">
                  <wp:posOffset>62230</wp:posOffset>
                </wp:positionH>
                <wp:positionV relativeFrom="paragraph">
                  <wp:posOffset>-772795</wp:posOffset>
                </wp:positionV>
                <wp:extent cx="2484120" cy="345440"/>
                <wp:effectExtent l="0" t="0" r="11430" b="16510"/>
                <wp:wrapNone/>
                <wp:docPr id="703" name="文本框 703"/>
                <wp:cNvGraphicFramePr/>
                <a:graphic xmlns:a="http://schemas.openxmlformats.org/drawingml/2006/main">
                  <a:graphicData uri="http://schemas.microsoft.com/office/word/2010/wordprocessingShape">
                    <wps:wsp>
                      <wps:cNvSpPr txBox="1">
                        <a:spLocks noChangeArrowheads="1"/>
                      </wps:cNvSpPr>
                      <wps:spPr bwMode="auto">
                        <a:xfrm>
                          <a:off x="0" y="0"/>
                          <a:ext cx="2484120" cy="345440"/>
                        </a:xfrm>
                        <a:prstGeom prst="rect">
                          <a:avLst/>
                        </a:prstGeom>
                        <a:solidFill>
                          <a:srgbClr val="FFFFFF"/>
                        </a:solidFill>
                        <a:ln>
                          <a:noFill/>
                        </a:ln>
                      </wps:spPr>
                      <wps:txbx>
                        <w:txbxContent>
                          <w:p w14:paraId="6C221C07">
                            <w:pPr>
                              <w:spacing w:line="400" w:lineRule="exact"/>
                              <w:rPr>
                                <w:rFonts w:ascii="黑体" w:eastAsia="黑体"/>
                                <w:sz w:val="28"/>
                                <w:szCs w:val="28"/>
                              </w:rPr>
                            </w:pPr>
                            <w:r>
                              <w:rPr>
                                <w:rFonts w:hint="eastAsia" w:ascii="黑体" w:eastAsia="黑体"/>
                                <w:sz w:val="28"/>
                                <w:szCs w:val="28"/>
                              </w:rPr>
                              <w:t>备案号  JXXXXX-20</w:t>
                            </w:r>
                            <w:r>
                              <w:rPr>
                                <w:rFonts w:hint="eastAsia" w:ascii="黑体" w:eastAsia="黑体"/>
                                <w:sz w:val="28"/>
                                <w:szCs w:val="28"/>
                                <w:lang w:val="en-US" w:eastAsia="zh-CN"/>
                              </w:rPr>
                              <w:t>2</w:t>
                            </w:r>
                            <w:r>
                              <w:rPr>
                                <w:rFonts w:hint="eastAsia" w:ascii="黑体" w:eastAsia="黑体"/>
                                <w:sz w:val="28"/>
                                <w:szCs w:val="28"/>
                              </w:rPr>
                              <w:t>X</w:t>
                            </w:r>
                          </w:p>
                        </w:txbxContent>
                      </wps:txbx>
                      <wps:bodyPr rot="0" vert="horz" wrap="square" lIns="0" tIns="45720" rIns="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4.9pt;margin-top:-60.85pt;height:27.2pt;width:195.6pt;z-index:251665408;mso-width-relative:page;mso-height-relative:margin;mso-height-percent:200;" fillcolor="#FFFFFF" filled="t" stroked="f" coordsize="21600,21600" o:gfxdata="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aMy6K1wAAAAoBAAAPAAAAAAAAAAEAIAAAACIAAABkcnMvZG93bnJldi54bWxQSwECFAAUAAAA&#10;CACHTuJACyI1ySgCAAA6BAAADgAAAAAAAAABACAAAAAmAQAAZHJzL2Uyb0RvYy54bWxQSwUGAAAA&#10;AAYABgBZAQAAwAUAAAAA&#10;">
                <v:fill on="t" focussize="0,0"/>
                <v:stroke on="f"/>
                <v:imagedata o:title=""/>
                <o:lock v:ext="edit" aspectratio="f"/>
                <v:textbox inset="0mm,1.27mm,0mm,1.27mm" style="mso-fit-shape-to-text:t;">
                  <w:txbxContent>
                    <w:p w14:paraId="6C221C07">
                      <w:pPr>
                        <w:spacing w:line="400" w:lineRule="exact"/>
                        <w:rPr>
                          <w:rFonts w:ascii="黑体" w:eastAsia="黑体"/>
                          <w:sz w:val="28"/>
                          <w:szCs w:val="28"/>
                        </w:rPr>
                      </w:pPr>
                      <w:r>
                        <w:rPr>
                          <w:rFonts w:hint="eastAsia" w:ascii="黑体" w:eastAsia="黑体"/>
                          <w:sz w:val="28"/>
                          <w:szCs w:val="28"/>
                        </w:rPr>
                        <w:t>备案号  JXXXXX-20</w:t>
                      </w:r>
                      <w:r>
                        <w:rPr>
                          <w:rFonts w:hint="eastAsia" w:ascii="黑体" w:eastAsia="黑体"/>
                          <w:sz w:val="28"/>
                          <w:szCs w:val="28"/>
                          <w:lang w:val="en-US" w:eastAsia="zh-CN"/>
                        </w:rPr>
                        <w:t>2</w:t>
                      </w:r>
                      <w:r>
                        <w:rPr>
                          <w:rFonts w:hint="eastAsia" w:ascii="黑体" w:eastAsia="黑体"/>
                          <w:sz w:val="28"/>
                          <w:szCs w:val="28"/>
                        </w:rPr>
                        <w:t>X</w:t>
                      </w:r>
                    </w:p>
                  </w:txbxContent>
                </v:textbox>
              </v:shape>
            </w:pict>
          </mc:Fallback>
        </mc:AlternateContent>
      </w:r>
    </w:p>
    <w:p w14:paraId="49A1D049">
      <w:pPr>
        <w:spacing w:line="400" w:lineRule="exact"/>
        <w:rPr>
          <w:rFonts w:ascii="黑体" w:eastAsia="黑体"/>
        </w:rPr>
      </w:pPr>
      <w:r>
        <w:rPr>
          <w:rFonts w:hint="eastAsia" w:ascii="黑体" w:eastAsia="黑体"/>
          <w:sz w:val="32"/>
          <w:szCs w:val="32"/>
        </w:rPr>
        <w:t xml:space="preserve">P                                  </w:t>
      </w:r>
      <w:r>
        <w:rPr>
          <w:rFonts w:hint="eastAsia" w:ascii="黑体" w:eastAsia="黑体"/>
          <w:sz w:val="28"/>
          <w:szCs w:val="28"/>
        </w:rPr>
        <w:t>DBJ51/T</w:t>
      </w:r>
      <w:r>
        <w:rPr>
          <w:rFonts w:ascii="黑体" w:eastAsia="黑体"/>
          <w:sz w:val="28"/>
          <w:szCs w:val="28"/>
        </w:rPr>
        <w:t>XXXX</w:t>
      </w:r>
      <w:r>
        <w:rPr>
          <w:rFonts w:hint="eastAsia" w:ascii="黑体" w:eastAsia="黑体"/>
          <w:sz w:val="28"/>
          <w:szCs w:val="28"/>
        </w:rPr>
        <w:t>－20</w:t>
      </w:r>
      <w:r>
        <w:rPr>
          <w:rFonts w:hint="eastAsia" w:ascii="黑体" w:eastAsia="黑体"/>
          <w:sz w:val="28"/>
          <w:szCs w:val="28"/>
          <w:lang w:val="en-US" w:eastAsia="zh-CN"/>
        </w:rPr>
        <w:t>2</w:t>
      </w:r>
      <w:r>
        <w:rPr>
          <w:rFonts w:ascii="黑体" w:eastAsia="黑体"/>
          <w:sz w:val="28"/>
          <w:szCs w:val="28"/>
        </w:rPr>
        <w:t>X</w:t>
      </w:r>
    </w:p>
    <w:p w14:paraId="4880073F">
      <w:pPr>
        <w:pStyle w:val="40"/>
        <w:rPr>
          <w:rFonts w:ascii="黑体" w:hAnsi="黑体" w:eastAsia="黑体"/>
          <w:sz w:val="36"/>
          <w:szCs w:val="36"/>
        </w:rPr>
      </w:pPr>
      <w:r>
        <w:rPr>
          <w:sz w:val="36"/>
        </w:rPr>
        <mc:AlternateContent>
          <mc:Choice Requires="wps">
            <w:drawing>
              <wp:anchor distT="0" distB="0" distL="114300" distR="114300" simplePos="0" relativeHeight="251664384" behindDoc="0" locked="0" layoutInCell="1" allowOverlap="1">
                <wp:simplePos x="0" y="0"/>
                <wp:positionH relativeFrom="column">
                  <wp:posOffset>-1192530</wp:posOffset>
                </wp:positionH>
                <wp:positionV relativeFrom="paragraph">
                  <wp:posOffset>96520</wp:posOffset>
                </wp:positionV>
                <wp:extent cx="7596505" cy="635"/>
                <wp:effectExtent l="0" t="0" r="0" b="0"/>
                <wp:wrapNone/>
                <wp:docPr id="702" name="直接连接符 702"/>
                <wp:cNvGraphicFramePr/>
                <a:graphic xmlns:a="http://schemas.openxmlformats.org/drawingml/2006/main">
                  <a:graphicData uri="http://schemas.microsoft.com/office/word/2010/wordprocessingShape">
                    <wps:wsp>
                      <wps:cNvCnPr>
                        <a:cxnSpLocks noChangeShapeType="1"/>
                      </wps:cNvCnPr>
                      <wps:spPr bwMode="auto">
                        <a:xfrm>
                          <a:off x="0" y="0"/>
                          <a:ext cx="7596505" cy="635"/>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93.9pt;margin-top:7.6pt;height:0.05pt;width:598.15pt;z-index:251664384;mso-width-relative:page;mso-height-relative:page;" filled="f" stroked="t" coordsize="21600,21600" o:gfxdata="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yZ&#10;k2XZAAAACwEAAA8AAAAAAAAAAQAgAAAAIgAAAGRycy9kb3ducmV2LnhtbFBLAQIUABQAAAAIAIdO&#10;4kAG7HBz6QEAALEDAAAOAAAAAAAAAAEAIAAAACgBAABkcnMvZTJvRG9jLnhtbFBLBQYAAAAABgAG&#10;AFkBAACDBQAAAAA=&#10;">
                <v:fill on="f" focussize="0,0"/>
                <v:stroke weight="1.25pt" color="#000000" joinstyle="round"/>
                <v:imagedata o:title=""/>
                <o:lock v:ext="edit" aspectratio="f"/>
              </v:line>
            </w:pict>
          </mc:Fallback>
        </mc:AlternateContent>
      </w:r>
    </w:p>
    <w:p w14:paraId="7285CB97">
      <w:pPr>
        <w:jc w:val="center"/>
        <w:rPr>
          <w:rFonts w:ascii="黑体" w:hAnsi="黑体" w:eastAsia="黑体" w:cs="黑体"/>
          <w:sz w:val="48"/>
          <w:szCs w:val="48"/>
        </w:rPr>
      </w:pPr>
    </w:p>
    <w:p w14:paraId="07B22974">
      <w:pPr>
        <w:jc w:val="center"/>
        <w:rPr>
          <w:rFonts w:ascii="黑体" w:hAnsi="黑体" w:eastAsia="黑体" w:cs="黑体"/>
          <w:sz w:val="48"/>
          <w:szCs w:val="48"/>
        </w:rPr>
      </w:pPr>
    </w:p>
    <w:p w14:paraId="3D7BFBA8">
      <w:pPr>
        <w:jc w:val="center"/>
        <w:rPr>
          <w:rFonts w:ascii="黑体" w:hAnsi="黑体" w:eastAsia="黑体" w:cs="黑体"/>
          <w:sz w:val="48"/>
          <w:szCs w:val="48"/>
        </w:rPr>
      </w:pPr>
    </w:p>
    <w:p w14:paraId="0E4E4460">
      <w:pPr>
        <w:jc w:val="center"/>
        <w:rPr>
          <w:rFonts w:ascii="黑体" w:hAnsi="黑体" w:eastAsia="黑体" w:cs="黑体"/>
          <w:sz w:val="48"/>
          <w:szCs w:val="48"/>
        </w:rPr>
      </w:pPr>
    </w:p>
    <w:p w14:paraId="27E69C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eastAsia="zh-CN"/>
        </w:rPr>
        <w:t>四川省</w:t>
      </w:r>
      <w:r>
        <w:rPr>
          <w:rFonts w:ascii="黑体" w:hAnsi="黑体" w:eastAsia="黑体" w:cs="黑体"/>
          <w:sz w:val="48"/>
          <w:szCs w:val="48"/>
          <w:lang w:eastAsia="zh-CN"/>
        </w:rPr>
        <w:t>模块化钢结构</w:t>
      </w:r>
      <w:r>
        <w:rPr>
          <w:rFonts w:hint="eastAsia" w:ascii="黑体" w:hAnsi="黑体" w:eastAsia="黑体" w:cs="黑体"/>
          <w:sz w:val="48"/>
          <w:szCs w:val="48"/>
          <w:lang w:val="en-US" w:eastAsia="zh-CN"/>
        </w:rPr>
        <w:t>房屋</w:t>
      </w:r>
      <w:r>
        <w:rPr>
          <w:rFonts w:ascii="黑体" w:hAnsi="黑体" w:eastAsia="黑体" w:cs="黑体"/>
          <w:sz w:val="48"/>
          <w:szCs w:val="48"/>
          <w:lang w:eastAsia="zh-CN"/>
        </w:rPr>
        <w:t>技术</w:t>
      </w:r>
      <w:r>
        <w:rPr>
          <w:rFonts w:hint="eastAsia" w:ascii="黑体" w:hAnsi="黑体" w:eastAsia="黑体" w:cs="黑体"/>
          <w:sz w:val="48"/>
          <w:szCs w:val="48"/>
          <w:lang w:val="en-US" w:eastAsia="zh-CN"/>
        </w:rPr>
        <w:t>标准</w:t>
      </w:r>
    </w:p>
    <w:p w14:paraId="018A6E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（征求意见稿）</w:t>
      </w:r>
    </w:p>
    <w:p w14:paraId="24102672">
      <w:pPr>
        <w:pStyle w:val="40"/>
        <w:jc w:val="center"/>
        <w:rPr>
          <w:rFonts w:ascii="Times New Roman" w:hAnsi="Times New Roman" w:eastAsia="宋体" w:cs="Times New Roman"/>
          <w:b/>
          <w:sz w:val="28"/>
          <w:szCs w:val="28"/>
        </w:rPr>
      </w:pPr>
    </w:p>
    <w:p w14:paraId="7154B6C6">
      <w:pPr>
        <w:jc w:val="center"/>
        <w:rPr>
          <w:rFonts w:hint="eastAsia" w:ascii="Times New Roman" w:hAnsi="Times New Roman"/>
          <w:b/>
          <w:sz w:val="28"/>
          <w:szCs w:val="28"/>
          <w:lang w:val="en-US" w:eastAsia="zh-CN"/>
        </w:rPr>
      </w:pPr>
      <w:r>
        <w:rPr>
          <w:rFonts w:hint="eastAsia" w:ascii="Times New Roman" w:hAnsi="Times New Roman"/>
          <w:b/>
          <w:sz w:val="28"/>
          <w:szCs w:val="28"/>
          <w:lang w:val="en-US" w:eastAsia="zh-CN"/>
        </w:rPr>
        <w:t xml:space="preserve">Technical standard for modular steel structure buildings in </w:t>
      </w:r>
    </w:p>
    <w:p w14:paraId="2208C8B2">
      <w:pPr>
        <w:jc w:val="center"/>
        <w:rPr>
          <w:rFonts w:hint="eastAsia" w:ascii="Times New Roman" w:hAnsi="Times New Roman" w:eastAsiaTheme="minorEastAsia"/>
          <w:b/>
          <w:sz w:val="28"/>
          <w:szCs w:val="28"/>
          <w:lang w:val="en-US" w:eastAsia="zh-CN"/>
        </w:rPr>
      </w:pPr>
      <w:r>
        <w:rPr>
          <w:rFonts w:hint="eastAsia" w:ascii="Times New Roman" w:hAnsi="Times New Roman"/>
          <w:b/>
          <w:sz w:val="28"/>
          <w:szCs w:val="28"/>
          <w:lang w:val="en-US" w:eastAsia="zh-CN"/>
        </w:rPr>
        <w:t>sichuan province</w:t>
      </w:r>
    </w:p>
    <w:p w14:paraId="0E0C9B0F">
      <w:pPr>
        <w:pStyle w:val="40"/>
        <w:rPr>
          <w:rFonts w:ascii="黑体" w:hAnsi="黑体" w:eastAsia="黑体"/>
          <w:sz w:val="36"/>
          <w:szCs w:val="36"/>
        </w:rPr>
      </w:pPr>
    </w:p>
    <w:p w14:paraId="06252641">
      <w:pPr>
        <w:pStyle w:val="40"/>
        <w:rPr>
          <w:rFonts w:ascii="黑体" w:hAnsi="黑体" w:eastAsia="黑体"/>
          <w:sz w:val="36"/>
          <w:szCs w:val="36"/>
        </w:rPr>
      </w:pPr>
    </w:p>
    <w:p w14:paraId="5F9621BC">
      <w:pPr>
        <w:jc w:val="center"/>
        <w:rPr>
          <w:rFonts w:ascii="黑体" w:eastAsia="黑体"/>
          <w:sz w:val="28"/>
          <w:szCs w:val="28"/>
          <w:lang w:eastAsia="zh-CN"/>
        </w:rPr>
      </w:pPr>
      <w:r>
        <w:rPr>
          <w:rFonts w:hint="eastAsia" w:ascii="黑体" w:eastAsia="黑体"/>
          <w:sz w:val="28"/>
          <w:szCs w:val="28"/>
        </w:rPr>
        <w:t xml:space="preserve"> </w:t>
      </w:r>
    </w:p>
    <w:p w14:paraId="207D0E48">
      <w:pPr>
        <w:jc w:val="center"/>
        <w:rPr>
          <w:rFonts w:ascii="黑体" w:eastAsia="黑体"/>
          <w:sz w:val="28"/>
          <w:szCs w:val="28"/>
          <w:lang w:eastAsia="zh-CN"/>
        </w:rPr>
      </w:pPr>
    </w:p>
    <w:p w14:paraId="45C6D306">
      <w:pPr>
        <w:jc w:val="center"/>
        <w:rPr>
          <w:rFonts w:ascii="黑体" w:eastAsia="黑体"/>
          <w:sz w:val="28"/>
          <w:szCs w:val="28"/>
          <w:lang w:eastAsia="zh-CN"/>
        </w:rPr>
      </w:pPr>
    </w:p>
    <w:p w14:paraId="388FE860">
      <w:pPr>
        <w:ind w:left="2415" w:right="-372" w:rightChars="-155" w:hanging="2760" w:hangingChars="1150"/>
        <w:rPr>
          <w:rFonts w:ascii="黑体" w:hAnsi="黑体" w:eastAsia="黑体"/>
          <w:szCs w:val="24"/>
          <w:lang w:eastAsia="zh-CN"/>
        </w:rPr>
      </w:pPr>
    </w:p>
    <w:p w14:paraId="5EF014BB">
      <w:pPr>
        <w:ind w:left="2415" w:right="-372" w:rightChars="-155" w:hanging="2760" w:hangingChars="1150"/>
        <w:rPr>
          <w:rFonts w:ascii="黑体" w:hAnsi="黑体" w:eastAsia="黑体"/>
          <w:szCs w:val="24"/>
          <w:lang w:eastAsia="zh-CN"/>
        </w:rPr>
      </w:pPr>
    </w:p>
    <w:p w14:paraId="384FD6E1">
      <w:pPr>
        <w:ind w:left="2415" w:right="-372" w:rightChars="-155" w:hanging="2760" w:hangingChars="1150"/>
        <w:rPr>
          <w:rFonts w:ascii="黑体" w:hAnsi="黑体" w:eastAsia="黑体"/>
          <w:szCs w:val="24"/>
          <w:lang w:eastAsia="zh-CN"/>
        </w:rPr>
      </w:pPr>
    </w:p>
    <w:p w14:paraId="7F6F4438">
      <w:pPr>
        <w:ind w:left="2415" w:right="-372" w:rightChars="-155" w:hanging="2760" w:hangingChars="1150"/>
        <w:rPr>
          <w:rFonts w:ascii="黑体" w:hAnsi="黑体" w:eastAsia="黑体"/>
          <w:szCs w:val="24"/>
          <w:lang w:eastAsia="zh-CN"/>
        </w:rPr>
      </w:pPr>
    </w:p>
    <w:p w14:paraId="1DA01A1B">
      <w:pPr>
        <w:ind w:left="2415" w:right="-372" w:rightChars="-155" w:hanging="2760" w:hangingChars="1150"/>
        <w:rPr>
          <w:rFonts w:ascii="黑体" w:hAnsi="黑体" w:eastAsia="黑体"/>
          <w:szCs w:val="24"/>
          <w:lang w:eastAsia="zh-CN"/>
        </w:rPr>
      </w:pPr>
    </w:p>
    <w:p w14:paraId="4BAD8D18">
      <w:pPr>
        <w:ind w:left="3220" w:right="-372" w:rightChars="-155" w:hanging="3220" w:hangingChars="1150"/>
        <w:rPr>
          <w:rFonts w:ascii="黑体" w:hAnsi="黑体" w:eastAsia="黑体"/>
          <w:sz w:val="28"/>
          <w:szCs w:val="28"/>
          <w:lang w:eastAsia="zh-CN"/>
        </w:rPr>
      </w:pPr>
    </w:p>
    <w:p w14:paraId="2D0F46C4">
      <w:pPr>
        <w:ind w:left="3220" w:right="-372" w:rightChars="-155" w:hanging="3220" w:hangingChars="1150"/>
        <w:jc w:val="center"/>
        <w:rPr>
          <w:rFonts w:ascii="黑体" w:hAnsi="黑体" w:eastAsia="黑体"/>
          <w:sz w:val="28"/>
          <w:szCs w:val="28"/>
          <w:lang w:eastAsia="zh-CN"/>
        </w:rPr>
      </w:pPr>
      <w:r>
        <w:rPr>
          <w:rFonts w:ascii="黑体" w:hAnsi="黑体" w:eastAsia="黑体"/>
          <w:sz w:val="28"/>
          <w:szCs w:val="28"/>
          <w:lang w:eastAsia="zh-CN"/>
        </w:rPr>
        <w:t>20</w:t>
      </w:r>
      <w:r>
        <w:rPr>
          <w:rFonts w:hint="eastAsia" w:ascii="黑体" w:hAnsi="黑体" w:eastAsia="黑体"/>
          <w:sz w:val="28"/>
          <w:szCs w:val="28"/>
          <w:lang w:val="en-US" w:eastAsia="zh-CN"/>
        </w:rPr>
        <w:t>2</w:t>
      </w:r>
      <w:r>
        <w:rPr>
          <w:rFonts w:ascii="黑体" w:hAnsi="黑体" w:eastAsia="黑体"/>
          <w:sz w:val="28"/>
          <w:szCs w:val="28"/>
          <w:lang w:eastAsia="zh-CN"/>
        </w:rPr>
        <w:t>X-XX-XX 发布</w:t>
      </w:r>
      <w:r>
        <w:rPr>
          <w:rFonts w:hint="eastAsia" w:ascii="黑体" w:hAnsi="黑体" w:eastAsia="黑体"/>
          <w:sz w:val="28"/>
          <w:szCs w:val="28"/>
          <w:lang w:eastAsia="zh-CN"/>
        </w:rPr>
        <w:t xml:space="preserve">                     </w:t>
      </w:r>
      <w:r>
        <w:rPr>
          <w:rFonts w:ascii="黑体" w:hAnsi="黑体" w:eastAsia="黑体"/>
          <w:sz w:val="28"/>
          <w:szCs w:val="28"/>
          <w:lang w:eastAsia="zh-CN"/>
        </w:rPr>
        <w:t>20</w:t>
      </w:r>
      <w:r>
        <w:rPr>
          <w:rFonts w:hint="eastAsia" w:ascii="黑体" w:hAnsi="黑体" w:eastAsia="黑体"/>
          <w:sz w:val="28"/>
          <w:szCs w:val="28"/>
          <w:lang w:val="en-US" w:eastAsia="zh-CN"/>
        </w:rPr>
        <w:t>2</w:t>
      </w:r>
      <w:r>
        <w:rPr>
          <w:rFonts w:ascii="黑体" w:hAnsi="黑体" w:eastAsia="黑体"/>
          <w:sz w:val="28"/>
          <w:szCs w:val="28"/>
          <w:lang w:eastAsia="zh-CN"/>
        </w:rPr>
        <w:t>X-XX-XX 实施</w:t>
      </w:r>
    </w:p>
    <w:p w14:paraId="096A7320">
      <w:pPr>
        <w:pStyle w:val="40"/>
        <w:rPr>
          <w:rFonts w:ascii="黑体" w:hAnsi="黑体" w:eastAsia="黑体"/>
          <w:sz w:val="36"/>
          <w:szCs w:val="36"/>
        </w:rPr>
      </w:pPr>
      <w:r>
        <w:rPr>
          <w:sz w:val="36"/>
        </w:rPr>
        <mc:AlternateContent>
          <mc:Choice Requires="wps">
            <w:drawing>
              <wp:anchor distT="0" distB="0" distL="114300" distR="114300" simplePos="0" relativeHeight="251667456" behindDoc="0" locked="0" layoutInCell="1" allowOverlap="1">
                <wp:simplePos x="0" y="0"/>
                <wp:positionH relativeFrom="column">
                  <wp:posOffset>-1177925</wp:posOffset>
                </wp:positionH>
                <wp:positionV relativeFrom="paragraph">
                  <wp:posOffset>100965</wp:posOffset>
                </wp:positionV>
                <wp:extent cx="7596505" cy="635"/>
                <wp:effectExtent l="0" t="0" r="0" b="0"/>
                <wp:wrapNone/>
                <wp:docPr id="701" name="直接连接符 701"/>
                <wp:cNvGraphicFramePr/>
                <a:graphic xmlns:a="http://schemas.openxmlformats.org/drawingml/2006/main">
                  <a:graphicData uri="http://schemas.microsoft.com/office/word/2010/wordprocessingShape">
                    <wps:wsp>
                      <wps:cNvCnPr>
                        <a:cxnSpLocks noChangeShapeType="1"/>
                      </wps:cNvCnPr>
                      <wps:spPr bwMode="auto">
                        <a:xfrm>
                          <a:off x="0" y="0"/>
                          <a:ext cx="7596505" cy="635"/>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92.75pt;margin-top:7.95pt;height:0.05pt;width:598.15pt;z-index:251667456;mso-width-relative:page;mso-height-relative:page;" filled="f" stroked="t" coordsize="21600,21600" o:gfxdata="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bJk&#10;79kAAAALAQAADwAAAAAAAAABACAAAAAiAAAAZHJzL2Rvd25yZXYueG1sUEsBAhQAFAAAAAgAh07i&#10;QH85ccroAQAAsQMAAA4AAAAAAAAAAQAgAAAAKAEAAGRycy9lMm9Eb2MueG1sUEsFBgAAAAAGAAYA&#10;WQEAAIIFAAAAAA==&#10;">
                <v:fill on="f" focussize="0,0"/>
                <v:stroke weight="1.25pt" color="#000000" joinstyle="round"/>
                <v:imagedata o:title=""/>
                <o:lock v:ext="edit" aspectratio="f"/>
              </v:line>
            </w:pict>
          </mc:Fallback>
        </mc:AlternateContent>
      </w:r>
    </w:p>
    <w:p w14:paraId="5DAF256A">
      <w:pPr>
        <w:pStyle w:val="40"/>
        <w:rPr>
          <w:rFonts w:ascii="黑体" w:hAnsi="黑体" w:eastAsia="黑体"/>
          <w:sz w:val="36"/>
          <w:szCs w:val="36"/>
        </w:rPr>
      </w:pPr>
    </w:p>
    <w:p w14:paraId="317770A2">
      <w:pPr>
        <w:pStyle w:val="40"/>
        <w:jc w:val="center"/>
        <w:rPr>
          <w:rFonts w:ascii="Times New Roman" w:hAnsi="Times New Roman" w:eastAsia="黑体"/>
          <w:sz w:val="32"/>
          <w:szCs w:val="32"/>
        </w:rPr>
      </w:pPr>
      <w:r>
        <w:rPr>
          <w:rFonts w:hint="eastAsia" w:ascii="Times New Roman" w:hAnsi="Times New Roman" w:eastAsia="黑体"/>
          <w:sz w:val="32"/>
          <w:szCs w:val="32"/>
        </w:rPr>
        <w:t>四川省住房和城乡建设厅发布</w:t>
      </w:r>
    </w:p>
    <w:p w14:paraId="49D8CE9D">
      <w:pPr>
        <w:bidi w:val="0"/>
        <w:rPr>
          <w:rFonts w:hint="eastAsia"/>
          <w:lang w:val="en-US" w:eastAsia="zh-CN"/>
        </w:rPr>
      </w:pPr>
    </w:p>
    <w:p w14:paraId="1C55A86F">
      <w:pPr>
        <w:rPr>
          <w:rFonts w:hint="eastAsia"/>
          <w:lang w:val="en-US" w:eastAsia="zh-CN"/>
        </w:rPr>
      </w:pPr>
    </w:p>
    <w:p w14:paraId="13217D2D">
      <w:pPr>
        <w:rPr>
          <w:rFonts w:hint="eastAsia"/>
          <w:lang w:val="en-US" w:eastAsia="zh-CN"/>
        </w:rPr>
      </w:pPr>
      <w:r>
        <w:rPr>
          <w:rFonts w:hint="eastAsia"/>
          <w:lang w:val="en-US" w:eastAsia="zh-CN"/>
        </w:rPr>
        <w:br w:type="page"/>
      </w:r>
    </w:p>
    <w:p w14:paraId="37C749EE">
      <w:pPr>
        <w:spacing w:before="360" w:beforeLines="150" w:after="240" w:afterLines="100" w:line="420" w:lineRule="exact"/>
        <w:jc w:val="both"/>
        <w:rPr>
          <w:rFonts w:ascii="Times New Roman" w:hAnsi="Times New Roman"/>
          <w:sz w:val="28"/>
          <w:szCs w:val="28"/>
          <w:lang w:eastAsia="zh-CN"/>
        </w:rPr>
      </w:pPr>
    </w:p>
    <w:p w14:paraId="71E72A3C">
      <w:pPr>
        <w:spacing w:before="360" w:beforeLines="150" w:after="240" w:afterLines="100" w:line="420" w:lineRule="exact"/>
        <w:jc w:val="center"/>
        <w:rPr>
          <w:rFonts w:ascii="黑体" w:hAnsi="黑体" w:eastAsia="黑体" w:cs="黑体"/>
          <w:sz w:val="44"/>
          <w:szCs w:val="44"/>
          <w:lang w:eastAsia="zh-CN"/>
        </w:rPr>
      </w:pPr>
      <w:r>
        <w:rPr>
          <w:rFonts w:hint="eastAsia" w:ascii="黑体" w:hAnsi="黑体" w:eastAsia="黑体" w:cs="黑体"/>
          <w:sz w:val="44"/>
          <w:szCs w:val="44"/>
          <w:lang w:eastAsia="zh-CN"/>
        </w:rPr>
        <w:t>四川省工程建设地方标准</w:t>
      </w:r>
    </w:p>
    <w:p w14:paraId="3B9CB4C0">
      <w:pPr>
        <w:pStyle w:val="40"/>
        <w:spacing w:line="700" w:lineRule="exact"/>
        <w:jc w:val="center"/>
        <w:rPr>
          <w:rFonts w:ascii="黑体" w:hAnsi="黑体" w:eastAsia="黑体"/>
          <w:sz w:val="48"/>
          <w:szCs w:val="48"/>
        </w:rPr>
      </w:pPr>
    </w:p>
    <w:p w14:paraId="7076C9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sz w:val="48"/>
          <w:szCs w:val="48"/>
          <w:lang w:val="en-US" w:eastAsia="zh-CN"/>
        </w:rPr>
      </w:pPr>
      <w:r>
        <w:rPr>
          <w:rFonts w:hint="eastAsia" w:ascii="黑体" w:hAnsi="黑体" w:eastAsia="黑体" w:cs="黑体"/>
          <w:sz w:val="48"/>
          <w:szCs w:val="48"/>
          <w:lang w:eastAsia="zh-CN"/>
        </w:rPr>
        <w:t>四川省</w:t>
      </w:r>
      <w:r>
        <w:rPr>
          <w:rFonts w:ascii="黑体" w:hAnsi="黑体" w:eastAsia="黑体" w:cs="黑体"/>
          <w:sz w:val="48"/>
          <w:szCs w:val="48"/>
          <w:lang w:eastAsia="zh-CN"/>
        </w:rPr>
        <w:t>模块化钢结构</w:t>
      </w:r>
      <w:r>
        <w:rPr>
          <w:rFonts w:hint="eastAsia" w:ascii="黑体" w:hAnsi="黑体" w:eastAsia="黑体" w:cs="黑体"/>
          <w:sz w:val="48"/>
          <w:szCs w:val="48"/>
          <w:lang w:val="en-US" w:eastAsia="zh-CN"/>
        </w:rPr>
        <w:t>房屋技术标准</w:t>
      </w:r>
    </w:p>
    <w:p w14:paraId="2F1890A7">
      <w:pPr>
        <w:pStyle w:val="40"/>
        <w:spacing w:line="700" w:lineRule="exact"/>
        <w:jc w:val="center"/>
        <w:rPr>
          <w:rFonts w:ascii="黑体" w:hAnsi="黑体" w:eastAsia="黑体"/>
          <w:sz w:val="48"/>
          <w:szCs w:val="48"/>
        </w:rPr>
      </w:pPr>
    </w:p>
    <w:p w14:paraId="720FA54B">
      <w:pPr>
        <w:pStyle w:val="40"/>
        <w:jc w:val="center"/>
        <w:rPr>
          <w:rFonts w:ascii="Times New Roman" w:hAnsi="Times New Roman" w:eastAsia="宋体" w:cs="Times New Roman"/>
          <w:b/>
          <w:sz w:val="28"/>
          <w:szCs w:val="28"/>
        </w:rPr>
      </w:pPr>
    </w:p>
    <w:p w14:paraId="54DB474F">
      <w:pPr>
        <w:jc w:val="center"/>
        <w:rPr>
          <w:rFonts w:ascii="Times New Roman" w:hAnsi="Times New Roman"/>
          <w:b/>
          <w:sz w:val="28"/>
          <w:szCs w:val="28"/>
        </w:rPr>
      </w:pPr>
      <w:r>
        <w:rPr>
          <w:rFonts w:ascii="Times New Roman" w:hAnsi="Times New Roman"/>
          <w:b/>
          <w:sz w:val="28"/>
          <w:szCs w:val="28"/>
        </w:rPr>
        <w:t xml:space="preserve">Technical specification for steel modular buildings </w:t>
      </w:r>
      <w:r>
        <w:rPr>
          <w:rFonts w:hint="eastAsia" w:ascii="Times New Roman" w:hAnsi="Times New Roman"/>
          <w:b/>
          <w:sz w:val="28"/>
          <w:szCs w:val="28"/>
        </w:rPr>
        <w:t>in</w:t>
      </w:r>
      <w:r>
        <w:rPr>
          <w:rFonts w:ascii="Times New Roman" w:hAnsi="Times New Roman"/>
          <w:b/>
          <w:sz w:val="28"/>
          <w:szCs w:val="28"/>
        </w:rPr>
        <w:t xml:space="preserve"> Sichuan</w:t>
      </w:r>
      <w:r>
        <w:rPr>
          <w:rFonts w:hint="eastAsia" w:ascii="Times New Roman" w:hAnsi="Times New Roman"/>
          <w:b/>
          <w:sz w:val="28"/>
          <w:szCs w:val="28"/>
        </w:rPr>
        <w:t xml:space="preserve"> Province</w:t>
      </w:r>
    </w:p>
    <w:p w14:paraId="483F5482">
      <w:pPr>
        <w:jc w:val="center"/>
        <w:rPr>
          <w:rFonts w:ascii="黑体" w:eastAsia="黑体"/>
        </w:rPr>
      </w:pPr>
    </w:p>
    <w:p w14:paraId="33C22AEF">
      <w:pPr>
        <w:rPr>
          <w:rFonts w:ascii="黑体" w:eastAsia="黑体"/>
          <w:sz w:val="28"/>
          <w:szCs w:val="28"/>
        </w:rPr>
      </w:pPr>
    </w:p>
    <w:p w14:paraId="77BCB864">
      <w:pPr>
        <w:jc w:val="center"/>
        <w:rPr>
          <w:b/>
          <w:sz w:val="28"/>
          <w:szCs w:val="28"/>
          <w:lang w:eastAsia="zh-CN"/>
        </w:rPr>
      </w:pPr>
      <w:r>
        <w:rPr>
          <w:rFonts w:hint="eastAsia" w:ascii="黑体" w:eastAsia="黑体"/>
          <w:sz w:val="28"/>
          <w:szCs w:val="28"/>
          <w:lang w:eastAsia="zh-CN"/>
        </w:rPr>
        <w:t>DBJ51/TXXXX－20</w:t>
      </w:r>
      <w:r>
        <w:rPr>
          <w:rFonts w:hint="eastAsia" w:ascii="黑体" w:eastAsia="黑体"/>
          <w:sz w:val="28"/>
          <w:szCs w:val="28"/>
          <w:lang w:val="en-US" w:eastAsia="zh-CN"/>
        </w:rPr>
        <w:t>2</w:t>
      </w:r>
      <w:r>
        <w:rPr>
          <w:rFonts w:hint="eastAsia" w:ascii="黑体" w:eastAsia="黑体"/>
          <w:sz w:val="28"/>
          <w:szCs w:val="28"/>
          <w:lang w:eastAsia="zh-CN"/>
        </w:rPr>
        <w:t>X</w:t>
      </w:r>
    </w:p>
    <w:p w14:paraId="0AE05119">
      <w:pPr>
        <w:rPr>
          <w:lang w:eastAsia="zh-CN"/>
        </w:rPr>
      </w:pPr>
    </w:p>
    <w:p w14:paraId="296EF3AF">
      <w:pPr>
        <w:spacing w:line="420" w:lineRule="exact"/>
        <w:rPr>
          <w:rFonts w:ascii="黑体" w:hAnsi="宋体"/>
          <w:sz w:val="28"/>
          <w:szCs w:val="28"/>
          <w:lang w:eastAsia="zh-CN"/>
        </w:rPr>
      </w:pPr>
    </w:p>
    <w:p w14:paraId="39B8D85D">
      <w:pPr>
        <w:spacing w:line="420" w:lineRule="exact"/>
        <w:ind w:firstLine="1960" w:firstLineChars="700"/>
        <w:jc w:val="both"/>
        <w:rPr>
          <w:rFonts w:ascii="黑体" w:hAnsi="黑体" w:cs="黑体"/>
          <w:sz w:val="28"/>
          <w:szCs w:val="28"/>
          <w:lang w:eastAsia="zh-CN"/>
        </w:rPr>
      </w:pPr>
      <w:r>
        <w:rPr>
          <w:rFonts w:hint="eastAsia" w:ascii="黑体" w:hAnsi="黑体" w:cs="黑体"/>
          <w:sz w:val="28"/>
          <w:szCs w:val="28"/>
          <w:lang w:eastAsia="zh-CN"/>
        </w:rPr>
        <w:t>主编部门：四川省住房和城乡建设厅</w:t>
      </w:r>
    </w:p>
    <w:p w14:paraId="30EC7C5D">
      <w:pPr>
        <w:spacing w:line="420" w:lineRule="exact"/>
        <w:rPr>
          <w:rFonts w:ascii="黑体" w:hAnsi="黑体" w:cs="黑体"/>
          <w:sz w:val="28"/>
          <w:szCs w:val="28"/>
          <w:lang w:eastAsia="zh-CN"/>
        </w:rPr>
      </w:pPr>
      <w:r>
        <w:rPr>
          <w:rFonts w:hint="eastAsia" w:ascii="黑体" w:hAnsi="黑体" w:cs="黑体"/>
          <w:sz w:val="28"/>
          <w:szCs w:val="28"/>
          <w:lang w:eastAsia="zh-CN"/>
        </w:rPr>
        <w:t xml:space="preserve"> </w:t>
      </w:r>
      <w:r>
        <w:rPr>
          <w:rFonts w:ascii="黑体" w:hAnsi="黑体" w:cs="黑体"/>
          <w:sz w:val="28"/>
          <w:szCs w:val="28"/>
          <w:lang w:eastAsia="zh-CN"/>
        </w:rPr>
        <w:t xml:space="preserve">             </w:t>
      </w:r>
      <w:r>
        <w:rPr>
          <w:rFonts w:hint="eastAsia" w:ascii="黑体" w:hAnsi="黑体" w:cs="黑体"/>
          <w:sz w:val="28"/>
          <w:szCs w:val="28"/>
          <w:lang w:eastAsia="zh-CN"/>
        </w:rPr>
        <w:t>批准部门：四川省住房和城乡建设厅</w:t>
      </w:r>
    </w:p>
    <w:p w14:paraId="78C93219">
      <w:pPr>
        <w:spacing w:line="420" w:lineRule="exact"/>
        <w:ind w:firstLine="1960" w:firstLineChars="700"/>
        <w:jc w:val="both"/>
        <w:rPr>
          <w:rFonts w:ascii="黑体" w:hAnsi="宋体"/>
          <w:sz w:val="28"/>
          <w:szCs w:val="28"/>
        </w:rPr>
      </w:pPr>
      <w:r>
        <w:rPr>
          <w:rFonts w:hint="eastAsia" w:ascii="黑体" w:hAnsi="黑体" w:cs="黑体"/>
          <w:sz w:val="28"/>
          <w:szCs w:val="28"/>
        </w:rPr>
        <w:t>施行日期：20</w:t>
      </w:r>
      <w:r>
        <w:rPr>
          <w:rFonts w:hint="eastAsia" w:ascii="黑体" w:hAnsi="黑体" w:eastAsia="宋体" w:cs="黑体"/>
          <w:sz w:val="28"/>
          <w:szCs w:val="28"/>
          <w:lang w:val="en-US" w:eastAsia="zh-CN"/>
        </w:rPr>
        <w:t>2</w:t>
      </w:r>
      <w:r>
        <w:rPr>
          <w:rFonts w:hint="eastAsia" w:ascii="黑体" w:hAnsi="黑体" w:cs="黑体"/>
          <w:sz w:val="28"/>
          <w:szCs w:val="28"/>
        </w:rPr>
        <w:t>X年XX月XX日</w:t>
      </w:r>
    </w:p>
    <w:p w14:paraId="72149B58">
      <w:pPr>
        <w:spacing w:line="420" w:lineRule="exact"/>
        <w:rPr>
          <w:rFonts w:ascii="黑体" w:hAnsi="宋体"/>
          <w:sz w:val="28"/>
          <w:szCs w:val="28"/>
        </w:rPr>
      </w:pPr>
    </w:p>
    <w:p w14:paraId="288EC404">
      <w:pPr>
        <w:spacing w:line="420" w:lineRule="exact"/>
        <w:rPr>
          <w:rFonts w:ascii="黑体" w:hAnsi="宋体"/>
          <w:sz w:val="28"/>
          <w:szCs w:val="28"/>
        </w:rPr>
      </w:pPr>
    </w:p>
    <w:p w14:paraId="549C79E1">
      <w:pPr>
        <w:spacing w:line="420" w:lineRule="exact"/>
        <w:rPr>
          <w:rFonts w:ascii="黑体" w:hAnsi="宋体"/>
          <w:sz w:val="28"/>
          <w:szCs w:val="28"/>
        </w:rPr>
      </w:pPr>
    </w:p>
    <w:p w14:paraId="53AE6426">
      <w:pPr>
        <w:spacing w:line="420" w:lineRule="exact"/>
        <w:rPr>
          <w:rFonts w:ascii="黑体" w:hAnsi="宋体"/>
          <w:sz w:val="28"/>
          <w:szCs w:val="28"/>
        </w:rPr>
      </w:pPr>
    </w:p>
    <w:p w14:paraId="449E1268">
      <w:pPr>
        <w:spacing w:line="420" w:lineRule="exact"/>
        <w:rPr>
          <w:rFonts w:ascii="黑体" w:hAnsi="宋体"/>
          <w:sz w:val="28"/>
          <w:szCs w:val="28"/>
        </w:rPr>
      </w:pPr>
    </w:p>
    <w:p w14:paraId="7F026F49">
      <w:pPr>
        <w:spacing w:line="420" w:lineRule="exact"/>
        <w:rPr>
          <w:rFonts w:ascii="黑体" w:hAnsi="宋体"/>
          <w:sz w:val="28"/>
          <w:szCs w:val="28"/>
        </w:rPr>
      </w:pPr>
    </w:p>
    <w:p w14:paraId="09640791">
      <w:pPr>
        <w:spacing w:line="420" w:lineRule="exact"/>
        <w:rPr>
          <w:rFonts w:ascii="黑体" w:hAnsi="宋体"/>
          <w:sz w:val="28"/>
          <w:szCs w:val="28"/>
        </w:rPr>
      </w:pPr>
    </w:p>
    <w:p w14:paraId="249B08F0">
      <w:pPr>
        <w:spacing w:line="420" w:lineRule="exact"/>
        <w:rPr>
          <w:rFonts w:ascii="黑体" w:hAnsi="宋体"/>
          <w:sz w:val="28"/>
          <w:szCs w:val="28"/>
        </w:rPr>
      </w:pPr>
    </w:p>
    <w:p w14:paraId="46244A3C">
      <w:pPr>
        <w:spacing w:line="420" w:lineRule="exact"/>
        <w:rPr>
          <w:rFonts w:ascii="黑体" w:hAnsi="宋体"/>
          <w:sz w:val="28"/>
          <w:szCs w:val="28"/>
        </w:rPr>
      </w:pPr>
    </w:p>
    <w:p w14:paraId="402F1A66">
      <w:pPr>
        <w:spacing w:line="420" w:lineRule="exact"/>
        <w:jc w:val="center"/>
        <w:rPr>
          <w:rFonts w:ascii="宋体" w:hAnsi="宋体" w:eastAsia="宋体" w:cs="宋体"/>
          <w:b/>
          <w:bCs/>
          <w:sz w:val="32"/>
          <w:szCs w:val="32"/>
          <w:lang w:eastAsia="zh-CN"/>
        </w:rPr>
      </w:pPr>
      <w:r>
        <w:rPr>
          <w:rFonts w:hint="eastAsia" w:ascii="黑体" w:hAnsi="宋体"/>
          <w:sz w:val="28"/>
          <w:szCs w:val="28"/>
          <w:lang w:eastAsia="zh-CN"/>
        </w:rPr>
        <w:t>20</w:t>
      </w:r>
      <w:r>
        <w:rPr>
          <w:rFonts w:hint="eastAsia" w:ascii="黑体" w:hAnsi="宋体"/>
          <w:sz w:val="28"/>
          <w:szCs w:val="28"/>
          <w:lang w:val="en-US" w:eastAsia="zh-CN"/>
        </w:rPr>
        <w:t>2</w:t>
      </w:r>
      <w:r>
        <w:rPr>
          <w:rFonts w:ascii="黑体" w:hAnsi="宋体"/>
          <w:sz w:val="28"/>
          <w:szCs w:val="28"/>
          <w:lang w:eastAsia="zh-CN"/>
        </w:rPr>
        <w:t>X</w:t>
      </w:r>
      <w:r>
        <w:rPr>
          <w:rFonts w:hint="eastAsia" w:ascii="黑体" w:hAnsi="宋体"/>
          <w:sz w:val="28"/>
          <w:szCs w:val="28"/>
          <w:lang w:eastAsia="zh-CN"/>
        </w:rPr>
        <w:t xml:space="preserve">  成都</w:t>
      </w:r>
    </w:p>
    <w:p w14:paraId="72F3349D">
      <w:pPr>
        <w:rPr>
          <w:rFonts w:hint="eastAsia"/>
          <w:lang w:val="en-US" w:eastAsia="zh-CN"/>
        </w:rPr>
      </w:pPr>
    </w:p>
    <w:p w14:paraId="52D7F6FA">
      <w:pPr>
        <w:rPr>
          <w:rFonts w:hint="eastAsia"/>
          <w:lang w:val="en-US" w:eastAsia="zh-CN"/>
        </w:rPr>
      </w:pPr>
    </w:p>
    <w:p w14:paraId="2E87470C">
      <w:pPr>
        <w:rPr>
          <w:rFonts w:hint="eastAsia"/>
          <w:lang w:val="en-US" w:eastAsia="zh-CN"/>
        </w:rPr>
      </w:pPr>
    </w:p>
    <w:p w14:paraId="1981CCA5">
      <w:pPr>
        <w:rPr>
          <w:rFonts w:hint="eastAsia"/>
          <w:lang w:val="en-US" w:eastAsia="zh-CN"/>
        </w:rPr>
      </w:pPr>
    </w:p>
    <w:p w14:paraId="70BB0DD0">
      <w:pPr>
        <w:rPr>
          <w:rFonts w:hint="eastAsia"/>
          <w:lang w:val="en-US" w:eastAsia="zh-CN"/>
        </w:rPr>
      </w:pPr>
    </w:p>
    <w:p w14:paraId="1A861E66">
      <w:pPr>
        <w:rPr>
          <w:rFonts w:hint="eastAsia"/>
          <w:lang w:val="en-US" w:eastAsia="zh-CN"/>
        </w:rPr>
      </w:pPr>
    </w:p>
    <w:p w14:paraId="09B4B7A9">
      <w:pPr>
        <w:rPr>
          <w:rFonts w:hint="eastAsia"/>
          <w:lang w:val="en-US" w:eastAsia="zh-CN"/>
        </w:rPr>
      </w:pPr>
      <w:r>
        <w:rPr>
          <w:rFonts w:hint="eastAsia"/>
          <w:lang w:val="en-US" w:eastAsia="zh-CN"/>
        </w:rPr>
        <w:br w:type="page"/>
      </w:r>
    </w:p>
    <w:p w14:paraId="3B9EB6C7">
      <w:pPr>
        <w:spacing w:line="280" w:lineRule="auto"/>
        <w:rPr>
          <w:lang w:eastAsia="zh-CN"/>
        </w:rPr>
      </w:pPr>
    </w:p>
    <w:p w14:paraId="3C4D81EF">
      <w:pPr>
        <w:jc w:val="center"/>
        <w:rPr>
          <w:b/>
          <w:bCs/>
          <w:sz w:val="28"/>
          <w:szCs w:val="28"/>
          <w:lang w:eastAsia="zh-CN"/>
        </w:rPr>
      </w:pPr>
      <w:r>
        <w:rPr>
          <w:rFonts w:hint="eastAsia" w:ascii="宋体" w:hAnsi="宋体" w:eastAsia="宋体" w:cs="宋体"/>
          <w:b/>
          <w:bCs/>
          <w:sz w:val="28"/>
          <w:szCs w:val="28"/>
          <w:lang w:eastAsia="zh-CN"/>
        </w:rPr>
        <w:t>前</w:t>
      </w:r>
      <w:r>
        <w:rPr>
          <w:b/>
          <w:bCs/>
          <w:sz w:val="28"/>
          <w:szCs w:val="28"/>
          <w:lang w:eastAsia="zh-CN"/>
        </w:rPr>
        <w:t xml:space="preserve">    </w:t>
      </w:r>
      <w:r>
        <w:rPr>
          <w:rFonts w:hint="eastAsia" w:ascii="宋体" w:hAnsi="宋体" w:eastAsia="宋体" w:cs="宋体"/>
          <w:b/>
          <w:bCs/>
          <w:sz w:val="28"/>
          <w:szCs w:val="28"/>
          <w:lang w:eastAsia="zh-CN"/>
        </w:rPr>
        <w:t>言</w:t>
      </w:r>
    </w:p>
    <w:p w14:paraId="2A474905">
      <w:pPr>
        <w:spacing w:line="242" w:lineRule="auto"/>
        <w:rPr>
          <w:lang w:eastAsia="zh-CN"/>
        </w:rPr>
      </w:pPr>
    </w:p>
    <w:p w14:paraId="35E7A554">
      <w:pPr>
        <w:pStyle w:val="30"/>
        <w:rPr>
          <w:rFonts w:hint="default"/>
          <w:color w:val="000000" w:themeColor="text1"/>
          <w:lang w:eastAsia="zh-CN"/>
          <w14:textFill>
            <w14:solidFill>
              <w14:schemeClr w14:val="tx1"/>
            </w14:solidFill>
          </w14:textFill>
        </w:rPr>
      </w:pPr>
      <w:r>
        <w:rPr>
          <w:rFonts w:hint="default"/>
          <w:color w:val="000000" w:themeColor="text1"/>
          <w:lang w:eastAsia="zh-CN"/>
          <w14:textFill>
            <w14:solidFill>
              <w14:schemeClr w14:val="tx1"/>
            </w14:solidFill>
          </w14:textFill>
        </w:rPr>
        <w:t>本标准根据四川省住房和城乡建设厅《关于下达2024年四川省工程建设地方标准设计制订计划的通知》</w:t>
      </w:r>
      <w:r>
        <w:rPr>
          <w:rFonts w:ascii="Times New Roman" w:hAnsi="Times New Roman" w:cs="Times New Roman"/>
          <w:color w:val="000000" w:themeColor="text1"/>
          <w:sz w:val="24"/>
          <w14:textFill>
            <w14:solidFill>
              <w14:schemeClr w14:val="tx1"/>
            </w14:solidFill>
          </w14:textFill>
        </w:rPr>
        <w:t>（川建标</w:t>
      </w:r>
      <w:r>
        <w:rPr>
          <w:rFonts w:hint="eastAsia" w:ascii="Times New Roman" w:hAnsi="Times New Roman" w:cs="Times New Roman"/>
          <w:color w:val="000000" w:themeColor="text1"/>
          <w:sz w:val="24"/>
          <w:lang w:val="en-US" w:eastAsia="zh-CN"/>
          <w14:textFill>
            <w14:solidFill>
              <w14:schemeClr w14:val="tx1"/>
            </w14:solidFill>
          </w14:textFill>
        </w:rPr>
        <w:t>函</w:t>
      </w:r>
      <w:r>
        <w:rPr>
          <w:rFonts w:ascii="Times New Roman" w:hAnsi="Times New Roman" w:cs="Times New Roman"/>
          <w:color w:val="000000" w:themeColor="text1"/>
          <w:sz w:val="24"/>
          <w14:textFill>
            <w14:solidFill>
              <w14:schemeClr w14:val="tx1"/>
            </w14:solidFill>
          </w14:textFill>
        </w:rPr>
        <w:t>[202</w:t>
      </w:r>
      <w:r>
        <w:rPr>
          <w:rFonts w:hint="eastAsia" w:ascii="Times New Roman" w:hAnsi="Times New Roman" w:cs="Times New Roman"/>
          <w:color w:val="000000" w:themeColor="text1"/>
          <w:sz w:val="24"/>
          <w:lang w:val="en-US" w:eastAsia="zh-CN"/>
          <w14:textFill>
            <w14:solidFill>
              <w14:schemeClr w14:val="tx1"/>
            </w14:solidFill>
          </w14:textFill>
        </w:rPr>
        <w:t>4</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3030</w:t>
      </w:r>
      <w:r>
        <w:rPr>
          <w:rFonts w:ascii="Times New Roman" w:hAnsi="Times New Roman" w:cs="Times New Roman"/>
          <w:color w:val="000000" w:themeColor="text1"/>
          <w:sz w:val="24"/>
          <w14:textFill>
            <w14:solidFill>
              <w14:schemeClr w14:val="tx1"/>
            </w14:solidFill>
          </w14:textFill>
        </w:rPr>
        <w:t>号）</w:t>
      </w:r>
      <w:r>
        <w:rPr>
          <w:rFonts w:hint="default"/>
          <w:color w:val="000000" w:themeColor="text1"/>
          <w:lang w:eastAsia="zh-CN"/>
          <w14:textFill>
            <w14:solidFill>
              <w14:schemeClr w14:val="tx1"/>
            </w14:solidFill>
          </w14:textFill>
        </w:rPr>
        <w:t>的要求，由成都建工第二建筑工程有限公司和成都市土木建筑学会公司会同有关单位共同编制而成。</w:t>
      </w:r>
    </w:p>
    <w:p w14:paraId="5D1CB147">
      <w:pPr>
        <w:pStyle w:val="30"/>
        <w:rPr>
          <w:rFonts w:hint="default"/>
          <w:color w:val="000000" w:themeColor="text1"/>
          <w:lang w:eastAsia="zh-CN"/>
          <w14:textFill>
            <w14:solidFill>
              <w14:schemeClr w14:val="tx1"/>
            </w14:solidFill>
          </w14:textFill>
        </w:rPr>
      </w:pPr>
      <w:r>
        <w:rPr>
          <w:rFonts w:hint="default"/>
          <w:color w:val="000000" w:themeColor="text1"/>
          <w:lang w:eastAsia="zh-CN"/>
          <w14:textFill>
            <w14:solidFill>
              <w14:schemeClr w14:val="tx1"/>
            </w14:solidFill>
          </w14:textFill>
        </w:rPr>
        <w:t>本标准制定过程中，标准编制组进行了深入的调查研究，总结了工程实践经验，参考了国内先进标准，在广泛征求意见的基础上，制定本标准。</w:t>
      </w:r>
    </w:p>
    <w:p w14:paraId="4E2B68A2">
      <w:pPr>
        <w:spacing w:line="360" w:lineRule="auto"/>
        <w:ind w:firstLine="500" w:firstLineChars="200"/>
        <w:rPr>
          <w:rFonts w:hint="default" w:ascii="Times New Roman" w:hAnsi="Times New Roman" w:eastAsia="宋体" w:cs="Times New Roman"/>
          <w:color w:val="000000" w:themeColor="text1"/>
          <w:spacing w:val="5"/>
          <w:lang w:eastAsia="zh-CN"/>
          <w14:textFill>
            <w14:solidFill>
              <w14:schemeClr w14:val="tx1"/>
            </w14:solidFill>
          </w14:textFill>
        </w:rPr>
      </w:pPr>
      <w:r>
        <w:rPr>
          <w:rFonts w:hint="default" w:ascii="Times New Roman" w:hAnsi="Times New Roman" w:eastAsia="宋体" w:cs="Times New Roman"/>
          <w:color w:val="000000" w:themeColor="text1"/>
          <w:spacing w:val="5"/>
          <w:lang w:eastAsia="zh-CN"/>
          <w14:textFill>
            <w14:solidFill>
              <w14:schemeClr w14:val="tx1"/>
            </w14:solidFill>
          </w14:textFill>
        </w:rPr>
        <w:t>本标准主要技术内容是：1.总则；2.术语和符号；3.</w:t>
      </w:r>
      <w:r>
        <w:rPr>
          <w:rFonts w:hint="default" w:ascii="Times New Roman" w:hAnsi="Times New Roman" w:eastAsia="宋体" w:cs="Times New Roman"/>
          <w:color w:val="000000" w:themeColor="text1"/>
          <w:spacing w:val="5"/>
          <w:lang w:val="en-US" w:eastAsia="zh-CN"/>
          <w14:textFill>
            <w14:solidFill>
              <w14:schemeClr w14:val="tx1"/>
            </w14:solidFill>
          </w14:textFill>
        </w:rPr>
        <w:t>基本规定</w:t>
      </w:r>
      <w:r>
        <w:rPr>
          <w:rFonts w:hint="default" w:ascii="Times New Roman" w:hAnsi="Times New Roman" w:eastAsia="宋体" w:cs="Times New Roman"/>
          <w:color w:val="000000" w:themeColor="text1"/>
          <w:spacing w:val="5"/>
          <w:lang w:eastAsia="zh-CN"/>
          <w14:textFill>
            <w14:solidFill>
              <w14:schemeClr w14:val="tx1"/>
            </w14:solidFill>
          </w14:textFill>
        </w:rPr>
        <w:t>；4.建筑设计；5.结构设计；6.</w:t>
      </w:r>
      <w:r>
        <w:rPr>
          <w:rFonts w:hint="default" w:ascii="Times New Roman" w:hAnsi="Times New Roman" w:eastAsia="宋体" w:cs="Times New Roman"/>
          <w:color w:val="000000" w:themeColor="text1"/>
          <w:spacing w:val="5"/>
          <w:lang w:val="en-US" w:eastAsia="zh-CN"/>
          <w14:textFill>
            <w14:solidFill>
              <w14:schemeClr w14:val="tx1"/>
            </w14:solidFill>
          </w14:textFill>
        </w:rPr>
        <w:t>模块制作与运输</w:t>
      </w:r>
      <w:r>
        <w:rPr>
          <w:rFonts w:hint="default" w:ascii="Times New Roman" w:hAnsi="Times New Roman" w:eastAsia="宋体" w:cs="Times New Roman"/>
          <w:color w:val="000000" w:themeColor="text1"/>
          <w:spacing w:val="5"/>
          <w:lang w:eastAsia="zh-CN"/>
          <w14:textFill>
            <w14:solidFill>
              <w14:schemeClr w14:val="tx1"/>
            </w14:solidFill>
          </w14:textFill>
        </w:rPr>
        <w:t>；7.施工；8.质量验收；9.维护与管理。</w:t>
      </w:r>
    </w:p>
    <w:p w14:paraId="4D154DF6">
      <w:pPr>
        <w:spacing w:line="360" w:lineRule="auto"/>
        <w:ind w:firstLine="500" w:firstLineChars="200"/>
        <w:rPr>
          <w:rFonts w:ascii="Times New Roman" w:hAnsi="Times New Roman" w:eastAsia="Times New Roman" w:cs="Times New Roman"/>
          <w:spacing w:val="5"/>
          <w:lang w:eastAsia="zh-CN"/>
        </w:rPr>
      </w:pPr>
      <w:r>
        <w:rPr>
          <w:rFonts w:hint="eastAsia" w:ascii="宋体" w:hAnsi="宋体" w:eastAsia="宋体" w:cs="宋体"/>
          <w:spacing w:val="5"/>
          <w:lang w:eastAsia="zh-CN"/>
        </w:rPr>
        <w:t>本标准由四川省住房和城乡建设厅负责管理，由成都建工第二建筑工程有限公司负责具体技术内容的解释工作。执行过程中如有意见或建议，请将有关意见和建议反馈给成都建工第二建筑工程有限公司（地址：成都市锦江区锦盛路2号煦华国际商务中心3号楼，邮编：</w:t>
      </w:r>
      <w:r>
        <w:rPr>
          <w:rFonts w:hint="eastAsia" w:ascii="Times New Roman" w:hAnsi="Times New Roman" w:eastAsia="Times New Roman" w:cs="Times New Roman"/>
          <w:spacing w:val="5"/>
          <w:lang w:eastAsia="zh-CN"/>
        </w:rPr>
        <w:t>6100</w:t>
      </w:r>
      <w:r>
        <w:rPr>
          <w:rFonts w:hint="eastAsia" w:eastAsia="Times New Roman" w:cs="Times New Roman"/>
          <w:spacing w:val="5"/>
          <w:lang w:val="en-US" w:eastAsia="zh-CN"/>
        </w:rPr>
        <w:t>1</w:t>
      </w:r>
      <w:r>
        <w:rPr>
          <w:rFonts w:hint="eastAsia" w:ascii="Times New Roman" w:hAnsi="Times New Roman" w:eastAsia="Times New Roman" w:cs="Times New Roman"/>
          <w:spacing w:val="5"/>
          <w:lang w:eastAsia="zh-CN"/>
        </w:rPr>
        <w:t>1</w:t>
      </w:r>
      <w:r>
        <w:rPr>
          <w:rFonts w:hint="eastAsia" w:ascii="宋体" w:hAnsi="宋体" w:eastAsia="宋体" w:cs="宋体"/>
          <w:spacing w:val="5"/>
          <w:lang w:eastAsia="zh-CN"/>
        </w:rPr>
        <w:t>；电话：</w:t>
      </w:r>
      <w:r>
        <w:rPr>
          <w:rFonts w:hint="eastAsia" w:ascii="Times New Roman" w:hAnsi="Times New Roman" w:eastAsia="Times New Roman" w:cs="Times New Roman"/>
          <w:spacing w:val="5"/>
          <w:lang w:eastAsia="zh-CN"/>
        </w:rPr>
        <w:t>028-</w:t>
      </w:r>
      <w:r>
        <w:rPr>
          <w:rFonts w:hint="eastAsia" w:eastAsia="Times New Roman" w:cs="Times New Roman"/>
          <w:spacing w:val="5"/>
          <w:lang w:val="en-US" w:eastAsia="zh-CN"/>
        </w:rPr>
        <w:t>6570924</w:t>
      </w:r>
      <w:r>
        <w:rPr>
          <w:rFonts w:hint="eastAsia" w:ascii="Times New Roman" w:hAnsi="Times New Roman" w:eastAsia="Times New Roman" w:cs="Times New Roman"/>
          <w:spacing w:val="5"/>
          <w:lang w:eastAsia="zh-CN"/>
        </w:rPr>
        <w:t>0</w:t>
      </w:r>
      <w:r>
        <w:rPr>
          <w:rFonts w:hint="eastAsia" w:ascii="宋体" w:hAnsi="宋体" w:eastAsia="宋体" w:cs="宋体"/>
          <w:spacing w:val="5"/>
          <w:lang w:eastAsia="zh-CN"/>
        </w:rPr>
        <w:t>），以供今后修订时参考。</w:t>
      </w:r>
    </w:p>
    <w:p w14:paraId="1C107C1A">
      <w:pPr>
        <w:spacing w:line="360" w:lineRule="auto"/>
        <w:ind w:firstLine="500" w:firstLineChars="200"/>
        <w:rPr>
          <w:rFonts w:hint="default" w:ascii="宋体" w:hAnsi="宋体" w:eastAsia="宋体" w:cs="宋体"/>
          <w:color w:val="0D0D0D" w:themeColor="text1" w:themeTint="F2"/>
          <w:spacing w:val="5"/>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5"/>
          <w:lang w:eastAsia="zh-CN"/>
          <w14:textFill>
            <w14:solidFill>
              <w14:schemeClr w14:val="tx1">
                <w14:lumMod w14:val="95000"/>
                <w14:lumOff w14:val="5000"/>
              </w14:schemeClr>
            </w14:solidFill>
          </w14:textFill>
        </w:rPr>
        <w:t>本标准主编单位：成都建工</w:t>
      </w:r>
      <w:r>
        <w:rPr>
          <w:rFonts w:hint="eastAsia" w:ascii="宋体" w:hAnsi="宋体" w:eastAsia="宋体" w:cs="宋体"/>
          <w:color w:val="0D0D0D" w:themeColor="text1" w:themeTint="F2"/>
          <w:spacing w:val="5"/>
          <w:lang w:val="en-US" w:eastAsia="zh-CN"/>
          <w14:textFill>
            <w14:solidFill>
              <w14:schemeClr w14:val="tx1">
                <w14:lumMod w14:val="95000"/>
                <w14:lumOff w14:val="5000"/>
              </w14:schemeClr>
            </w14:solidFill>
          </w14:textFill>
        </w:rPr>
        <w:t>第二建筑工程有限公司</w:t>
      </w:r>
    </w:p>
    <w:p w14:paraId="31AF43EA">
      <w:pPr>
        <w:spacing w:line="360" w:lineRule="auto"/>
        <w:ind w:firstLine="2500" w:firstLineChars="1000"/>
        <w:rPr>
          <w:rFonts w:ascii="Times New Roman" w:hAnsi="Times New Roman" w:eastAsia="Times New Roman" w:cs="Times New Roman"/>
          <w:color w:val="0D0D0D" w:themeColor="text1" w:themeTint="F2"/>
          <w:spacing w:val="5"/>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5"/>
          <w:lang w:eastAsia="zh-CN"/>
          <w14:textFill>
            <w14:solidFill>
              <w14:schemeClr w14:val="tx1">
                <w14:lumMod w14:val="95000"/>
                <w14:lumOff w14:val="5000"/>
              </w14:schemeClr>
            </w14:solidFill>
          </w14:textFill>
        </w:rPr>
        <w:t>成都市土木建筑学会</w:t>
      </w:r>
    </w:p>
    <w:p w14:paraId="27469E41">
      <w:pPr>
        <w:spacing w:line="360" w:lineRule="auto"/>
        <w:ind w:firstLine="2500" w:firstLineChars="1000"/>
        <w:rPr>
          <w:rFonts w:hint="default" w:ascii="宋体" w:hAnsi="宋体" w:eastAsia="宋体" w:cs="宋体"/>
          <w:color w:val="0D0D0D" w:themeColor="text1" w:themeTint="F2"/>
          <w:spacing w:val="5"/>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5"/>
          <w:lang w:val="en-US" w:eastAsia="zh-CN"/>
          <w14:textFill>
            <w14:solidFill>
              <w14:schemeClr w14:val="tx1">
                <w14:lumMod w14:val="95000"/>
                <w14:lumOff w14:val="5000"/>
              </w14:schemeClr>
            </w14:solidFill>
          </w14:textFill>
        </w:rPr>
        <w:t>中玺时代建工集团有限公司</w:t>
      </w:r>
    </w:p>
    <w:p w14:paraId="4AAE281B">
      <w:pPr>
        <w:spacing w:line="360" w:lineRule="auto"/>
        <w:ind w:firstLine="500" w:firstLineChars="200"/>
        <w:rPr>
          <w:rFonts w:hint="default" w:ascii="Times New Roman" w:hAnsi="Times New Roman" w:eastAsia="Times New Roman" w:cs="Times New Roman"/>
          <w:color w:val="0D0D0D" w:themeColor="text1" w:themeTint="F2"/>
          <w:spacing w:val="5"/>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5"/>
          <w:lang w:eastAsia="zh-CN"/>
          <w14:textFill>
            <w14:solidFill>
              <w14:schemeClr w14:val="tx1">
                <w14:lumMod w14:val="95000"/>
                <w14:lumOff w14:val="5000"/>
              </w14:schemeClr>
            </w14:solidFill>
          </w14:textFill>
        </w:rPr>
        <w:t>本标准参编单位：</w:t>
      </w:r>
    </w:p>
    <w:p w14:paraId="7E35B19C">
      <w:pPr>
        <w:spacing w:line="360" w:lineRule="auto"/>
        <w:ind w:firstLine="2500" w:firstLineChars="1000"/>
        <w:rPr>
          <w:rFonts w:hint="eastAsia" w:ascii="宋体" w:hAnsi="宋体" w:eastAsia="宋体" w:cs="宋体"/>
          <w:color w:val="0D0D0D" w:themeColor="text1" w:themeTint="F2"/>
          <w:spacing w:val="5"/>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5"/>
          <w:lang w:eastAsia="zh-CN"/>
          <w14:textFill>
            <w14:solidFill>
              <w14:schemeClr w14:val="tx1">
                <w14:lumMod w14:val="95000"/>
                <w14:lumOff w14:val="5000"/>
              </w14:schemeClr>
            </w14:solidFill>
          </w14:textFill>
        </w:rPr>
        <w:t>四川省建筑设计研究院有限公司</w:t>
      </w:r>
    </w:p>
    <w:p w14:paraId="04BF28F3">
      <w:pPr>
        <w:spacing w:line="360" w:lineRule="auto"/>
        <w:ind w:firstLine="2500" w:firstLineChars="1000"/>
        <w:rPr>
          <w:rFonts w:hint="eastAsia" w:ascii="宋体" w:hAnsi="宋体" w:eastAsia="宋体" w:cs="宋体"/>
          <w:color w:val="0D0D0D" w:themeColor="text1" w:themeTint="F2"/>
          <w:spacing w:val="5"/>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5"/>
          <w:lang w:eastAsia="zh-CN"/>
          <w14:textFill>
            <w14:solidFill>
              <w14:schemeClr w14:val="tx1">
                <w14:lumMod w14:val="95000"/>
                <w14:lumOff w14:val="5000"/>
              </w14:schemeClr>
            </w14:solidFill>
          </w14:textFill>
        </w:rPr>
        <w:t>四川省建设科技发展与信息中心</w:t>
      </w:r>
    </w:p>
    <w:p w14:paraId="12B23465">
      <w:pPr>
        <w:spacing w:line="360" w:lineRule="auto"/>
        <w:ind w:firstLine="2500" w:firstLineChars="1000"/>
        <w:rPr>
          <w:rFonts w:hint="eastAsia" w:ascii="宋体" w:hAnsi="宋体" w:eastAsia="宋体" w:cs="宋体"/>
          <w:color w:val="0D0D0D" w:themeColor="text1" w:themeTint="F2"/>
          <w:spacing w:val="5"/>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5"/>
          <w:lang w:eastAsia="zh-CN"/>
          <w14:textFill>
            <w14:solidFill>
              <w14:schemeClr w14:val="tx1">
                <w14:lumMod w14:val="95000"/>
                <w14:lumOff w14:val="5000"/>
              </w14:schemeClr>
            </w14:solidFill>
          </w14:textFill>
        </w:rPr>
        <w:t>成都建工第一建筑工程有限公司</w:t>
      </w:r>
    </w:p>
    <w:p w14:paraId="6598DA37">
      <w:pPr>
        <w:spacing w:line="360" w:lineRule="auto"/>
        <w:ind w:firstLine="2500" w:firstLineChars="1000"/>
        <w:rPr>
          <w:rFonts w:hint="eastAsia" w:ascii="宋体" w:hAnsi="宋体" w:eastAsia="宋体" w:cs="宋体"/>
          <w:color w:val="0D0D0D" w:themeColor="text1" w:themeTint="F2"/>
          <w:spacing w:val="5"/>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5"/>
          <w:lang w:eastAsia="zh-CN"/>
          <w14:textFill>
            <w14:solidFill>
              <w14:schemeClr w14:val="tx1">
                <w14:lumMod w14:val="95000"/>
                <w14:lumOff w14:val="5000"/>
              </w14:schemeClr>
            </w14:solidFill>
          </w14:textFill>
        </w:rPr>
        <w:t>四川省建筑机械化工程有限公司</w:t>
      </w:r>
    </w:p>
    <w:p w14:paraId="681595FD">
      <w:pPr>
        <w:spacing w:line="360" w:lineRule="auto"/>
        <w:ind w:firstLine="2500" w:firstLineChars="1000"/>
        <w:rPr>
          <w:rFonts w:hint="eastAsia" w:ascii="宋体" w:hAnsi="宋体" w:eastAsia="宋体" w:cs="宋体"/>
          <w:color w:val="0D0D0D" w:themeColor="text1" w:themeTint="F2"/>
          <w:spacing w:val="5"/>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5"/>
          <w:lang w:eastAsia="zh-CN"/>
          <w14:textFill>
            <w14:solidFill>
              <w14:schemeClr w14:val="tx1">
                <w14:lumMod w14:val="95000"/>
                <w14:lumOff w14:val="5000"/>
              </w14:schemeClr>
            </w14:solidFill>
          </w14:textFill>
        </w:rPr>
        <w:t>成都建工第四建筑工程有限公司</w:t>
      </w:r>
    </w:p>
    <w:p w14:paraId="06BD0DE2">
      <w:pPr>
        <w:spacing w:line="360" w:lineRule="auto"/>
        <w:ind w:firstLine="2500" w:firstLineChars="1000"/>
        <w:rPr>
          <w:rFonts w:hint="eastAsia" w:ascii="宋体" w:hAnsi="宋体" w:eastAsia="宋体" w:cs="宋体"/>
          <w:color w:val="0D0D0D" w:themeColor="text1" w:themeTint="F2"/>
          <w:spacing w:val="5"/>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5"/>
          <w:lang w:eastAsia="zh-CN"/>
          <w14:textFill>
            <w14:solidFill>
              <w14:schemeClr w14:val="tx1">
                <w14:lumMod w14:val="95000"/>
                <w14:lumOff w14:val="5000"/>
              </w14:schemeClr>
            </w14:solidFill>
          </w14:textFill>
        </w:rPr>
        <w:t xml:space="preserve">四川省建设工程质量安全总站   </w:t>
      </w:r>
    </w:p>
    <w:p w14:paraId="13F3F4FC">
      <w:pPr>
        <w:spacing w:line="360" w:lineRule="auto"/>
        <w:ind w:firstLine="2500" w:firstLineChars="1000"/>
        <w:rPr>
          <w:rFonts w:hint="default" w:ascii="Times New Roman" w:hAnsi="Times New Roman" w:eastAsia="Times New Roman" w:cs="Times New Roman"/>
          <w:color w:val="0D0D0D" w:themeColor="text1" w:themeTint="F2"/>
          <w:spacing w:val="5"/>
          <w:lang w:val="en-US" w:eastAsia="zh-CN"/>
          <w14:textFill>
            <w14:solidFill>
              <w14:schemeClr w14:val="tx1">
                <w14:lumMod w14:val="95000"/>
                <w14:lumOff w14:val="5000"/>
              </w14:schemeClr>
            </w14:solidFill>
          </w14:textFill>
        </w:rPr>
      </w:pPr>
      <w:r>
        <w:rPr>
          <w:rFonts w:hint="eastAsia" w:ascii="Times New Roman" w:hAnsi="Times New Roman" w:eastAsia="Times New Roman" w:cs="Times New Roman"/>
          <w:color w:val="0D0D0D" w:themeColor="text1" w:themeTint="F2"/>
          <w:spacing w:val="5"/>
          <w:lang w:val="en-US" w:eastAsia="zh-CN"/>
          <w14:textFill>
            <w14:solidFill>
              <w14:schemeClr w14:val="tx1">
                <w14:lumMod w14:val="95000"/>
                <w14:lumOff w14:val="5000"/>
              </w14:schemeClr>
            </w14:solidFill>
          </w14:textFill>
        </w:rPr>
        <w:t>模块智造（成都）科技发展有限公司</w:t>
      </w:r>
    </w:p>
    <w:p w14:paraId="637224BE">
      <w:pPr>
        <w:spacing w:line="360" w:lineRule="auto"/>
        <w:ind w:firstLine="2500" w:firstLineChars="1000"/>
        <w:rPr>
          <w:rFonts w:hint="eastAsia" w:ascii="宋体" w:hAnsi="宋体" w:eastAsia="宋体" w:cs="宋体"/>
          <w:color w:val="0D0D0D" w:themeColor="text1" w:themeTint="F2"/>
          <w:spacing w:val="5"/>
          <w:lang w:eastAsia="zh-CN"/>
          <w14:textFill>
            <w14:solidFill>
              <w14:schemeClr w14:val="tx1">
                <w14:lumMod w14:val="95000"/>
                <w14:lumOff w14:val="5000"/>
              </w14:schemeClr>
            </w14:solidFill>
          </w14:textFill>
        </w:rPr>
      </w:pPr>
    </w:p>
    <w:p w14:paraId="341AABF5">
      <w:pPr>
        <w:spacing w:line="360" w:lineRule="auto"/>
        <w:ind w:firstLine="500" w:firstLineChars="200"/>
        <w:rPr>
          <w:rFonts w:hint="eastAsia" w:ascii="宋体" w:hAnsi="宋体" w:eastAsia="宋体" w:cs="宋体"/>
          <w:color w:val="0D0D0D" w:themeColor="text1" w:themeTint="F2"/>
          <w:spacing w:val="5"/>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5"/>
          <w:lang w:val="en-US" w:eastAsia="zh-CN"/>
          <w14:textFill>
            <w14:solidFill>
              <w14:schemeClr w14:val="tx1">
                <w14:lumMod w14:val="95000"/>
                <w14:lumOff w14:val="5000"/>
              </w14:schemeClr>
            </w14:solidFill>
          </w14:textFill>
        </w:rPr>
        <w:t xml:space="preserve">                </w:t>
      </w:r>
    </w:p>
    <w:p w14:paraId="5F4977F0">
      <w:pPr>
        <w:spacing w:line="360" w:lineRule="auto"/>
        <w:ind w:firstLine="500" w:firstLineChars="200"/>
        <w:rPr>
          <w:rFonts w:ascii="Times New Roman" w:hAnsi="Times New Roman" w:eastAsia="Times New Roman" w:cs="Times New Roman"/>
          <w:color w:val="FF0000"/>
          <w:spacing w:val="5"/>
          <w:lang w:eastAsia="zh-CN"/>
        </w:rPr>
      </w:pPr>
      <w:r>
        <w:rPr>
          <w:rFonts w:hint="eastAsia" w:ascii="宋体" w:hAnsi="宋体" w:eastAsia="宋体" w:cs="宋体"/>
          <w:color w:val="0D0D0D" w:themeColor="text1" w:themeTint="F2"/>
          <w:spacing w:val="5"/>
          <w:lang w:eastAsia="zh-CN"/>
          <w14:textFill>
            <w14:solidFill>
              <w14:schemeClr w14:val="tx1">
                <w14:lumMod w14:val="95000"/>
                <w14:lumOff w14:val="5000"/>
              </w14:schemeClr>
            </w14:solidFill>
          </w14:textFill>
        </w:rPr>
        <w:t>主要起草人：</w:t>
      </w:r>
      <w:r>
        <w:rPr>
          <w:rFonts w:hint="eastAsia" w:ascii="Times New Roman" w:hAnsi="Times New Roman" w:eastAsia="Times New Roman" w:cs="Times New Roman"/>
          <w:color w:val="0D0D0D" w:themeColor="text1" w:themeTint="F2"/>
          <w:spacing w:val="5"/>
          <w:lang w:eastAsia="zh-CN"/>
          <w14:textFill>
            <w14:solidFill>
              <w14:schemeClr w14:val="tx1">
                <w14:lumMod w14:val="95000"/>
                <w14:lumOff w14:val="5000"/>
              </w14:schemeClr>
            </w14:solidFill>
          </w14:textFill>
        </w:rPr>
        <w:t xml:space="preserve"> </w:t>
      </w:r>
      <w:r>
        <w:rPr>
          <w:rFonts w:hint="eastAsia" w:ascii="Times New Roman" w:hAnsi="Times New Roman" w:eastAsia="Times New Roman" w:cs="Times New Roman"/>
          <w:color w:val="FF0000"/>
          <w:spacing w:val="5"/>
          <w:lang w:eastAsia="zh-CN"/>
        </w:rPr>
        <w:t xml:space="preserve">   </w:t>
      </w:r>
    </w:p>
    <w:p w14:paraId="705DBDFC">
      <w:pPr>
        <w:rPr>
          <w:rFonts w:hint="eastAsia"/>
          <w:lang w:val="en-US" w:eastAsia="zh-CN"/>
        </w:rPr>
      </w:pPr>
    </w:p>
    <w:p w14:paraId="26F280FC">
      <w:pPr>
        <w:rPr>
          <w:rFonts w:hint="eastAsia"/>
          <w:lang w:val="en-US" w:eastAsia="zh-CN"/>
        </w:rPr>
      </w:pPr>
    </w:p>
    <w:p w14:paraId="53ACEBEC">
      <w:pPr>
        <w:rPr>
          <w:rFonts w:hint="eastAsia"/>
          <w:lang w:val="en-US" w:eastAsia="zh-CN"/>
        </w:rPr>
      </w:pPr>
    </w:p>
    <w:p w14:paraId="4F984491">
      <w:pPr>
        <w:rPr>
          <w:rFonts w:hint="eastAsia"/>
          <w:lang w:val="en-US" w:eastAsia="zh-CN"/>
        </w:rPr>
      </w:pPr>
    </w:p>
    <w:p w14:paraId="0FB81FDA">
      <w:pPr>
        <w:rPr>
          <w:rFonts w:hint="eastAsia"/>
          <w:lang w:val="en-US" w:eastAsia="zh-CN"/>
        </w:rPr>
      </w:pPr>
      <w:r>
        <w:rPr>
          <w:rFonts w:hint="eastAsia"/>
          <w:lang w:val="en-US" w:eastAsia="zh-CN"/>
        </w:rPr>
        <w:br w:type="page"/>
      </w:r>
    </w:p>
    <w:p w14:paraId="6659497E">
      <w:pPr>
        <w:pStyle w:val="4"/>
        <w:bidi w:val="0"/>
        <w:jc w:val="center"/>
        <w:rPr>
          <w:rFonts w:hint="default"/>
          <w:lang w:val="en-US" w:eastAsia="zh-CN"/>
        </w:rPr>
      </w:pPr>
      <w:r>
        <w:rPr>
          <w:rFonts w:hint="eastAsia"/>
          <w:lang w:val="en-US" w:eastAsia="zh-CN"/>
        </w:rPr>
        <w:t>目录</w:t>
      </w:r>
    </w:p>
    <w:p w14:paraId="631F68B2">
      <w:pPr>
        <w:pStyle w:val="18"/>
        <w:tabs>
          <w:tab w:val="right" w:leader="dot" w:pos="9073"/>
        </w:tabs>
      </w:pPr>
      <w:r>
        <w:rPr>
          <w:rFonts w:hint="eastAsia"/>
          <w:b w:val="0"/>
          <w:bCs w:val="0"/>
          <w:lang w:val="en-US" w:eastAsia="zh-CN"/>
        </w:rPr>
        <w:fldChar w:fldCharType="begin"/>
      </w:r>
      <w:r>
        <w:rPr>
          <w:rFonts w:hint="eastAsia"/>
          <w:b w:val="0"/>
          <w:bCs w:val="0"/>
          <w:lang w:val="en-US" w:eastAsia="zh-CN"/>
        </w:rPr>
        <w:instrText xml:space="preserve">TOC \o "1-2" \h \u </w:instrText>
      </w:r>
      <w:r>
        <w:rPr>
          <w:rFonts w:hint="eastAsia"/>
          <w:b w:val="0"/>
          <w:bCs w:val="0"/>
          <w:lang w:val="en-US" w:eastAsia="zh-CN"/>
        </w:rPr>
        <w:fldChar w:fldCharType="separate"/>
      </w:r>
      <w:r>
        <w:rPr>
          <w:rFonts w:hint="eastAsia"/>
          <w:bCs w:val="0"/>
          <w:lang w:val="en-US" w:eastAsia="zh-CN"/>
        </w:rPr>
        <w:fldChar w:fldCharType="begin"/>
      </w:r>
      <w:r>
        <w:rPr>
          <w:rFonts w:hint="eastAsia"/>
          <w:bCs w:val="0"/>
          <w:lang w:val="en-US" w:eastAsia="zh-CN"/>
        </w:rPr>
        <w:instrText xml:space="preserve"> HYPERLINK \l _Toc2645 </w:instrText>
      </w:r>
      <w:r>
        <w:rPr>
          <w:rFonts w:hint="eastAsia"/>
          <w:bCs w:val="0"/>
          <w:lang w:val="en-US" w:eastAsia="zh-CN"/>
        </w:rPr>
        <w:fldChar w:fldCharType="separate"/>
      </w:r>
      <w:r>
        <w:rPr>
          <w:rFonts w:hint="eastAsia"/>
          <w:lang w:val="en-US" w:eastAsia="zh-CN"/>
        </w:rPr>
        <w:t>1</w:t>
      </w:r>
      <w:r>
        <w:rPr>
          <w:rFonts w:hint="default"/>
          <w:lang w:val="en-US" w:eastAsia="zh-CN"/>
        </w:rPr>
        <w:t>总则</w:t>
      </w:r>
      <w:r>
        <w:tab/>
      </w:r>
      <w:r>
        <w:fldChar w:fldCharType="begin"/>
      </w:r>
      <w:r>
        <w:instrText xml:space="preserve"> PAGEREF _Toc2645 \h </w:instrText>
      </w:r>
      <w:r>
        <w:fldChar w:fldCharType="separate"/>
      </w:r>
      <w:r>
        <w:t>1</w:t>
      </w:r>
      <w:r>
        <w:fldChar w:fldCharType="end"/>
      </w:r>
      <w:r>
        <w:rPr>
          <w:rFonts w:hint="eastAsia"/>
          <w:bCs w:val="0"/>
          <w:lang w:val="en-US" w:eastAsia="zh-CN"/>
        </w:rPr>
        <w:fldChar w:fldCharType="end"/>
      </w:r>
    </w:p>
    <w:p w14:paraId="478D2303">
      <w:pPr>
        <w:pStyle w:val="18"/>
        <w:tabs>
          <w:tab w:val="right" w:leader="dot" w:pos="9073"/>
        </w:tabs>
      </w:pPr>
      <w:r>
        <w:rPr>
          <w:rFonts w:hint="eastAsia"/>
          <w:bCs w:val="0"/>
          <w:lang w:val="en-US" w:eastAsia="zh-CN"/>
        </w:rPr>
        <w:fldChar w:fldCharType="begin"/>
      </w:r>
      <w:r>
        <w:rPr>
          <w:rFonts w:hint="eastAsia"/>
          <w:bCs w:val="0"/>
          <w:lang w:val="en-US" w:eastAsia="zh-CN"/>
        </w:rPr>
        <w:instrText xml:space="preserve"> HYPERLINK \l _Toc27961 </w:instrText>
      </w:r>
      <w:r>
        <w:rPr>
          <w:rFonts w:hint="eastAsia"/>
          <w:bCs w:val="0"/>
          <w:lang w:val="en-US" w:eastAsia="zh-CN"/>
        </w:rPr>
        <w:fldChar w:fldCharType="separate"/>
      </w:r>
      <w:r>
        <w:rPr>
          <w:rFonts w:hint="eastAsia"/>
          <w:lang w:val="en-US" w:eastAsia="zh-CN"/>
        </w:rPr>
        <w:t>2</w:t>
      </w:r>
      <w:r>
        <w:rPr>
          <w:lang w:val="en-US" w:eastAsia="zh-CN"/>
        </w:rPr>
        <w:t>术语</w:t>
      </w:r>
      <w:r>
        <w:tab/>
      </w:r>
      <w:r>
        <w:fldChar w:fldCharType="begin"/>
      </w:r>
      <w:r>
        <w:instrText xml:space="preserve"> PAGEREF _Toc27961 \h </w:instrText>
      </w:r>
      <w:r>
        <w:fldChar w:fldCharType="separate"/>
      </w:r>
      <w:r>
        <w:t>2</w:t>
      </w:r>
      <w:r>
        <w:fldChar w:fldCharType="end"/>
      </w:r>
      <w:r>
        <w:rPr>
          <w:rFonts w:hint="eastAsia"/>
          <w:bCs w:val="0"/>
          <w:lang w:val="en-US" w:eastAsia="zh-CN"/>
        </w:rPr>
        <w:fldChar w:fldCharType="end"/>
      </w:r>
    </w:p>
    <w:p w14:paraId="22F9553F">
      <w:pPr>
        <w:pStyle w:val="19"/>
        <w:tabs>
          <w:tab w:val="right" w:leader="dot" w:pos="9073"/>
        </w:tabs>
      </w:pPr>
      <w:r>
        <w:rPr>
          <w:rFonts w:hint="eastAsia"/>
          <w:bCs w:val="0"/>
          <w:lang w:val="en-US" w:eastAsia="zh-CN"/>
        </w:rPr>
        <w:fldChar w:fldCharType="begin"/>
      </w:r>
      <w:r>
        <w:rPr>
          <w:rFonts w:hint="eastAsia"/>
          <w:bCs w:val="0"/>
          <w:lang w:val="en-US" w:eastAsia="zh-CN"/>
        </w:rPr>
        <w:instrText xml:space="preserve"> HYPERLINK \l _Toc30759 </w:instrText>
      </w:r>
      <w:r>
        <w:rPr>
          <w:rFonts w:hint="eastAsia"/>
          <w:bCs w:val="0"/>
          <w:lang w:val="en-US" w:eastAsia="zh-CN"/>
        </w:rPr>
        <w:fldChar w:fldCharType="separate"/>
      </w:r>
      <w:r>
        <w:rPr>
          <w:rFonts w:hint="eastAsia"/>
          <w:lang w:val="en-US" w:eastAsia="zh-CN"/>
        </w:rPr>
        <w:t>2.1</w:t>
      </w:r>
      <w:r>
        <w:rPr>
          <w:rFonts w:hint="default"/>
          <w:lang w:val="en-US" w:eastAsia="zh-CN"/>
        </w:rPr>
        <w:t>术语</w:t>
      </w:r>
      <w:r>
        <w:tab/>
      </w:r>
      <w:r>
        <w:fldChar w:fldCharType="begin"/>
      </w:r>
      <w:r>
        <w:instrText xml:space="preserve"> PAGEREF _Toc30759 \h </w:instrText>
      </w:r>
      <w:r>
        <w:fldChar w:fldCharType="separate"/>
      </w:r>
      <w:r>
        <w:t>2</w:t>
      </w:r>
      <w:r>
        <w:fldChar w:fldCharType="end"/>
      </w:r>
      <w:r>
        <w:rPr>
          <w:rFonts w:hint="eastAsia"/>
          <w:bCs w:val="0"/>
          <w:lang w:val="en-US" w:eastAsia="zh-CN"/>
        </w:rPr>
        <w:fldChar w:fldCharType="end"/>
      </w:r>
    </w:p>
    <w:p w14:paraId="5F83B651">
      <w:pPr>
        <w:pStyle w:val="18"/>
        <w:tabs>
          <w:tab w:val="right" w:leader="dot" w:pos="9073"/>
        </w:tabs>
      </w:pPr>
      <w:r>
        <w:rPr>
          <w:rFonts w:hint="eastAsia"/>
          <w:bCs w:val="0"/>
          <w:lang w:val="en-US" w:eastAsia="zh-CN"/>
        </w:rPr>
        <w:fldChar w:fldCharType="begin"/>
      </w:r>
      <w:r>
        <w:rPr>
          <w:rFonts w:hint="eastAsia"/>
          <w:bCs w:val="0"/>
          <w:lang w:val="en-US" w:eastAsia="zh-CN"/>
        </w:rPr>
        <w:instrText xml:space="preserve"> HYPERLINK \l _Toc20733 </w:instrText>
      </w:r>
      <w:r>
        <w:rPr>
          <w:rFonts w:hint="eastAsia"/>
          <w:bCs w:val="0"/>
          <w:lang w:val="en-US" w:eastAsia="zh-CN"/>
        </w:rPr>
        <w:fldChar w:fldCharType="separate"/>
      </w:r>
      <w:r>
        <w:rPr>
          <w:lang w:val="en-US" w:eastAsia="zh-CN"/>
        </w:rPr>
        <w:t>3</w:t>
      </w:r>
      <w:r>
        <w:rPr>
          <w:rFonts w:hint="eastAsia"/>
          <w:lang w:val="en-US" w:eastAsia="zh-CN"/>
        </w:rPr>
        <w:t>基本规定</w:t>
      </w:r>
      <w:r>
        <w:tab/>
      </w:r>
      <w:r>
        <w:fldChar w:fldCharType="begin"/>
      </w:r>
      <w:r>
        <w:instrText xml:space="preserve"> PAGEREF _Toc20733 \h </w:instrText>
      </w:r>
      <w:r>
        <w:fldChar w:fldCharType="separate"/>
      </w:r>
      <w:r>
        <w:t>3</w:t>
      </w:r>
      <w:r>
        <w:fldChar w:fldCharType="end"/>
      </w:r>
      <w:r>
        <w:rPr>
          <w:rFonts w:hint="eastAsia"/>
          <w:bCs w:val="0"/>
          <w:lang w:val="en-US" w:eastAsia="zh-CN"/>
        </w:rPr>
        <w:fldChar w:fldCharType="end"/>
      </w:r>
    </w:p>
    <w:p w14:paraId="04D43352">
      <w:pPr>
        <w:pStyle w:val="18"/>
        <w:tabs>
          <w:tab w:val="right" w:leader="dot" w:pos="9073"/>
        </w:tabs>
      </w:pPr>
      <w:r>
        <w:rPr>
          <w:rFonts w:hint="eastAsia"/>
          <w:bCs w:val="0"/>
          <w:lang w:val="en-US" w:eastAsia="zh-CN"/>
        </w:rPr>
        <w:fldChar w:fldCharType="begin"/>
      </w:r>
      <w:r>
        <w:rPr>
          <w:rFonts w:hint="eastAsia"/>
          <w:bCs w:val="0"/>
          <w:lang w:val="en-US" w:eastAsia="zh-CN"/>
        </w:rPr>
        <w:instrText xml:space="preserve"> HYPERLINK \l _Toc23624 </w:instrText>
      </w:r>
      <w:r>
        <w:rPr>
          <w:rFonts w:hint="eastAsia"/>
          <w:bCs w:val="0"/>
          <w:lang w:val="en-US" w:eastAsia="zh-CN"/>
        </w:rPr>
        <w:fldChar w:fldCharType="separate"/>
      </w:r>
      <w:r>
        <w:rPr>
          <w:rFonts w:ascii="Times New Roman" w:hAnsi="Times New Roman" w:eastAsia="宋体" w:cs="Times New Roman"/>
          <w:bCs/>
          <w:kern w:val="44"/>
          <w:szCs w:val="44"/>
          <w:lang w:val="en-US" w:eastAsia="zh-CN" w:bidi="ar-SA"/>
        </w:rPr>
        <w:t>4建筑设计</w:t>
      </w:r>
      <w:r>
        <w:tab/>
      </w:r>
      <w:r>
        <w:fldChar w:fldCharType="begin"/>
      </w:r>
      <w:r>
        <w:instrText xml:space="preserve"> PAGEREF _Toc23624 \h </w:instrText>
      </w:r>
      <w:r>
        <w:fldChar w:fldCharType="separate"/>
      </w:r>
      <w:r>
        <w:t>5</w:t>
      </w:r>
      <w:r>
        <w:fldChar w:fldCharType="end"/>
      </w:r>
      <w:r>
        <w:rPr>
          <w:rFonts w:hint="eastAsia"/>
          <w:bCs w:val="0"/>
          <w:lang w:val="en-US" w:eastAsia="zh-CN"/>
        </w:rPr>
        <w:fldChar w:fldCharType="end"/>
      </w:r>
    </w:p>
    <w:p w14:paraId="105C54D4">
      <w:pPr>
        <w:pStyle w:val="19"/>
        <w:tabs>
          <w:tab w:val="right" w:leader="dot" w:pos="9073"/>
        </w:tabs>
        <w:rPr>
          <w:rFonts w:ascii="Times New Roman" w:hAnsi="Times New Roman" w:eastAsia="宋体" w:cs="Times New Roman"/>
          <w:bCs/>
          <w:kern w:val="44"/>
          <w:sz w:val="24"/>
          <w:szCs w:val="44"/>
          <w:lang w:val="en-US" w:eastAsia="zh-CN" w:bidi="ar-SA"/>
        </w:rPr>
      </w:pPr>
      <w:r>
        <w:rPr>
          <w:rFonts w:hint="eastAsia" w:ascii="Times New Roman" w:hAnsi="Times New Roman" w:eastAsia="宋体" w:cs="Times New Roman"/>
          <w:bCs/>
          <w:kern w:val="44"/>
          <w:sz w:val="24"/>
          <w:szCs w:val="44"/>
          <w:lang w:val="en-US" w:eastAsia="zh-CN" w:bidi="ar-SA"/>
        </w:rPr>
        <w:fldChar w:fldCharType="begin"/>
      </w:r>
      <w:r>
        <w:rPr>
          <w:rFonts w:hint="eastAsia" w:ascii="Times New Roman" w:hAnsi="Times New Roman" w:eastAsia="宋体" w:cs="Times New Roman"/>
          <w:bCs/>
          <w:kern w:val="44"/>
          <w:sz w:val="24"/>
          <w:szCs w:val="44"/>
          <w:lang w:val="en-US" w:eastAsia="zh-CN" w:bidi="ar-SA"/>
        </w:rPr>
        <w:instrText xml:space="preserve"> HYPERLINK \l _Toc12528 </w:instrText>
      </w:r>
      <w:r>
        <w:rPr>
          <w:rFonts w:hint="eastAsia" w:ascii="Times New Roman" w:hAnsi="Times New Roman" w:eastAsia="宋体" w:cs="Times New Roman"/>
          <w:bCs/>
          <w:kern w:val="44"/>
          <w:sz w:val="24"/>
          <w:szCs w:val="44"/>
          <w:lang w:val="en-US" w:eastAsia="zh-CN" w:bidi="ar-SA"/>
        </w:rPr>
        <w:fldChar w:fldCharType="separate"/>
      </w:r>
      <w:r>
        <w:rPr>
          <w:rFonts w:ascii="Times New Roman" w:hAnsi="Times New Roman" w:eastAsia="宋体" w:cs="Times New Roman"/>
          <w:bCs/>
          <w:kern w:val="44"/>
          <w:sz w:val="24"/>
          <w:szCs w:val="44"/>
          <w:lang w:val="en-US" w:eastAsia="zh-CN" w:bidi="ar-SA"/>
        </w:rPr>
        <w:t>4.1一般规定</w:t>
      </w:r>
      <w:r>
        <w:rPr>
          <w:rFonts w:ascii="Times New Roman" w:hAnsi="Times New Roman" w:eastAsia="宋体" w:cs="Times New Roman"/>
          <w:bCs/>
          <w:kern w:val="44"/>
          <w:sz w:val="24"/>
          <w:szCs w:val="44"/>
          <w:lang w:val="en-US" w:eastAsia="zh-CN" w:bidi="ar-SA"/>
        </w:rPr>
        <w:tab/>
      </w:r>
      <w:r>
        <w:rPr>
          <w:rFonts w:ascii="Times New Roman" w:hAnsi="Times New Roman" w:eastAsia="宋体" w:cs="Times New Roman"/>
          <w:bCs/>
          <w:kern w:val="44"/>
          <w:sz w:val="24"/>
          <w:szCs w:val="44"/>
          <w:lang w:val="en-US" w:eastAsia="zh-CN" w:bidi="ar-SA"/>
        </w:rPr>
        <w:fldChar w:fldCharType="begin"/>
      </w:r>
      <w:r>
        <w:rPr>
          <w:rFonts w:ascii="Times New Roman" w:hAnsi="Times New Roman" w:eastAsia="宋体" w:cs="Times New Roman"/>
          <w:bCs/>
          <w:kern w:val="44"/>
          <w:sz w:val="24"/>
          <w:szCs w:val="44"/>
          <w:lang w:val="en-US" w:eastAsia="zh-CN" w:bidi="ar-SA"/>
        </w:rPr>
        <w:instrText xml:space="preserve"> PAGEREF _Toc12528 \h </w:instrText>
      </w:r>
      <w:r>
        <w:rPr>
          <w:rFonts w:ascii="Times New Roman" w:hAnsi="Times New Roman" w:eastAsia="宋体" w:cs="Times New Roman"/>
          <w:bCs/>
          <w:kern w:val="44"/>
          <w:sz w:val="24"/>
          <w:szCs w:val="44"/>
          <w:lang w:val="en-US" w:eastAsia="zh-CN" w:bidi="ar-SA"/>
        </w:rPr>
        <w:fldChar w:fldCharType="separate"/>
      </w:r>
      <w:r>
        <w:rPr>
          <w:rFonts w:ascii="Times New Roman" w:hAnsi="Times New Roman" w:eastAsia="宋体" w:cs="Times New Roman"/>
          <w:bCs/>
          <w:kern w:val="44"/>
          <w:sz w:val="24"/>
          <w:szCs w:val="44"/>
          <w:lang w:val="en-US" w:eastAsia="zh-CN" w:bidi="ar-SA"/>
        </w:rPr>
        <w:t>5</w:t>
      </w:r>
      <w:r>
        <w:rPr>
          <w:rFonts w:ascii="Times New Roman" w:hAnsi="Times New Roman" w:eastAsia="宋体" w:cs="Times New Roman"/>
          <w:bCs/>
          <w:kern w:val="44"/>
          <w:sz w:val="24"/>
          <w:szCs w:val="44"/>
          <w:lang w:val="en-US" w:eastAsia="zh-CN" w:bidi="ar-SA"/>
        </w:rPr>
        <w:fldChar w:fldCharType="end"/>
      </w:r>
      <w:r>
        <w:rPr>
          <w:rFonts w:hint="eastAsia" w:ascii="Times New Roman" w:hAnsi="Times New Roman" w:eastAsia="宋体" w:cs="Times New Roman"/>
          <w:bCs/>
          <w:kern w:val="44"/>
          <w:sz w:val="24"/>
          <w:szCs w:val="44"/>
          <w:lang w:val="en-US" w:eastAsia="zh-CN" w:bidi="ar-SA"/>
        </w:rPr>
        <w:fldChar w:fldCharType="end"/>
      </w:r>
    </w:p>
    <w:p w14:paraId="2A3227A8">
      <w:pPr>
        <w:pStyle w:val="19"/>
        <w:tabs>
          <w:tab w:val="right" w:leader="dot" w:pos="9073"/>
        </w:tabs>
        <w:rPr>
          <w:rFonts w:ascii="Times New Roman" w:hAnsi="Times New Roman" w:eastAsia="宋体" w:cs="Times New Roman"/>
          <w:bCs/>
          <w:kern w:val="44"/>
          <w:sz w:val="24"/>
          <w:szCs w:val="44"/>
          <w:lang w:val="en-US" w:eastAsia="zh-CN" w:bidi="ar-SA"/>
        </w:rPr>
      </w:pPr>
      <w:r>
        <w:rPr>
          <w:rFonts w:hint="eastAsia" w:ascii="Times New Roman" w:hAnsi="Times New Roman" w:eastAsia="宋体" w:cs="Times New Roman"/>
          <w:bCs/>
          <w:kern w:val="44"/>
          <w:sz w:val="24"/>
          <w:szCs w:val="44"/>
          <w:lang w:val="en-US" w:eastAsia="zh-CN" w:bidi="ar-SA"/>
        </w:rPr>
        <w:fldChar w:fldCharType="begin"/>
      </w:r>
      <w:r>
        <w:rPr>
          <w:rFonts w:hint="eastAsia" w:ascii="Times New Roman" w:hAnsi="Times New Roman" w:eastAsia="宋体" w:cs="Times New Roman"/>
          <w:bCs/>
          <w:kern w:val="44"/>
          <w:sz w:val="24"/>
          <w:szCs w:val="44"/>
          <w:lang w:val="en-US" w:eastAsia="zh-CN" w:bidi="ar-SA"/>
        </w:rPr>
        <w:instrText xml:space="preserve"> HYPERLINK \l _Toc26510 </w:instrText>
      </w:r>
      <w:r>
        <w:rPr>
          <w:rFonts w:hint="eastAsia" w:ascii="Times New Roman" w:hAnsi="Times New Roman" w:eastAsia="宋体" w:cs="Times New Roman"/>
          <w:bCs/>
          <w:kern w:val="44"/>
          <w:sz w:val="24"/>
          <w:szCs w:val="44"/>
          <w:lang w:val="en-US" w:eastAsia="zh-CN" w:bidi="ar-SA"/>
        </w:rPr>
        <w:fldChar w:fldCharType="separate"/>
      </w:r>
      <w:r>
        <w:rPr>
          <w:rFonts w:ascii="Times New Roman" w:hAnsi="Times New Roman" w:eastAsia="宋体" w:cs="Times New Roman"/>
          <w:bCs/>
          <w:kern w:val="44"/>
          <w:sz w:val="24"/>
          <w:szCs w:val="44"/>
          <w:lang w:val="en-US" w:eastAsia="zh-CN" w:bidi="ar-SA"/>
        </w:rPr>
        <w:t>4.2</w:t>
      </w:r>
      <w:r>
        <w:rPr>
          <w:rFonts w:hint="eastAsia" w:ascii="Times New Roman" w:hAnsi="Times New Roman" w:eastAsia="宋体" w:cs="Times New Roman"/>
          <w:bCs/>
          <w:kern w:val="44"/>
          <w:sz w:val="24"/>
          <w:szCs w:val="44"/>
          <w:lang w:val="en-US" w:eastAsia="zh-CN" w:bidi="ar-SA"/>
        </w:rPr>
        <w:t>设计</w:t>
      </w:r>
      <w:r>
        <w:rPr>
          <w:rFonts w:ascii="Times New Roman" w:hAnsi="Times New Roman" w:eastAsia="宋体" w:cs="Times New Roman"/>
          <w:bCs/>
          <w:kern w:val="44"/>
          <w:sz w:val="24"/>
          <w:szCs w:val="44"/>
          <w:lang w:val="en-US" w:eastAsia="zh-CN" w:bidi="ar-SA"/>
        </w:rPr>
        <w:tab/>
      </w:r>
      <w:r>
        <w:rPr>
          <w:rFonts w:ascii="Times New Roman" w:hAnsi="Times New Roman" w:eastAsia="宋体" w:cs="Times New Roman"/>
          <w:bCs/>
          <w:kern w:val="44"/>
          <w:sz w:val="24"/>
          <w:szCs w:val="44"/>
          <w:lang w:val="en-US" w:eastAsia="zh-CN" w:bidi="ar-SA"/>
        </w:rPr>
        <w:fldChar w:fldCharType="begin"/>
      </w:r>
      <w:r>
        <w:rPr>
          <w:rFonts w:ascii="Times New Roman" w:hAnsi="Times New Roman" w:eastAsia="宋体" w:cs="Times New Roman"/>
          <w:bCs/>
          <w:kern w:val="44"/>
          <w:sz w:val="24"/>
          <w:szCs w:val="44"/>
          <w:lang w:val="en-US" w:eastAsia="zh-CN" w:bidi="ar-SA"/>
        </w:rPr>
        <w:instrText xml:space="preserve"> PAGEREF _Toc26510 \h </w:instrText>
      </w:r>
      <w:r>
        <w:rPr>
          <w:rFonts w:ascii="Times New Roman" w:hAnsi="Times New Roman" w:eastAsia="宋体" w:cs="Times New Roman"/>
          <w:bCs/>
          <w:kern w:val="44"/>
          <w:sz w:val="24"/>
          <w:szCs w:val="44"/>
          <w:lang w:val="en-US" w:eastAsia="zh-CN" w:bidi="ar-SA"/>
        </w:rPr>
        <w:fldChar w:fldCharType="separate"/>
      </w:r>
      <w:r>
        <w:rPr>
          <w:rFonts w:ascii="Times New Roman" w:hAnsi="Times New Roman" w:eastAsia="宋体" w:cs="Times New Roman"/>
          <w:bCs/>
          <w:kern w:val="44"/>
          <w:sz w:val="24"/>
          <w:szCs w:val="44"/>
          <w:lang w:val="en-US" w:eastAsia="zh-CN" w:bidi="ar-SA"/>
        </w:rPr>
        <w:t>5</w:t>
      </w:r>
      <w:r>
        <w:rPr>
          <w:rFonts w:ascii="Times New Roman" w:hAnsi="Times New Roman" w:eastAsia="宋体" w:cs="Times New Roman"/>
          <w:bCs/>
          <w:kern w:val="44"/>
          <w:sz w:val="24"/>
          <w:szCs w:val="44"/>
          <w:lang w:val="en-US" w:eastAsia="zh-CN" w:bidi="ar-SA"/>
        </w:rPr>
        <w:fldChar w:fldCharType="end"/>
      </w:r>
      <w:r>
        <w:rPr>
          <w:rFonts w:hint="eastAsia" w:ascii="Times New Roman" w:hAnsi="Times New Roman" w:eastAsia="宋体" w:cs="Times New Roman"/>
          <w:bCs/>
          <w:kern w:val="44"/>
          <w:sz w:val="24"/>
          <w:szCs w:val="44"/>
          <w:lang w:val="en-US" w:eastAsia="zh-CN" w:bidi="ar-SA"/>
        </w:rPr>
        <w:fldChar w:fldCharType="end"/>
      </w:r>
    </w:p>
    <w:p w14:paraId="060EBB16">
      <w:pPr>
        <w:pStyle w:val="19"/>
        <w:tabs>
          <w:tab w:val="right" w:leader="dot" w:pos="9073"/>
        </w:tabs>
        <w:rPr>
          <w:rFonts w:ascii="Times New Roman" w:hAnsi="Times New Roman" w:eastAsia="宋体" w:cs="Times New Roman"/>
          <w:bCs/>
          <w:kern w:val="44"/>
          <w:sz w:val="24"/>
          <w:szCs w:val="44"/>
          <w:lang w:val="en-US" w:eastAsia="zh-CN" w:bidi="ar-SA"/>
        </w:rPr>
      </w:pPr>
      <w:r>
        <w:rPr>
          <w:rFonts w:hint="eastAsia" w:ascii="Times New Roman" w:hAnsi="Times New Roman" w:eastAsia="宋体" w:cs="Times New Roman"/>
          <w:bCs/>
          <w:kern w:val="44"/>
          <w:sz w:val="24"/>
          <w:szCs w:val="44"/>
          <w:lang w:val="en-US" w:eastAsia="zh-CN" w:bidi="ar-SA"/>
        </w:rPr>
        <w:fldChar w:fldCharType="begin"/>
      </w:r>
      <w:r>
        <w:rPr>
          <w:rFonts w:hint="eastAsia" w:ascii="Times New Roman" w:hAnsi="Times New Roman" w:eastAsia="宋体" w:cs="Times New Roman"/>
          <w:bCs/>
          <w:kern w:val="44"/>
          <w:sz w:val="24"/>
          <w:szCs w:val="44"/>
          <w:lang w:val="en-US" w:eastAsia="zh-CN" w:bidi="ar-SA"/>
        </w:rPr>
        <w:instrText xml:space="preserve"> HYPERLINK \l _Toc7521 </w:instrText>
      </w:r>
      <w:r>
        <w:rPr>
          <w:rFonts w:hint="eastAsia" w:ascii="Times New Roman" w:hAnsi="Times New Roman" w:eastAsia="宋体" w:cs="Times New Roman"/>
          <w:bCs/>
          <w:kern w:val="44"/>
          <w:sz w:val="24"/>
          <w:szCs w:val="44"/>
          <w:lang w:val="en-US" w:eastAsia="zh-CN" w:bidi="ar-SA"/>
        </w:rPr>
        <w:fldChar w:fldCharType="separate"/>
      </w:r>
      <w:r>
        <w:rPr>
          <w:rFonts w:ascii="Times New Roman" w:hAnsi="Times New Roman" w:eastAsia="宋体" w:cs="Times New Roman"/>
          <w:bCs/>
          <w:kern w:val="44"/>
          <w:sz w:val="24"/>
          <w:szCs w:val="44"/>
          <w:lang w:val="en-US" w:eastAsia="zh-CN" w:bidi="ar-SA"/>
        </w:rPr>
        <w:t>4.</w:t>
      </w:r>
      <w:r>
        <w:rPr>
          <w:rFonts w:hint="eastAsia" w:ascii="Times New Roman" w:hAnsi="Times New Roman" w:eastAsia="宋体" w:cs="Times New Roman"/>
          <w:bCs/>
          <w:kern w:val="44"/>
          <w:sz w:val="24"/>
          <w:szCs w:val="44"/>
          <w:lang w:val="en-US" w:eastAsia="zh-CN" w:bidi="ar-SA"/>
        </w:rPr>
        <w:t>3</w:t>
      </w:r>
      <w:r>
        <w:rPr>
          <w:rFonts w:ascii="Times New Roman" w:hAnsi="Times New Roman" w:eastAsia="宋体" w:cs="Times New Roman"/>
          <w:bCs/>
          <w:kern w:val="44"/>
          <w:sz w:val="24"/>
          <w:szCs w:val="44"/>
          <w:lang w:val="en-US" w:eastAsia="zh-CN" w:bidi="ar-SA"/>
        </w:rPr>
        <w:t>围护系统</w:t>
      </w:r>
      <w:r>
        <w:rPr>
          <w:rFonts w:ascii="Times New Roman" w:hAnsi="Times New Roman" w:eastAsia="宋体" w:cs="Times New Roman"/>
          <w:bCs/>
          <w:kern w:val="44"/>
          <w:sz w:val="24"/>
          <w:szCs w:val="44"/>
          <w:lang w:val="en-US" w:eastAsia="zh-CN" w:bidi="ar-SA"/>
        </w:rPr>
        <w:tab/>
      </w:r>
      <w:r>
        <w:rPr>
          <w:rFonts w:ascii="Times New Roman" w:hAnsi="Times New Roman" w:eastAsia="宋体" w:cs="Times New Roman"/>
          <w:bCs/>
          <w:kern w:val="44"/>
          <w:sz w:val="24"/>
          <w:szCs w:val="44"/>
          <w:lang w:val="en-US" w:eastAsia="zh-CN" w:bidi="ar-SA"/>
        </w:rPr>
        <w:fldChar w:fldCharType="begin"/>
      </w:r>
      <w:r>
        <w:rPr>
          <w:rFonts w:ascii="Times New Roman" w:hAnsi="Times New Roman" w:eastAsia="宋体" w:cs="Times New Roman"/>
          <w:bCs/>
          <w:kern w:val="44"/>
          <w:sz w:val="24"/>
          <w:szCs w:val="44"/>
          <w:lang w:val="en-US" w:eastAsia="zh-CN" w:bidi="ar-SA"/>
        </w:rPr>
        <w:instrText xml:space="preserve"> PAGEREF _Toc7521 \h </w:instrText>
      </w:r>
      <w:r>
        <w:rPr>
          <w:rFonts w:ascii="Times New Roman" w:hAnsi="Times New Roman" w:eastAsia="宋体" w:cs="Times New Roman"/>
          <w:bCs/>
          <w:kern w:val="44"/>
          <w:sz w:val="24"/>
          <w:szCs w:val="44"/>
          <w:lang w:val="en-US" w:eastAsia="zh-CN" w:bidi="ar-SA"/>
        </w:rPr>
        <w:fldChar w:fldCharType="separate"/>
      </w:r>
      <w:r>
        <w:rPr>
          <w:rFonts w:ascii="Times New Roman" w:hAnsi="Times New Roman" w:eastAsia="宋体" w:cs="Times New Roman"/>
          <w:bCs/>
          <w:kern w:val="44"/>
          <w:sz w:val="24"/>
          <w:szCs w:val="44"/>
          <w:lang w:val="en-US" w:eastAsia="zh-CN" w:bidi="ar-SA"/>
        </w:rPr>
        <w:t>9</w:t>
      </w:r>
      <w:r>
        <w:rPr>
          <w:rFonts w:ascii="Times New Roman" w:hAnsi="Times New Roman" w:eastAsia="宋体" w:cs="Times New Roman"/>
          <w:bCs/>
          <w:kern w:val="44"/>
          <w:sz w:val="24"/>
          <w:szCs w:val="44"/>
          <w:lang w:val="en-US" w:eastAsia="zh-CN" w:bidi="ar-SA"/>
        </w:rPr>
        <w:fldChar w:fldCharType="end"/>
      </w:r>
      <w:r>
        <w:rPr>
          <w:rFonts w:hint="eastAsia" w:ascii="Times New Roman" w:hAnsi="Times New Roman" w:eastAsia="宋体" w:cs="Times New Roman"/>
          <w:bCs/>
          <w:kern w:val="44"/>
          <w:sz w:val="24"/>
          <w:szCs w:val="44"/>
          <w:lang w:val="en-US" w:eastAsia="zh-CN" w:bidi="ar-SA"/>
        </w:rPr>
        <w:fldChar w:fldCharType="end"/>
      </w:r>
    </w:p>
    <w:p w14:paraId="79D1C4B6">
      <w:pPr>
        <w:pStyle w:val="19"/>
        <w:tabs>
          <w:tab w:val="right" w:leader="dot" w:pos="9073"/>
        </w:tabs>
        <w:rPr>
          <w:rFonts w:ascii="Times New Roman" w:hAnsi="Times New Roman" w:eastAsia="宋体" w:cs="Times New Roman"/>
          <w:bCs/>
          <w:kern w:val="44"/>
          <w:sz w:val="24"/>
          <w:szCs w:val="44"/>
          <w:lang w:val="en-US" w:eastAsia="zh-CN" w:bidi="ar-SA"/>
        </w:rPr>
      </w:pPr>
      <w:r>
        <w:rPr>
          <w:rFonts w:hint="eastAsia" w:ascii="Times New Roman" w:hAnsi="Times New Roman" w:eastAsia="宋体" w:cs="Times New Roman"/>
          <w:bCs/>
          <w:kern w:val="44"/>
          <w:sz w:val="24"/>
          <w:szCs w:val="44"/>
          <w:lang w:val="en-US" w:eastAsia="zh-CN" w:bidi="ar-SA"/>
        </w:rPr>
        <w:fldChar w:fldCharType="begin"/>
      </w:r>
      <w:r>
        <w:rPr>
          <w:rFonts w:hint="eastAsia" w:ascii="Times New Roman" w:hAnsi="Times New Roman" w:eastAsia="宋体" w:cs="Times New Roman"/>
          <w:bCs/>
          <w:kern w:val="44"/>
          <w:sz w:val="24"/>
          <w:szCs w:val="44"/>
          <w:lang w:val="en-US" w:eastAsia="zh-CN" w:bidi="ar-SA"/>
        </w:rPr>
        <w:instrText xml:space="preserve"> HYPERLINK \l _Toc18584 </w:instrText>
      </w:r>
      <w:r>
        <w:rPr>
          <w:rFonts w:hint="eastAsia" w:ascii="Times New Roman" w:hAnsi="Times New Roman" w:eastAsia="宋体" w:cs="Times New Roman"/>
          <w:bCs/>
          <w:kern w:val="44"/>
          <w:sz w:val="24"/>
          <w:szCs w:val="44"/>
          <w:lang w:val="en-US" w:eastAsia="zh-CN" w:bidi="ar-SA"/>
        </w:rPr>
        <w:fldChar w:fldCharType="separate"/>
      </w:r>
      <w:r>
        <w:rPr>
          <w:rFonts w:hint="eastAsia" w:ascii="Times New Roman" w:hAnsi="Times New Roman" w:eastAsia="宋体" w:cs="Times New Roman"/>
          <w:bCs/>
          <w:kern w:val="44"/>
          <w:sz w:val="24"/>
          <w:szCs w:val="44"/>
          <w:lang w:val="en-US" w:eastAsia="zh-CN" w:bidi="ar-SA"/>
        </w:rPr>
        <w:t>4.4室内装饰装修</w:t>
      </w:r>
      <w:r>
        <w:rPr>
          <w:rFonts w:ascii="Times New Roman" w:hAnsi="Times New Roman" w:eastAsia="宋体" w:cs="Times New Roman"/>
          <w:bCs/>
          <w:kern w:val="44"/>
          <w:sz w:val="24"/>
          <w:szCs w:val="44"/>
          <w:lang w:val="en-US" w:eastAsia="zh-CN" w:bidi="ar-SA"/>
        </w:rPr>
        <w:tab/>
      </w:r>
      <w:r>
        <w:rPr>
          <w:rFonts w:ascii="Times New Roman" w:hAnsi="Times New Roman" w:eastAsia="宋体" w:cs="Times New Roman"/>
          <w:bCs/>
          <w:kern w:val="44"/>
          <w:sz w:val="24"/>
          <w:szCs w:val="44"/>
          <w:lang w:val="en-US" w:eastAsia="zh-CN" w:bidi="ar-SA"/>
        </w:rPr>
        <w:fldChar w:fldCharType="begin"/>
      </w:r>
      <w:r>
        <w:rPr>
          <w:rFonts w:ascii="Times New Roman" w:hAnsi="Times New Roman" w:eastAsia="宋体" w:cs="Times New Roman"/>
          <w:bCs/>
          <w:kern w:val="44"/>
          <w:sz w:val="24"/>
          <w:szCs w:val="44"/>
          <w:lang w:val="en-US" w:eastAsia="zh-CN" w:bidi="ar-SA"/>
        </w:rPr>
        <w:instrText xml:space="preserve"> PAGEREF _Toc18584 \h </w:instrText>
      </w:r>
      <w:r>
        <w:rPr>
          <w:rFonts w:ascii="Times New Roman" w:hAnsi="Times New Roman" w:eastAsia="宋体" w:cs="Times New Roman"/>
          <w:bCs/>
          <w:kern w:val="44"/>
          <w:sz w:val="24"/>
          <w:szCs w:val="44"/>
          <w:lang w:val="en-US" w:eastAsia="zh-CN" w:bidi="ar-SA"/>
        </w:rPr>
        <w:fldChar w:fldCharType="separate"/>
      </w:r>
      <w:r>
        <w:rPr>
          <w:rFonts w:ascii="Times New Roman" w:hAnsi="Times New Roman" w:eastAsia="宋体" w:cs="Times New Roman"/>
          <w:bCs/>
          <w:kern w:val="44"/>
          <w:sz w:val="24"/>
          <w:szCs w:val="44"/>
          <w:lang w:val="en-US" w:eastAsia="zh-CN" w:bidi="ar-SA"/>
        </w:rPr>
        <w:t>13</w:t>
      </w:r>
      <w:r>
        <w:rPr>
          <w:rFonts w:ascii="Times New Roman" w:hAnsi="Times New Roman" w:eastAsia="宋体" w:cs="Times New Roman"/>
          <w:bCs/>
          <w:kern w:val="44"/>
          <w:sz w:val="24"/>
          <w:szCs w:val="44"/>
          <w:lang w:val="en-US" w:eastAsia="zh-CN" w:bidi="ar-SA"/>
        </w:rPr>
        <w:fldChar w:fldCharType="end"/>
      </w:r>
      <w:r>
        <w:rPr>
          <w:rFonts w:hint="eastAsia" w:ascii="Times New Roman" w:hAnsi="Times New Roman" w:eastAsia="宋体" w:cs="Times New Roman"/>
          <w:bCs/>
          <w:kern w:val="44"/>
          <w:sz w:val="24"/>
          <w:szCs w:val="44"/>
          <w:lang w:val="en-US" w:eastAsia="zh-CN" w:bidi="ar-SA"/>
        </w:rPr>
        <w:fldChar w:fldCharType="end"/>
      </w:r>
    </w:p>
    <w:p w14:paraId="75F8E8C2">
      <w:pPr>
        <w:pStyle w:val="19"/>
        <w:tabs>
          <w:tab w:val="right" w:leader="dot" w:pos="9073"/>
        </w:tabs>
      </w:pPr>
      <w:r>
        <w:rPr>
          <w:rFonts w:hint="eastAsia" w:ascii="Times New Roman" w:hAnsi="Times New Roman" w:eastAsia="宋体" w:cs="Times New Roman"/>
          <w:bCs/>
          <w:kern w:val="44"/>
          <w:sz w:val="24"/>
          <w:szCs w:val="44"/>
          <w:lang w:val="en-US" w:eastAsia="zh-CN" w:bidi="ar-SA"/>
        </w:rPr>
        <w:fldChar w:fldCharType="begin"/>
      </w:r>
      <w:r>
        <w:rPr>
          <w:rFonts w:hint="eastAsia" w:ascii="Times New Roman" w:hAnsi="Times New Roman" w:eastAsia="宋体" w:cs="Times New Roman"/>
          <w:bCs/>
          <w:kern w:val="44"/>
          <w:sz w:val="24"/>
          <w:szCs w:val="44"/>
          <w:lang w:val="en-US" w:eastAsia="zh-CN" w:bidi="ar-SA"/>
        </w:rPr>
        <w:instrText xml:space="preserve"> HYPERLINK \l _Toc5075 </w:instrText>
      </w:r>
      <w:r>
        <w:rPr>
          <w:rFonts w:hint="eastAsia" w:ascii="Times New Roman" w:hAnsi="Times New Roman" w:eastAsia="宋体" w:cs="Times New Roman"/>
          <w:bCs/>
          <w:kern w:val="44"/>
          <w:sz w:val="24"/>
          <w:szCs w:val="44"/>
          <w:lang w:val="en-US" w:eastAsia="zh-CN" w:bidi="ar-SA"/>
        </w:rPr>
        <w:fldChar w:fldCharType="separate"/>
      </w:r>
      <w:r>
        <w:rPr>
          <w:rFonts w:hint="eastAsia" w:ascii="Times New Roman" w:hAnsi="Times New Roman" w:eastAsia="宋体" w:cs="Times New Roman"/>
          <w:bCs/>
          <w:kern w:val="44"/>
          <w:sz w:val="24"/>
          <w:szCs w:val="44"/>
          <w:lang w:val="en-US" w:eastAsia="zh-CN" w:bidi="ar-SA"/>
        </w:rPr>
        <w:t>4.5设备与管线</w:t>
      </w:r>
      <w:r>
        <w:rPr>
          <w:rFonts w:ascii="Times New Roman" w:hAnsi="Times New Roman" w:eastAsia="宋体" w:cs="Times New Roman"/>
          <w:bCs/>
          <w:kern w:val="44"/>
          <w:sz w:val="24"/>
          <w:szCs w:val="44"/>
          <w:lang w:val="en-US" w:eastAsia="zh-CN" w:bidi="ar-SA"/>
        </w:rPr>
        <w:tab/>
      </w:r>
      <w:r>
        <w:rPr>
          <w:rFonts w:ascii="Times New Roman" w:hAnsi="Times New Roman" w:eastAsia="宋体" w:cs="Times New Roman"/>
          <w:bCs/>
          <w:kern w:val="44"/>
          <w:sz w:val="24"/>
          <w:szCs w:val="44"/>
          <w:lang w:val="en-US" w:eastAsia="zh-CN" w:bidi="ar-SA"/>
        </w:rPr>
        <w:fldChar w:fldCharType="begin"/>
      </w:r>
      <w:r>
        <w:rPr>
          <w:rFonts w:ascii="Times New Roman" w:hAnsi="Times New Roman" w:eastAsia="宋体" w:cs="Times New Roman"/>
          <w:bCs/>
          <w:kern w:val="44"/>
          <w:sz w:val="24"/>
          <w:szCs w:val="44"/>
          <w:lang w:val="en-US" w:eastAsia="zh-CN" w:bidi="ar-SA"/>
        </w:rPr>
        <w:instrText xml:space="preserve"> PAGEREF _Toc5075 \h </w:instrText>
      </w:r>
      <w:r>
        <w:rPr>
          <w:rFonts w:ascii="Times New Roman" w:hAnsi="Times New Roman" w:eastAsia="宋体" w:cs="Times New Roman"/>
          <w:bCs/>
          <w:kern w:val="44"/>
          <w:sz w:val="24"/>
          <w:szCs w:val="44"/>
          <w:lang w:val="en-US" w:eastAsia="zh-CN" w:bidi="ar-SA"/>
        </w:rPr>
        <w:fldChar w:fldCharType="separate"/>
      </w:r>
      <w:r>
        <w:rPr>
          <w:rFonts w:ascii="Times New Roman" w:hAnsi="Times New Roman" w:eastAsia="宋体" w:cs="Times New Roman"/>
          <w:bCs/>
          <w:kern w:val="44"/>
          <w:sz w:val="24"/>
          <w:szCs w:val="44"/>
          <w:lang w:val="en-US" w:eastAsia="zh-CN" w:bidi="ar-SA"/>
        </w:rPr>
        <w:t>14</w:t>
      </w:r>
      <w:r>
        <w:rPr>
          <w:rFonts w:ascii="Times New Roman" w:hAnsi="Times New Roman" w:eastAsia="宋体" w:cs="Times New Roman"/>
          <w:bCs/>
          <w:kern w:val="44"/>
          <w:sz w:val="24"/>
          <w:szCs w:val="44"/>
          <w:lang w:val="en-US" w:eastAsia="zh-CN" w:bidi="ar-SA"/>
        </w:rPr>
        <w:fldChar w:fldCharType="end"/>
      </w:r>
      <w:r>
        <w:rPr>
          <w:rFonts w:hint="eastAsia" w:ascii="Times New Roman" w:hAnsi="Times New Roman" w:eastAsia="宋体" w:cs="Times New Roman"/>
          <w:bCs/>
          <w:kern w:val="44"/>
          <w:sz w:val="24"/>
          <w:szCs w:val="44"/>
          <w:lang w:val="en-US" w:eastAsia="zh-CN" w:bidi="ar-SA"/>
        </w:rPr>
        <w:fldChar w:fldCharType="end"/>
      </w:r>
    </w:p>
    <w:p w14:paraId="14B13DA3">
      <w:pPr>
        <w:pStyle w:val="18"/>
        <w:tabs>
          <w:tab w:val="right" w:leader="dot" w:pos="9073"/>
        </w:tabs>
      </w:pPr>
      <w:r>
        <w:rPr>
          <w:rFonts w:hint="eastAsia"/>
          <w:bCs w:val="0"/>
          <w:lang w:val="en-US" w:eastAsia="zh-CN"/>
        </w:rPr>
        <w:fldChar w:fldCharType="begin"/>
      </w:r>
      <w:r>
        <w:rPr>
          <w:rFonts w:hint="eastAsia"/>
          <w:bCs w:val="0"/>
          <w:lang w:val="en-US" w:eastAsia="zh-CN"/>
        </w:rPr>
        <w:instrText xml:space="preserve"> HYPERLINK \l _Toc29360 </w:instrText>
      </w:r>
      <w:r>
        <w:rPr>
          <w:rFonts w:hint="eastAsia"/>
          <w:bCs w:val="0"/>
          <w:lang w:val="en-US" w:eastAsia="zh-CN"/>
        </w:rPr>
        <w:fldChar w:fldCharType="separate"/>
      </w:r>
      <w:r>
        <w:rPr>
          <w:rFonts w:hint="eastAsia"/>
          <w:lang w:val="en-US" w:eastAsia="zh-CN"/>
        </w:rPr>
        <w:t>5</w:t>
      </w:r>
      <w:r>
        <w:rPr>
          <w:lang w:val="en-US" w:eastAsia="zh-CN"/>
        </w:rPr>
        <w:t>结构设计</w:t>
      </w:r>
      <w:r>
        <w:tab/>
      </w:r>
      <w:r>
        <w:fldChar w:fldCharType="begin"/>
      </w:r>
      <w:r>
        <w:instrText xml:space="preserve"> PAGEREF _Toc29360 \h </w:instrText>
      </w:r>
      <w:r>
        <w:fldChar w:fldCharType="separate"/>
      </w:r>
      <w:r>
        <w:t>19</w:t>
      </w:r>
      <w:r>
        <w:fldChar w:fldCharType="end"/>
      </w:r>
      <w:r>
        <w:rPr>
          <w:rFonts w:hint="eastAsia"/>
          <w:bCs w:val="0"/>
          <w:lang w:val="en-US" w:eastAsia="zh-CN"/>
        </w:rPr>
        <w:fldChar w:fldCharType="end"/>
      </w:r>
    </w:p>
    <w:p w14:paraId="42EA1A04">
      <w:pPr>
        <w:pStyle w:val="19"/>
        <w:tabs>
          <w:tab w:val="right" w:leader="dot" w:pos="9073"/>
        </w:tabs>
      </w:pPr>
      <w:r>
        <w:rPr>
          <w:rFonts w:hint="eastAsia"/>
          <w:bCs w:val="0"/>
          <w:lang w:val="en-US" w:eastAsia="zh-CN"/>
        </w:rPr>
        <w:fldChar w:fldCharType="begin"/>
      </w:r>
      <w:r>
        <w:rPr>
          <w:rFonts w:hint="eastAsia"/>
          <w:bCs w:val="0"/>
          <w:lang w:val="en-US" w:eastAsia="zh-CN"/>
        </w:rPr>
        <w:instrText xml:space="preserve"> HYPERLINK \l _Toc24283 </w:instrText>
      </w:r>
      <w:r>
        <w:rPr>
          <w:rFonts w:hint="eastAsia"/>
          <w:bCs w:val="0"/>
          <w:lang w:val="en-US" w:eastAsia="zh-CN"/>
        </w:rPr>
        <w:fldChar w:fldCharType="separate"/>
      </w:r>
      <w:r>
        <w:rPr>
          <w:lang w:val="en-US" w:eastAsia="zh-CN"/>
        </w:rPr>
        <w:t>5.1一般规定</w:t>
      </w:r>
      <w:r>
        <w:tab/>
      </w:r>
      <w:r>
        <w:fldChar w:fldCharType="begin"/>
      </w:r>
      <w:r>
        <w:instrText xml:space="preserve"> PAGEREF _Toc24283 \h </w:instrText>
      </w:r>
      <w:r>
        <w:fldChar w:fldCharType="separate"/>
      </w:r>
      <w:r>
        <w:t>19</w:t>
      </w:r>
      <w:r>
        <w:fldChar w:fldCharType="end"/>
      </w:r>
      <w:r>
        <w:rPr>
          <w:rFonts w:hint="eastAsia"/>
          <w:bCs w:val="0"/>
          <w:lang w:val="en-US" w:eastAsia="zh-CN"/>
        </w:rPr>
        <w:fldChar w:fldCharType="end"/>
      </w:r>
    </w:p>
    <w:p w14:paraId="76676D05">
      <w:pPr>
        <w:pStyle w:val="19"/>
        <w:tabs>
          <w:tab w:val="right" w:leader="dot" w:pos="9073"/>
        </w:tabs>
      </w:pPr>
      <w:r>
        <w:rPr>
          <w:rFonts w:hint="eastAsia"/>
          <w:bCs w:val="0"/>
          <w:lang w:val="en-US" w:eastAsia="zh-CN"/>
        </w:rPr>
        <w:fldChar w:fldCharType="begin"/>
      </w:r>
      <w:r>
        <w:rPr>
          <w:rFonts w:hint="eastAsia"/>
          <w:bCs w:val="0"/>
          <w:lang w:val="en-US" w:eastAsia="zh-CN"/>
        </w:rPr>
        <w:instrText xml:space="preserve"> HYPERLINK \l _Toc24777 </w:instrText>
      </w:r>
      <w:r>
        <w:rPr>
          <w:rFonts w:hint="eastAsia"/>
          <w:bCs w:val="0"/>
          <w:lang w:val="en-US" w:eastAsia="zh-CN"/>
        </w:rPr>
        <w:fldChar w:fldCharType="separate"/>
      </w:r>
      <w:r>
        <w:rPr>
          <w:rFonts w:hint="eastAsia"/>
          <w:lang w:val="en-US" w:eastAsia="zh-CN"/>
        </w:rPr>
        <w:t>5.2模块单元</w:t>
      </w:r>
      <w:r>
        <w:tab/>
      </w:r>
      <w:r>
        <w:fldChar w:fldCharType="begin"/>
      </w:r>
      <w:r>
        <w:instrText xml:space="preserve"> PAGEREF _Toc24777 \h </w:instrText>
      </w:r>
      <w:r>
        <w:fldChar w:fldCharType="separate"/>
      </w:r>
      <w:r>
        <w:t>20</w:t>
      </w:r>
      <w:r>
        <w:fldChar w:fldCharType="end"/>
      </w:r>
      <w:r>
        <w:rPr>
          <w:rFonts w:hint="eastAsia"/>
          <w:bCs w:val="0"/>
          <w:lang w:val="en-US" w:eastAsia="zh-CN"/>
        </w:rPr>
        <w:fldChar w:fldCharType="end"/>
      </w:r>
    </w:p>
    <w:p w14:paraId="0E36A25F">
      <w:pPr>
        <w:pStyle w:val="19"/>
        <w:tabs>
          <w:tab w:val="right" w:leader="dot" w:pos="9073"/>
        </w:tabs>
      </w:pPr>
      <w:r>
        <w:rPr>
          <w:rFonts w:hint="eastAsia"/>
          <w:bCs w:val="0"/>
          <w:lang w:val="en-US" w:eastAsia="zh-CN"/>
        </w:rPr>
        <w:fldChar w:fldCharType="begin"/>
      </w:r>
      <w:r>
        <w:rPr>
          <w:rFonts w:hint="eastAsia"/>
          <w:bCs w:val="0"/>
          <w:lang w:val="en-US" w:eastAsia="zh-CN"/>
        </w:rPr>
        <w:instrText xml:space="preserve"> HYPERLINK \l _Toc9635 </w:instrText>
      </w:r>
      <w:r>
        <w:rPr>
          <w:rFonts w:hint="eastAsia"/>
          <w:bCs w:val="0"/>
          <w:lang w:val="en-US" w:eastAsia="zh-CN"/>
        </w:rPr>
        <w:fldChar w:fldCharType="separate"/>
      </w:r>
      <w:r>
        <w:rPr>
          <w:lang w:val="en-US" w:eastAsia="zh-CN"/>
        </w:rPr>
        <w:t>5.</w:t>
      </w:r>
      <w:r>
        <w:rPr>
          <w:rFonts w:hint="eastAsia"/>
          <w:lang w:val="en-US" w:eastAsia="zh-CN"/>
        </w:rPr>
        <w:t>3结构体系</w:t>
      </w:r>
      <w:r>
        <w:tab/>
      </w:r>
      <w:r>
        <w:fldChar w:fldCharType="begin"/>
      </w:r>
      <w:r>
        <w:instrText xml:space="preserve"> PAGEREF _Toc9635 \h </w:instrText>
      </w:r>
      <w:r>
        <w:fldChar w:fldCharType="separate"/>
      </w:r>
      <w:r>
        <w:t>21</w:t>
      </w:r>
      <w:r>
        <w:fldChar w:fldCharType="end"/>
      </w:r>
      <w:r>
        <w:rPr>
          <w:rFonts w:hint="eastAsia"/>
          <w:bCs w:val="0"/>
          <w:lang w:val="en-US" w:eastAsia="zh-CN"/>
        </w:rPr>
        <w:fldChar w:fldCharType="end"/>
      </w:r>
    </w:p>
    <w:p w14:paraId="619AAFE4">
      <w:pPr>
        <w:pStyle w:val="19"/>
        <w:tabs>
          <w:tab w:val="right" w:leader="dot" w:pos="9073"/>
        </w:tabs>
        <w:rPr>
          <w:rFonts w:ascii="Times New Roman" w:hAnsi="Times New Roman" w:eastAsia="宋体" w:cs="Times New Roman"/>
          <w:bCs/>
          <w:kern w:val="44"/>
          <w:sz w:val="24"/>
          <w:szCs w:val="44"/>
          <w:lang w:val="en-US" w:eastAsia="zh-CN" w:bidi="ar-SA"/>
        </w:rPr>
      </w:pPr>
      <w:r>
        <w:rPr>
          <w:rFonts w:hint="eastAsia" w:ascii="Times New Roman" w:hAnsi="Times New Roman" w:eastAsia="宋体" w:cs="Times New Roman"/>
          <w:bCs/>
          <w:kern w:val="44"/>
          <w:sz w:val="24"/>
          <w:szCs w:val="44"/>
          <w:lang w:val="en-US" w:eastAsia="zh-CN" w:bidi="ar-SA"/>
        </w:rPr>
        <w:fldChar w:fldCharType="begin"/>
      </w:r>
      <w:r>
        <w:rPr>
          <w:rFonts w:hint="eastAsia" w:ascii="Times New Roman" w:hAnsi="Times New Roman" w:eastAsia="宋体" w:cs="Times New Roman"/>
          <w:bCs/>
          <w:kern w:val="44"/>
          <w:sz w:val="24"/>
          <w:szCs w:val="44"/>
          <w:lang w:val="en-US" w:eastAsia="zh-CN" w:bidi="ar-SA"/>
        </w:rPr>
        <w:instrText xml:space="preserve"> HYPERLINK \l _Toc23897 </w:instrText>
      </w:r>
      <w:r>
        <w:rPr>
          <w:rFonts w:hint="eastAsia" w:ascii="Times New Roman" w:hAnsi="Times New Roman" w:eastAsia="宋体" w:cs="Times New Roman"/>
          <w:bCs/>
          <w:kern w:val="44"/>
          <w:sz w:val="24"/>
          <w:szCs w:val="44"/>
          <w:lang w:val="en-US" w:eastAsia="zh-CN" w:bidi="ar-SA"/>
        </w:rPr>
        <w:fldChar w:fldCharType="separate"/>
      </w:r>
      <w:r>
        <w:rPr>
          <w:rFonts w:ascii="Times New Roman" w:hAnsi="Times New Roman" w:eastAsia="宋体" w:cs="Times New Roman"/>
          <w:bCs/>
          <w:kern w:val="44"/>
          <w:sz w:val="24"/>
          <w:szCs w:val="44"/>
          <w:lang w:val="en-US" w:eastAsia="zh-CN" w:bidi="ar-SA"/>
        </w:rPr>
        <w:t>5.</w:t>
      </w:r>
      <w:r>
        <w:rPr>
          <w:rFonts w:hint="eastAsia" w:ascii="Times New Roman" w:hAnsi="Times New Roman" w:eastAsia="宋体" w:cs="Times New Roman"/>
          <w:bCs/>
          <w:kern w:val="44"/>
          <w:sz w:val="24"/>
          <w:szCs w:val="44"/>
          <w:lang w:val="en-US" w:eastAsia="zh-CN" w:bidi="ar-SA"/>
        </w:rPr>
        <w:t>4结构分析计算</w:t>
      </w:r>
      <w:r>
        <w:rPr>
          <w:rFonts w:ascii="Times New Roman" w:hAnsi="Times New Roman" w:eastAsia="宋体" w:cs="Times New Roman"/>
          <w:bCs/>
          <w:kern w:val="44"/>
          <w:sz w:val="24"/>
          <w:szCs w:val="44"/>
          <w:lang w:val="en-US" w:eastAsia="zh-CN" w:bidi="ar-SA"/>
        </w:rPr>
        <w:tab/>
      </w:r>
      <w:r>
        <w:rPr>
          <w:rFonts w:ascii="Times New Roman" w:hAnsi="Times New Roman" w:eastAsia="宋体" w:cs="Times New Roman"/>
          <w:bCs/>
          <w:kern w:val="44"/>
          <w:sz w:val="24"/>
          <w:szCs w:val="44"/>
          <w:lang w:val="en-US" w:eastAsia="zh-CN" w:bidi="ar-SA"/>
        </w:rPr>
        <w:fldChar w:fldCharType="begin"/>
      </w:r>
      <w:r>
        <w:rPr>
          <w:rFonts w:ascii="Times New Roman" w:hAnsi="Times New Roman" w:eastAsia="宋体" w:cs="Times New Roman"/>
          <w:bCs/>
          <w:kern w:val="44"/>
          <w:sz w:val="24"/>
          <w:szCs w:val="44"/>
          <w:lang w:val="en-US" w:eastAsia="zh-CN" w:bidi="ar-SA"/>
        </w:rPr>
        <w:instrText xml:space="preserve"> PAGEREF _Toc23897 \h </w:instrText>
      </w:r>
      <w:r>
        <w:rPr>
          <w:rFonts w:ascii="Times New Roman" w:hAnsi="Times New Roman" w:eastAsia="宋体" w:cs="Times New Roman"/>
          <w:bCs/>
          <w:kern w:val="44"/>
          <w:sz w:val="24"/>
          <w:szCs w:val="44"/>
          <w:lang w:val="en-US" w:eastAsia="zh-CN" w:bidi="ar-SA"/>
        </w:rPr>
        <w:fldChar w:fldCharType="separate"/>
      </w:r>
      <w:r>
        <w:rPr>
          <w:rFonts w:ascii="Times New Roman" w:hAnsi="Times New Roman" w:eastAsia="宋体" w:cs="Times New Roman"/>
          <w:bCs/>
          <w:kern w:val="44"/>
          <w:sz w:val="24"/>
          <w:szCs w:val="44"/>
          <w:lang w:val="en-US" w:eastAsia="zh-CN" w:bidi="ar-SA"/>
        </w:rPr>
        <w:t>23</w:t>
      </w:r>
      <w:r>
        <w:rPr>
          <w:rFonts w:ascii="Times New Roman" w:hAnsi="Times New Roman" w:eastAsia="宋体" w:cs="Times New Roman"/>
          <w:bCs/>
          <w:kern w:val="44"/>
          <w:sz w:val="24"/>
          <w:szCs w:val="44"/>
          <w:lang w:val="en-US" w:eastAsia="zh-CN" w:bidi="ar-SA"/>
        </w:rPr>
        <w:fldChar w:fldCharType="end"/>
      </w:r>
      <w:r>
        <w:rPr>
          <w:rFonts w:hint="eastAsia" w:ascii="Times New Roman" w:hAnsi="Times New Roman" w:eastAsia="宋体" w:cs="Times New Roman"/>
          <w:bCs/>
          <w:kern w:val="44"/>
          <w:sz w:val="24"/>
          <w:szCs w:val="44"/>
          <w:lang w:val="en-US" w:eastAsia="zh-CN" w:bidi="ar-SA"/>
        </w:rPr>
        <w:fldChar w:fldCharType="end"/>
      </w:r>
    </w:p>
    <w:p w14:paraId="0127FA25">
      <w:pPr>
        <w:pStyle w:val="19"/>
        <w:tabs>
          <w:tab w:val="right" w:leader="dot" w:pos="9073"/>
        </w:tabs>
      </w:pPr>
      <w:r>
        <w:rPr>
          <w:rFonts w:hint="eastAsia" w:ascii="Times New Roman" w:hAnsi="Times New Roman" w:eastAsia="宋体" w:cs="Times New Roman"/>
          <w:bCs/>
          <w:kern w:val="44"/>
          <w:sz w:val="24"/>
          <w:szCs w:val="44"/>
          <w:lang w:val="en-US" w:eastAsia="zh-CN" w:bidi="ar-SA"/>
        </w:rPr>
        <w:fldChar w:fldCharType="begin"/>
      </w:r>
      <w:r>
        <w:rPr>
          <w:rFonts w:hint="eastAsia" w:ascii="Times New Roman" w:hAnsi="Times New Roman" w:eastAsia="宋体" w:cs="Times New Roman"/>
          <w:bCs/>
          <w:kern w:val="44"/>
          <w:sz w:val="24"/>
          <w:szCs w:val="44"/>
          <w:lang w:val="en-US" w:eastAsia="zh-CN" w:bidi="ar-SA"/>
        </w:rPr>
        <w:instrText xml:space="preserve"> HYPERLINK \l _Toc12505 </w:instrText>
      </w:r>
      <w:r>
        <w:rPr>
          <w:rFonts w:hint="eastAsia" w:ascii="Times New Roman" w:hAnsi="Times New Roman" w:eastAsia="宋体" w:cs="Times New Roman"/>
          <w:bCs/>
          <w:kern w:val="44"/>
          <w:sz w:val="24"/>
          <w:szCs w:val="44"/>
          <w:lang w:val="en-US" w:eastAsia="zh-CN" w:bidi="ar-SA"/>
        </w:rPr>
        <w:fldChar w:fldCharType="separate"/>
      </w:r>
      <w:r>
        <w:rPr>
          <w:rFonts w:ascii="Times New Roman" w:hAnsi="Times New Roman" w:eastAsia="宋体" w:cs="Times New Roman"/>
          <w:bCs/>
          <w:kern w:val="44"/>
          <w:sz w:val="24"/>
          <w:szCs w:val="44"/>
          <w:lang w:val="en-US" w:eastAsia="zh-CN" w:bidi="ar-SA"/>
        </w:rPr>
        <w:t>5.</w:t>
      </w:r>
      <w:r>
        <w:rPr>
          <w:rFonts w:hint="eastAsia" w:ascii="Times New Roman" w:hAnsi="Times New Roman" w:eastAsia="宋体" w:cs="Times New Roman"/>
          <w:bCs/>
          <w:kern w:val="44"/>
          <w:sz w:val="24"/>
          <w:szCs w:val="44"/>
          <w:lang w:val="en-US" w:eastAsia="zh-CN" w:bidi="ar-SA"/>
        </w:rPr>
        <w:t>5地基基础</w:t>
      </w:r>
      <w:r>
        <w:rPr>
          <w:rFonts w:ascii="Times New Roman" w:hAnsi="Times New Roman" w:eastAsia="宋体" w:cs="Times New Roman"/>
          <w:bCs/>
          <w:kern w:val="44"/>
          <w:sz w:val="24"/>
          <w:szCs w:val="44"/>
          <w:lang w:val="en-US" w:eastAsia="zh-CN" w:bidi="ar-SA"/>
        </w:rPr>
        <w:tab/>
      </w:r>
      <w:r>
        <w:rPr>
          <w:rFonts w:ascii="Times New Roman" w:hAnsi="Times New Roman" w:eastAsia="宋体" w:cs="Times New Roman"/>
          <w:bCs/>
          <w:kern w:val="44"/>
          <w:sz w:val="24"/>
          <w:szCs w:val="44"/>
          <w:lang w:val="en-US" w:eastAsia="zh-CN" w:bidi="ar-SA"/>
        </w:rPr>
        <w:fldChar w:fldCharType="begin"/>
      </w:r>
      <w:r>
        <w:rPr>
          <w:rFonts w:ascii="Times New Roman" w:hAnsi="Times New Roman" w:eastAsia="宋体" w:cs="Times New Roman"/>
          <w:bCs/>
          <w:kern w:val="44"/>
          <w:sz w:val="24"/>
          <w:szCs w:val="44"/>
          <w:lang w:val="en-US" w:eastAsia="zh-CN" w:bidi="ar-SA"/>
        </w:rPr>
        <w:instrText xml:space="preserve"> PAGEREF _Toc12505 \h </w:instrText>
      </w:r>
      <w:r>
        <w:rPr>
          <w:rFonts w:ascii="Times New Roman" w:hAnsi="Times New Roman" w:eastAsia="宋体" w:cs="Times New Roman"/>
          <w:bCs/>
          <w:kern w:val="44"/>
          <w:sz w:val="24"/>
          <w:szCs w:val="44"/>
          <w:lang w:val="en-US" w:eastAsia="zh-CN" w:bidi="ar-SA"/>
        </w:rPr>
        <w:fldChar w:fldCharType="separate"/>
      </w:r>
      <w:r>
        <w:rPr>
          <w:rFonts w:ascii="Times New Roman" w:hAnsi="Times New Roman" w:eastAsia="宋体" w:cs="Times New Roman"/>
          <w:bCs/>
          <w:kern w:val="44"/>
          <w:sz w:val="24"/>
          <w:szCs w:val="44"/>
          <w:lang w:val="en-US" w:eastAsia="zh-CN" w:bidi="ar-SA"/>
        </w:rPr>
        <w:t>27</w:t>
      </w:r>
      <w:r>
        <w:rPr>
          <w:rFonts w:ascii="Times New Roman" w:hAnsi="Times New Roman" w:eastAsia="宋体" w:cs="Times New Roman"/>
          <w:bCs/>
          <w:kern w:val="44"/>
          <w:sz w:val="24"/>
          <w:szCs w:val="44"/>
          <w:lang w:val="en-US" w:eastAsia="zh-CN" w:bidi="ar-SA"/>
        </w:rPr>
        <w:fldChar w:fldCharType="end"/>
      </w:r>
      <w:r>
        <w:rPr>
          <w:rFonts w:hint="eastAsia" w:ascii="Times New Roman" w:hAnsi="Times New Roman" w:eastAsia="宋体" w:cs="Times New Roman"/>
          <w:bCs/>
          <w:kern w:val="44"/>
          <w:sz w:val="24"/>
          <w:szCs w:val="44"/>
          <w:lang w:val="en-US" w:eastAsia="zh-CN" w:bidi="ar-SA"/>
        </w:rPr>
        <w:fldChar w:fldCharType="end"/>
      </w:r>
    </w:p>
    <w:p w14:paraId="65EEBE6B">
      <w:pPr>
        <w:pStyle w:val="19"/>
        <w:tabs>
          <w:tab w:val="right" w:leader="dot" w:pos="9073"/>
        </w:tabs>
      </w:pPr>
      <w:r>
        <w:rPr>
          <w:rFonts w:hint="eastAsia"/>
          <w:bCs w:val="0"/>
          <w:lang w:val="en-US" w:eastAsia="zh-CN"/>
        </w:rPr>
        <w:fldChar w:fldCharType="begin"/>
      </w:r>
      <w:r>
        <w:rPr>
          <w:rFonts w:hint="eastAsia"/>
          <w:bCs w:val="0"/>
          <w:lang w:val="en-US" w:eastAsia="zh-CN"/>
        </w:rPr>
        <w:instrText xml:space="preserve"> HYPERLINK \l _Toc24098 </w:instrText>
      </w:r>
      <w:r>
        <w:rPr>
          <w:rFonts w:hint="eastAsia"/>
          <w:bCs w:val="0"/>
          <w:lang w:val="en-US" w:eastAsia="zh-CN"/>
        </w:rPr>
        <w:fldChar w:fldCharType="separate"/>
      </w:r>
      <w:r>
        <w:rPr>
          <w:rFonts w:hint="eastAsia"/>
          <w:lang w:val="en-US" w:eastAsia="zh-CN"/>
        </w:rPr>
        <w:t>5.6连接与构造</w:t>
      </w:r>
      <w:r>
        <w:tab/>
      </w:r>
      <w:r>
        <w:fldChar w:fldCharType="begin"/>
      </w:r>
      <w:r>
        <w:instrText xml:space="preserve"> PAGEREF _Toc24098 \h </w:instrText>
      </w:r>
      <w:r>
        <w:fldChar w:fldCharType="separate"/>
      </w:r>
      <w:r>
        <w:t>28</w:t>
      </w:r>
      <w:r>
        <w:fldChar w:fldCharType="end"/>
      </w:r>
      <w:r>
        <w:rPr>
          <w:rFonts w:hint="eastAsia"/>
          <w:bCs w:val="0"/>
          <w:lang w:val="en-US" w:eastAsia="zh-CN"/>
        </w:rPr>
        <w:fldChar w:fldCharType="end"/>
      </w:r>
    </w:p>
    <w:p w14:paraId="0C407BBF">
      <w:pPr>
        <w:pStyle w:val="18"/>
        <w:tabs>
          <w:tab w:val="right" w:leader="dot" w:pos="9073"/>
        </w:tabs>
      </w:pPr>
      <w:r>
        <w:rPr>
          <w:rFonts w:hint="eastAsia"/>
          <w:bCs w:val="0"/>
          <w:lang w:val="en-US" w:eastAsia="zh-CN"/>
        </w:rPr>
        <w:fldChar w:fldCharType="begin"/>
      </w:r>
      <w:r>
        <w:rPr>
          <w:rFonts w:hint="eastAsia"/>
          <w:bCs w:val="0"/>
          <w:lang w:val="en-US" w:eastAsia="zh-CN"/>
        </w:rPr>
        <w:instrText xml:space="preserve"> HYPERLINK \l _Toc22490 </w:instrText>
      </w:r>
      <w:r>
        <w:rPr>
          <w:rFonts w:hint="eastAsia"/>
          <w:bCs w:val="0"/>
          <w:lang w:val="en-US" w:eastAsia="zh-CN"/>
        </w:rPr>
        <w:fldChar w:fldCharType="separate"/>
      </w:r>
      <w:r>
        <w:rPr>
          <w:rFonts w:hint="eastAsia"/>
          <w:lang w:val="en-US" w:eastAsia="zh-CN"/>
        </w:rPr>
        <w:t>6</w:t>
      </w:r>
      <w:r>
        <w:rPr>
          <w:lang w:eastAsia="zh-CN"/>
        </w:rPr>
        <w:t>模块</w:t>
      </w:r>
      <w:r>
        <w:rPr>
          <w:rFonts w:hint="eastAsia"/>
          <w:lang w:val="en-US" w:eastAsia="zh-CN"/>
        </w:rPr>
        <w:t>制作</w:t>
      </w:r>
      <w:r>
        <w:rPr>
          <w:lang w:eastAsia="zh-CN"/>
        </w:rPr>
        <w:t>与运输</w:t>
      </w:r>
      <w:r>
        <w:tab/>
      </w:r>
      <w:r>
        <w:fldChar w:fldCharType="begin"/>
      </w:r>
      <w:r>
        <w:instrText xml:space="preserve"> PAGEREF _Toc22490 \h </w:instrText>
      </w:r>
      <w:r>
        <w:fldChar w:fldCharType="separate"/>
      </w:r>
      <w:r>
        <w:t>34</w:t>
      </w:r>
      <w:r>
        <w:fldChar w:fldCharType="end"/>
      </w:r>
      <w:r>
        <w:rPr>
          <w:rFonts w:hint="eastAsia"/>
          <w:bCs w:val="0"/>
          <w:lang w:val="en-US" w:eastAsia="zh-CN"/>
        </w:rPr>
        <w:fldChar w:fldCharType="end"/>
      </w:r>
    </w:p>
    <w:p w14:paraId="41500FE7">
      <w:pPr>
        <w:pStyle w:val="19"/>
        <w:tabs>
          <w:tab w:val="right" w:leader="dot" w:pos="9073"/>
        </w:tabs>
        <w:rPr>
          <w:rFonts w:ascii="Times New Roman" w:hAnsi="Times New Roman" w:eastAsia="宋体" w:cs="Times New Roman"/>
          <w:bCs/>
          <w:kern w:val="44"/>
          <w:sz w:val="24"/>
          <w:szCs w:val="44"/>
          <w:lang w:val="en-US" w:eastAsia="zh-CN" w:bidi="ar-SA"/>
        </w:rPr>
      </w:pPr>
      <w:r>
        <w:rPr>
          <w:rFonts w:hint="eastAsia" w:ascii="Times New Roman" w:hAnsi="Times New Roman" w:eastAsia="宋体" w:cs="Times New Roman"/>
          <w:bCs/>
          <w:kern w:val="44"/>
          <w:sz w:val="24"/>
          <w:szCs w:val="44"/>
          <w:lang w:val="en-US" w:eastAsia="zh-CN" w:bidi="ar-SA"/>
        </w:rPr>
        <w:fldChar w:fldCharType="begin"/>
      </w:r>
      <w:r>
        <w:rPr>
          <w:rFonts w:hint="eastAsia" w:ascii="Times New Roman" w:hAnsi="Times New Roman" w:eastAsia="宋体" w:cs="Times New Roman"/>
          <w:bCs/>
          <w:kern w:val="44"/>
          <w:sz w:val="24"/>
          <w:szCs w:val="44"/>
          <w:lang w:val="en-US" w:eastAsia="zh-CN" w:bidi="ar-SA"/>
        </w:rPr>
        <w:instrText xml:space="preserve"> HYPERLINK \l _Toc15145 </w:instrText>
      </w:r>
      <w:r>
        <w:rPr>
          <w:rFonts w:hint="eastAsia" w:ascii="Times New Roman" w:hAnsi="Times New Roman" w:eastAsia="宋体" w:cs="Times New Roman"/>
          <w:bCs/>
          <w:kern w:val="44"/>
          <w:sz w:val="24"/>
          <w:szCs w:val="44"/>
          <w:lang w:val="en-US" w:eastAsia="zh-CN" w:bidi="ar-SA"/>
        </w:rPr>
        <w:fldChar w:fldCharType="separate"/>
      </w:r>
      <w:r>
        <w:rPr>
          <w:rFonts w:hint="eastAsia" w:ascii="Times New Roman" w:hAnsi="Times New Roman" w:eastAsia="宋体" w:cs="Times New Roman"/>
          <w:bCs/>
          <w:kern w:val="44"/>
          <w:sz w:val="24"/>
          <w:szCs w:val="44"/>
          <w:lang w:val="en-US" w:eastAsia="zh-CN" w:bidi="ar-SA"/>
        </w:rPr>
        <w:t>6</w:t>
      </w:r>
      <w:r>
        <w:rPr>
          <w:rFonts w:ascii="Times New Roman" w:hAnsi="Times New Roman" w:eastAsia="宋体" w:cs="Times New Roman"/>
          <w:bCs/>
          <w:kern w:val="44"/>
          <w:sz w:val="24"/>
          <w:szCs w:val="44"/>
          <w:lang w:val="en-US" w:eastAsia="zh-CN" w:bidi="ar-SA"/>
        </w:rPr>
        <w:t>.1一般规定</w:t>
      </w:r>
      <w:r>
        <w:rPr>
          <w:rFonts w:ascii="Times New Roman" w:hAnsi="Times New Roman" w:eastAsia="宋体" w:cs="Times New Roman"/>
          <w:bCs/>
          <w:kern w:val="44"/>
          <w:sz w:val="24"/>
          <w:szCs w:val="44"/>
          <w:lang w:val="en-US" w:eastAsia="zh-CN" w:bidi="ar-SA"/>
        </w:rPr>
        <w:tab/>
      </w:r>
      <w:r>
        <w:rPr>
          <w:rFonts w:ascii="Times New Roman" w:hAnsi="Times New Roman" w:eastAsia="宋体" w:cs="Times New Roman"/>
          <w:bCs/>
          <w:kern w:val="44"/>
          <w:sz w:val="24"/>
          <w:szCs w:val="44"/>
          <w:lang w:val="en-US" w:eastAsia="zh-CN" w:bidi="ar-SA"/>
        </w:rPr>
        <w:fldChar w:fldCharType="begin"/>
      </w:r>
      <w:r>
        <w:rPr>
          <w:rFonts w:ascii="Times New Roman" w:hAnsi="Times New Roman" w:eastAsia="宋体" w:cs="Times New Roman"/>
          <w:bCs/>
          <w:kern w:val="44"/>
          <w:sz w:val="24"/>
          <w:szCs w:val="44"/>
          <w:lang w:val="en-US" w:eastAsia="zh-CN" w:bidi="ar-SA"/>
        </w:rPr>
        <w:instrText xml:space="preserve"> PAGEREF _Toc15145 \h </w:instrText>
      </w:r>
      <w:r>
        <w:rPr>
          <w:rFonts w:ascii="Times New Roman" w:hAnsi="Times New Roman" w:eastAsia="宋体" w:cs="Times New Roman"/>
          <w:bCs/>
          <w:kern w:val="44"/>
          <w:sz w:val="24"/>
          <w:szCs w:val="44"/>
          <w:lang w:val="en-US" w:eastAsia="zh-CN" w:bidi="ar-SA"/>
        </w:rPr>
        <w:fldChar w:fldCharType="separate"/>
      </w:r>
      <w:r>
        <w:rPr>
          <w:rFonts w:ascii="Times New Roman" w:hAnsi="Times New Roman" w:eastAsia="宋体" w:cs="Times New Roman"/>
          <w:bCs/>
          <w:kern w:val="44"/>
          <w:sz w:val="24"/>
          <w:szCs w:val="44"/>
          <w:lang w:val="en-US" w:eastAsia="zh-CN" w:bidi="ar-SA"/>
        </w:rPr>
        <w:t>34</w:t>
      </w:r>
      <w:r>
        <w:rPr>
          <w:rFonts w:ascii="Times New Roman" w:hAnsi="Times New Roman" w:eastAsia="宋体" w:cs="Times New Roman"/>
          <w:bCs/>
          <w:kern w:val="44"/>
          <w:sz w:val="24"/>
          <w:szCs w:val="44"/>
          <w:lang w:val="en-US" w:eastAsia="zh-CN" w:bidi="ar-SA"/>
        </w:rPr>
        <w:fldChar w:fldCharType="end"/>
      </w:r>
      <w:r>
        <w:rPr>
          <w:rFonts w:hint="eastAsia" w:ascii="Times New Roman" w:hAnsi="Times New Roman" w:eastAsia="宋体" w:cs="Times New Roman"/>
          <w:bCs/>
          <w:kern w:val="44"/>
          <w:sz w:val="24"/>
          <w:szCs w:val="44"/>
          <w:lang w:val="en-US" w:eastAsia="zh-CN" w:bidi="ar-SA"/>
        </w:rPr>
        <w:fldChar w:fldCharType="end"/>
      </w:r>
    </w:p>
    <w:p w14:paraId="5A4A69AD">
      <w:pPr>
        <w:pStyle w:val="19"/>
        <w:tabs>
          <w:tab w:val="right" w:leader="dot" w:pos="9073"/>
        </w:tabs>
      </w:pPr>
      <w:r>
        <w:rPr>
          <w:rFonts w:hint="eastAsia" w:ascii="Times New Roman" w:hAnsi="Times New Roman" w:eastAsia="宋体" w:cs="Times New Roman"/>
          <w:bCs/>
          <w:kern w:val="44"/>
          <w:sz w:val="24"/>
          <w:szCs w:val="44"/>
          <w:lang w:val="en-US" w:eastAsia="zh-CN" w:bidi="ar-SA"/>
        </w:rPr>
        <w:fldChar w:fldCharType="begin"/>
      </w:r>
      <w:r>
        <w:rPr>
          <w:rFonts w:hint="eastAsia" w:ascii="Times New Roman" w:hAnsi="Times New Roman" w:eastAsia="宋体" w:cs="Times New Roman"/>
          <w:bCs/>
          <w:kern w:val="44"/>
          <w:sz w:val="24"/>
          <w:szCs w:val="44"/>
          <w:lang w:val="en-US" w:eastAsia="zh-CN" w:bidi="ar-SA"/>
        </w:rPr>
        <w:instrText xml:space="preserve"> HYPERLINK \l _Toc24652 </w:instrText>
      </w:r>
      <w:r>
        <w:rPr>
          <w:rFonts w:hint="eastAsia" w:ascii="Times New Roman" w:hAnsi="Times New Roman" w:eastAsia="宋体" w:cs="Times New Roman"/>
          <w:bCs/>
          <w:kern w:val="44"/>
          <w:sz w:val="24"/>
          <w:szCs w:val="44"/>
          <w:lang w:val="en-US" w:eastAsia="zh-CN" w:bidi="ar-SA"/>
        </w:rPr>
        <w:fldChar w:fldCharType="separate"/>
      </w:r>
      <w:r>
        <w:rPr>
          <w:rFonts w:hint="eastAsia" w:ascii="Times New Roman" w:hAnsi="Times New Roman" w:eastAsia="宋体" w:cs="Times New Roman"/>
          <w:bCs/>
          <w:kern w:val="44"/>
          <w:sz w:val="24"/>
          <w:szCs w:val="44"/>
          <w:lang w:val="en-US" w:eastAsia="zh-CN" w:bidi="ar-SA"/>
        </w:rPr>
        <w:t>6.2制作与验收</w:t>
      </w:r>
      <w:r>
        <w:rPr>
          <w:rFonts w:ascii="Times New Roman" w:hAnsi="Times New Roman" w:eastAsia="宋体" w:cs="Times New Roman"/>
          <w:bCs/>
          <w:kern w:val="44"/>
          <w:sz w:val="24"/>
          <w:szCs w:val="44"/>
          <w:lang w:val="en-US" w:eastAsia="zh-CN" w:bidi="ar-SA"/>
        </w:rPr>
        <w:tab/>
      </w:r>
      <w:r>
        <w:rPr>
          <w:rFonts w:ascii="Times New Roman" w:hAnsi="Times New Roman" w:eastAsia="宋体" w:cs="Times New Roman"/>
          <w:bCs/>
          <w:kern w:val="44"/>
          <w:sz w:val="24"/>
          <w:szCs w:val="44"/>
          <w:lang w:val="en-US" w:eastAsia="zh-CN" w:bidi="ar-SA"/>
        </w:rPr>
        <w:fldChar w:fldCharType="begin"/>
      </w:r>
      <w:r>
        <w:rPr>
          <w:rFonts w:ascii="Times New Roman" w:hAnsi="Times New Roman" w:eastAsia="宋体" w:cs="Times New Roman"/>
          <w:bCs/>
          <w:kern w:val="44"/>
          <w:sz w:val="24"/>
          <w:szCs w:val="44"/>
          <w:lang w:val="en-US" w:eastAsia="zh-CN" w:bidi="ar-SA"/>
        </w:rPr>
        <w:instrText xml:space="preserve"> PAGEREF _Toc24652 \h </w:instrText>
      </w:r>
      <w:r>
        <w:rPr>
          <w:rFonts w:ascii="Times New Roman" w:hAnsi="Times New Roman" w:eastAsia="宋体" w:cs="Times New Roman"/>
          <w:bCs/>
          <w:kern w:val="44"/>
          <w:sz w:val="24"/>
          <w:szCs w:val="44"/>
          <w:lang w:val="en-US" w:eastAsia="zh-CN" w:bidi="ar-SA"/>
        </w:rPr>
        <w:fldChar w:fldCharType="separate"/>
      </w:r>
      <w:r>
        <w:rPr>
          <w:rFonts w:ascii="Times New Roman" w:hAnsi="Times New Roman" w:eastAsia="宋体" w:cs="Times New Roman"/>
          <w:bCs/>
          <w:kern w:val="44"/>
          <w:sz w:val="24"/>
          <w:szCs w:val="44"/>
          <w:lang w:val="en-US" w:eastAsia="zh-CN" w:bidi="ar-SA"/>
        </w:rPr>
        <w:t>34</w:t>
      </w:r>
      <w:r>
        <w:rPr>
          <w:rFonts w:ascii="Times New Roman" w:hAnsi="Times New Roman" w:eastAsia="宋体" w:cs="Times New Roman"/>
          <w:bCs/>
          <w:kern w:val="44"/>
          <w:sz w:val="24"/>
          <w:szCs w:val="44"/>
          <w:lang w:val="en-US" w:eastAsia="zh-CN" w:bidi="ar-SA"/>
        </w:rPr>
        <w:fldChar w:fldCharType="end"/>
      </w:r>
      <w:r>
        <w:rPr>
          <w:rFonts w:hint="eastAsia" w:ascii="Times New Roman" w:hAnsi="Times New Roman" w:eastAsia="宋体" w:cs="Times New Roman"/>
          <w:bCs/>
          <w:kern w:val="44"/>
          <w:sz w:val="24"/>
          <w:szCs w:val="44"/>
          <w:lang w:val="en-US" w:eastAsia="zh-CN" w:bidi="ar-SA"/>
        </w:rPr>
        <w:fldChar w:fldCharType="end"/>
      </w:r>
    </w:p>
    <w:p w14:paraId="1B4012F4">
      <w:pPr>
        <w:pStyle w:val="19"/>
        <w:tabs>
          <w:tab w:val="right" w:leader="dot" w:pos="9073"/>
        </w:tabs>
      </w:pPr>
      <w:r>
        <w:rPr>
          <w:rFonts w:hint="eastAsia"/>
          <w:bCs w:val="0"/>
          <w:lang w:val="en-US" w:eastAsia="zh-CN"/>
        </w:rPr>
        <w:fldChar w:fldCharType="begin"/>
      </w:r>
      <w:r>
        <w:rPr>
          <w:rFonts w:hint="eastAsia"/>
          <w:bCs w:val="0"/>
          <w:lang w:val="en-US" w:eastAsia="zh-CN"/>
        </w:rPr>
        <w:instrText xml:space="preserve"> HYPERLINK \l _Toc610 </w:instrText>
      </w:r>
      <w:r>
        <w:rPr>
          <w:rFonts w:hint="eastAsia"/>
          <w:bCs w:val="0"/>
          <w:lang w:val="en-US" w:eastAsia="zh-CN"/>
        </w:rPr>
        <w:fldChar w:fldCharType="separate"/>
      </w:r>
      <w:r>
        <w:rPr>
          <w:rFonts w:hint="eastAsia"/>
          <w:lang w:val="en-US" w:eastAsia="zh-CN"/>
        </w:rPr>
        <w:t>6</w:t>
      </w:r>
      <w:r>
        <w:rPr>
          <w:lang w:eastAsia="zh-CN"/>
        </w:rPr>
        <w:t>.</w:t>
      </w:r>
      <w:r>
        <w:rPr>
          <w:rFonts w:hint="eastAsia"/>
          <w:lang w:val="en-US" w:eastAsia="zh-CN"/>
        </w:rPr>
        <w:t>3</w:t>
      </w:r>
      <w:r>
        <w:rPr>
          <w:rFonts w:hint="eastAsia"/>
          <w:lang w:eastAsia="zh-CN"/>
        </w:rPr>
        <w:t>运输与堆放</w:t>
      </w:r>
      <w:r>
        <w:tab/>
      </w:r>
      <w:r>
        <w:fldChar w:fldCharType="begin"/>
      </w:r>
      <w:r>
        <w:instrText xml:space="preserve"> PAGEREF _Toc610 \h </w:instrText>
      </w:r>
      <w:r>
        <w:fldChar w:fldCharType="separate"/>
      </w:r>
      <w:r>
        <w:t>38</w:t>
      </w:r>
      <w:r>
        <w:fldChar w:fldCharType="end"/>
      </w:r>
      <w:r>
        <w:rPr>
          <w:rFonts w:hint="eastAsia"/>
          <w:bCs w:val="0"/>
          <w:lang w:val="en-US" w:eastAsia="zh-CN"/>
        </w:rPr>
        <w:fldChar w:fldCharType="end"/>
      </w:r>
    </w:p>
    <w:p w14:paraId="6587CF46">
      <w:pPr>
        <w:pStyle w:val="18"/>
        <w:tabs>
          <w:tab w:val="right" w:leader="dot" w:pos="9073"/>
        </w:tabs>
      </w:pPr>
      <w:r>
        <w:rPr>
          <w:rFonts w:hint="eastAsia"/>
          <w:bCs w:val="0"/>
          <w:lang w:val="en-US" w:eastAsia="zh-CN"/>
        </w:rPr>
        <w:fldChar w:fldCharType="begin"/>
      </w:r>
      <w:r>
        <w:rPr>
          <w:rFonts w:hint="eastAsia"/>
          <w:bCs w:val="0"/>
          <w:lang w:val="en-US" w:eastAsia="zh-CN"/>
        </w:rPr>
        <w:instrText xml:space="preserve"> HYPERLINK \l _Toc11152 </w:instrText>
      </w:r>
      <w:r>
        <w:rPr>
          <w:rFonts w:hint="eastAsia"/>
          <w:bCs w:val="0"/>
          <w:lang w:val="en-US" w:eastAsia="zh-CN"/>
        </w:rPr>
        <w:fldChar w:fldCharType="separate"/>
      </w:r>
      <w:r>
        <w:rPr>
          <w:rFonts w:hint="eastAsia"/>
          <w:lang w:val="en-US" w:eastAsia="zh-CN"/>
        </w:rPr>
        <w:t>7</w:t>
      </w:r>
      <w:r>
        <w:rPr>
          <w:lang w:eastAsia="zh-CN"/>
        </w:rPr>
        <w:t>施工</w:t>
      </w:r>
      <w:r>
        <w:tab/>
      </w:r>
      <w:r>
        <w:fldChar w:fldCharType="begin"/>
      </w:r>
      <w:r>
        <w:instrText xml:space="preserve"> PAGEREF _Toc11152 \h </w:instrText>
      </w:r>
      <w:r>
        <w:fldChar w:fldCharType="separate"/>
      </w:r>
      <w:r>
        <w:t>40</w:t>
      </w:r>
      <w:r>
        <w:fldChar w:fldCharType="end"/>
      </w:r>
      <w:r>
        <w:rPr>
          <w:rFonts w:hint="eastAsia"/>
          <w:bCs w:val="0"/>
          <w:lang w:val="en-US" w:eastAsia="zh-CN"/>
        </w:rPr>
        <w:fldChar w:fldCharType="end"/>
      </w:r>
    </w:p>
    <w:p w14:paraId="0452BF8D">
      <w:pPr>
        <w:pStyle w:val="19"/>
        <w:tabs>
          <w:tab w:val="right" w:leader="dot" w:pos="9073"/>
        </w:tabs>
      </w:pPr>
      <w:r>
        <w:rPr>
          <w:rFonts w:hint="eastAsia"/>
          <w:bCs w:val="0"/>
          <w:lang w:val="en-US" w:eastAsia="zh-CN"/>
        </w:rPr>
        <w:fldChar w:fldCharType="begin"/>
      </w:r>
      <w:r>
        <w:rPr>
          <w:rFonts w:hint="eastAsia"/>
          <w:bCs w:val="0"/>
          <w:lang w:val="en-US" w:eastAsia="zh-CN"/>
        </w:rPr>
        <w:instrText xml:space="preserve"> HYPERLINK \l _Toc30183 </w:instrText>
      </w:r>
      <w:r>
        <w:rPr>
          <w:rFonts w:hint="eastAsia"/>
          <w:bCs w:val="0"/>
          <w:lang w:val="en-US" w:eastAsia="zh-CN"/>
        </w:rPr>
        <w:fldChar w:fldCharType="separate"/>
      </w:r>
      <w:r>
        <w:rPr>
          <w:rFonts w:hint="eastAsia"/>
          <w:lang w:val="en-US" w:eastAsia="zh-CN"/>
        </w:rPr>
        <w:t>7</w:t>
      </w:r>
      <w:r>
        <w:rPr>
          <w:rFonts w:hint="eastAsia"/>
          <w:lang w:eastAsia="zh-CN"/>
        </w:rPr>
        <w:t>.1一般规定</w:t>
      </w:r>
      <w:r>
        <w:tab/>
      </w:r>
      <w:r>
        <w:fldChar w:fldCharType="begin"/>
      </w:r>
      <w:r>
        <w:instrText xml:space="preserve"> PAGEREF _Toc30183 \h </w:instrText>
      </w:r>
      <w:r>
        <w:fldChar w:fldCharType="separate"/>
      </w:r>
      <w:r>
        <w:t>40</w:t>
      </w:r>
      <w:r>
        <w:fldChar w:fldCharType="end"/>
      </w:r>
      <w:r>
        <w:rPr>
          <w:rFonts w:hint="eastAsia"/>
          <w:bCs w:val="0"/>
          <w:lang w:val="en-US" w:eastAsia="zh-CN"/>
        </w:rPr>
        <w:fldChar w:fldCharType="end"/>
      </w:r>
    </w:p>
    <w:p w14:paraId="421BC9A1">
      <w:pPr>
        <w:pStyle w:val="19"/>
        <w:tabs>
          <w:tab w:val="right" w:leader="dot" w:pos="9073"/>
        </w:tabs>
      </w:pPr>
      <w:r>
        <w:rPr>
          <w:rFonts w:hint="eastAsia"/>
          <w:bCs w:val="0"/>
          <w:lang w:val="en-US" w:eastAsia="zh-CN"/>
        </w:rPr>
        <w:fldChar w:fldCharType="begin"/>
      </w:r>
      <w:r>
        <w:rPr>
          <w:rFonts w:hint="eastAsia"/>
          <w:bCs w:val="0"/>
          <w:lang w:val="en-US" w:eastAsia="zh-CN"/>
        </w:rPr>
        <w:instrText xml:space="preserve"> HYPERLINK \l _Toc10412 </w:instrText>
      </w:r>
      <w:r>
        <w:rPr>
          <w:rFonts w:hint="eastAsia"/>
          <w:bCs w:val="0"/>
          <w:lang w:val="en-US" w:eastAsia="zh-CN"/>
        </w:rPr>
        <w:fldChar w:fldCharType="separate"/>
      </w:r>
      <w:r>
        <w:rPr>
          <w:rFonts w:hint="eastAsia" w:eastAsia="Times New Roman" w:cs="Times New Roman"/>
          <w:bCs w:val="0"/>
          <w:spacing w:val="-3"/>
          <w:lang w:val="en-US" w:eastAsia="zh-CN"/>
        </w:rPr>
        <w:t>7</w:t>
      </w:r>
      <w:r>
        <w:rPr>
          <w:rFonts w:ascii="宋体" w:hAnsi="宋体" w:eastAsia="宋体" w:cs="宋体"/>
          <w:bCs w:val="0"/>
          <w:spacing w:val="-3"/>
          <w:lang w:eastAsia="zh-CN"/>
        </w:rPr>
        <w:t>.</w:t>
      </w:r>
      <w:r>
        <w:rPr>
          <w:rFonts w:ascii="Times New Roman" w:hAnsi="Times New Roman" w:eastAsia="Times New Roman" w:cs="Times New Roman"/>
          <w:bCs w:val="0"/>
          <w:spacing w:val="-3"/>
          <w:lang w:eastAsia="zh-CN"/>
        </w:rPr>
        <w:t>2</w:t>
      </w:r>
      <w:r>
        <w:rPr>
          <w:rFonts w:hint="eastAsia" w:ascii="黑体" w:hAnsi="黑体" w:cs="黑体"/>
          <w:bCs w:val="0"/>
          <w:spacing w:val="-3"/>
          <w:lang w:val="en-US" w:eastAsia="zh-CN"/>
        </w:rPr>
        <w:t>安装与连接</w:t>
      </w:r>
      <w:r>
        <w:tab/>
      </w:r>
      <w:r>
        <w:fldChar w:fldCharType="begin"/>
      </w:r>
      <w:r>
        <w:instrText xml:space="preserve"> PAGEREF _Toc10412 \h </w:instrText>
      </w:r>
      <w:r>
        <w:fldChar w:fldCharType="separate"/>
      </w:r>
      <w:r>
        <w:t>40</w:t>
      </w:r>
      <w:r>
        <w:fldChar w:fldCharType="end"/>
      </w:r>
      <w:r>
        <w:rPr>
          <w:rFonts w:hint="eastAsia"/>
          <w:bCs w:val="0"/>
          <w:lang w:val="en-US" w:eastAsia="zh-CN"/>
        </w:rPr>
        <w:fldChar w:fldCharType="end"/>
      </w:r>
    </w:p>
    <w:p w14:paraId="585D9D65">
      <w:pPr>
        <w:pStyle w:val="19"/>
        <w:tabs>
          <w:tab w:val="right" w:leader="dot" w:pos="9073"/>
        </w:tabs>
      </w:pPr>
      <w:r>
        <w:rPr>
          <w:rFonts w:hint="eastAsia"/>
          <w:bCs w:val="0"/>
          <w:lang w:val="en-US" w:eastAsia="zh-CN"/>
        </w:rPr>
        <w:fldChar w:fldCharType="begin"/>
      </w:r>
      <w:r>
        <w:rPr>
          <w:rFonts w:hint="eastAsia"/>
          <w:bCs w:val="0"/>
          <w:lang w:val="en-US" w:eastAsia="zh-CN"/>
        </w:rPr>
        <w:instrText xml:space="preserve"> HYPERLINK \l _Toc28847 </w:instrText>
      </w:r>
      <w:r>
        <w:rPr>
          <w:rFonts w:hint="eastAsia"/>
          <w:bCs w:val="0"/>
          <w:lang w:val="en-US" w:eastAsia="zh-CN"/>
        </w:rPr>
        <w:fldChar w:fldCharType="separate"/>
      </w:r>
      <w:r>
        <w:rPr>
          <w:rFonts w:hint="eastAsia"/>
          <w:lang w:val="en-US" w:eastAsia="zh-CN"/>
        </w:rPr>
        <w:t>7</w:t>
      </w:r>
      <w:r>
        <w:rPr>
          <w:lang w:eastAsia="zh-CN"/>
        </w:rPr>
        <w:t>.</w:t>
      </w:r>
      <w:r>
        <w:rPr>
          <w:rFonts w:hint="eastAsia"/>
          <w:lang w:val="en-US" w:eastAsia="zh-CN"/>
        </w:rPr>
        <w:t>3</w:t>
      </w:r>
      <w:r>
        <w:rPr>
          <w:lang w:eastAsia="zh-CN"/>
        </w:rPr>
        <w:t>接缝处理</w:t>
      </w:r>
      <w:r>
        <w:tab/>
      </w:r>
      <w:r>
        <w:fldChar w:fldCharType="begin"/>
      </w:r>
      <w:r>
        <w:instrText xml:space="preserve"> PAGEREF _Toc28847 \h </w:instrText>
      </w:r>
      <w:r>
        <w:fldChar w:fldCharType="separate"/>
      </w:r>
      <w:r>
        <w:t>44</w:t>
      </w:r>
      <w:r>
        <w:fldChar w:fldCharType="end"/>
      </w:r>
      <w:r>
        <w:rPr>
          <w:rFonts w:hint="eastAsia"/>
          <w:bCs w:val="0"/>
          <w:lang w:val="en-US" w:eastAsia="zh-CN"/>
        </w:rPr>
        <w:fldChar w:fldCharType="end"/>
      </w:r>
    </w:p>
    <w:p w14:paraId="618C4622">
      <w:pPr>
        <w:pStyle w:val="19"/>
        <w:tabs>
          <w:tab w:val="right" w:leader="dot" w:pos="9073"/>
        </w:tabs>
      </w:pPr>
      <w:r>
        <w:rPr>
          <w:rFonts w:hint="eastAsia"/>
          <w:bCs w:val="0"/>
          <w:lang w:val="en-US" w:eastAsia="zh-CN"/>
        </w:rPr>
        <w:fldChar w:fldCharType="begin"/>
      </w:r>
      <w:r>
        <w:rPr>
          <w:rFonts w:hint="eastAsia"/>
          <w:bCs w:val="0"/>
          <w:lang w:val="en-US" w:eastAsia="zh-CN"/>
        </w:rPr>
        <w:instrText xml:space="preserve"> HYPERLINK \l _Toc30367 </w:instrText>
      </w:r>
      <w:r>
        <w:rPr>
          <w:rFonts w:hint="eastAsia"/>
          <w:bCs w:val="0"/>
          <w:lang w:val="en-US" w:eastAsia="zh-CN"/>
        </w:rPr>
        <w:fldChar w:fldCharType="separate"/>
      </w:r>
      <w:r>
        <w:rPr>
          <w:rFonts w:hint="eastAsia"/>
          <w:lang w:val="en-US" w:eastAsia="zh-CN"/>
        </w:rPr>
        <w:t>7</w:t>
      </w:r>
      <w:r>
        <w:rPr>
          <w:lang w:eastAsia="zh-CN"/>
        </w:rPr>
        <w:t>.</w:t>
      </w:r>
      <w:r>
        <w:rPr>
          <w:rFonts w:hint="eastAsia"/>
          <w:lang w:val="en-US" w:eastAsia="zh-CN"/>
        </w:rPr>
        <w:t>4</w:t>
      </w:r>
      <w:r>
        <w:rPr>
          <w:lang w:eastAsia="zh-CN"/>
        </w:rPr>
        <w:t>安全与</w:t>
      </w:r>
      <w:r>
        <w:rPr>
          <w:rFonts w:hint="eastAsia"/>
          <w:lang w:val="en-US" w:eastAsia="zh-CN"/>
        </w:rPr>
        <w:t>绿色施工</w:t>
      </w:r>
      <w:r>
        <w:tab/>
      </w:r>
      <w:r>
        <w:fldChar w:fldCharType="begin"/>
      </w:r>
      <w:r>
        <w:instrText xml:space="preserve"> PAGEREF _Toc30367 \h </w:instrText>
      </w:r>
      <w:r>
        <w:fldChar w:fldCharType="separate"/>
      </w:r>
      <w:r>
        <w:t>44</w:t>
      </w:r>
      <w:r>
        <w:fldChar w:fldCharType="end"/>
      </w:r>
      <w:r>
        <w:rPr>
          <w:rFonts w:hint="eastAsia"/>
          <w:bCs w:val="0"/>
          <w:lang w:val="en-US" w:eastAsia="zh-CN"/>
        </w:rPr>
        <w:fldChar w:fldCharType="end"/>
      </w:r>
    </w:p>
    <w:p w14:paraId="0C17E004">
      <w:pPr>
        <w:pStyle w:val="18"/>
        <w:tabs>
          <w:tab w:val="right" w:leader="dot" w:pos="9073"/>
        </w:tabs>
      </w:pPr>
      <w:r>
        <w:rPr>
          <w:rFonts w:hint="eastAsia"/>
          <w:bCs w:val="0"/>
          <w:lang w:val="en-US" w:eastAsia="zh-CN"/>
        </w:rPr>
        <w:fldChar w:fldCharType="begin"/>
      </w:r>
      <w:r>
        <w:rPr>
          <w:rFonts w:hint="eastAsia"/>
          <w:bCs w:val="0"/>
          <w:lang w:val="en-US" w:eastAsia="zh-CN"/>
        </w:rPr>
        <w:instrText xml:space="preserve"> HYPERLINK \l _Toc3608 </w:instrText>
      </w:r>
      <w:r>
        <w:rPr>
          <w:rFonts w:hint="eastAsia"/>
          <w:bCs w:val="0"/>
          <w:lang w:val="en-US" w:eastAsia="zh-CN"/>
        </w:rPr>
        <w:fldChar w:fldCharType="separate"/>
      </w:r>
      <w:r>
        <w:rPr>
          <w:rFonts w:hint="eastAsia"/>
          <w:lang w:val="en-US" w:eastAsia="zh-CN"/>
        </w:rPr>
        <w:t>8</w:t>
      </w:r>
      <w:r>
        <w:rPr>
          <w:lang w:eastAsia="zh-CN"/>
        </w:rPr>
        <w:t>质量验收</w:t>
      </w:r>
      <w:r>
        <w:tab/>
      </w:r>
      <w:r>
        <w:fldChar w:fldCharType="begin"/>
      </w:r>
      <w:r>
        <w:instrText xml:space="preserve"> PAGEREF _Toc3608 \h </w:instrText>
      </w:r>
      <w:r>
        <w:fldChar w:fldCharType="separate"/>
      </w:r>
      <w:r>
        <w:t>46</w:t>
      </w:r>
      <w:r>
        <w:fldChar w:fldCharType="end"/>
      </w:r>
      <w:r>
        <w:rPr>
          <w:rFonts w:hint="eastAsia"/>
          <w:bCs w:val="0"/>
          <w:lang w:val="en-US" w:eastAsia="zh-CN"/>
        </w:rPr>
        <w:fldChar w:fldCharType="end"/>
      </w:r>
    </w:p>
    <w:p w14:paraId="00D8543B">
      <w:pPr>
        <w:pStyle w:val="19"/>
        <w:tabs>
          <w:tab w:val="right" w:leader="dot" w:pos="9073"/>
        </w:tabs>
      </w:pPr>
      <w:r>
        <w:rPr>
          <w:rFonts w:hint="eastAsia"/>
          <w:bCs w:val="0"/>
          <w:lang w:val="en-US" w:eastAsia="zh-CN"/>
        </w:rPr>
        <w:fldChar w:fldCharType="begin"/>
      </w:r>
      <w:r>
        <w:rPr>
          <w:rFonts w:hint="eastAsia"/>
          <w:bCs w:val="0"/>
          <w:lang w:val="en-US" w:eastAsia="zh-CN"/>
        </w:rPr>
        <w:instrText xml:space="preserve"> HYPERLINK \l _Toc16957 </w:instrText>
      </w:r>
      <w:r>
        <w:rPr>
          <w:rFonts w:hint="eastAsia"/>
          <w:bCs w:val="0"/>
          <w:lang w:val="en-US" w:eastAsia="zh-CN"/>
        </w:rPr>
        <w:fldChar w:fldCharType="separate"/>
      </w:r>
      <w:r>
        <w:rPr>
          <w:rFonts w:hint="eastAsia"/>
          <w:lang w:val="en-US" w:eastAsia="zh-CN"/>
        </w:rPr>
        <w:t>8</w:t>
      </w:r>
      <w:r>
        <w:rPr>
          <w:lang w:eastAsia="zh-CN"/>
        </w:rPr>
        <w:t>.1一般规定</w:t>
      </w:r>
      <w:r>
        <w:tab/>
      </w:r>
      <w:r>
        <w:fldChar w:fldCharType="begin"/>
      </w:r>
      <w:r>
        <w:instrText xml:space="preserve"> PAGEREF _Toc16957 \h </w:instrText>
      </w:r>
      <w:r>
        <w:fldChar w:fldCharType="separate"/>
      </w:r>
      <w:r>
        <w:t>46</w:t>
      </w:r>
      <w:r>
        <w:fldChar w:fldCharType="end"/>
      </w:r>
      <w:r>
        <w:rPr>
          <w:rFonts w:hint="eastAsia"/>
          <w:bCs w:val="0"/>
          <w:lang w:val="en-US" w:eastAsia="zh-CN"/>
        </w:rPr>
        <w:fldChar w:fldCharType="end"/>
      </w:r>
    </w:p>
    <w:p w14:paraId="38485BF5">
      <w:pPr>
        <w:pStyle w:val="19"/>
        <w:tabs>
          <w:tab w:val="right" w:leader="dot" w:pos="9073"/>
        </w:tabs>
      </w:pPr>
      <w:r>
        <w:rPr>
          <w:rFonts w:hint="eastAsia"/>
          <w:bCs w:val="0"/>
          <w:lang w:val="en-US" w:eastAsia="zh-CN"/>
        </w:rPr>
        <w:fldChar w:fldCharType="begin"/>
      </w:r>
      <w:r>
        <w:rPr>
          <w:rFonts w:hint="eastAsia"/>
          <w:bCs w:val="0"/>
          <w:lang w:val="en-US" w:eastAsia="zh-CN"/>
        </w:rPr>
        <w:instrText xml:space="preserve"> HYPERLINK \l _Toc4815 </w:instrText>
      </w:r>
      <w:r>
        <w:rPr>
          <w:rFonts w:hint="eastAsia"/>
          <w:bCs w:val="0"/>
          <w:lang w:val="en-US" w:eastAsia="zh-CN"/>
        </w:rPr>
        <w:fldChar w:fldCharType="separate"/>
      </w:r>
      <w:r>
        <w:rPr>
          <w:rFonts w:hint="eastAsia"/>
          <w:lang w:val="en-US" w:eastAsia="zh-CN"/>
        </w:rPr>
        <w:t>8</w:t>
      </w:r>
      <w:r>
        <w:rPr>
          <w:lang w:eastAsia="zh-CN"/>
        </w:rPr>
        <w:t>.</w:t>
      </w:r>
      <w:r>
        <w:rPr>
          <w:rFonts w:hint="eastAsia"/>
          <w:lang w:val="en-US" w:eastAsia="zh-CN"/>
        </w:rPr>
        <w:t>2</w:t>
      </w:r>
      <w:r>
        <w:rPr>
          <w:rFonts w:hint="eastAsia"/>
          <w:lang w:eastAsia="zh-CN"/>
        </w:rPr>
        <w:t>主控项目</w:t>
      </w:r>
      <w:r>
        <w:tab/>
      </w:r>
      <w:r>
        <w:fldChar w:fldCharType="begin"/>
      </w:r>
      <w:r>
        <w:instrText xml:space="preserve"> PAGEREF _Toc4815 \h </w:instrText>
      </w:r>
      <w:r>
        <w:fldChar w:fldCharType="separate"/>
      </w:r>
      <w:r>
        <w:t>47</w:t>
      </w:r>
      <w:r>
        <w:fldChar w:fldCharType="end"/>
      </w:r>
      <w:r>
        <w:rPr>
          <w:rFonts w:hint="eastAsia"/>
          <w:bCs w:val="0"/>
          <w:lang w:val="en-US" w:eastAsia="zh-CN"/>
        </w:rPr>
        <w:fldChar w:fldCharType="end"/>
      </w:r>
    </w:p>
    <w:p w14:paraId="015246FE">
      <w:pPr>
        <w:pStyle w:val="19"/>
        <w:tabs>
          <w:tab w:val="right" w:leader="dot" w:pos="9073"/>
        </w:tabs>
      </w:pPr>
      <w:r>
        <w:rPr>
          <w:rFonts w:hint="eastAsia"/>
          <w:bCs w:val="0"/>
          <w:lang w:val="en-US" w:eastAsia="zh-CN"/>
        </w:rPr>
        <w:fldChar w:fldCharType="begin"/>
      </w:r>
      <w:r>
        <w:rPr>
          <w:rFonts w:hint="eastAsia"/>
          <w:bCs w:val="0"/>
          <w:lang w:val="en-US" w:eastAsia="zh-CN"/>
        </w:rPr>
        <w:instrText xml:space="preserve"> HYPERLINK \l _Toc1030 </w:instrText>
      </w:r>
      <w:r>
        <w:rPr>
          <w:rFonts w:hint="eastAsia"/>
          <w:bCs w:val="0"/>
          <w:lang w:val="en-US" w:eastAsia="zh-CN"/>
        </w:rPr>
        <w:fldChar w:fldCharType="separate"/>
      </w:r>
      <w:r>
        <w:rPr>
          <w:rFonts w:hint="eastAsia" w:eastAsia="宋体" w:cs="Times New Roman"/>
          <w:bCs w:val="0"/>
          <w:spacing w:val="5"/>
          <w:lang w:val="en-US" w:eastAsia="zh-CN"/>
        </w:rPr>
        <w:t>8</w:t>
      </w:r>
      <w:r>
        <w:rPr>
          <w:rFonts w:ascii="宋体" w:hAnsi="宋体" w:eastAsia="宋体" w:cs="宋体"/>
          <w:bCs w:val="0"/>
          <w:spacing w:val="5"/>
        </w:rPr>
        <w:t>.</w:t>
      </w:r>
      <w:r>
        <w:rPr>
          <w:rFonts w:hint="eastAsia" w:eastAsia="宋体" w:cs="Times New Roman"/>
          <w:bCs w:val="0"/>
          <w:spacing w:val="5"/>
          <w:lang w:val="en-US" w:eastAsia="zh-CN"/>
        </w:rPr>
        <w:t>3</w:t>
      </w:r>
      <w:r>
        <w:rPr>
          <w:rFonts w:hint="eastAsia" w:ascii="黑体" w:hAnsi="黑体" w:cs="黑体"/>
          <w:bCs w:val="0"/>
          <w:spacing w:val="5"/>
          <w:lang w:val="en-US" w:eastAsia="zh-CN"/>
        </w:rPr>
        <w:t>一般项目</w:t>
      </w:r>
      <w:r>
        <w:tab/>
      </w:r>
      <w:r>
        <w:fldChar w:fldCharType="begin"/>
      </w:r>
      <w:r>
        <w:instrText xml:space="preserve"> PAGEREF _Toc1030 \h </w:instrText>
      </w:r>
      <w:r>
        <w:fldChar w:fldCharType="separate"/>
      </w:r>
      <w:r>
        <w:t>49</w:t>
      </w:r>
      <w:r>
        <w:fldChar w:fldCharType="end"/>
      </w:r>
      <w:r>
        <w:rPr>
          <w:rFonts w:hint="eastAsia"/>
          <w:bCs w:val="0"/>
          <w:lang w:val="en-US" w:eastAsia="zh-CN"/>
        </w:rPr>
        <w:fldChar w:fldCharType="end"/>
      </w:r>
    </w:p>
    <w:p w14:paraId="791BC1F6">
      <w:pPr>
        <w:pStyle w:val="18"/>
        <w:tabs>
          <w:tab w:val="right" w:leader="dot" w:pos="9073"/>
        </w:tabs>
      </w:pPr>
      <w:r>
        <w:rPr>
          <w:rFonts w:hint="eastAsia"/>
          <w:bCs w:val="0"/>
          <w:lang w:val="en-US" w:eastAsia="zh-CN"/>
        </w:rPr>
        <w:fldChar w:fldCharType="begin"/>
      </w:r>
      <w:r>
        <w:rPr>
          <w:rFonts w:hint="eastAsia"/>
          <w:bCs w:val="0"/>
          <w:lang w:val="en-US" w:eastAsia="zh-CN"/>
        </w:rPr>
        <w:instrText xml:space="preserve"> HYPERLINK \l _Toc18896 </w:instrText>
      </w:r>
      <w:r>
        <w:rPr>
          <w:rFonts w:hint="eastAsia"/>
          <w:bCs w:val="0"/>
          <w:lang w:val="en-US" w:eastAsia="zh-CN"/>
        </w:rPr>
        <w:fldChar w:fldCharType="separate"/>
      </w:r>
      <w:r>
        <w:rPr>
          <w:rFonts w:hint="eastAsia"/>
          <w:lang w:val="en-US" w:eastAsia="zh-CN"/>
        </w:rPr>
        <w:t>9</w:t>
      </w:r>
      <w:r>
        <w:rPr>
          <w:lang w:eastAsia="zh-CN"/>
        </w:rPr>
        <w:t>维护与</w:t>
      </w:r>
      <w:r>
        <w:rPr>
          <w:rFonts w:hint="eastAsia"/>
          <w:lang w:val="en-US" w:eastAsia="zh-CN"/>
        </w:rPr>
        <w:t>管理</w:t>
      </w:r>
      <w:r>
        <w:tab/>
      </w:r>
      <w:r>
        <w:fldChar w:fldCharType="begin"/>
      </w:r>
      <w:r>
        <w:instrText xml:space="preserve"> PAGEREF _Toc18896 \h </w:instrText>
      </w:r>
      <w:r>
        <w:fldChar w:fldCharType="separate"/>
      </w:r>
      <w:r>
        <w:t>51</w:t>
      </w:r>
      <w:r>
        <w:fldChar w:fldCharType="end"/>
      </w:r>
      <w:r>
        <w:rPr>
          <w:rFonts w:hint="eastAsia"/>
          <w:bCs w:val="0"/>
          <w:lang w:val="en-US" w:eastAsia="zh-CN"/>
        </w:rPr>
        <w:fldChar w:fldCharType="end"/>
      </w:r>
    </w:p>
    <w:p w14:paraId="36775DAB">
      <w:pPr>
        <w:pStyle w:val="18"/>
        <w:tabs>
          <w:tab w:val="right" w:leader="dot" w:pos="9073"/>
        </w:tabs>
      </w:pPr>
      <w:r>
        <w:rPr>
          <w:rFonts w:hint="eastAsia"/>
          <w:bCs w:val="0"/>
          <w:lang w:val="en-US" w:eastAsia="zh-CN"/>
        </w:rPr>
        <w:fldChar w:fldCharType="begin"/>
      </w:r>
      <w:r>
        <w:rPr>
          <w:rFonts w:hint="eastAsia"/>
          <w:bCs w:val="0"/>
          <w:lang w:val="en-US" w:eastAsia="zh-CN"/>
        </w:rPr>
        <w:instrText xml:space="preserve"> HYPERLINK \l _Toc9618 </w:instrText>
      </w:r>
      <w:r>
        <w:rPr>
          <w:rFonts w:hint="eastAsia"/>
          <w:bCs w:val="0"/>
          <w:lang w:val="en-US" w:eastAsia="zh-CN"/>
        </w:rPr>
        <w:fldChar w:fldCharType="separate"/>
      </w:r>
      <w:r>
        <w:rPr>
          <w:strike w:val="0"/>
          <w:lang w:eastAsia="zh-CN"/>
        </w:rPr>
        <w:t xml:space="preserve">附录 A </w:t>
      </w:r>
      <w:r>
        <w:rPr>
          <w:rFonts w:hint="eastAsia"/>
          <w:strike w:val="0"/>
          <w:lang w:eastAsia="zh-CN"/>
        </w:rPr>
        <w:t>验收记录表</w:t>
      </w:r>
      <w:r>
        <w:tab/>
      </w:r>
      <w:r>
        <w:fldChar w:fldCharType="begin"/>
      </w:r>
      <w:r>
        <w:instrText xml:space="preserve"> PAGEREF _Toc9618 \h </w:instrText>
      </w:r>
      <w:r>
        <w:fldChar w:fldCharType="separate"/>
      </w:r>
      <w:r>
        <w:t>53</w:t>
      </w:r>
      <w:r>
        <w:fldChar w:fldCharType="end"/>
      </w:r>
      <w:r>
        <w:rPr>
          <w:rFonts w:hint="eastAsia"/>
          <w:bCs w:val="0"/>
          <w:lang w:val="en-US" w:eastAsia="zh-CN"/>
        </w:rPr>
        <w:fldChar w:fldCharType="end"/>
      </w:r>
    </w:p>
    <w:p w14:paraId="09CD716E">
      <w:pPr>
        <w:pStyle w:val="18"/>
        <w:tabs>
          <w:tab w:val="right" w:leader="dot" w:pos="9073"/>
        </w:tabs>
      </w:pPr>
      <w:r>
        <w:rPr>
          <w:rFonts w:hint="eastAsia"/>
          <w:bCs w:val="0"/>
          <w:lang w:val="en-US" w:eastAsia="zh-CN"/>
        </w:rPr>
        <w:fldChar w:fldCharType="begin"/>
      </w:r>
      <w:r>
        <w:rPr>
          <w:rFonts w:hint="eastAsia"/>
          <w:bCs w:val="0"/>
          <w:lang w:val="en-US" w:eastAsia="zh-CN"/>
        </w:rPr>
        <w:instrText xml:space="preserve"> HYPERLINK \l _Toc24218 </w:instrText>
      </w:r>
      <w:r>
        <w:rPr>
          <w:rFonts w:hint="eastAsia"/>
          <w:bCs w:val="0"/>
          <w:lang w:val="en-US" w:eastAsia="zh-CN"/>
        </w:rPr>
        <w:fldChar w:fldCharType="separate"/>
      </w:r>
      <w:r>
        <w:rPr>
          <w:rFonts w:hint="eastAsia"/>
        </w:rPr>
        <w:t>本</w:t>
      </w:r>
      <w:r>
        <w:rPr>
          <w:rFonts w:hint="eastAsia"/>
          <w:lang w:eastAsia="zh-CN"/>
        </w:rPr>
        <w:t>标准</w:t>
      </w:r>
      <w:r>
        <w:rPr>
          <w:rFonts w:hint="eastAsia"/>
        </w:rPr>
        <w:t>用词说明</w:t>
      </w:r>
      <w:r>
        <w:tab/>
      </w:r>
      <w:r>
        <w:fldChar w:fldCharType="begin"/>
      </w:r>
      <w:r>
        <w:instrText xml:space="preserve"> PAGEREF _Toc24218 \h </w:instrText>
      </w:r>
      <w:r>
        <w:fldChar w:fldCharType="separate"/>
      </w:r>
      <w:r>
        <w:t>57</w:t>
      </w:r>
      <w:r>
        <w:fldChar w:fldCharType="end"/>
      </w:r>
      <w:r>
        <w:rPr>
          <w:rFonts w:hint="eastAsia"/>
          <w:bCs w:val="0"/>
          <w:lang w:val="en-US" w:eastAsia="zh-CN"/>
        </w:rPr>
        <w:fldChar w:fldCharType="end"/>
      </w:r>
    </w:p>
    <w:p w14:paraId="1B2D602B">
      <w:pPr>
        <w:pStyle w:val="18"/>
        <w:tabs>
          <w:tab w:val="right" w:leader="dot" w:pos="9073"/>
        </w:tabs>
      </w:pPr>
      <w:r>
        <w:rPr>
          <w:rFonts w:hint="eastAsia"/>
          <w:bCs w:val="0"/>
          <w:lang w:val="en-US" w:eastAsia="zh-CN"/>
        </w:rPr>
        <w:fldChar w:fldCharType="begin"/>
      </w:r>
      <w:r>
        <w:rPr>
          <w:rFonts w:hint="eastAsia"/>
          <w:bCs w:val="0"/>
          <w:lang w:val="en-US" w:eastAsia="zh-CN"/>
        </w:rPr>
        <w:instrText xml:space="preserve"> HYPERLINK \l _Toc5003 </w:instrText>
      </w:r>
      <w:r>
        <w:rPr>
          <w:rFonts w:hint="eastAsia"/>
          <w:bCs w:val="0"/>
          <w:lang w:val="en-US" w:eastAsia="zh-CN"/>
        </w:rPr>
        <w:fldChar w:fldCharType="separate"/>
      </w:r>
      <w:r>
        <w:rPr>
          <w:lang w:eastAsia="zh-CN"/>
        </w:rPr>
        <w:t>引用标准名录</w:t>
      </w:r>
      <w:r>
        <w:tab/>
      </w:r>
      <w:r>
        <w:fldChar w:fldCharType="begin"/>
      </w:r>
      <w:r>
        <w:instrText xml:space="preserve"> PAGEREF _Toc5003 \h </w:instrText>
      </w:r>
      <w:r>
        <w:fldChar w:fldCharType="separate"/>
      </w:r>
      <w:r>
        <w:t>58</w:t>
      </w:r>
      <w:r>
        <w:fldChar w:fldCharType="end"/>
      </w:r>
      <w:r>
        <w:rPr>
          <w:rFonts w:hint="eastAsia"/>
          <w:bCs w:val="0"/>
          <w:lang w:val="en-US" w:eastAsia="zh-CN"/>
        </w:rPr>
        <w:fldChar w:fldCharType="end"/>
      </w:r>
    </w:p>
    <w:p w14:paraId="40031D40">
      <w:pPr>
        <w:pStyle w:val="18"/>
        <w:tabs>
          <w:tab w:val="right" w:leader="dot" w:pos="9073"/>
        </w:tabs>
      </w:pPr>
      <w:r>
        <w:rPr>
          <w:rFonts w:hint="eastAsia"/>
          <w:bCs w:val="0"/>
          <w:lang w:val="en-US" w:eastAsia="zh-CN"/>
        </w:rPr>
        <w:fldChar w:fldCharType="begin"/>
      </w:r>
      <w:r>
        <w:rPr>
          <w:rFonts w:hint="eastAsia"/>
          <w:bCs w:val="0"/>
          <w:lang w:val="en-US" w:eastAsia="zh-CN"/>
        </w:rPr>
        <w:instrText xml:space="preserve"> HYPERLINK \l _Toc17865 </w:instrText>
      </w:r>
      <w:r>
        <w:rPr>
          <w:rFonts w:hint="eastAsia"/>
          <w:bCs w:val="0"/>
          <w:lang w:val="en-US" w:eastAsia="zh-CN"/>
        </w:rPr>
        <w:fldChar w:fldCharType="separate"/>
      </w:r>
      <w:r>
        <w:rPr>
          <w:rFonts w:hint="eastAsia"/>
          <w:lang w:eastAsia="zh-CN"/>
        </w:rPr>
        <w:t>条文说明</w:t>
      </w:r>
      <w:r>
        <w:tab/>
      </w:r>
      <w:r>
        <w:fldChar w:fldCharType="begin"/>
      </w:r>
      <w:r>
        <w:instrText xml:space="preserve"> PAGEREF _Toc17865 \h </w:instrText>
      </w:r>
      <w:r>
        <w:fldChar w:fldCharType="separate"/>
      </w:r>
      <w:r>
        <w:t>62</w:t>
      </w:r>
      <w:r>
        <w:fldChar w:fldCharType="end"/>
      </w:r>
      <w:r>
        <w:rPr>
          <w:rFonts w:hint="eastAsia"/>
          <w:bCs w:val="0"/>
          <w:lang w:val="en-US" w:eastAsia="zh-CN"/>
        </w:rPr>
        <w:fldChar w:fldCharType="end"/>
      </w:r>
    </w:p>
    <w:p w14:paraId="11252F4B">
      <w:pPr>
        <w:rPr>
          <w:rFonts w:hint="eastAsia"/>
          <w:b w:val="0"/>
          <w:bCs w:val="0"/>
          <w:lang w:val="en-US" w:eastAsia="zh-CN"/>
        </w:rPr>
      </w:pPr>
      <w:r>
        <w:rPr>
          <w:rFonts w:hint="eastAsia"/>
          <w:bCs w:val="0"/>
          <w:lang w:val="en-US" w:eastAsia="zh-CN"/>
        </w:rPr>
        <w:fldChar w:fldCharType="end"/>
      </w:r>
    </w:p>
    <w:p w14:paraId="7F82C7AE">
      <w:pPr>
        <w:rPr>
          <w:rFonts w:hint="eastAsia"/>
          <w:lang w:val="en-US" w:eastAsia="zh-CN"/>
        </w:rPr>
      </w:pPr>
    </w:p>
    <w:p w14:paraId="4E6A10EF">
      <w:pPr>
        <w:rPr>
          <w:rFonts w:hint="eastAsia"/>
          <w:lang w:val="en-US" w:eastAsia="zh-CN"/>
        </w:rPr>
      </w:pPr>
    </w:p>
    <w:p w14:paraId="0C2E1B99">
      <w:pPr>
        <w:rPr>
          <w:rFonts w:hint="eastAsia"/>
          <w:lang w:val="en-US" w:eastAsia="zh-CN"/>
        </w:rPr>
      </w:pPr>
    </w:p>
    <w:p w14:paraId="318B729A">
      <w:pPr>
        <w:rPr>
          <w:rFonts w:hint="eastAsia"/>
          <w:lang w:val="en-US" w:eastAsia="zh-CN"/>
        </w:rPr>
      </w:pPr>
    </w:p>
    <w:p w14:paraId="6CF4C350">
      <w:pPr>
        <w:rPr>
          <w:rFonts w:hint="eastAsia"/>
          <w:lang w:val="en-US" w:eastAsia="zh-CN"/>
        </w:rPr>
      </w:pPr>
    </w:p>
    <w:p w14:paraId="7F1C5975">
      <w:pPr>
        <w:rPr>
          <w:rFonts w:hint="eastAsia"/>
          <w:lang w:val="en-US" w:eastAsia="zh-CN"/>
        </w:rPr>
      </w:pPr>
    </w:p>
    <w:p w14:paraId="6A4E5A03">
      <w:pPr>
        <w:rPr>
          <w:rFonts w:hint="eastAsia"/>
          <w:lang w:val="en-US" w:eastAsia="zh-CN"/>
        </w:rPr>
      </w:pPr>
    </w:p>
    <w:p w14:paraId="2ED55D27">
      <w:pPr>
        <w:rPr>
          <w:rFonts w:hint="eastAsia"/>
          <w:lang w:val="en-US" w:eastAsia="zh-CN"/>
        </w:rPr>
      </w:pPr>
    </w:p>
    <w:p w14:paraId="31DCD09C">
      <w:pPr>
        <w:rPr>
          <w:rFonts w:hint="eastAsia"/>
          <w:lang w:val="en-US" w:eastAsia="zh-CN"/>
        </w:rPr>
      </w:pPr>
    </w:p>
    <w:p w14:paraId="1AB4EB8D">
      <w:pPr>
        <w:rPr>
          <w:rFonts w:hint="eastAsia"/>
          <w:lang w:val="en-US" w:eastAsia="zh-CN"/>
        </w:rPr>
      </w:pPr>
    </w:p>
    <w:p w14:paraId="5D7D6618">
      <w:pPr>
        <w:rPr>
          <w:rFonts w:hint="eastAsia"/>
          <w:lang w:val="en-US" w:eastAsia="zh-CN"/>
        </w:rPr>
      </w:pPr>
    </w:p>
    <w:p w14:paraId="20D392C6">
      <w:pPr>
        <w:rPr>
          <w:rFonts w:hint="eastAsia"/>
          <w:lang w:val="en-US" w:eastAsia="zh-CN"/>
        </w:rPr>
      </w:pPr>
    </w:p>
    <w:p w14:paraId="3170A858">
      <w:pPr>
        <w:rPr>
          <w:rFonts w:hint="eastAsia"/>
          <w:lang w:val="en-US" w:eastAsia="zh-CN"/>
        </w:rPr>
      </w:pPr>
    </w:p>
    <w:p w14:paraId="6DC895AD">
      <w:pPr>
        <w:rPr>
          <w:rFonts w:hint="eastAsia"/>
          <w:lang w:val="en-US" w:eastAsia="zh-CN"/>
        </w:rPr>
      </w:pPr>
    </w:p>
    <w:p w14:paraId="0DECDF16">
      <w:pPr>
        <w:rPr>
          <w:rFonts w:hint="eastAsia"/>
          <w:lang w:val="en-US" w:eastAsia="zh-CN"/>
        </w:rPr>
      </w:pPr>
    </w:p>
    <w:p w14:paraId="08490D06">
      <w:pPr>
        <w:rPr>
          <w:rFonts w:hint="eastAsia"/>
          <w:lang w:val="en-US" w:eastAsia="zh-CN"/>
        </w:rPr>
      </w:pPr>
    </w:p>
    <w:p w14:paraId="5BDD15F9">
      <w:pPr>
        <w:rPr>
          <w:rFonts w:hint="eastAsia"/>
          <w:lang w:val="en-US" w:eastAsia="zh-CN"/>
        </w:rPr>
      </w:pPr>
    </w:p>
    <w:p w14:paraId="59A45966">
      <w:pPr>
        <w:rPr>
          <w:rFonts w:hint="eastAsia"/>
          <w:lang w:val="en-US" w:eastAsia="zh-CN"/>
        </w:rPr>
      </w:pPr>
    </w:p>
    <w:p w14:paraId="7064E072">
      <w:pPr>
        <w:rPr>
          <w:rFonts w:hint="eastAsia"/>
          <w:lang w:val="en-US" w:eastAsia="zh-CN"/>
        </w:rPr>
      </w:pPr>
    </w:p>
    <w:p w14:paraId="3FE61126">
      <w:pPr>
        <w:pStyle w:val="2"/>
        <w:bidi w:val="0"/>
        <w:rPr>
          <w:rFonts w:hint="eastAsia"/>
          <w:lang w:val="en-US" w:eastAsia="zh-CN"/>
        </w:rPr>
        <w:sectPr>
          <w:footerReference r:id="rId5" w:type="default"/>
          <w:pgSz w:w="11907" w:h="16839"/>
          <w:pgMar w:top="1134" w:right="1417" w:bottom="1134" w:left="1417" w:header="0" w:footer="986" w:gutter="0"/>
          <w:pgNumType w:fmt="decimal" w:start="1"/>
          <w:cols w:space="0" w:num="1"/>
          <w:rtlGutter w:val="0"/>
          <w:docGrid w:linePitch="0" w:charSpace="0"/>
        </w:sectPr>
      </w:pPr>
      <w:bookmarkStart w:id="4" w:name="_Toc59"/>
    </w:p>
    <w:p w14:paraId="232BE8A8">
      <w:pPr>
        <w:pStyle w:val="2"/>
        <w:bidi w:val="0"/>
        <w:rPr>
          <w:rFonts w:hint="eastAsia"/>
          <w:lang w:val="en-US" w:eastAsia="zh-CN"/>
        </w:rPr>
      </w:pPr>
      <w:bookmarkStart w:id="5" w:name="_Toc2645"/>
      <w:r>
        <w:rPr>
          <w:rFonts w:hint="eastAsia"/>
          <w:lang w:val="en-US" w:eastAsia="zh-CN"/>
        </w:rPr>
        <w:t>1</w:t>
      </w:r>
      <w:r>
        <w:rPr>
          <w:rFonts w:hint="default"/>
          <w:lang w:val="en-US" w:eastAsia="zh-CN"/>
        </w:rPr>
        <w:t>总则</w:t>
      </w:r>
      <w:bookmarkEnd w:id="0"/>
      <w:bookmarkEnd w:id="1"/>
      <w:bookmarkEnd w:id="2"/>
      <w:bookmarkEnd w:id="3"/>
      <w:bookmarkEnd w:id="4"/>
      <w:bookmarkEnd w:id="5"/>
    </w:p>
    <w:p w14:paraId="148C3F61">
      <w:pPr>
        <w:numPr>
          <w:ilvl w:val="0"/>
          <w:numId w:val="0"/>
        </w:numPr>
        <w:bidi w:val="0"/>
        <w:ind w:left="0" w:leftChars="0" w:firstLine="0" w:firstLineChars="0"/>
        <w:rPr>
          <w:rFonts w:hint="default"/>
          <w:lang w:val="en-US" w:eastAsia="zh-CN"/>
        </w:rPr>
      </w:pPr>
      <w:r>
        <w:rPr>
          <w:rFonts w:hint="default" w:ascii="Times New Roman" w:hAnsi="Times New Roman" w:eastAsia="宋体" w:cs="Times New Roman"/>
          <w:b/>
          <w:i w:val="0"/>
          <w:kern w:val="2"/>
          <w:sz w:val="24"/>
          <w:szCs w:val="24"/>
          <w:lang w:val="en-US" w:eastAsia="zh-CN" w:bidi="ar-SA"/>
        </w:rPr>
        <w:t>1.0.1</w:t>
      </w:r>
      <w:r>
        <w:rPr>
          <w:rFonts w:hint="eastAsia"/>
          <w:lang w:val="en-US" w:eastAsia="zh-CN"/>
        </w:rPr>
        <w:t>为规范模块化钢结构房屋在四川省的应用，做到技术先进、经济合理、安全适用、绿色环保、确保质量，制定本标准。</w:t>
      </w:r>
    </w:p>
    <w:p w14:paraId="6279DACE">
      <w:pPr>
        <w:numPr>
          <w:ilvl w:val="0"/>
          <w:numId w:val="0"/>
        </w:numPr>
        <w:bidi w:val="0"/>
        <w:ind w:left="0" w:leftChars="0" w:firstLine="0" w:firstLineChars="0"/>
        <w:rPr>
          <w:rFonts w:hint="eastAsia"/>
          <w:lang w:val="en-US" w:eastAsia="zh-CN"/>
        </w:rPr>
      </w:pPr>
    </w:p>
    <w:p w14:paraId="5CB2D453">
      <w:pPr>
        <w:pStyle w:val="45"/>
        <w:numPr>
          <w:ilvl w:val="0"/>
          <w:numId w:val="0"/>
        </w:numPr>
        <w:bidi w:val="0"/>
        <w:ind w:leftChars="0"/>
        <w:rPr>
          <w:rFonts w:hint="eastAsia"/>
          <w:lang w:val="en-US" w:eastAsia="zh-CN"/>
        </w:rPr>
      </w:pPr>
      <w:r>
        <w:rPr>
          <w:rFonts w:hint="eastAsia"/>
          <w:b/>
          <w:bCs/>
          <w:lang w:val="en-US" w:eastAsia="zh-CN"/>
        </w:rPr>
        <w:t>【条文说明】</w:t>
      </w:r>
      <w:r>
        <w:rPr>
          <w:rFonts w:hint="eastAsia"/>
          <w:u w:val="single"/>
          <w:lang w:val="en-US" w:eastAsia="zh-CN"/>
        </w:rPr>
        <w:t>为落实国家推动新型建筑工业化、全面促进建筑业转型升级的方针政策，本标准结合工程实践经验，总结了模块化钢结构房屋的应用情况，特此编制，以推广这一新型工业化建筑体系的应用。</w:t>
      </w:r>
    </w:p>
    <w:p w14:paraId="5CAD959C">
      <w:pPr>
        <w:pStyle w:val="9"/>
        <w:rPr>
          <w:rFonts w:hint="eastAsia"/>
          <w:lang w:val="en-US" w:eastAsia="zh-CN"/>
        </w:rPr>
      </w:pPr>
    </w:p>
    <w:p w14:paraId="7626A2A0">
      <w:pPr>
        <w:numPr>
          <w:ilvl w:val="0"/>
          <w:numId w:val="0"/>
        </w:numPr>
        <w:bidi w:val="0"/>
        <w:ind w:left="0" w:leftChars="0" w:firstLine="0" w:firstLineChars="0"/>
        <w:rPr>
          <w:rFonts w:hint="eastAsia"/>
          <w:lang w:val="en-US" w:eastAsia="zh-CN"/>
        </w:rPr>
      </w:pPr>
      <w:r>
        <w:rPr>
          <w:rFonts w:hint="default" w:ascii="Times New Roman" w:hAnsi="Times New Roman" w:eastAsia="宋体" w:cs="Times New Roman"/>
          <w:b/>
          <w:i w:val="0"/>
          <w:kern w:val="2"/>
          <w:sz w:val="24"/>
          <w:szCs w:val="24"/>
          <w:lang w:val="en-US" w:eastAsia="zh-CN" w:bidi="ar-SA"/>
        </w:rPr>
        <w:t>1.0.2</w:t>
      </w:r>
      <w:r>
        <w:rPr>
          <w:rFonts w:hint="eastAsia"/>
          <w:lang w:val="en-US" w:eastAsia="zh-CN"/>
        </w:rPr>
        <w:t>本标准适用于四川省抗震设防烈度为8度及以下，房屋高度不超过24m的模块化钢结构民用建筑的设计、制作、运输、施工、验收及维护与管理。</w:t>
      </w:r>
    </w:p>
    <w:p w14:paraId="71DF5D1A">
      <w:pPr>
        <w:pStyle w:val="45"/>
        <w:numPr>
          <w:ilvl w:val="0"/>
          <w:numId w:val="0"/>
        </w:numPr>
        <w:bidi w:val="0"/>
        <w:ind w:leftChars="0"/>
        <w:rPr>
          <w:rFonts w:hint="eastAsia" w:eastAsia="宋体"/>
          <w:lang w:val="en-US" w:eastAsia="zh-CN"/>
        </w:rPr>
      </w:pPr>
      <w:r>
        <w:rPr>
          <w:rFonts w:hint="eastAsia"/>
          <w:b/>
          <w:bCs/>
          <w:lang w:val="en-US" w:eastAsia="zh-CN"/>
        </w:rPr>
        <w:t>【条文说明】</w:t>
      </w:r>
      <w:r>
        <w:rPr>
          <w:rFonts w:hint="eastAsia"/>
          <w:lang w:val="en-US" w:eastAsia="zh-CN"/>
        </w:rPr>
        <w:t xml:space="preserve"> </w:t>
      </w:r>
      <w:bookmarkStart w:id="92" w:name="_GoBack"/>
      <w:r>
        <w:rPr>
          <w:rFonts w:hint="eastAsia" w:ascii="Times New Roman" w:hAnsi="Times New Roman"/>
          <w:u w:val="single"/>
          <w:lang w:val="en-US" w:eastAsia="zh-CN"/>
        </w:rPr>
        <w:t>本</w:t>
      </w:r>
      <w:r>
        <w:rPr>
          <w:rFonts w:hint="eastAsia"/>
          <w:u w:val="single"/>
          <w:lang w:val="en-US" w:eastAsia="zh-CN"/>
        </w:rPr>
        <w:t>标准</w:t>
      </w:r>
      <w:r>
        <w:rPr>
          <w:rFonts w:hint="eastAsia" w:ascii="Times New Roman" w:hAnsi="Times New Roman"/>
          <w:u w:val="single"/>
          <w:lang w:val="en-US" w:eastAsia="zh-CN"/>
        </w:rPr>
        <w:t>适用于</w:t>
      </w:r>
      <w:r>
        <w:rPr>
          <w:rFonts w:hint="eastAsia"/>
          <w:u w:val="single"/>
          <w:lang w:val="en-US" w:eastAsia="zh-CN"/>
        </w:rPr>
        <w:t>模块化钢结构房屋</w:t>
      </w:r>
      <w:r>
        <w:rPr>
          <w:rFonts w:hint="eastAsia" w:ascii="Times New Roman" w:hAnsi="Times New Roman"/>
          <w:u w:val="single"/>
          <w:lang w:val="en-US" w:eastAsia="zh-CN"/>
        </w:rPr>
        <w:t>的建筑设计</w:t>
      </w:r>
      <w:r>
        <w:rPr>
          <w:rFonts w:hint="eastAsia"/>
          <w:u w:val="single"/>
          <w:lang w:val="en-US" w:eastAsia="zh-CN"/>
        </w:rPr>
        <w:t>、</w:t>
      </w:r>
      <w:r>
        <w:rPr>
          <w:rFonts w:hint="eastAsia" w:ascii="Times New Roman" w:hAnsi="Times New Roman"/>
          <w:u w:val="single"/>
          <w:lang w:val="en-US" w:eastAsia="zh-CN"/>
        </w:rPr>
        <w:t>结构设计</w:t>
      </w:r>
      <w:r>
        <w:rPr>
          <w:rFonts w:hint="eastAsia"/>
          <w:u w:val="single"/>
          <w:lang w:val="en-US" w:eastAsia="zh-CN"/>
        </w:rPr>
        <w:t>、</w:t>
      </w:r>
      <w:r>
        <w:rPr>
          <w:rFonts w:hint="eastAsia" w:ascii="Times New Roman" w:hAnsi="Times New Roman"/>
          <w:u w:val="single"/>
          <w:lang w:val="en-US" w:eastAsia="zh-CN"/>
        </w:rPr>
        <w:t>模块制作与运输</w:t>
      </w:r>
      <w:r>
        <w:rPr>
          <w:rFonts w:hint="eastAsia"/>
          <w:u w:val="single"/>
          <w:lang w:val="en-US" w:eastAsia="zh-CN"/>
        </w:rPr>
        <w:t>、</w:t>
      </w:r>
      <w:r>
        <w:rPr>
          <w:rFonts w:hint="eastAsia" w:ascii="Times New Roman" w:hAnsi="Times New Roman"/>
          <w:u w:val="single"/>
          <w:lang w:val="en-US" w:eastAsia="zh-CN"/>
        </w:rPr>
        <w:t>施工</w:t>
      </w:r>
      <w:r>
        <w:rPr>
          <w:rFonts w:hint="eastAsia"/>
          <w:u w:val="single"/>
          <w:lang w:val="en-US" w:eastAsia="zh-CN"/>
        </w:rPr>
        <w:t>、</w:t>
      </w:r>
      <w:r>
        <w:rPr>
          <w:rFonts w:hint="eastAsia" w:ascii="Times New Roman" w:hAnsi="Times New Roman"/>
          <w:u w:val="single"/>
          <w:lang w:val="en-US" w:eastAsia="zh-CN"/>
        </w:rPr>
        <w:t>质量验收</w:t>
      </w:r>
      <w:r>
        <w:rPr>
          <w:rFonts w:hint="eastAsia"/>
          <w:u w:val="single"/>
          <w:lang w:val="en-US" w:eastAsia="zh-CN"/>
        </w:rPr>
        <w:t>、</w:t>
      </w:r>
      <w:r>
        <w:rPr>
          <w:rFonts w:hint="eastAsia" w:ascii="Times New Roman" w:hAnsi="Times New Roman"/>
          <w:u w:val="single"/>
          <w:lang w:val="en-US" w:eastAsia="zh-CN"/>
        </w:rPr>
        <w:t>维护与管理，以及质量验收、相关维护工作，并涵盖模块单元的生产、运输</w:t>
      </w:r>
      <w:r>
        <w:rPr>
          <w:rFonts w:hint="eastAsia"/>
          <w:u w:val="single"/>
          <w:lang w:val="en-US" w:eastAsia="zh-CN"/>
        </w:rPr>
        <w:t>及</w:t>
      </w:r>
      <w:r>
        <w:rPr>
          <w:rFonts w:hint="eastAsia" w:ascii="Times New Roman" w:hAnsi="Times New Roman"/>
          <w:u w:val="single"/>
          <w:lang w:val="en-US" w:eastAsia="zh-CN"/>
        </w:rPr>
        <w:t>安装施工等，考虑消防安全和模块单元承载能力的影响，将适用范围控制在抗震设防烈度 8度及以下，</w:t>
      </w:r>
      <w:r>
        <w:rPr>
          <w:rFonts w:hint="eastAsia"/>
          <w:lang w:val="en-US" w:eastAsia="zh-CN"/>
        </w:rPr>
        <w:t>房屋高度</w:t>
      </w:r>
      <w:r>
        <w:rPr>
          <w:rFonts w:hint="eastAsia" w:ascii="Times New Roman" w:hAnsi="Times New Roman"/>
          <w:u w:val="single"/>
          <w:lang w:val="en-US" w:eastAsia="zh-CN"/>
        </w:rPr>
        <w:t>不应超过24m。</w:t>
      </w:r>
    </w:p>
    <w:p w14:paraId="0B43429B">
      <w:pPr>
        <w:pStyle w:val="9"/>
        <w:rPr>
          <w:rFonts w:hint="eastAsia"/>
          <w:lang w:val="en-US" w:eastAsia="zh-CN"/>
        </w:rPr>
      </w:pPr>
    </w:p>
    <w:bookmarkEnd w:id="92"/>
    <w:p w14:paraId="6B554FFD">
      <w:pPr>
        <w:numPr>
          <w:ilvl w:val="0"/>
          <w:numId w:val="0"/>
        </w:numPr>
        <w:bidi w:val="0"/>
        <w:ind w:left="0" w:leftChars="0" w:firstLine="0" w:firstLineChars="0"/>
        <w:rPr>
          <w:rFonts w:hint="eastAsia"/>
          <w:lang w:val="en-US" w:eastAsia="zh-CN"/>
        </w:rPr>
      </w:pPr>
      <w:r>
        <w:rPr>
          <w:rFonts w:hint="default" w:ascii="Times New Roman" w:hAnsi="Times New Roman" w:eastAsia="宋体" w:cs="Times New Roman"/>
          <w:b/>
          <w:i w:val="0"/>
          <w:kern w:val="2"/>
          <w:sz w:val="24"/>
          <w:szCs w:val="24"/>
          <w:lang w:val="en-US" w:eastAsia="zh-CN" w:bidi="ar-SA"/>
        </w:rPr>
        <w:t>1.0.3</w:t>
      </w:r>
      <w:r>
        <w:rPr>
          <w:rFonts w:hint="eastAsia"/>
          <w:lang w:val="en-US" w:eastAsia="zh-CN"/>
        </w:rPr>
        <w:t>模块化钢结构房屋的设计、制作、运输、施工、验收及维护与管理，除应符合本标准外，尚应符合国家和四川省现行有关标准的规定。</w:t>
      </w:r>
    </w:p>
    <w:p w14:paraId="22AEEAB6">
      <w:pPr>
        <w:rPr>
          <w:rFonts w:hint="eastAsia"/>
          <w:lang w:val="en-US" w:eastAsia="zh-CN"/>
        </w:rPr>
      </w:pPr>
      <w:r>
        <w:rPr>
          <w:rFonts w:hint="eastAsia"/>
          <w:lang w:val="en-US" w:eastAsia="zh-CN"/>
        </w:rPr>
        <w:br w:type="page"/>
      </w:r>
    </w:p>
    <w:p w14:paraId="7E69B838">
      <w:pPr>
        <w:pStyle w:val="2"/>
        <w:bidi w:val="0"/>
        <w:rPr>
          <w:lang w:val="en-US" w:eastAsia="zh-CN"/>
        </w:rPr>
      </w:pPr>
      <w:bookmarkStart w:id="6" w:name="_Toc13325"/>
      <w:bookmarkStart w:id="7" w:name="_Toc186033307"/>
      <w:bookmarkStart w:id="8" w:name="_Toc27961"/>
      <w:r>
        <w:rPr>
          <w:rFonts w:hint="eastAsia"/>
          <w:lang w:val="en-US" w:eastAsia="zh-CN"/>
        </w:rPr>
        <w:t>2</w:t>
      </w:r>
      <w:r>
        <w:rPr>
          <w:lang w:val="en-US" w:eastAsia="zh-CN"/>
        </w:rPr>
        <w:t>术语</w:t>
      </w:r>
      <w:bookmarkEnd w:id="6"/>
      <w:bookmarkEnd w:id="7"/>
      <w:bookmarkEnd w:id="8"/>
    </w:p>
    <w:p w14:paraId="5FB53704">
      <w:pPr>
        <w:pStyle w:val="3"/>
        <w:bidi w:val="0"/>
        <w:rPr>
          <w:lang w:eastAsia="zh-CN"/>
        </w:rPr>
      </w:pPr>
      <w:bookmarkStart w:id="9" w:name="bookmark5"/>
      <w:bookmarkEnd w:id="9"/>
      <w:bookmarkStart w:id="10" w:name="_Toc186033308"/>
      <w:bookmarkStart w:id="11" w:name="_Toc30759"/>
      <w:bookmarkStart w:id="12" w:name="_Toc18922"/>
      <w:r>
        <w:rPr>
          <w:rFonts w:hint="eastAsia"/>
          <w:lang w:val="en-US" w:eastAsia="zh-CN"/>
        </w:rPr>
        <w:t>2.1</w:t>
      </w:r>
      <w:r>
        <w:rPr>
          <w:rFonts w:hint="default"/>
          <w:lang w:val="en-US" w:eastAsia="zh-CN"/>
        </w:rPr>
        <w:t>术语</w:t>
      </w:r>
      <w:bookmarkEnd w:id="10"/>
      <w:bookmarkEnd w:id="11"/>
      <w:bookmarkEnd w:id="12"/>
    </w:p>
    <w:p w14:paraId="04188917">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pPr>
      <w:r>
        <w:t>模块化钢结构</w:t>
      </w:r>
      <w:r>
        <w:rPr>
          <w:rFonts w:hint="eastAsia"/>
          <w:lang w:val="en-US" w:eastAsia="zh-CN"/>
        </w:rPr>
        <w:t>房屋</w:t>
      </w:r>
      <w:r>
        <w:t>modular</w:t>
      </w:r>
      <w:r>
        <w:rPr>
          <w:rFonts w:hint="eastAsia"/>
          <w:lang w:val="en-US" w:eastAsia="zh-CN"/>
        </w:rPr>
        <w:t xml:space="preserve"> </w:t>
      </w:r>
      <w:r>
        <w:t>stee</w:t>
      </w:r>
      <w:r>
        <w:rPr>
          <w:rFonts w:hint="eastAsia"/>
          <w:lang w:val="en-US" w:eastAsia="zh-CN"/>
        </w:rPr>
        <w:t xml:space="preserve">l </w:t>
      </w:r>
      <w:r>
        <w:t>building</w:t>
      </w:r>
    </w:p>
    <w:p w14:paraId="5644065F">
      <w:pPr>
        <w:keepNext w:val="0"/>
        <w:keepLines w:val="0"/>
        <w:pageBreakBefore w:val="0"/>
        <w:widowControl w:val="0"/>
        <w:numPr>
          <w:ilvl w:val="-1"/>
          <w:numId w:val="0"/>
        </w:numPr>
        <w:kinsoku/>
        <w:wordWrap/>
        <w:overflowPunct/>
        <w:topLinePunct w:val="0"/>
        <w:autoSpaceDE/>
        <w:autoSpaceDN/>
        <w:bidi w:val="0"/>
        <w:adjustRightInd/>
        <w:snapToGrid/>
        <w:ind w:left="0" w:leftChars="0" w:firstLine="480" w:firstLineChars="200"/>
        <w:textAlignment w:val="auto"/>
        <w:rPr>
          <w:lang w:eastAsia="zh-CN"/>
        </w:rPr>
      </w:pPr>
      <w:r>
        <w:rPr>
          <w:lang w:eastAsia="zh-CN"/>
        </w:rPr>
        <w:t>全部或部分</w:t>
      </w:r>
      <w:r>
        <w:rPr>
          <w:rFonts w:hint="eastAsia"/>
          <w:lang w:eastAsia="zh-CN"/>
        </w:rPr>
        <w:t>具有使用功能的钢结构建筑</w:t>
      </w:r>
      <w:r>
        <w:rPr>
          <w:lang w:eastAsia="zh-CN"/>
        </w:rPr>
        <w:t>模块单元通过现场装配连接而成的钢结构</w:t>
      </w:r>
      <w:r>
        <w:rPr>
          <w:rFonts w:hint="eastAsia"/>
          <w:lang w:val="en-US" w:eastAsia="zh-CN"/>
        </w:rPr>
        <w:t>房屋</w:t>
      </w:r>
      <w:r>
        <w:rPr>
          <w:lang w:eastAsia="zh-CN"/>
        </w:rPr>
        <w:t>。</w:t>
      </w:r>
    </w:p>
    <w:p w14:paraId="7ABA1EBC">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lang w:eastAsia="zh-CN"/>
        </w:rPr>
      </w:pPr>
      <w:r>
        <w:rPr>
          <w:lang w:eastAsia="zh-CN"/>
        </w:rPr>
        <w:t>模块单元modular</w:t>
      </w:r>
      <w:r>
        <w:rPr>
          <w:rFonts w:hint="eastAsia"/>
          <w:lang w:val="en-US" w:eastAsia="zh-CN"/>
        </w:rPr>
        <w:t xml:space="preserve"> </w:t>
      </w:r>
      <w:r>
        <w:rPr>
          <w:lang w:eastAsia="zh-CN"/>
        </w:rPr>
        <w:t>unit</w:t>
      </w:r>
    </w:p>
    <w:p w14:paraId="25E0A41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eastAsia"/>
          <w:color w:val="auto"/>
          <w:lang w:eastAsia="zh-CN"/>
        </w:rPr>
        <w:t>模块化钢结构房屋</w:t>
      </w:r>
      <w:r>
        <w:rPr>
          <w:color w:val="auto"/>
          <w:lang w:eastAsia="zh-CN"/>
        </w:rPr>
        <w:t>的基本单元</w:t>
      </w:r>
      <w:r>
        <w:rPr>
          <w:rFonts w:hint="eastAsia"/>
          <w:color w:val="auto"/>
          <w:lang w:eastAsia="zh-CN"/>
        </w:rPr>
        <w:t>，</w:t>
      </w:r>
      <w:r>
        <w:rPr>
          <w:color w:val="auto"/>
          <w:lang w:eastAsia="zh-CN"/>
        </w:rPr>
        <w:t>集成了建筑、结构、机电</w:t>
      </w:r>
      <w:r>
        <w:rPr>
          <w:rFonts w:hint="eastAsia"/>
          <w:color w:val="auto"/>
          <w:lang w:eastAsia="zh-CN"/>
        </w:rPr>
        <w:t>、给排水、采暖、智能化模块</w:t>
      </w:r>
      <w:r>
        <w:rPr>
          <w:color w:val="auto"/>
          <w:lang w:eastAsia="zh-CN"/>
        </w:rPr>
        <w:t>和内装功能的标准化预制装配式</w:t>
      </w:r>
      <w:r>
        <w:rPr>
          <w:rFonts w:hint="eastAsia"/>
          <w:color w:val="auto"/>
          <w:lang w:val="en-US" w:eastAsia="zh-CN"/>
        </w:rPr>
        <w:t>建筑</w:t>
      </w:r>
      <w:r>
        <w:rPr>
          <w:color w:val="auto"/>
          <w:lang w:eastAsia="zh-CN"/>
        </w:rPr>
        <w:t>模块，</w:t>
      </w:r>
      <w:r>
        <w:rPr>
          <w:rFonts w:hint="eastAsia"/>
          <w:color w:val="auto"/>
          <w:lang w:val="en-US" w:eastAsia="zh-CN"/>
        </w:rPr>
        <w:t>主要</w:t>
      </w:r>
      <w:r>
        <w:rPr>
          <w:color w:val="auto"/>
          <w:lang w:eastAsia="zh-CN"/>
        </w:rPr>
        <w:t>工作在工厂内完成，并能够满足运输、吊装、检测和维护等要求。</w:t>
      </w:r>
    </w:p>
    <w:p w14:paraId="5156D390">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pPr>
      <w:r>
        <w:t>叠箱结构体系pure</w:t>
      </w:r>
      <w:r>
        <w:rPr>
          <w:rFonts w:hint="eastAsia"/>
          <w:lang w:val="en-US" w:eastAsia="zh-CN"/>
        </w:rPr>
        <w:t xml:space="preserve"> </w:t>
      </w:r>
      <w:r>
        <w:t>module</w:t>
      </w:r>
      <w:r>
        <w:rPr>
          <w:rFonts w:hint="eastAsia"/>
          <w:lang w:val="en-US" w:eastAsia="zh-CN"/>
        </w:rPr>
        <w:t xml:space="preserve"> </w:t>
      </w:r>
      <w:r>
        <w:t>structure</w:t>
      </w:r>
      <w:r>
        <w:rPr>
          <w:rFonts w:hint="eastAsia"/>
          <w:lang w:val="en-US" w:eastAsia="zh-CN"/>
        </w:rPr>
        <w:t xml:space="preserve"> </w:t>
      </w:r>
      <w:r>
        <w:t>system</w:t>
      </w:r>
    </w:p>
    <w:p w14:paraId="4CBD73F7">
      <w:pPr>
        <w:keepNext w:val="0"/>
        <w:keepLines w:val="0"/>
        <w:pageBreakBefore w:val="0"/>
        <w:widowControl w:val="0"/>
        <w:kinsoku/>
        <w:wordWrap/>
        <w:overflowPunct/>
        <w:topLinePunct w:val="0"/>
        <w:autoSpaceDE/>
        <w:autoSpaceDN/>
        <w:bidi w:val="0"/>
        <w:adjustRightInd/>
        <w:snapToGrid/>
        <w:ind w:firstLine="480" w:firstLineChars="200"/>
        <w:textAlignment w:val="auto"/>
        <w:rPr>
          <w:lang w:eastAsia="zh-CN"/>
        </w:rPr>
      </w:pPr>
      <w:r>
        <w:rPr>
          <w:rFonts w:hint="eastAsia"/>
          <w:lang w:eastAsia="zh-CN"/>
        </w:rPr>
        <w:t>完全由模块单元堆叠形成的结构体系，模块单元之间通过连接件进行连接和传力</w:t>
      </w:r>
      <w:r>
        <w:rPr>
          <w:lang w:eastAsia="zh-CN"/>
        </w:rPr>
        <w:t>。</w:t>
      </w:r>
    </w:p>
    <w:p w14:paraId="62A8BE8F">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color w:val="auto"/>
        </w:rPr>
      </w:pPr>
      <w:r>
        <w:rPr>
          <w:color w:val="auto"/>
        </w:rPr>
        <w:t>叠箱-框架</w:t>
      </w:r>
      <w:r>
        <w:rPr>
          <w:rFonts w:hint="eastAsia"/>
          <w:color w:val="auto"/>
          <w:lang w:val="en-US" w:eastAsia="zh-CN"/>
        </w:rPr>
        <w:t>混合</w:t>
      </w:r>
      <w:r>
        <w:rPr>
          <w:color w:val="auto"/>
        </w:rPr>
        <w:t>结构体系module-bottom</w:t>
      </w:r>
      <w:r>
        <w:rPr>
          <w:rFonts w:hint="eastAsia"/>
          <w:color w:val="auto"/>
          <w:lang w:val="en-US" w:eastAsia="zh-CN"/>
        </w:rPr>
        <w:t xml:space="preserve"> </w:t>
      </w:r>
      <w:r>
        <w:rPr>
          <w:color w:val="auto"/>
        </w:rPr>
        <w:t>frame</w:t>
      </w:r>
      <w:r>
        <w:rPr>
          <w:rFonts w:hint="eastAsia"/>
          <w:color w:val="auto"/>
          <w:lang w:val="en-US" w:eastAsia="zh-CN"/>
        </w:rPr>
        <w:t xml:space="preserve"> </w:t>
      </w:r>
      <w:r>
        <w:rPr>
          <w:color w:val="auto"/>
        </w:rPr>
        <w:t>structure</w:t>
      </w:r>
      <w:r>
        <w:rPr>
          <w:rFonts w:hint="eastAsia"/>
          <w:color w:val="auto"/>
          <w:lang w:val="en-US" w:eastAsia="zh-CN"/>
        </w:rPr>
        <w:t xml:space="preserve"> </w:t>
      </w:r>
      <w:r>
        <w:rPr>
          <w:color w:val="auto"/>
        </w:rPr>
        <w:t>system</w:t>
      </w:r>
    </w:p>
    <w:p w14:paraId="2CFEB201">
      <w:pPr>
        <w:bidi w:val="0"/>
        <w:ind w:firstLine="480" w:firstLineChars="200"/>
        <w:rPr>
          <w:color w:val="auto"/>
        </w:rPr>
      </w:pPr>
      <w:r>
        <w:rPr>
          <w:rFonts w:hint="eastAsia"/>
          <w:color w:val="auto"/>
        </w:rPr>
        <w:t>叠箱结构与框架</w:t>
      </w:r>
      <w:r>
        <w:rPr>
          <w:rFonts w:hint="eastAsia"/>
          <w:color w:val="auto"/>
          <w:lang w:val="en-US" w:eastAsia="zh-CN"/>
        </w:rPr>
        <w:t>结构</w:t>
      </w:r>
      <w:r>
        <w:rPr>
          <w:rFonts w:hint="eastAsia"/>
          <w:color w:val="auto"/>
        </w:rPr>
        <w:t>混合而成的结构体系。</w:t>
      </w:r>
    </w:p>
    <w:p w14:paraId="7F313E86">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color w:val="auto"/>
          <w:lang w:eastAsia="zh-CN"/>
        </w:rPr>
      </w:pPr>
      <w:r>
        <w:rPr>
          <w:rFonts w:hint="eastAsia"/>
          <w:color w:val="auto"/>
          <w:lang w:eastAsia="zh-CN"/>
        </w:rPr>
        <w:t>嵌</w:t>
      </w:r>
      <w:r>
        <w:rPr>
          <w:rFonts w:hint="eastAsia"/>
          <w:color w:val="auto"/>
          <w:lang w:val="en-US" w:eastAsia="zh-CN"/>
        </w:rPr>
        <w:t>入</w:t>
      </w:r>
      <w:r>
        <w:rPr>
          <w:rFonts w:hint="eastAsia"/>
          <w:color w:val="auto"/>
          <w:lang w:eastAsia="zh-CN"/>
        </w:rPr>
        <w:t>式模块框架结构体系recessed module supportedby frames</w:t>
      </w:r>
    </w:p>
    <w:p w14:paraId="505F6271">
      <w:pPr>
        <w:pStyle w:val="30"/>
        <w:rPr>
          <w:rFonts w:hint="eastAsia" w:ascii="Times New Roman" w:hAnsi="Times New Roman" w:eastAsia="宋体" w:cs="Times New Roman"/>
          <w:color w:val="auto"/>
          <w:kern w:val="2"/>
          <w:sz w:val="24"/>
          <w:lang w:val="en-US" w:eastAsia="zh-CN" w:bidi="ar-SA"/>
        </w:rPr>
      </w:pPr>
      <w:r>
        <w:rPr>
          <w:rFonts w:hint="eastAsia" w:ascii="Times New Roman" w:hAnsi="Times New Roman" w:eastAsia="宋体" w:cs="Times New Roman"/>
          <w:color w:val="auto"/>
          <w:kern w:val="2"/>
          <w:sz w:val="24"/>
          <w:lang w:val="en-US" w:eastAsia="zh-CN" w:bidi="ar-SA"/>
        </w:rPr>
        <w:t>模块单元由一个结构框架支撑或者被放置在结构楼面上而形成的结构体系。通常模块可以被放置在主要结构构件之间。</w:t>
      </w:r>
    </w:p>
    <w:p w14:paraId="1D2B0F7E">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模块单元连接</w:t>
      </w:r>
      <w:r>
        <w:rPr>
          <w:rFonts w:hint="eastAsia"/>
          <w:color w:val="000000" w:themeColor="text1"/>
          <w:lang w:val="en-US" w:eastAsia="zh-CN"/>
          <w14:textFill>
            <w14:solidFill>
              <w14:schemeClr w14:val="tx1"/>
            </w14:solidFill>
          </w14:textFill>
        </w:rPr>
        <w:t>m</w:t>
      </w:r>
      <w:r>
        <w:rPr>
          <w:rFonts w:hint="eastAsia"/>
          <w:color w:val="000000" w:themeColor="text1"/>
          <w14:textFill>
            <w14:solidFill>
              <w14:schemeClr w14:val="tx1"/>
            </w14:solidFill>
          </w14:textFill>
        </w:rPr>
        <w:t>odule unit connection</w:t>
      </w:r>
    </w:p>
    <w:p w14:paraId="2D536CC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模块单元间或模块单元与非模块单元间的连接。</w:t>
      </w:r>
    </w:p>
    <w:p w14:paraId="33C874E6">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柱承重模块单元corner supported module</w:t>
      </w:r>
    </w:p>
    <w:p w14:paraId="7DC7BB8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主要靠角柱形成角点支撑，并支撑全部边梁重量，龙骨和墙板均不考虑承受荷载的模块单元。</w:t>
      </w:r>
    </w:p>
    <w:p w14:paraId="3CD87FA1">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墙承重模块单元continuously supported module</w:t>
      </w:r>
    </w:p>
    <w:p w14:paraId="0BBA737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正常使用时，主要通过长边方向墙体承担荷载的模块单元。</w:t>
      </w:r>
    </w:p>
    <w:p w14:paraId="179C9D84">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lang w:eastAsia="zh-CN"/>
        </w:rPr>
      </w:pPr>
      <w:r>
        <w:rPr>
          <w:lang w:eastAsia="zh-CN"/>
        </w:rPr>
        <w:t>接口</w:t>
      </w:r>
      <w:r>
        <w:rPr>
          <w:rFonts w:hint="eastAsia"/>
          <w:lang w:val="en-US" w:eastAsia="zh-CN"/>
        </w:rPr>
        <w:t xml:space="preserve"> </w:t>
      </w:r>
      <w:r>
        <w:rPr>
          <w:lang w:eastAsia="zh-CN"/>
        </w:rPr>
        <w:t>gap</w:t>
      </w:r>
    </w:p>
    <w:p w14:paraId="30BCCE7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lang w:eastAsia="zh-CN"/>
        </w:rPr>
        <w:t>模块化钢结构房屋</w:t>
      </w:r>
      <w:r>
        <w:rPr>
          <w:lang w:eastAsia="zh-CN"/>
        </w:rPr>
        <w:t>中，为安装预留的空隙</w:t>
      </w:r>
      <w:r>
        <w:rPr>
          <w:rFonts w:hint="eastAsia"/>
          <w:lang w:val="en-US" w:eastAsia="zh-CN"/>
        </w:rPr>
        <w:t>的统称</w:t>
      </w:r>
      <w:r>
        <w:rPr>
          <w:lang w:eastAsia="zh-CN"/>
        </w:rPr>
        <w:t>，包括模块单元之间，以及模块单元与外围护系统、内装系统、设备管线系统相关部品和部件的安装基准面之间的预留空隙</w:t>
      </w:r>
      <w:r>
        <w:rPr>
          <w:rFonts w:hint="eastAsia"/>
          <w:lang w:eastAsia="zh-CN"/>
        </w:rPr>
        <w:t>，用以容纳模块单元及各系统的生产和安装公差所预留的空间。</w:t>
      </w:r>
    </w:p>
    <w:p w14:paraId="4B10B43B">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lang w:eastAsia="zh-CN"/>
        </w:rPr>
      </w:pPr>
      <w:r>
        <w:rPr>
          <w:lang w:eastAsia="zh-CN"/>
        </w:rPr>
        <w:t>模块单元围护系统modular</w:t>
      </w:r>
      <w:r>
        <w:rPr>
          <w:rFonts w:hint="eastAsia"/>
          <w:lang w:val="en-US" w:eastAsia="zh-CN"/>
        </w:rPr>
        <w:t xml:space="preserve"> </w:t>
      </w:r>
      <w:r>
        <w:rPr>
          <w:lang w:eastAsia="zh-CN"/>
        </w:rPr>
        <w:t>unit</w:t>
      </w:r>
      <w:r>
        <w:rPr>
          <w:rFonts w:hint="eastAsia"/>
          <w:lang w:val="en-US" w:eastAsia="zh-CN"/>
        </w:rPr>
        <w:t xml:space="preserve"> </w:t>
      </w:r>
      <w:r>
        <w:rPr>
          <w:lang w:eastAsia="zh-CN"/>
        </w:rPr>
        <w:t>envelope</w:t>
      </w:r>
      <w:r>
        <w:rPr>
          <w:rFonts w:hint="eastAsia"/>
          <w:lang w:val="en-US" w:eastAsia="zh-CN"/>
        </w:rPr>
        <w:t xml:space="preserve"> </w:t>
      </w:r>
      <w:r>
        <w:rPr>
          <w:lang w:eastAsia="zh-CN"/>
        </w:rPr>
        <w:t>system</w:t>
      </w:r>
    </w:p>
    <w:p w14:paraId="77B86924">
      <w:pPr>
        <w:keepNext w:val="0"/>
        <w:keepLines w:val="0"/>
        <w:pageBreakBefore w:val="0"/>
        <w:widowControl w:val="0"/>
        <w:kinsoku/>
        <w:wordWrap/>
        <w:overflowPunct/>
        <w:topLinePunct w:val="0"/>
        <w:autoSpaceDE/>
        <w:autoSpaceDN/>
        <w:bidi w:val="0"/>
        <w:adjustRightInd/>
        <w:snapToGrid/>
        <w:ind w:firstLine="480" w:firstLineChars="200"/>
        <w:textAlignment w:val="auto"/>
        <w:rPr>
          <w:lang w:eastAsia="zh-CN"/>
        </w:rPr>
      </w:pPr>
      <w:r>
        <w:rPr>
          <w:lang w:eastAsia="zh-CN"/>
        </w:rPr>
        <w:t>由模块墙体、底板和顶板等组成，能够有效隔绝空气、水、光、热和噪声，确保模块单元内部的安全性和私密性。</w:t>
      </w:r>
    </w:p>
    <w:p w14:paraId="16F02B4B">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eastAsia"/>
          <w:lang w:eastAsia="zh-CN"/>
        </w:rPr>
      </w:pPr>
      <w:r>
        <w:rPr>
          <w:rFonts w:hint="eastAsia"/>
          <w:lang w:eastAsia="zh-CN"/>
        </w:rPr>
        <w:t>名义轴网</w:t>
      </w:r>
      <w:r>
        <w:rPr>
          <w:rFonts w:hint="eastAsia"/>
          <w:lang w:val="en-US" w:eastAsia="zh-CN"/>
        </w:rPr>
        <w:t xml:space="preserve"> </w:t>
      </w:r>
      <w:r>
        <w:rPr>
          <w:rFonts w:hint="eastAsia"/>
          <w:lang w:eastAsia="zh-CN"/>
        </w:rPr>
        <w:t>nominal gridline</w:t>
      </w:r>
    </w:p>
    <w:p w14:paraId="3C9DEE59">
      <w:pPr>
        <w:bidi w:val="0"/>
        <w:ind w:firstLine="480" w:firstLineChars="200"/>
        <w:rPr>
          <w:rFonts w:ascii="Cambria Math" w:hAnsi="Cambria Math" w:eastAsia="Cambria Math" w:cs="Cambria Math"/>
          <w:color w:val="000000"/>
          <w:spacing w:val="9"/>
          <w:szCs w:val="24"/>
          <w:lang w:eastAsia="zh-CN"/>
        </w:rPr>
      </w:pPr>
      <w:r>
        <w:rPr>
          <w:rFonts w:hint="eastAsia"/>
          <w:lang w:eastAsia="zh-CN"/>
        </w:rPr>
        <w:t>指模块建筑平面图中由名义轴线组成的轴网。对于布置在建筑平面中部的模块单元，采用相邻两模块间隙的中线作为定位轴线；对于布置在模块建筑平面尽端的模块单元，采用其外墙的外边线为定位轴线。</w:t>
      </w:r>
      <w:bookmarkStart w:id="13" w:name="bookmark7"/>
      <w:bookmarkEnd w:id="13"/>
      <w:bookmarkStart w:id="14" w:name="bookmark132"/>
      <w:bookmarkEnd w:id="14"/>
    </w:p>
    <w:p w14:paraId="6149BF33">
      <w:pPr>
        <w:spacing w:line="219" w:lineRule="auto"/>
        <w:rPr>
          <w:rFonts w:ascii="宋体" w:hAnsi="宋体" w:eastAsia="宋体" w:cs="宋体"/>
          <w:lang w:eastAsia="zh-CN"/>
        </w:rPr>
        <w:sectPr>
          <w:footerReference r:id="rId6" w:type="default"/>
          <w:pgSz w:w="11907" w:h="16839"/>
          <w:pgMar w:top="1134" w:right="1417" w:bottom="1134" w:left="1417" w:header="0" w:footer="986" w:gutter="0"/>
          <w:pgNumType w:fmt="decimal" w:start="1"/>
          <w:cols w:space="0" w:num="1"/>
          <w:rtlGutter w:val="0"/>
          <w:docGrid w:linePitch="0" w:charSpace="0"/>
        </w:sectPr>
      </w:pPr>
    </w:p>
    <w:p w14:paraId="505A86D4">
      <w:pPr>
        <w:pStyle w:val="2"/>
        <w:bidi w:val="0"/>
        <w:rPr>
          <w:lang w:val="en-US" w:eastAsia="zh-CN"/>
        </w:rPr>
      </w:pPr>
      <w:bookmarkStart w:id="15" w:name="_Toc186033310"/>
      <w:bookmarkStart w:id="16" w:name="_Toc18299"/>
      <w:bookmarkStart w:id="17" w:name="_Toc20733"/>
      <w:r>
        <w:rPr>
          <w:lang w:val="en-US" w:eastAsia="zh-CN"/>
        </w:rPr>
        <w:t>3</w:t>
      </w:r>
      <w:r>
        <w:rPr>
          <w:rFonts w:hint="eastAsia"/>
          <w:lang w:val="en-US" w:eastAsia="zh-CN"/>
        </w:rPr>
        <w:t>基本规定</w:t>
      </w:r>
      <w:bookmarkEnd w:id="15"/>
      <w:bookmarkEnd w:id="16"/>
      <w:bookmarkEnd w:id="17"/>
    </w:p>
    <w:p w14:paraId="1F4EACE8">
      <w:pPr>
        <w:numPr>
          <w:ilvl w:val="0"/>
          <w:numId w:val="3"/>
        </w:numPr>
        <w:spacing w:before="68" w:line="280" w:lineRule="auto"/>
        <w:ind w:left="0" w:leftChars="0" w:right="73" w:firstLine="0" w:firstLineChars="0"/>
        <w:jc w:val="both"/>
        <w:rPr>
          <w:rFonts w:ascii="宋体" w:hAnsi="宋体" w:eastAsia="宋体" w:cs="宋体"/>
          <w:color w:val="000000"/>
          <w:spacing w:val="7"/>
          <w:sz w:val="24"/>
          <w:szCs w:val="24"/>
          <w:lang w:eastAsia="zh-CN"/>
        </w:rPr>
      </w:pPr>
      <w:r>
        <w:rPr>
          <w:rFonts w:hint="eastAsia" w:ascii="宋体" w:hAnsi="宋体" w:cs="宋体"/>
          <w:color w:val="000000"/>
          <w:spacing w:val="7"/>
          <w:sz w:val="24"/>
          <w:szCs w:val="24"/>
          <w:lang w:eastAsia="zh-CN"/>
        </w:rPr>
        <w:t>模块化钢结构房屋建设</w:t>
      </w:r>
      <w:r>
        <w:rPr>
          <w:rFonts w:ascii="宋体" w:hAnsi="宋体" w:eastAsia="宋体" w:cs="宋体"/>
          <w:color w:val="000000"/>
          <w:spacing w:val="7"/>
          <w:sz w:val="24"/>
          <w:szCs w:val="24"/>
          <w:lang w:eastAsia="zh-CN"/>
        </w:rPr>
        <w:t>应遵循全生命周期可持续发展的原则，</w:t>
      </w:r>
      <w:r>
        <w:rPr>
          <w:rFonts w:hint="eastAsia" w:ascii="宋体" w:hAnsi="宋体" w:cs="宋体"/>
          <w:color w:val="000000"/>
          <w:spacing w:val="7"/>
          <w:sz w:val="24"/>
          <w:szCs w:val="24"/>
          <w:lang w:val="en-US" w:eastAsia="zh-CN"/>
        </w:rPr>
        <w:t>应采用</w:t>
      </w:r>
      <w:r>
        <w:rPr>
          <w:rFonts w:ascii="宋体" w:hAnsi="宋体" w:eastAsia="宋体" w:cs="宋体"/>
          <w:color w:val="000000"/>
          <w:spacing w:val="7"/>
          <w:sz w:val="24"/>
          <w:szCs w:val="24"/>
          <w:lang w:eastAsia="zh-CN"/>
        </w:rPr>
        <w:t>标准化设计、工厂化生产、装配化施工、一体化装修</w:t>
      </w:r>
      <w:r>
        <w:rPr>
          <w:rFonts w:hint="eastAsia" w:ascii="宋体" w:hAnsi="宋体" w:cs="宋体"/>
          <w:color w:val="000000"/>
          <w:spacing w:val="7"/>
          <w:sz w:val="24"/>
          <w:szCs w:val="24"/>
          <w:lang w:eastAsia="zh-CN"/>
        </w:rPr>
        <w:t>，</w:t>
      </w:r>
      <w:r>
        <w:rPr>
          <w:rFonts w:hint="eastAsia" w:ascii="宋体" w:hAnsi="宋体" w:cs="宋体"/>
          <w:color w:val="000000"/>
          <w:spacing w:val="7"/>
          <w:sz w:val="24"/>
          <w:szCs w:val="24"/>
          <w:lang w:val="en-US" w:eastAsia="zh-CN"/>
        </w:rPr>
        <w:t>并宜进行信息化管理和智能化应用</w:t>
      </w:r>
      <w:r>
        <w:rPr>
          <w:rFonts w:ascii="宋体" w:hAnsi="宋体" w:eastAsia="宋体" w:cs="宋体"/>
          <w:color w:val="000000"/>
          <w:spacing w:val="7"/>
          <w:sz w:val="24"/>
          <w:szCs w:val="24"/>
          <w:lang w:eastAsia="zh-CN"/>
        </w:rPr>
        <w:t>。</w:t>
      </w:r>
    </w:p>
    <w:p w14:paraId="52A42780">
      <w:pPr>
        <w:pStyle w:val="45"/>
        <w:numPr>
          <w:ilvl w:val="0"/>
          <w:numId w:val="0"/>
        </w:numPr>
        <w:bidi w:val="0"/>
        <w:ind w:leftChars="0"/>
        <w:rPr>
          <w:rFonts w:ascii="宋体" w:hAnsi="宋体" w:eastAsia="宋体" w:cs="宋体"/>
          <w:color w:val="000000"/>
          <w:spacing w:val="7"/>
          <w:sz w:val="24"/>
          <w:szCs w:val="24"/>
          <w:highlight w:val="red"/>
          <w:lang w:eastAsia="zh-CN"/>
        </w:rPr>
      </w:pPr>
      <w:r>
        <w:rPr>
          <w:rFonts w:hint="eastAsia"/>
          <w:b/>
          <w:bCs/>
          <w:lang w:eastAsia="zh-CN"/>
        </w:rPr>
        <w:t>【</w:t>
      </w:r>
      <w:r>
        <w:rPr>
          <w:rFonts w:hint="eastAsia"/>
          <w:b/>
          <w:bCs/>
          <w:lang w:val="en-US" w:eastAsia="zh-CN"/>
        </w:rPr>
        <w:t>条文说明</w:t>
      </w:r>
      <w:r>
        <w:rPr>
          <w:rFonts w:hint="eastAsia"/>
          <w:b/>
          <w:bCs/>
          <w:lang w:eastAsia="zh-CN"/>
        </w:rPr>
        <w:t>】</w:t>
      </w:r>
      <w:r>
        <w:rPr>
          <w:rFonts w:hint="eastAsia"/>
          <w:lang w:eastAsia="zh-CN"/>
        </w:rPr>
        <w:t>模块化钢结构房屋的显著特点在于由多个模块单元组成，必要时模块单元内可配置若干功能单元。作为一个系统工程，其基本特征是系统性与集成性，通过系统集成的方式，实现设计、生产、运输、施工安装和运营维护全过程的一体化管理。</w:t>
      </w:r>
    </w:p>
    <w:p w14:paraId="7F0245AC">
      <w:pPr>
        <w:numPr>
          <w:ilvl w:val="0"/>
          <w:numId w:val="3"/>
        </w:numPr>
        <w:spacing w:before="68" w:line="280" w:lineRule="auto"/>
        <w:ind w:left="0" w:leftChars="0" w:right="73" w:firstLine="0" w:firstLineChars="0"/>
        <w:jc w:val="both"/>
        <w:rPr>
          <w:rFonts w:hint="default" w:ascii="宋体" w:hAnsi="宋体" w:cs="宋体"/>
          <w:color w:val="000000"/>
          <w:spacing w:val="7"/>
          <w:sz w:val="24"/>
          <w:szCs w:val="24"/>
          <w:lang w:val="en-US" w:eastAsia="zh-CN"/>
        </w:rPr>
      </w:pPr>
      <w:r>
        <w:rPr>
          <w:rFonts w:hint="default" w:ascii="宋体" w:hAnsi="宋体" w:cs="宋体"/>
          <w:color w:val="000000"/>
          <w:spacing w:val="7"/>
          <w:sz w:val="24"/>
          <w:szCs w:val="24"/>
          <w:lang w:val="en-US" w:eastAsia="zh-CN"/>
        </w:rPr>
        <w:t>模块化钢结构房屋应将结构系统、外围护系统、设备与管线系统、内装系统集成，实现建筑功能完整、性能优良。</w:t>
      </w:r>
    </w:p>
    <w:p w14:paraId="0E120FE4">
      <w:pPr>
        <w:pStyle w:val="45"/>
        <w:numPr>
          <w:ilvl w:val="0"/>
          <w:numId w:val="0"/>
        </w:numPr>
        <w:bidi w:val="0"/>
        <w:ind w:leftChars="0"/>
        <w:rPr>
          <w:lang w:eastAsia="zh-CN"/>
        </w:rPr>
      </w:pPr>
      <w:r>
        <w:rPr>
          <w:rFonts w:hint="eastAsia"/>
          <w:b/>
          <w:bCs/>
          <w:lang w:eastAsia="zh-CN"/>
        </w:rPr>
        <w:t>【条文说明】</w:t>
      </w:r>
      <w:r>
        <w:rPr>
          <w:rFonts w:hint="eastAsia"/>
          <w:lang w:eastAsia="zh-CN"/>
        </w:rPr>
        <w:t>模块化钢结构房屋由结构系统、外围护系统、设备管线系统和内装系统四大部分组成。通过模数协调，将预制部品部件以模块单元为单位在工厂完成生产和安装，并运输至现场进行拼接组装。因此，在安装前需对内装体系和设备管线等进行精细化的多专业管线综合设计，以确保系统的协调与高效实施。</w:t>
      </w:r>
    </w:p>
    <w:p w14:paraId="1201B6AD">
      <w:pPr>
        <w:pStyle w:val="30"/>
        <w:rPr>
          <w:rFonts w:hint="default"/>
          <w:highlight w:val="none"/>
          <w:lang w:val="en-US" w:eastAsia="zh-CN"/>
        </w:rPr>
      </w:pPr>
    </w:p>
    <w:p w14:paraId="58BB78DD">
      <w:pPr>
        <w:numPr>
          <w:ilvl w:val="0"/>
          <w:numId w:val="3"/>
        </w:numPr>
        <w:spacing w:before="29" w:line="221" w:lineRule="auto"/>
        <w:ind w:left="0" w:leftChars="0" w:firstLine="0" w:firstLineChars="0"/>
        <w:jc w:val="both"/>
        <w:rPr>
          <w:rFonts w:ascii="宋体" w:hAnsi="宋体" w:eastAsia="宋体" w:cs="宋体"/>
          <w:color w:val="000000"/>
          <w:spacing w:val="11"/>
          <w:sz w:val="24"/>
          <w:szCs w:val="24"/>
          <w:lang w:eastAsia="zh-CN"/>
        </w:rPr>
      </w:pPr>
      <w:r>
        <w:rPr>
          <w:rFonts w:hint="eastAsia" w:ascii="宋体" w:hAnsi="宋体" w:cs="宋体"/>
          <w:color w:val="000000"/>
          <w:spacing w:val="11"/>
          <w:sz w:val="24"/>
          <w:szCs w:val="24"/>
          <w:lang w:eastAsia="zh-CN"/>
        </w:rPr>
        <w:t>模块化钢结构房屋</w:t>
      </w:r>
      <w:r>
        <w:rPr>
          <w:rFonts w:ascii="宋体" w:hAnsi="宋体" w:eastAsia="宋体" w:cs="宋体"/>
          <w:color w:val="000000"/>
          <w:spacing w:val="11"/>
          <w:sz w:val="24"/>
          <w:szCs w:val="24"/>
          <w:lang w:eastAsia="zh-CN"/>
        </w:rPr>
        <w:t>设计</w:t>
      </w:r>
      <w:r>
        <w:rPr>
          <w:rFonts w:hint="eastAsia" w:ascii="宋体" w:hAnsi="宋体" w:eastAsia="宋体" w:cs="宋体"/>
          <w:color w:val="000000"/>
          <w:spacing w:val="11"/>
          <w:sz w:val="24"/>
          <w:szCs w:val="24"/>
          <w:lang w:eastAsia="zh-CN"/>
        </w:rPr>
        <w:t>应按照通用化、模数化、标准化的要求</w:t>
      </w:r>
      <w:r>
        <w:rPr>
          <w:rFonts w:ascii="宋体" w:hAnsi="宋体" w:eastAsia="宋体" w:cs="宋体"/>
          <w:color w:val="000000"/>
          <w:spacing w:val="11"/>
          <w:sz w:val="24"/>
          <w:szCs w:val="24"/>
          <w:lang w:eastAsia="zh-CN"/>
        </w:rPr>
        <w:t>，遵循模数协调和少规格、多组合的原则，实现模块单元的模数化、系列化和通用化。</w:t>
      </w:r>
    </w:p>
    <w:p w14:paraId="5F23ED9A">
      <w:pPr>
        <w:pStyle w:val="45"/>
        <w:numPr>
          <w:ilvl w:val="0"/>
          <w:numId w:val="0"/>
        </w:numPr>
        <w:bidi w:val="0"/>
        <w:ind w:leftChars="0"/>
        <w:rPr>
          <w:rFonts w:hint="eastAsia"/>
          <w:lang w:eastAsia="zh-CN"/>
        </w:rPr>
      </w:pPr>
      <w:r>
        <w:rPr>
          <w:rFonts w:hint="eastAsia"/>
          <w:b/>
          <w:bCs/>
          <w:lang w:eastAsia="zh-CN"/>
        </w:rPr>
        <w:t>【条文说明】</w:t>
      </w:r>
      <w:r>
        <w:rPr>
          <w:rFonts w:hint="eastAsia"/>
          <w:lang w:eastAsia="zh-CN"/>
        </w:rPr>
        <w:t>模块化钢结构房屋的设计应注重模数协调，以实现装配化建造以及部品部件的标准化与通用化要求。标准化设计是模块化建造的关键基础，只有通过标准化，才能实现结构系统、外围护系统、设备管线系统与内装系统的一体化集成。模数与模数协调是实现标准化设计的重要前提，有助于减少部品部件的规格种类，提升其重复使用率，从而提高建造速度和工人劳动效率，降低整体造价。同时，可通过新材料和新工艺的应用，兼顾建筑外立面的美观需求，实现标准化与多样化的有机结合。</w:t>
      </w:r>
    </w:p>
    <w:p w14:paraId="662E272A">
      <w:pPr>
        <w:pStyle w:val="45"/>
        <w:numPr>
          <w:ilvl w:val="0"/>
          <w:numId w:val="0"/>
        </w:numPr>
        <w:bidi w:val="0"/>
        <w:spacing w:line="240" w:lineRule="auto"/>
        <w:ind w:leftChars="0"/>
        <w:rPr>
          <w:rFonts w:hint="eastAsia"/>
          <w:color w:val="000000" w:themeColor="text1"/>
          <w:lang w:eastAsia="zh-CN"/>
          <w14:textFill>
            <w14:solidFill>
              <w14:schemeClr w14:val="tx1"/>
            </w14:solidFill>
          </w14:textFill>
        </w:rPr>
      </w:pPr>
    </w:p>
    <w:p w14:paraId="4704880E">
      <w:pPr>
        <w:numPr>
          <w:ilvl w:val="0"/>
          <w:numId w:val="3"/>
        </w:numPr>
        <w:spacing w:before="83" w:line="279" w:lineRule="auto"/>
        <w:ind w:left="0" w:leftChars="0" w:firstLine="0" w:firstLineChars="0"/>
        <w:jc w:val="both"/>
        <w:rPr>
          <w:rFonts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cs="宋体"/>
          <w:color w:val="000000" w:themeColor="text1"/>
          <w:spacing w:val="6"/>
          <w:sz w:val="24"/>
          <w:szCs w:val="24"/>
          <w:lang w:eastAsia="zh-CN"/>
          <w14:textFill>
            <w14:solidFill>
              <w14:schemeClr w14:val="tx1"/>
            </w14:solidFill>
          </w14:textFill>
        </w:rPr>
        <w:t>模块化钢结构房屋</w:t>
      </w:r>
      <w:r>
        <w:rPr>
          <w:rFonts w:ascii="宋体" w:hAnsi="宋体" w:eastAsia="宋体" w:cs="宋体"/>
          <w:color w:val="000000" w:themeColor="text1"/>
          <w:spacing w:val="6"/>
          <w:sz w:val="24"/>
          <w:szCs w:val="24"/>
          <w:lang w:eastAsia="zh-CN"/>
          <w14:textFill>
            <w14:solidFill>
              <w14:schemeClr w14:val="tx1"/>
            </w14:solidFill>
          </w14:textFill>
        </w:rPr>
        <w:t>的连接和接口应构造合理、</w:t>
      </w:r>
      <w:r>
        <w:rPr>
          <w:rFonts w:hint="eastAsia" w:ascii="宋体" w:hAnsi="宋体" w:cs="宋体"/>
          <w:color w:val="000000" w:themeColor="text1"/>
          <w:spacing w:val="6"/>
          <w:sz w:val="24"/>
          <w:szCs w:val="24"/>
          <w:lang w:val="en-US" w:eastAsia="zh-CN"/>
          <w14:textFill>
            <w14:solidFill>
              <w14:schemeClr w14:val="tx1"/>
            </w14:solidFill>
          </w14:textFill>
        </w:rPr>
        <w:t>连接快捷、</w:t>
      </w:r>
      <w:r>
        <w:rPr>
          <w:rFonts w:ascii="宋体" w:hAnsi="宋体" w:eastAsia="宋体" w:cs="宋体"/>
          <w:color w:val="000000" w:themeColor="text1"/>
          <w:spacing w:val="6"/>
          <w:sz w:val="24"/>
          <w:szCs w:val="24"/>
          <w:lang w:eastAsia="zh-CN"/>
          <w14:textFill>
            <w14:solidFill>
              <w14:schemeClr w14:val="tx1"/>
            </w14:solidFill>
          </w14:textFill>
        </w:rPr>
        <w:t>安全可靠，并</w:t>
      </w:r>
      <w:r>
        <w:rPr>
          <w:rFonts w:hint="eastAsia" w:ascii="宋体" w:hAnsi="宋体" w:cs="宋体"/>
          <w:color w:val="000000" w:themeColor="text1"/>
          <w:spacing w:val="6"/>
          <w:sz w:val="24"/>
          <w:szCs w:val="24"/>
          <w:lang w:val="en-US" w:eastAsia="zh-CN"/>
          <w14:textFill>
            <w14:solidFill>
              <w14:schemeClr w14:val="tx1"/>
            </w14:solidFill>
          </w14:textFill>
        </w:rPr>
        <w:t>应进行</w:t>
      </w:r>
      <w:r>
        <w:rPr>
          <w:rFonts w:ascii="宋体" w:hAnsi="宋体" w:eastAsia="宋体" w:cs="宋体"/>
          <w:color w:val="000000" w:themeColor="text1"/>
          <w:spacing w:val="6"/>
          <w:sz w:val="24"/>
          <w:szCs w:val="24"/>
          <w:lang w:eastAsia="zh-CN"/>
          <w14:textFill>
            <w14:solidFill>
              <w14:schemeClr w14:val="tx1"/>
            </w14:solidFill>
          </w14:textFill>
        </w:rPr>
        <w:t>标准化和通用化</w:t>
      </w:r>
      <w:r>
        <w:rPr>
          <w:rFonts w:hint="eastAsia" w:ascii="宋体" w:hAnsi="宋体" w:cs="宋体"/>
          <w:color w:val="000000" w:themeColor="text1"/>
          <w:spacing w:val="6"/>
          <w:sz w:val="24"/>
          <w:szCs w:val="24"/>
          <w:lang w:val="en-US" w:eastAsia="zh-CN"/>
          <w14:textFill>
            <w14:solidFill>
              <w14:schemeClr w14:val="tx1"/>
            </w14:solidFill>
          </w14:textFill>
        </w:rPr>
        <w:t>设计</w:t>
      </w:r>
      <w:r>
        <w:rPr>
          <w:rFonts w:ascii="宋体" w:hAnsi="宋体" w:eastAsia="宋体" w:cs="宋体"/>
          <w:color w:val="000000" w:themeColor="text1"/>
          <w:spacing w:val="6"/>
          <w:sz w:val="24"/>
          <w:szCs w:val="24"/>
          <w:lang w:eastAsia="zh-CN"/>
          <w14:textFill>
            <w14:solidFill>
              <w14:schemeClr w14:val="tx1"/>
            </w14:solidFill>
          </w14:textFill>
        </w:rPr>
        <w:t>。</w:t>
      </w:r>
    </w:p>
    <w:p w14:paraId="13172968">
      <w:pPr>
        <w:pStyle w:val="45"/>
        <w:numPr>
          <w:ilvl w:val="0"/>
          <w:numId w:val="0"/>
        </w:numPr>
        <w:bidi w:val="0"/>
        <w:ind w:leftChars="0"/>
        <w:rPr>
          <w:rFonts w:hint="eastAsia"/>
          <w:color w:val="000000" w:themeColor="text1"/>
          <w:lang w:val="en-US" w:eastAsia="zh-CN"/>
          <w14:textFill>
            <w14:solidFill>
              <w14:schemeClr w14:val="tx1"/>
            </w14:solidFill>
          </w14:textFill>
        </w:rPr>
      </w:pPr>
      <w:r>
        <w:rPr>
          <w:rFonts w:hint="eastAsia"/>
          <w:b/>
          <w:bCs/>
          <w:color w:val="000000" w:themeColor="text1"/>
          <w:lang w:eastAsia="zh-CN"/>
          <w14:textFill>
            <w14:solidFill>
              <w14:schemeClr w14:val="tx1"/>
            </w14:solidFill>
          </w14:textFill>
        </w:rPr>
        <w:t>【条文说明】</w:t>
      </w:r>
      <w:r>
        <w:rPr>
          <w:rFonts w:hint="eastAsia"/>
          <w:color w:val="000000" w:themeColor="text1"/>
          <w:lang w:eastAsia="zh-CN"/>
          <w14:textFill>
            <w14:solidFill>
              <w14:schemeClr w14:val="tx1"/>
            </w14:solidFill>
          </w14:textFill>
        </w:rPr>
        <w:t>模块化钢结构房屋设计应采用标准化的模块单元和连接节点，尽量减少模块的尺寸和种类。设计过程中应特别关注模块单元之间连接节点的选型与设计，确保接口的标准化和通用化，以提高连接的适配性和施工的便捷性。</w:t>
      </w:r>
    </w:p>
    <w:p w14:paraId="34C43877">
      <w:pPr>
        <w:numPr>
          <w:ilvl w:val="0"/>
          <w:numId w:val="3"/>
        </w:numPr>
        <w:spacing w:before="83" w:line="279" w:lineRule="auto"/>
        <w:ind w:left="0" w:leftChars="0" w:firstLine="0" w:firstLineChars="0"/>
        <w:jc w:val="both"/>
        <w:rPr>
          <w:rFonts w:hint="default" w:ascii="宋体" w:hAnsi="宋体" w:cs="宋体"/>
          <w:color w:val="000000" w:themeColor="text1"/>
          <w:spacing w:val="6"/>
          <w:sz w:val="24"/>
          <w:szCs w:val="24"/>
          <w:lang w:val="en-US" w:eastAsia="zh-CN"/>
          <w14:textFill>
            <w14:solidFill>
              <w14:schemeClr w14:val="tx1"/>
            </w14:solidFill>
          </w14:textFill>
        </w:rPr>
      </w:pPr>
      <w:r>
        <w:rPr>
          <w:rFonts w:hint="eastAsia" w:ascii="宋体" w:hAnsi="宋体" w:cs="宋体"/>
          <w:color w:val="000000" w:themeColor="text1"/>
          <w:spacing w:val="6"/>
          <w:sz w:val="24"/>
          <w:szCs w:val="24"/>
          <w:lang w:eastAsia="zh-CN"/>
          <w14:textFill>
            <w14:solidFill>
              <w14:schemeClr w14:val="tx1"/>
            </w14:solidFill>
          </w14:textFill>
        </w:rPr>
        <w:t>模块化钢结构房屋</w:t>
      </w:r>
      <w:r>
        <w:rPr>
          <w:rFonts w:hint="eastAsia" w:ascii="宋体" w:hAnsi="宋体" w:cs="宋体"/>
          <w:color w:val="000000" w:themeColor="text1"/>
          <w:spacing w:val="6"/>
          <w:sz w:val="24"/>
          <w:szCs w:val="24"/>
          <w:lang w:val="en-US" w:eastAsia="zh-CN"/>
          <w14:textFill>
            <w14:solidFill>
              <w14:schemeClr w14:val="tx1"/>
            </w14:solidFill>
          </w14:textFill>
        </w:rPr>
        <w:t>应综合协调建筑、结构、设备和内装等专业，并应制定相互协同的</w:t>
      </w:r>
      <w:r>
        <w:rPr>
          <w:rFonts w:hint="eastAsia" w:ascii="宋体" w:hAnsi="宋体" w:eastAsia="宋体" w:cs="宋体"/>
          <w:color w:val="000000"/>
          <w:spacing w:val="6"/>
          <w:sz w:val="24"/>
          <w:szCs w:val="24"/>
          <w:lang w:val="en-US" w:eastAsia="zh-CN"/>
        </w:rPr>
        <w:t>施工组织设计</w:t>
      </w:r>
      <w:r>
        <w:rPr>
          <w:rFonts w:hint="eastAsia" w:ascii="宋体" w:hAnsi="宋体" w:cs="宋体"/>
          <w:color w:val="000000" w:themeColor="text1"/>
          <w:spacing w:val="6"/>
          <w:sz w:val="24"/>
          <w:szCs w:val="24"/>
          <w:lang w:val="en-US" w:eastAsia="zh-CN"/>
          <w14:textFill>
            <w14:solidFill>
              <w14:schemeClr w14:val="tx1"/>
            </w14:solidFill>
          </w14:textFill>
        </w:rPr>
        <w:t>，保证工程质量，提高劳动效率。</w:t>
      </w:r>
    </w:p>
    <w:p w14:paraId="3D129543">
      <w:pPr>
        <w:pStyle w:val="30"/>
        <w:rPr>
          <w:rFonts w:hint="default"/>
          <w:lang w:val="en-US" w:eastAsia="zh-CN"/>
        </w:rPr>
      </w:pPr>
    </w:p>
    <w:p w14:paraId="4AA67F8D">
      <w:pPr>
        <w:numPr>
          <w:ilvl w:val="0"/>
          <w:numId w:val="3"/>
        </w:numPr>
        <w:spacing w:before="83" w:line="279" w:lineRule="auto"/>
        <w:ind w:left="0" w:leftChars="0" w:firstLine="0" w:firstLineChars="0"/>
        <w:jc w:val="both"/>
        <w:rPr>
          <w:rFonts w:hint="default" w:ascii="宋体" w:hAnsi="宋体" w:cs="宋体"/>
          <w:color w:val="000000"/>
          <w:spacing w:val="6"/>
          <w:sz w:val="24"/>
          <w:szCs w:val="24"/>
          <w:lang w:val="en-US" w:eastAsia="zh-CN"/>
        </w:rPr>
      </w:pPr>
      <w:r>
        <w:rPr>
          <w:rFonts w:hint="default" w:ascii="宋体" w:hAnsi="宋体" w:cs="宋体"/>
          <w:color w:val="000000"/>
          <w:spacing w:val="6"/>
          <w:sz w:val="24"/>
          <w:szCs w:val="24"/>
          <w:lang w:val="en-US" w:eastAsia="zh-CN"/>
        </w:rPr>
        <w:t>模块化</w:t>
      </w:r>
      <w:r>
        <w:rPr>
          <w:rFonts w:hint="eastAsia" w:ascii="宋体" w:hAnsi="宋体" w:cs="宋体"/>
          <w:color w:val="000000"/>
          <w:spacing w:val="6"/>
          <w:sz w:val="24"/>
          <w:szCs w:val="24"/>
          <w:lang w:val="en-US" w:eastAsia="zh-CN"/>
        </w:rPr>
        <w:t>钢结构</w:t>
      </w:r>
      <w:r>
        <w:rPr>
          <w:rFonts w:hint="default" w:ascii="宋体" w:hAnsi="宋体" w:cs="宋体"/>
          <w:color w:val="000000"/>
          <w:spacing w:val="6"/>
          <w:sz w:val="24"/>
          <w:szCs w:val="24"/>
          <w:lang w:val="en-US" w:eastAsia="zh-CN"/>
        </w:rPr>
        <w:t>房屋的设计、生产和装配中的模数数列应根据功能性和经济性原则确定，并应符合现行国家标准《建筑模数协调标准》GB/T 50002 的规定。</w:t>
      </w:r>
    </w:p>
    <w:p w14:paraId="3A7EC2FB">
      <w:pPr>
        <w:numPr>
          <w:ilvl w:val="0"/>
          <w:numId w:val="3"/>
        </w:numPr>
        <w:spacing w:before="83" w:line="279" w:lineRule="auto"/>
        <w:ind w:left="0" w:leftChars="0" w:firstLine="0" w:firstLineChars="0"/>
        <w:jc w:val="both"/>
        <w:rPr>
          <w:rFonts w:hint="eastAsia" w:ascii="宋体" w:hAnsi="宋体" w:cs="宋体"/>
          <w:color w:val="000000"/>
          <w:spacing w:val="6"/>
          <w:sz w:val="24"/>
          <w:szCs w:val="24"/>
          <w:lang w:val="en-US" w:eastAsia="zh-CN"/>
        </w:rPr>
      </w:pPr>
      <w:r>
        <w:rPr>
          <w:rFonts w:hint="eastAsia" w:ascii="宋体" w:hAnsi="宋体" w:cs="宋体"/>
          <w:color w:val="000000"/>
          <w:spacing w:val="6"/>
          <w:sz w:val="24"/>
          <w:szCs w:val="24"/>
          <w:lang w:val="en-US" w:eastAsia="zh-CN"/>
        </w:rPr>
        <w:t>建筑设计应考虑模块单元的特点，采用名义轴网(图3.1.7)。</w:t>
      </w:r>
    </w:p>
    <w:p w14:paraId="2471D8BC">
      <w:pPr>
        <w:numPr>
          <w:ilvl w:val="0"/>
          <w:numId w:val="0"/>
        </w:numPr>
        <w:spacing w:before="83" w:line="279" w:lineRule="auto"/>
        <w:ind w:leftChars="0"/>
        <w:jc w:val="both"/>
        <w:rPr>
          <w:rFonts w:hint="eastAsia" w:ascii="宋体" w:hAnsi="宋体" w:cs="宋体"/>
          <w:color w:val="000000"/>
          <w:spacing w:val="6"/>
          <w:sz w:val="24"/>
          <w:szCs w:val="24"/>
          <w:lang w:val="en-US" w:eastAsia="zh-CN"/>
        </w:rPr>
      </w:pPr>
    </w:p>
    <w:p w14:paraId="1304247C">
      <w:pPr>
        <w:numPr>
          <w:ilvl w:val="0"/>
          <w:numId w:val="0"/>
        </w:numPr>
        <w:spacing w:before="83" w:line="279" w:lineRule="auto"/>
        <w:ind w:leftChars="0"/>
        <w:jc w:val="center"/>
      </w:pPr>
      <w:r>
        <w:drawing>
          <wp:inline distT="0" distB="0" distL="114300" distR="114300">
            <wp:extent cx="5539740" cy="2276475"/>
            <wp:effectExtent l="0" t="0" r="0" b="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13"/>
                    <a:stretch>
                      <a:fillRect/>
                    </a:stretch>
                  </pic:blipFill>
                  <pic:spPr>
                    <a:xfrm>
                      <a:off x="0" y="0"/>
                      <a:ext cx="5539740" cy="2276475"/>
                    </a:xfrm>
                    <a:prstGeom prst="rect">
                      <a:avLst/>
                    </a:prstGeom>
                    <a:noFill/>
                    <a:ln>
                      <a:noFill/>
                    </a:ln>
                  </pic:spPr>
                </pic:pic>
              </a:graphicData>
            </a:graphic>
          </wp:inline>
        </w:drawing>
      </w:r>
    </w:p>
    <w:p w14:paraId="7641F4CF">
      <w:pPr>
        <w:bidi w:val="0"/>
        <w:jc w:val="center"/>
        <w:rPr>
          <w:rFonts w:hint="eastAsia"/>
          <w:lang w:val="en-US" w:eastAsia="zh-CN"/>
        </w:rPr>
      </w:pPr>
      <w:r>
        <w:rPr>
          <w:rFonts w:hint="eastAsia"/>
          <w:lang w:val="en-US" w:eastAsia="zh-CN"/>
        </w:rPr>
        <w:t>图3.1.7 模块化钢结构房屋的名义轴网</w:t>
      </w:r>
    </w:p>
    <w:p w14:paraId="37ACA53F">
      <w:pPr>
        <w:bidi w:val="0"/>
        <w:jc w:val="center"/>
        <w:rPr>
          <w:rFonts w:hint="eastAsia"/>
          <w:lang w:val="en-US" w:eastAsia="zh-CN"/>
        </w:rPr>
      </w:pPr>
      <w:r>
        <w:rPr>
          <w:rFonts w:hint="eastAsia"/>
          <w:lang w:val="en-US" w:eastAsia="zh-CN"/>
        </w:rPr>
        <w:t>1一尽端单元；2一中部单元；3一模块间隙；4—模块角柱</w:t>
      </w:r>
    </w:p>
    <w:p w14:paraId="4ED504D9">
      <w:pPr>
        <w:numPr>
          <w:ilvl w:val="0"/>
          <w:numId w:val="3"/>
        </w:numPr>
        <w:spacing w:before="83" w:line="279" w:lineRule="auto"/>
        <w:ind w:left="0" w:leftChars="0" w:firstLine="0" w:firstLineChars="0"/>
        <w:jc w:val="both"/>
        <w:rPr>
          <w:rFonts w:hint="default" w:ascii="宋体" w:hAnsi="宋体" w:cs="宋体"/>
          <w:color w:val="000000"/>
          <w:spacing w:val="6"/>
          <w:sz w:val="24"/>
          <w:szCs w:val="24"/>
          <w:lang w:val="en-US" w:eastAsia="zh-CN"/>
        </w:rPr>
      </w:pPr>
      <w:r>
        <w:rPr>
          <w:rFonts w:hint="eastAsia" w:ascii="宋体" w:hAnsi="宋体" w:cs="宋体"/>
          <w:color w:val="000000"/>
          <w:spacing w:val="6"/>
          <w:sz w:val="24"/>
          <w:szCs w:val="24"/>
          <w:lang w:val="en-US" w:eastAsia="zh-CN"/>
        </w:rPr>
        <w:t>模块单元竖向直接叠置时，宜取模块单元高度与模块单元间间隙之和</w:t>
      </w:r>
      <w:r>
        <w:rPr>
          <w:rFonts w:hint="eastAsia" w:ascii="宋体" w:hAnsi="宋体" w:cs="宋体"/>
          <w:color w:val="000000"/>
          <w:spacing w:val="6"/>
          <w:position w:val="-10"/>
          <w:sz w:val="24"/>
          <w:szCs w:val="24"/>
          <w:lang w:val="en-US" w:eastAsia="zh-CN"/>
        </w:rPr>
        <w:object>
          <v:shape id="_x0000_i1025" o:spt="75" type="#_x0000_t75" style="height:16pt;width:39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5" r:id="rId14">
            <o:LockedField>false</o:LockedField>
          </o:OLEObject>
        </w:object>
      </w:r>
      <w:r>
        <w:rPr>
          <w:rFonts w:hint="eastAsia" w:ascii="宋体" w:hAnsi="宋体" w:cs="宋体"/>
          <w:color w:val="000000"/>
          <w:spacing w:val="6"/>
          <w:sz w:val="24"/>
          <w:szCs w:val="24"/>
          <w:lang w:val="en-US" w:eastAsia="zh-CN"/>
        </w:rPr>
        <w:t>为建筑层高(图3.1.8)；当有连接垫件时，</w:t>
      </w:r>
      <w:r>
        <w:rPr>
          <w:rFonts w:hint="eastAsia" w:ascii="宋体" w:hAnsi="宋体" w:cs="宋体"/>
          <w:color w:val="000000"/>
          <w:spacing w:val="6"/>
          <w:position w:val="-6"/>
          <w:sz w:val="24"/>
          <w:szCs w:val="24"/>
          <w:lang w:val="en-US" w:eastAsia="zh-CN"/>
        </w:rPr>
        <w:object>
          <v:shape id="_x0000_i1026" o:spt="75" type="#_x0000_t75" style="height:13.95pt;width:13pt;" o:ole="t" filled="f" o:preferrelative="t" stroked="f" coordsize="21600,21600">
            <v:path/>
            <v:fill on="f" focussize="0,0"/>
            <v:stroke on="f"/>
            <v:imagedata r:id="rId17" o:title=""/>
            <o:lock v:ext="edit" aspectratio="t"/>
            <w10:wrap type="none"/>
            <w10:anchorlock/>
          </v:shape>
          <o:OLEObject Type="Embed" ProgID="Equation.KSEE3" ShapeID="_x0000_i1026" DrawAspect="Content" ObjectID="_1468075726" r:id="rId16">
            <o:LockedField>false</o:LockedField>
          </o:OLEObject>
        </w:object>
      </w:r>
      <w:r>
        <w:rPr>
          <w:rFonts w:hint="eastAsia" w:ascii="宋体" w:hAnsi="宋体" w:cs="宋体"/>
          <w:color w:val="000000"/>
          <w:spacing w:val="6"/>
          <w:sz w:val="24"/>
          <w:szCs w:val="24"/>
          <w:lang w:val="en-US" w:eastAsia="zh-CN"/>
        </w:rPr>
        <w:t>应为连接垫件的高度。</w:t>
      </w:r>
    </w:p>
    <w:p w14:paraId="511929F8">
      <w:pPr>
        <w:numPr>
          <w:ilvl w:val="0"/>
          <w:numId w:val="0"/>
        </w:numPr>
        <w:spacing w:before="83" w:line="279" w:lineRule="auto"/>
        <w:ind w:leftChars="0"/>
        <w:jc w:val="both"/>
      </w:pPr>
      <w:r>
        <w:drawing>
          <wp:inline distT="0" distB="0" distL="114300" distR="114300">
            <wp:extent cx="5906770" cy="2190750"/>
            <wp:effectExtent l="0" t="0" r="17780" b="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18"/>
                    <a:stretch>
                      <a:fillRect/>
                    </a:stretch>
                  </pic:blipFill>
                  <pic:spPr>
                    <a:xfrm>
                      <a:off x="0" y="0"/>
                      <a:ext cx="5906770" cy="2190750"/>
                    </a:xfrm>
                    <a:prstGeom prst="rect">
                      <a:avLst/>
                    </a:prstGeom>
                    <a:noFill/>
                    <a:ln>
                      <a:noFill/>
                    </a:ln>
                  </pic:spPr>
                </pic:pic>
              </a:graphicData>
            </a:graphic>
          </wp:inline>
        </w:drawing>
      </w:r>
    </w:p>
    <w:p w14:paraId="7576B9DD">
      <w:pPr>
        <w:numPr>
          <w:ilvl w:val="0"/>
          <w:numId w:val="0"/>
        </w:numPr>
        <w:spacing w:before="83" w:line="279" w:lineRule="auto"/>
        <w:ind w:leftChars="0"/>
        <w:jc w:val="center"/>
        <w:rPr>
          <w:rFonts w:hint="default"/>
          <w:lang w:val="en-US" w:eastAsia="zh-CN"/>
        </w:rPr>
      </w:pPr>
      <w:r>
        <w:rPr>
          <w:rFonts w:hint="default"/>
          <w:lang w:val="en-US" w:eastAsia="zh-CN"/>
        </w:rPr>
        <w:t>图3.1.</w:t>
      </w:r>
      <w:r>
        <w:rPr>
          <w:rFonts w:hint="eastAsia"/>
          <w:lang w:val="en-US" w:eastAsia="zh-CN"/>
        </w:rPr>
        <w:t>8 模</w:t>
      </w:r>
      <w:r>
        <w:rPr>
          <w:rFonts w:hint="default"/>
          <w:lang w:val="en-US" w:eastAsia="zh-CN"/>
        </w:rPr>
        <w:t>块单元竖向布置及建筑层高</w:t>
      </w:r>
    </w:p>
    <w:p w14:paraId="7CBDA912">
      <w:pPr>
        <w:numPr>
          <w:ilvl w:val="0"/>
          <w:numId w:val="0"/>
        </w:numPr>
        <w:spacing w:before="83" w:line="279" w:lineRule="auto"/>
        <w:ind w:leftChars="0"/>
        <w:jc w:val="center"/>
        <w:rPr>
          <w:rFonts w:hint="default"/>
          <w:lang w:val="en-US" w:eastAsia="zh-CN"/>
        </w:rPr>
      </w:pPr>
      <w:r>
        <w:rPr>
          <w:rFonts w:hint="default"/>
          <w:position w:val="-6"/>
          <w:lang w:val="en-US" w:eastAsia="zh-CN"/>
        </w:rPr>
        <w:object>
          <v:shape id="_x0000_i1027" o:spt="75" type="#_x0000_t75" style="height:13.95pt;width:10pt;" o:ole="t" filled="f" o:preferrelative="t" stroked="f" coordsize="21600,21600">
            <v:path/>
            <v:fill on="f" focussize="0,0"/>
            <v:stroke on="f"/>
            <v:imagedata r:id="rId20" o:title=""/>
            <o:lock v:ext="edit" aspectratio="t"/>
            <w10:wrap type="none"/>
            <w10:anchorlock/>
          </v:shape>
          <o:OLEObject Type="Embed" ProgID="Equation.KSEE3" ShapeID="_x0000_i1027" DrawAspect="Content" ObjectID="_1468075727" r:id="rId19">
            <o:LockedField>false</o:LockedField>
          </o:OLEObject>
        </w:object>
      </w:r>
      <w:r>
        <w:rPr>
          <w:rFonts w:hint="eastAsia"/>
          <w:lang w:val="en-US" w:eastAsia="zh-CN"/>
        </w:rPr>
        <w:t>—</w:t>
      </w:r>
      <w:r>
        <w:rPr>
          <w:rFonts w:hint="default"/>
          <w:lang w:val="en-US" w:eastAsia="zh-CN"/>
        </w:rPr>
        <w:t>模块单元高度</w:t>
      </w:r>
      <w:r>
        <w:rPr>
          <w:rFonts w:hint="eastAsia"/>
          <w:lang w:val="en-US" w:eastAsia="zh-CN"/>
        </w:rPr>
        <w:t>；</w:t>
      </w:r>
      <w:r>
        <w:rPr>
          <w:rFonts w:hint="eastAsia" w:ascii="宋体" w:hAnsi="宋体" w:cs="宋体"/>
          <w:color w:val="000000"/>
          <w:spacing w:val="6"/>
          <w:position w:val="-6"/>
          <w:sz w:val="24"/>
          <w:szCs w:val="24"/>
          <w:lang w:val="en-US" w:eastAsia="zh-CN"/>
        </w:rPr>
        <w:object>
          <v:shape id="_x0000_i1028" o:spt="75" type="#_x0000_t75" style="height:13.95pt;width:13pt;" o:ole="t" filled="f" o:preferrelative="t" stroked="f" coordsize="21600,21600">
            <v:path/>
            <v:fill on="f" focussize="0,0"/>
            <v:stroke on="f"/>
            <v:imagedata r:id="rId17" o:title=""/>
            <o:lock v:ext="edit" aspectratio="t"/>
            <w10:wrap type="none"/>
            <w10:anchorlock/>
          </v:shape>
          <o:OLEObject Type="Embed" ProgID="Equation.KSEE3" ShapeID="_x0000_i1028" DrawAspect="Content" ObjectID="_1468075728" r:id="rId21">
            <o:LockedField>false</o:LockedField>
          </o:OLEObject>
        </w:object>
      </w:r>
      <w:r>
        <w:rPr>
          <w:rFonts w:hint="eastAsia"/>
          <w:lang w:val="en-US" w:eastAsia="zh-CN"/>
        </w:rPr>
        <w:t>—</w:t>
      </w:r>
      <w:r>
        <w:rPr>
          <w:rFonts w:hint="default"/>
          <w:lang w:val="en-US" w:eastAsia="zh-CN"/>
        </w:rPr>
        <w:t>模块单元间垫件高度</w:t>
      </w:r>
      <w:r>
        <w:rPr>
          <w:rFonts w:hint="eastAsia"/>
          <w:lang w:val="en-US" w:eastAsia="zh-CN"/>
        </w:rPr>
        <w:t>；</w:t>
      </w:r>
      <w:r>
        <w:rPr>
          <w:rFonts w:hint="default"/>
          <w:lang w:val="en-US" w:eastAsia="zh-CN"/>
        </w:rPr>
        <w:t>虚线为铺装后的地(楼)面位置</w:t>
      </w:r>
    </w:p>
    <w:p w14:paraId="4EF299AD">
      <w:pPr>
        <w:numPr>
          <w:ilvl w:val="0"/>
          <w:numId w:val="0"/>
        </w:numPr>
        <w:spacing w:before="83" w:line="279" w:lineRule="auto"/>
        <w:ind w:leftChars="0"/>
        <w:jc w:val="center"/>
        <w:rPr>
          <w:rFonts w:hint="default"/>
          <w:lang w:val="en-US" w:eastAsia="zh-CN"/>
        </w:rPr>
      </w:pPr>
    </w:p>
    <w:p w14:paraId="35918B00">
      <w:pPr>
        <w:numPr>
          <w:ilvl w:val="0"/>
          <w:numId w:val="3"/>
        </w:numPr>
        <w:spacing w:before="83" w:line="279" w:lineRule="auto"/>
        <w:ind w:left="0" w:leftChars="0" w:firstLine="0" w:firstLineChars="0"/>
        <w:jc w:val="both"/>
        <w:rPr>
          <w:rFonts w:hint="default" w:ascii="宋体" w:hAnsi="宋体" w:cs="宋体"/>
          <w:color w:val="000000"/>
          <w:spacing w:val="6"/>
          <w:sz w:val="24"/>
          <w:szCs w:val="24"/>
          <w:lang w:val="en-US" w:eastAsia="zh-CN"/>
        </w:rPr>
      </w:pPr>
      <w:r>
        <w:rPr>
          <w:rFonts w:hint="eastAsia" w:ascii="宋体" w:hAnsi="宋体" w:cs="宋体"/>
          <w:color w:val="000000"/>
          <w:spacing w:val="6"/>
          <w:sz w:val="24"/>
          <w:szCs w:val="24"/>
          <w:lang w:val="en-US" w:eastAsia="zh-CN"/>
        </w:rPr>
        <w:t>隔声性能应符合现行国家标准《民用建筑隔声设计规范》GB 50118的规定，模块单元内部品部件、模块单元间的连接节点应采取隔声、隔振措施，对可能形成声桥的部位，应采用隔声材料或重质材料填充或包覆，使相邻空间隔声达到设计要求。</w:t>
      </w:r>
    </w:p>
    <w:p w14:paraId="2AA12EA8">
      <w:pPr>
        <w:pStyle w:val="9"/>
        <w:rPr>
          <w:rFonts w:hint="eastAsia"/>
          <w:lang w:eastAsia="zh-CN"/>
        </w:rPr>
      </w:pPr>
    </w:p>
    <w:p w14:paraId="6958EF88">
      <w:pPr>
        <w:pStyle w:val="11"/>
        <w:rPr>
          <w:rFonts w:hint="eastAsia"/>
          <w:lang w:eastAsia="zh-CN"/>
        </w:rPr>
      </w:pPr>
    </w:p>
    <w:p w14:paraId="2D05BA97">
      <w:pPr>
        <w:rPr>
          <w:lang w:eastAsia="zh-CN"/>
        </w:rPr>
      </w:pPr>
    </w:p>
    <w:p w14:paraId="62AC7E38">
      <w:pPr>
        <w:spacing w:line="360" w:lineRule="auto"/>
        <w:jc w:val="both"/>
        <w:rPr>
          <w:rFonts w:ascii="等线" w:hAnsi="等线" w:eastAsia="等线" w:cs="Times New Roman"/>
          <w:strike/>
          <w:dstrike w:val="0"/>
          <w:color w:val="C00000"/>
          <w:sz w:val="21"/>
          <w:szCs w:val="24"/>
          <w:lang w:eastAsia="zh-CN"/>
        </w:rPr>
      </w:pPr>
    </w:p>
    <w:p w14:paraId="27567B94">
      <w:pPr>
        <w:rPr>
          <w:lang w:eastAsia="zh-CN"/>
        </w:rPr>
        <w:sectPr>
          <w:footerReference r:id="rId7" w:type="default"/>
          <w:pgSz w:w="11907" w:h="16839"/>
          <w:pgMar w:top="1134" w:right="1417" w:bottom="1134" w:left="1417" w:header="0" w:footer="989" w:gutter="0"/>
          <w:pgNumType w:fmt="decimal"/>
          <w:cols w:space="720" w:num="1"/>
        </w:sectPr>
      </w:pPr>
    </w:p>
    <w:p w14:paraId="2286E5D0">
      <w:pPr>
        <w:keepNext/>
        <w:keepLines/>
        <w:widowControl w:val="0"/>
        <w:bidi w:val="0"/>
        <w:spacing w:before="50" w:beforeLines="50" w:after="50" w:afterLines="50" w:line="360" w:lineRule="auto"/>
        <w:jc w:val="center"/>
        <w:outlineLvl w:val="0"/>
        <w:rPr>
          <w:rFonts w:ascii="Times New Roman" w:hAnsi="Times New Roman" w:eastAsia="宋体" w:cs="Times New Roman"/>
          <w:b/>
          <w:bCs/>
          <w:kern w:val="44"/>
          <w:sz w:val="44"/>
          <w:szCs w:val="44"/>
          <w:lang w:val="en-US" w:eastAsia="zh-CN" w:bidi="ar-SA"/>
        </w:rPr>
      </w:pPr>
      <w:bookmarkStart w:id="18" w:name="_Toc23624"/>
      <w:bookmarkStart w:id="19" w:name="_Toc21989"/>
      <w:bookmarkStart w:id="20" w:name="_Toc186033316"/>
      <w:r>
        <w:rPr>
          <w:rFonts w:ascii="Times New Roman" w:hAnsi="Times New Roman" w:eastAsia="宋体" w:cs="Times New Roman"/>
          <w:b/>
          <w:bCs/>
          <w:kern w:val="44"/>
          <w:sz w:val="44"/>
          <w:szCs w:val="44"/>
          <w:lang w:val="en-US" w:eastAsia="zh-CN" w:bidi="ar-SA"/>
        </w:rPr>
        <w:t>4建筑设计</w:t>
      </w:r>
      <w:bookmarkEnd w:id="18"/>
    </w:p>
    <w:p w14:paraId="40848C4D">
      <w:pPr>
        <w:keepNext/>
        <w:keepLines/>
        <w:widowControl w:val="0"/>
        <w:bidi w:val="0"/>
        <w:spacing w:before="50" w:beforeLines="50" w:after="50" w:afterLines="50" w:line="360" w:lineRule="auto"/>
        <w:jc w:val="center"/>
        <w:outlineLvl w:val="1"/>
        <w:rPr>
          <w:rFonts w:ascii="Times New Roman" w:hAnsi="Times New Roman" w:eastAsia="黑体" w:cs="Times New Roman"/>
          <w:bCs/>
          <w:kern w:val="2"/>
          <w:sz w:val="32"/>
          <w:szCs w:val="32"/>
          <w:lang w:val="en-US" w:eastAsia="zh-CN" w:bidi="ar-SA"/>
        </w:rPr>
      </w:pPr>
      <w:bookmarkStart w:id="21" w:name="_Toc12528"/>
      <w:r>
        <w:rPr>
          <w:rFonts w:ascii="Times New Roman" w:hAnsi="Times New Roman" w:eastAsia="黑体" w:cs="Times New Roman"/>
          <w:bCs/>
          <w:kern w:val="2"/>
          <w:sz w:val="32"/>
          <w:szCs w:val="32"/>
          <w:lang w:val="en-US" w:eastAsia="zh-CN" w:bidi="ar-SA"/>
        </w:rPr>
        <w:t>4.1一般规定</w:t>
      </w:r>
      <w:bookmarkEnd w:id="21"/>
    </w:p>
    <w:p w14:paraId="4752087A">
      <w:pPr>
        <w:numPr>
          <w:ilvl w:val="0"/>
          <w:numId w:val="4"/>
        </w:num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模块化钢结构房屋</w:t>
      </w:r>
      <w:r>
        <w:rPr>
          <w:rFonts w:hint="eastAsia"/>
          <w:color w:val="000000" w:themeColor="text1"/>
          <w:lang w:val="en-US" w:eastAsia="zh-CN"/>
          <w14:textFill>
            <w14:solidFill>
              <w14:schemeClr w14:val="tx1"/>
            </w14:solidFill>
          </w14:textFill>
        </w:rPr>
        <w:t>的</w:t>
      </w:r>
      <w:r>
        <w:rPr>
          <w:rFonts w:hint="eastAsia"/>
          <w:color w:val="000000" w:themeColor="text1"/>
          <w:lang w:eastAsia="zh-CN"/>
          <w14:textFill>
            <w14:solidFill>
              <w14:schemeClr w14:val="tx1"/>
            </w14:solidFill>
          </w14:textFill>
        </w:rPr>
        <w:t>模数</w:t>
      </w:r>
      <w:r>
        <w:rPr>
          <w:rFonts w:hint="eastAsia"/>
          <w:color w:val="000000" w:themeColor="text1"/>
          <w:highlight w:val="none"/>
          <w:lang w:eastAsia="zh-CN"/>
          <w14:textFill>
            <w14:solidFill>
              <w14:schemeClr w14:val="tx1"/>
            </w14:solidFill>
          </w14:textFill>
        </w:rPr>
        <w:t>数列</w:t>
      </w:r>
      <w:r>
        <w:rPr>
          <w:rFonts w:hint="eastAsia"/>
          <w:color w:val="000000" w:themeColor="text1"/>
          <w:lang w:val="en-US" w:eastAsia="zh-CN"/>
          <w14:textFill>
            <w14:solidFill>
              <w14:schemeClr w14:val="tx1"/>
            </w14:solidFill>
          </w14:textFill>
        </w:rPr>
        <w:t>、防火、节能、防水、</w:t>
      </w:r>
      <w:r>
        <w:rPr>
          <w:rFonts w:hint="eastAsia"/>
          <w:color w:val="000000" w:themeColor="text1"/>
          <w:highlight w:val="none"/>
          <w:lang w:val="en-US" w:eastAsia="zh-CN"/>
          <w14:textFill>
            <w14:solidFill>
              <w14:schemeClr w14:val="tx1"/>
            </w14:solidFill>
          </w14:textFill>
        </w:rPr>
        <w:t>隔声、</w:t>
      </w:r>
      <w:r>
        <w:rPr>
          <w:rFonts w:hint="eastAsia"/>
          <w:color w:val="000000" w:themeColor="text1"/>
          <w:lang w:val="en-US" w:eastAsia="zh-CN"/>
          <w14:textFill>
            <w14:solidFill>
              <w14:schemeClr w14:val="tx1"/>
            </w14:solidFill>
          </w14:textFill>
        </w:rPr>
        <w:t>设备与管线设计</w:t>
      </w:r>
      <w:r>
        <w:rPr>
          <w:rFonts w:hint="eastAsia"/>
          <w:color w:val="000000" w:themeColor="text1"/>
          <w:lang w:eastAsia="zh-CN"/>
          <w14:textFill>
            <w14:solidFill>
              <w14:schemeClr w14:val="tx1"/>
            </w14:solidFill>
          </w14:textFill>
        </w:rPr>
        <w:t>应符合现行国家</w:t>
      </w:r>
      <w:r>
        <w:rPr>
          <w:rFonts w:hint="eastAsia"/>
          <w:color w:val="000000" w:themeColor="text1"/>
          <w:lang w:val="en-US" w:eastAsia="zh-CN"/>
          <w14:textFill>
            <w14:solidFill>
              <w14:schemeClr w14:val="tx1"/>
            </w14:solidFill>
          </w14:textFill>
        </w:rPr>
        <w:t>相关</w:t>
      </w:r>
      <w:r>
        <w:rPr>
          <w:rFonts w:hint="eastAsia"/>
          <w:color w:val="000000" w:themeColor="text1"/>
          <w:lang w:eastAsia="zh-CN"/>
          <w14:textFill>
            <w14:solidFill>
              <w14:schemeClr w14:val="tx1"/>
            </w14:solidFill>
          </w14:textFill>
        </w:rPr>
        <w:t>标准</w:t>
      </w:r>
      <w:r>
        <w:rPr>
          <w:rFonts w:hint="eastAsia"/>
          <w:color w:val="000000" w:themeColor="text1"/>
          <w:lang w:val="en-US" w:eastAsia="zh-CN"/>
          <w14:textFill>
            <w14:solidFill>
              <w14:schemeClr w14:val="tx1"/>
            </w14:solidFill>
          </w14:textFill>
        </w:rPr>
        <w:t>的</w:t>
      </w:r>
      <w:r>
        <w:rPr>
          <w:rFonts w:hint="eastAsia"/>
          <w:color w:val="000000" w:themeColor="text1"/>
          <w:lang w:eastAsia="zh-CN"/>
          <w14:textFill>
            <w14:solidFill>
              <w14:schemeClr w14:val="tx1"/>
            </w14:solidFill>
          </w14:textFill>
        </w:rPr>
        <w:t>规定。</w:t>
      </w:r>
    </w:p>
    <w:p w14:paraId="250FEC62">
      <w:pPr>
        <w:pStyle w:val="45"/>
        <w:numPr>
          <w:ilvl w:val="0"/>
          <w:numId w:val="0"/>
        </w:numPr>
        <w:bidi w:val="0"/>
        <w:ind w:leftChars="0"/>
        <w:rPr>
          <w:rFonts w:hint="eastAsia"/>
          <w:szCs w:val="20"/>
          <w:lang w:val="en-US" w:eastAsia="zh-CN"/>
        </w:rPr>
      </w:pPr>
      <w:r>
        <w:rPr>
          <w:rFonts w:hint="eastAsia"/>
          <w:b/>
          <w:bCs/>
          <w:szCs w:val="20"/>
          <w:lang w:val="en-US" w:eastAsia="zh-CN"/>
        </w:rPr>
        <w:t>【条文说明】</w:t>
      </w:r>
      <w:r>
        <w:rPr>
          <w:rFonts w:hint="eastAsia"/>
          <w:szCs w:val="20"/>
          <w:lang w:val="en-US" w:eastAsia="zh-CN"/>
        </w:rPr>
        <w:t>随着建筑业的持续发展，</w:t>
      </w:r>
      <w:r>
        <w:rPr>
          <w:rFonts w:hint="eastAsia"/>
          <w:szCs w:val="20"/>
          <w:lang w:eastAsia="zh-CN"/>
        </w:rPr>
        <w:t>民用建筑工程</w:t>
      </w:r>
      <w:r>
        <w:rPr>
          <w:rFonts w:hint="eastAsia"/>
          <w:szCs w:val="20"/>
          <w:lang w:val="en-US" w:eastAsia="zh-CN"/>
        </w:rPr>
        <w:t>的各项</w:t>
      </w:r>
      <w:r>
        <w:rPr>
          <w:rFonts w:hint="eastAsia"/>
          <w:szCs w:val="20"/>
          <w:lang w:eastAsia="zh-CN"/>
        </w:rPr>
        <w:t>功能和质量</w:t>
      </w:r>
      <w:r>
        <w:rPr>
          <w:rFonts w:hint="eastAsia"/>
          <w:szCs w:val="20"/>
          <w:lang w:val="en-US" w:eastAsia="zh-CN"/>
        </w:rPr>
        <w:t>都在不断提高。因此，模块化钢结构房屋在设计上应符合现行国家标准《民用建筑设计统一标准》GB50352、</w:t>
      </w:r>
      <w:r>
        <w:rPr>
          <w:rFonts w:hint="eastAsia"/>
          <w:szCs w:val="20"/>
        </w:rPr>
        <w:t>《民用建筑通用规范》G</w:t>
      </w:r>
      <w:r>
        <w:rPr>
          <w:szCs w:val="20"/>
        </w:rPr>
        <w:t>B55031</w:t>
      </w:r>
      <w:r>
        <w:rPr>
          <w:rFonts w:hint="eastAsia"/>
          <w:szCs w:val="20"/>
          <w:lang w:val="en-US" w:eastAsia="zh-CN"/>
        </w:rPr>
        <w:t>的有关规定；平面尺寸应符合现行国家标准《建筑模数协调标准》GB/T50002的有关规定；防火设计应符合现行国家标准《建筑防火通用规范》GB55037、《建筑设计防火规范》GB50016的有关规定，内装修工程防火设计应符合现行国家标准《建筑内部装修设计防火规范》GB50222的有关规定；节能设计应符合国家现行标准《建筑节能与可再生能源利用通用规范》GB55015、《民用建筑热工设计规范》GB50176、《公共建筑节能设计标准》GB50189、《夏热冬暖地区居住建筑节能设计标准》JGJ75、《严寒和寒冷地区居住建筑节能设计标准》JGJ 26、</w:t>
      </w:r>
      <w:r>
        <w:rPr>
          <w:rFonts w:hint="eastAsia"/>
          <w:szCs w:val="20"/>
        </w:rPr>
        <w:t>《四川省居住建筑节能设计标准》D</w:t>
      </w:r>
      <w:r>
        <w:rPr>
          <w:szCs w:val="20"/>
        </w:rPr>
        <w:t>B51/T5027</w:t>
      </w:r>
      <w:r>
        <w:rPr>
          <w:rFonts w:hint="eastAsia"/>
          <w:szCs w:val="20"/>
          <w:lang w:eastAsia="zh-CN"/>
        </w:rPr>
        <w:t>、</w:t>
      </w:r>
      <w:r>
        <w:rPr>
          <w:rFonts w:hint="eastAsia"/>
          <w:szCs w:val="20"/>
        </w:rPr>
        <w:t>《四川省公共建筑节能设计标准》D</w:t>
      </w:r>
      <w:r>
        <w:rPr>
          <w:szCs w:val="20"/>
        </w:rPr>
        <w:t>BJ51/143</w:t>
      </w:r>
      <w:r>
        <w:rPr>
          <w:rFonts w:hint="eastAsia"/>
          <w:szCs w:val="20"/>
          <w:lang w:val="en-US" w:eastAsia="zh-CN"/>
        </w:rPr>
        <w:t>的有关规定；防水工程应符合现行国家标准</w:t>
      </w:r>
      <w:r>
        <w:rPr>
          <w:rFonts w:hint="eastAsia"/>
          <w:szCs w:val="20"/>
        </w:rPr>
        <w:t>《建筑与市政工程防水通用规范》G</w:t>
      </w:r>
      <w:r>
        <w:rPr>
          <w:szCs w:val="20"/>
        </w:rPr>
        <w:t>B55030</w:t>
      </w:r>
      <w:r>
        <w:rPr>
          <w:rFonts w:hint="eastAsia"/>
          <w:szCs w:val="20"/>
          <w:lang w:val="en-US" w:eastAsia="zh-CN"/>
        </w:rPr>
        <w:t>、《四川省建设工程防水技术标准》DBJ51/T255的有关规定</w:t>
      </w:r>
      <w:r>
        <w:rPr>
          <w:rFonts w:hint="eastAsia"/>
          <w:szCs w:val="20"/>
          <w:highlight w:val="none"/>
          <w:lang w:val="en-US" w:eastAsia="zh-CN"/>
        </w:rPr>
        <w:t>；隔声性能应符合现行国家标准《民用建筑隔声设计规范》GB50118和《建筑环境通用规范》GB 55016的有关规定；设备设施</w:t>
      </w:r>
      <w:r>
        <w:rPr>
          <w:rFonts w:hint="eastAsia"/>
          <w:szCs w:val="20"/>
          <w:lang w:val="en-US" w:eastAsia="zh-CN"/>
        </w:rPr>
        <w:t>与电气设计应符合国家现行标准《通用用电设备配电设计规范》 GB 50055 、《民用建筑电气设计规范》JGJ 16 的规定。</w:t>
      </w:r>
    </w:p>
    <w:p w14:paraId="45B70A53">
      <w:pPr>
        <w:pStyle w:val="45"/>
        <w:numPr>
          <w:ilvl w:val="0"/>
          <w:numId w:val="0"/>
        </w:numPr>
        <w:bidi w:val="0"/>
        <w:ind w:leftChars="0"/>
        <w:rPr>
          <w:rFonts w:hint="eastAsia"/>
          <w:szCs w:val="20"/>
          <w:lang w:val="en-US" w:eastAsia="zh-CN"/>
        </w:rPr>
      </w:pPr>
    </w:p>
    <w:p w14:paraId="508851CA">
      <w:pPr>
        <w:numPr>
          <w:ilvl w:val="0"/>
          <w:numId w:val="4"/>
        </w:numPr>
        <w:bidi w:val="0"/>
        <w:rPr>
          <w:rFonts w:hint="eastAsia"/>
          <w:lang w:eastAsia="zh-CN"/>
        </w:rPr>
      </w:pPr>
      <w:r>
        <w:rPr>
          <w:rFonts w:hint="eastAsia"/>
          <w:lang w:eastAsia="zh-CN"/>
        </w:rPr>
        <w:t>模块单元的尺寸应根据模块化钢结构房屋的建筑功能、生产设备、交通运输条件、吊装设备、现场施工安装条件等因素，综合确定。</w:t>
      </w:r>
    </w:p>
    <w:p w14:paraId="058B94F8">
      <w:pPr>
        <w:pStyle w:val="45"/>
        <w:numPr>
          <w:ilvl w:val="0"/>
          <w:numId w:val="0"/>
        </w:numPr>
        <w:bidi w:val="0"/>
        <w:ind w:leftChars="0"/>
        <w:rPr>
          <w:rFonts w:hint="eastAsia"/>
          <w:szCs w:val="20"/>
          <w:lang w:eastAsia="zh-CN"/>
        </w:rPr>
      </w:pPr>
      <w:r>
        <w:rPr>
          <w:rFonts w:hint="eastAsia"/>
          <w:b/>
          <w:bCs/>
          <w:szCs w:val="20"/>
          <w:lang w:val="en-US" w:eastAsia="zh-CN"/>
        </w:rPr>
        <w:t>【条文说明】</w:t>
      </w:r>
      <w:r>
        <w:rPr>
          <w:rFonts w:hint="eastAsia"/>
          <w:szCs w:val="20"/>
          <w:lang w:eastAsia="zh-CN"/>
        </w:rPr>
        <w:t>进行模块单元尺寸设计时需从建筑的全生命</w:t>
      </w:r>
      <w:r>
        <w:rPr>
          <w:rFonts w:hint="eastAsia"/>
          <w:szCs w:val="20"/>
          <w:lang w:val="en-US" w:eastAsia="zh-CN"/>
        </w:rPr>
        <w:t>周</w:t>
      </w:r>
      <w:r>
        <w:rPr>
          <w:rFonts w:hint="eastAsia"/>
          <w:szCs w:val="20"/>
          <w:lang w:eastAsia="zh-CN"/>
        </w:rPr>
        <w:t>期进行考虑，不仅需要考虑模块本身的建筑使用功能，还需要考虑模块生产、运输、吊装及现场施工的可行性与便利性；同时，对于超过运 输规格的模块，需与相关部门协商并进行特殊的运输安排。</w:t>
      </w:r>
    </w:p>
    <w:p w14:paraId="01E89B59">
      <w:pPr>
        <w:pStyle w:val="45"/>
        <w:numPr>
          <w:ilvl w:val="0"/>
          <w:numId w:val="0"/>
        </w:numPr>
        <w:bidi w:val="0"/>
        <w:ind w:leftChars="0"/>
        <w:rPr>
          <w:szCs w:val="20"/>
          <w:lang w:eastAsia="zh-CN"/>
        </w:rPr>
      </w:pPr>
    </w:p>
    <w:p w14:paraId="6CD91030">
      <w:pPr>
        <w:pStyle w:val="45"/>
        <w:numPr>
          <w:ilvl w:val="0"/>
          <w:numId w:val="0"/>
        </w:numPr>
        <w:bidi w:val="0"/>
        <w:ind w:leftChars="0"/>
        <w:rPr>
          <w:szCs w:val="20"/>
          <w:lang w:eastAsia="zh-CN"/>
        </w:rPr>
      </w:pPr>
    </w:p>
    <w:p w14:paraId="5446C210">
      <w:pPr>
        <w:keepNext/>
        <w:keepLines/>
        <w:widowControl w:val="0"/>
        <w:bidi w:val="0"/>
        <w:spacing w:before="50" w:beforeLines="50" w:after="50" w:afterLines="50" w:line="360" w:lineRule="auto"/>
        <w:jc w:val="center"/>
        <w:outlineLvl w:val="1"/>
        <w:rPr>
          <w:rFonts w:hint="eastAsia" w:ascii="Times New Roman" w:hAnsi="Times New Roman" w:eastAsia="黑体" w:cs="Times New Roman"/>
          <w:bCs/>
          <w:kern w:val="2"/>
          <w:sz w:val="32"/>
          <w:szCs w:val="32"/>
          <w:lang w:val="en-US" w:eastAsia="zh-CN" w:bidi="ar-SA"/>
        </w:rPr>
      </w:pPr>
      <w:bookmarkStart w:id="22" w:name="_Toc26510"/>
      <w:r>
        <w:rPr>
          <w:rFonts w:ascii="Times New Roman" w:hAnsi="Times New Roman" w:eastAsia="黑体" w:cs="Times New Roman"/>
          <w:bCs/>
          <w:kern w:val="2"/>
          <w:sz w:val="32"/>
          <w:szCs w:val="32"/>
          <w:lang w:val="en-US" w:eastAsia="zh-CN" w:bidi="ar-SA"/>
        </w:rPr>
        <w:t>4.2</w:t>
      </w:r>
      <w:r>
        <w:rPr>
          <w:rFonts w:hint="eastAsia" w:ascii="Times New Roman" w:hAnsi="Times New Roman" w:eastAsia="黑体" w:cs="Times New Roman"/>
          <w:bCs/>
          <w:kern w:val="2"/>
          <w:sz w:val="32"/>
          <w:szCs w:val="32"/>
          <w:lang w:val="en-US" w:eastAsia="zh-CN" w:bidi="ar-SA"/>
        </w:rPr>
        <w:t>设计</w:t>
      </w:r>
      <w:bookmarkEnd w:id="22"/>
    </w:p>
    <w:p w14:paraId="5C8EC086">
      <w:pPr>
        <w:numPr>
          <w:ilvl w:val="0"/>
          <w:numId w:val="5"/>
        </w:numPr>
        <w:bidi w:val="0"/>
        <w:spacing w:line="400" w:lineRule="exact"/>
        <w:ind w:left="0" w:leftChars="0" w:firstLine="0" w:firstLineChars="0"/>
        <w:rPr>
          <w:rFonts w:hint="eastAsia" w:ascii="Times New Roman" w:hAnsi="Times New Roman" w:eastAsia="宋体" w:cs="Times New Roman"/>
          <w:color w:val="000000" w:themeColor="text1"/>
          <w:sz w:val="24"/>
          <w:szCs w:val="20"/>
          <w:lang w:val="en-US" w:eastAsia="zh-CN"/>
          <w14:textFill>
            <w14:solidFill>
              <w14:schemeClr w14:val="tx1"/>
            </w14:solidFill>
          </w14:textFill>
        </w:rPr>
      </w:pPr>
      <w:r>
        <w:rPr>
          <w:rFonts w:hint="eastAsia" w:ascii="Times New Roman" w:hAnsi="Times New Roman" w:eastAsia="宋体" w:cs="Times New Roman"/>
          <w:color w:val="000000" w:themeColor="text1"/>
          <w:sz w:val="24"/>
          <w:szCs w:val="20"/>
          <w:lang w:val="en-US" w:eastAsia="zh-CN"/>
          <w14:textFill>
            <w14:solidFill>
              <w14:schemeClr w14:val="tx1"/>
            </w14:solidFill>
          </w14:textFill>
        </w:rPr>
        <w:t>模块化钢结构房屋中水平方向相邻模块单元结构外皮间隙以及模块单元结构与非模块单元结构外皮间隙宜</w:t>
      </w:r>
      <w:r>
        <w:rPr>
          <w:rFonts w:hint="eastAsia" w:cs="Times New Roman"/>
          <w:color w:val="000000" w:themeColor="text1"/>
          <w:sz w:val="24"/>
          <w:szCs w:val="20"/>
          <w:lang w:val="en-US" w:eastAsia="zh-CN"/>
          <w14:textFill>
            <w14:solidFill>
              <w14:schemeClr w14:val="tx1"/>
            </w14:solidFill>
          </w14:textFill>
        </w:rPr>
        <w:t>为</w:t>
      </w:r>
      <w:r>
        <w:rPr>
          <w:rFonts w:hint="eastAsia" w:ascii="Times New Roman" w:hAnsi="Times New Roman" w:eastAsia="宋体" w:cs="Times New Roman"/>
          <w:color w:val="000000" w:themeColor="text1"/>
          <w:sz w:val="24"/>
          <w:szCs w:val="20"/>
          <w:lang w:val="en-US" w:eastAsia="zh-CN"/>
          <w14:textFill>
            <w14:solidFill>
              <w14:schemeClr w14:val="tx1"/>
            </w14:solidFill>
          </w14:textFill>
        </w:rPr>
        <w:t>10</w:t>
      </w:r>
      <w:r>
        <w:rPr>
          <w:rFonts w:hint="eastAsia" w:cs="Times New Roman"/>
          <w:color w:val="000000" w:themeColor="text1"/>
          <w:sz w:val="24"/>
          <w:szCs w:val="20"/>
          <w:lang w:val="en-US" w:eastAsia="zh-CN"/>
          <w14:textFill>
            <w14:solidFill>
              <w14:schemeClr w14:val="tx1"/>
            </w14:solidFill>
          </w14:textFill>
        </w:rPr>
        <w:t>~20</w:t>
      </w:r>
      <w:r>
        <w:rPr>
          <w:rFonts w:hint="eastAsia" w:ascii="Times New Roman" w:hAnsi="Times New Roman" w:eastAsia="宋体" w:cs="Times New Roman"/>
          <w:color w:val="000000" w:themeColor="text1"/>
          <w:sz w:val="24"/>
          <w:szCs w:val="20"/>
          <w:lang w:val="en-US" w:eastAsia="zh-CN"/>
          <w14:textFill>
            <w14:solidFill>
              <w14:schemeClr w14:val="tx1"/>
            </w14:solidFill>
          </w14:textFill>
        </w:rPr>
        <w:t>mm，竖直方向相邻上下模块单元边梁的结构外皮间隙宜</w:t>
      </w:r>
      <w:r>
        <w:rPr>
          <w:rFonts w:hint="eastAsia" w:cs="Times New Roman"/>
          <w:color w:val="000000" w:themeColor="text1"/>
          <w:sz w:val="24"/>
          <w:szCs w:val="20"/>
          <w:lang w:val="en-US" w:eastAsia="zh-CN"/>
          <w14:textFill>
            <w14:solidFill>
              <w14:schemeClr w14:val="tx1"/>
            </w14:solidFill>
          </w14:textFill>
        </w:rPr>
        <w:t>为</w:t>
      </w:r>
      <w:r>
        <w:rPr>
          <w:rFonts w:hint="eastAsia" w:ascii="Times New Roman" w:hAnsi="Times New Roman" w:eastAsia="宋体" w:cs="Times New Roman"/>
          <w:color w:val="000000" w:themeColor="text1"/>
          <w:sz w:val="24"/>
          <w:szCs w:val="20"/>
          <w:lang w:val="en-US" w:eastAsia="zh-CN"/>
          <w14:textFill>
            <w14:solidFill>
              <w14:schemeClr w14:val="tx1"/>
            </w14:solidFill>
          </w14:textFill>
        </w:rPr>
        <w:t>20</w:t>
      </w:r>
      <w:r>
        <w:rPr>
          <w:rFonts w:hint="eastAsia" w:cs="Times New Roman"/>
          <w:color w:val="000000" w:themeColor="text1"/>
          <w:sz w:val="24"/>
          <w:szCs w:val="20"/>
          <w:lang w:val="en-US" w:eastAsia="zh-CN"/>
          <w14:textFill>
            <w14:solidFill>
              <w14:schemeClr w14:val="tx1"/>
            </w14:solidFill>
          </w14:textFill>
        </w:rPr>
        <w:t>~30</w:t>
      </w:r>
      <w:r>
        <w:rPr>
          <w:rFonts w:hint="eastAsia" w:ascii="Times New Roman" w:hAnsi="Times New Roman" w:eastAsia="宋体" w:cs="Times New Roman"/>
          <w:color w:val="000000" w:themeColor="text1"/>
          <w:sz w:val="24"/>
          <w:szCs w:val="20"/>
          <w:lang w:val="en-US" w:eastAsia="zh-CN"/>
          <w14:textFill>
            <w14:solidFill>
              <w14:schemeClr w14:val="tx1"/>
            </w14:solidFill>
          </w14:textFill>
        </w:rPr>
        <w:t>mm。</w:t>
      </w:r>
    </w:p>
    <w:p w14:paraId="1B6BEBDA">
      <w:pPr>
        <w:pStyle w:val="45"/>
        <w:numPr>
          <w:ilvl w:val="0"/>
          <w:numId w:val="0"/>
        </w:numPr>
        <w:bidi w:val="0"/>
        <w:ind w:leftChars="0"/>
        <w:rPr>
          <w:rFonts w:hint="eastAsia" w:eastAsia="楷体" w:cs="Times New Roman"/>
          <w:b/>
          <w:bCs/>
          <w:color w:val="000000" w:themeColor="text1"/>
          <w:szCs w:val="20"/>
          <w:u w:val="single"/>
          <w:lang w:val="en-US" w:eastAsia="zh-CN"/>
          <w14:textFill>
            <w14:solidFill>
              <w14:schemeClr w14:val="tx1"/>
            </w14:solidFill>
          </w14:textFill>
        </w:rPr>
      </w:pPr>
      <w:r>
        <w:rPr>
          <w:rFonts w:hint="eastAsia" w:ascii="Times New Roman" w:hAnsi="Times New Roman" w:eastAsia="楷体" w:cs="Times New Roman"/>
          <w:b/>
          <w:bCs/>
          <w:color w:val="000000" w:themeColor="text1"/>
          <w:kern w:val="2"/>
          <w:sz w:val="24"/>
          <w:szCs w:val="20"/>
          <w:u w:val="single"/>
          <w:lang w:val="en-US" w:eastAsia="zh-CN" w:bidi="ar-SA"/>
          <w14:textFill>
            <w14:solidFill>
              <w14:schemeClr w14:val="tx1"/>
            </w14:solidFill>
          </w14:textFill>
        </w:rPr>
        <w:t>【条文说明】</w:t>
      </w:r>
      <w:r>
        <w:rPr>
          <w:rFonts w:hint="eastAsia" w:ascii="Times New Roman" w:hAnsi="Times New Roman" w:eastAsia="楷体" w:cs="Times New Roman"/>
          <w:color w:val="000000" w:themeColor="text1"/>
          <w:kern w:val="2"/>
          <w:sz w:val="24"/>
          <w:szCs w:val="20"/>
          <w:u w:val="single"/>
          <w:lang w:val="en-US" w:eastAsia="zh-CN" w:bidi="ar-SA"/>
          <w14:textFill>
            <w14:solidFill>
              <w14:schemeClr w14:val="tx1"/>
            </w14:solidFill>
          </w14:textFill>
        </w:rPr>
        <w:t>相邻模块单元的结构外皮间隙距离应根据模块单元的生产精度、施工误差等因素综合确定。</w:t>
      </w:r>
      <w:r>
        <w:rPr>
          <w:spacing w:val="5"/>
        </w:rPr>
        <w:t>本标准基于工</w:t>
      </w:r>
      <w:r>
        <w:t xml:space="preserve"> </w:t>
      </w:r>
      <w:r>
        <w:rPr>
          <w:spacing w:val="13"/>
        </w:rPr>
        <w:t>程实践经验给出合理尺寸范围</w:t>
      </w:r>
      <w:r>
        <w:rPr>
          <w:rFonts w:hint="eastAsia" w:ascii="Times New Roman" w:hAnsi="Times New Roman" w:eastAsia="楷体" w:cs="Times New Roman"/>
          <w:color w:val="000000" w:themeColor="text1"/>
          <w:kern w:val="2"/>
          <w:sz w:val="24"/>
          <w:szCs w:val="20"/>
          <w:u w:val="single"/>
          <w:lang w:val="en-US" w:eastAsia="zh-CN" w:bidi="ar-SA"/>
          <w14:textFill>
            <w14:solidFill>
              <w14:schemeClr w14:val="tx1"/>
            </w14:solidFill>
          </w14:textFill>
        </w:rPr>
        <w:t>。</w:t>
      </w:r>
    </w:p>
    <w:p w14:paraId="7CDF8799">
      <w:pPr>
        <w:pStyle w:val="30"/>
        <w:tabs>
          <w:tab w:val="left" w:pos="420"/>
        </w:tabs>
        <w:bidi w:val="0"/>
        <w:ind w:leftChars="0" w:firstLine="0" w:firstLineChars="0"/>
        <w:rPr>
          <w:rFonts w:hint="default" w:eastAsia="楷体" w:cs="Times New Roman"/>
          <w:b/>
          <w:bCs/>
          <w:color w:val="000000" w:themeColor="text1"/>
          <w:szCs w:val="20"/>
          <w:u w:val="single"/>
          <w:lang w:val="en-US" w:eastAsia="zh-CN"/>
          <w14:textFill>
            <w14:solidFill>
              <w14:schemeClr w14:val="tx1"/>
            </w14:solidFill>
          </w14:textFill>
        </w:rPr>
      </w:pPr>
    </w:p>
    <w:p w14:paraId="0628D5EA">
      <w:pPr>
        <w:numPr>
          <w:ilvl w:val="0"/>
          <w:numId w:val="5"/>
        </w:numPr>
        <w:bidi w:val="0"/>
        <w:spacing w:line="400" w:lineRule="exact"/>
        <w:ind w:left="0" w:leftChars="0" w:firstLine="0" w:firstLineChars="0"/>
        <w:rPr>
          <w:rFonts w:hint="eastAsia" w:ascii="Times New Roman" w:hAnsi="Times New Roman" w:eastAsia="宋体" w:cs="Times New Roman"/>
          <w:color w:val="000000" w:themeColor="text1"/>
          <w:sz w:val="24"/>
          <w:szCs w:val="20"/>
          <w:lang w:val="en-US" w:eastAsia="zh-CN"/>
          <w14:textFill>
            <w14:solidFill>
              <w14:schemeClr w14:val="tx1"/>
            </w14:solidFill>
          </w14:textFill>
        </w:rPr>
      </w:pPr>
      <w:r>
        <w:rPr>
          <w:rFonts w:hint="eastAsia" w:ascii="Times New Roman" w:hAnsi="Times New Roman" w:eastAsia="宋体" w:cs="Times New Roman"/>
          <w:color w:val="000000" w:themeColor="text1"/>
          <w:sz w:val="24"/>
          <w:szCs w:val="20"/>
          <w:lang w:val="en-US" w:eastAsia="zh-CN"/>
          <w14:textFill>
            <w14:solidFill>
              <w14:schemeClr w14:val="tx1"/>
            </w14:solidFill>
          </w14:textFill>
        </w:rPr>
        <w:t>模块外墙厚度宜采用50mm 模数</w:t>
      </w:r>
      <w:r>
        <w:rPr>
          <w:rFonts w:hint="eastAsia" w:cs="Times New Roman"/>
          <w:color w:val="000000" w:themeColor="text1"/>
          <w:sz w:val="24"/>
          <w:szCs w:val="20"/>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0"/>
          <w:lang w:val="en-US" w:eastAsia="zh-CN"/>
          <w14:textFill>
            <w14:solidFill>
              <w14:schemeClr w14:val="tx1"/>
            </w14:solidFill>
          </w14:textFill>
        </w:rPr>
        <w:t>内隔墙和分户双墙厚度宜采用100mm基础上25mm模数</w:t>
      </w:r>
      <w:r>
        <w:rPr>
          <w:rFonts w:hint="eastAsia" w:cs="Times New Roman"/>
          <w:color w:val="000000" w:themeColor="text1"/>
          <w:sz w:val="24"/>
          <w:szCs w:val="20"/>
          <w:lang w:val="en-US" w:eastAsia="zh-CN"/>
          <w14:textFill>
            <w14:solidFill>
              <w14:schemeClr w14:val="tx1"/>
            </w14:solidFill>
          </w14:textFill>
        </w:rPr>
        <w:t>。</w:t>
      </w:r>
    </w:p>
    <w:p w14:paraId="0BAE26E0">
      <w:pPr>
        <w:numPr>
          <w:ilvl w:val="0"/>
          <w:numId w:val="5"/>
        </w:numPr>
        <w:bidi w:val="0"/>
        <w:ind w:leftChars="0"/>
        <w:rPr>
          <w:rFonts w:hint="eastAsia" w:ascii="Times New Roman" w:hAnsi="Times New Roman" w:eastAsia="宋体" w:cs="Times New Roman"/>
          <w:b w:val="0"/>
          <w:bCs w:val="0"/>
          <w:color w:val="000000" w:themeColor="text1"/>
          <w:szCs w:val="20"/>
          <w:u w:val="none"/>
          <w:lang w:eastAsia="zh-CN"/>
          <w14:textFill>
            <w14:solidFill>
              <w14:schemeClr w14:val="tx1"/>
            </w14:solidFill>
          </w14:textFill>
        </w:rPr>
      </w:pPr>
      <w:r>
        <w:rPr>
          <w:rFonts w:hint="eastAsia" w:ascii="Times New Roman" w:hAnsi="Times New Roman" w:eastAsia="宋体" w:cs="Times New Roman"/>
          <w:b w:val="0"/>
          <w:bCs w:val="0"/>
          <w:color w:val="000000" w:themeColor="text1"/>
          <w:szCs w:val="20"/>
          <w:u w:val="none"/>
          <w:lang w:eastAsia="zh-CN"/>
          <w14:textFill>
            <w14:solidFill>
              <w14:schemeClr w14:val="tx1"/>
            </w14:solidFill>
          </w14:textFill>
        </w:rPr>
        <w:t>模块单元的尺寸模数应符合下列规定:</w:t>
      </w:r>
    </w:p>
    <w:p w14:paraId="562DA300">
      <w:pPr>
        <w:numPr>
          <w:ilvl w:val="0"/>
          <w:numId w:val="6"/>
        </w:numPr>
        <w:bidi w:val="0"/>
        <w:ind w:leftChars="0" w:firstLine="420"/>
        <w:rPr>
          <w:rFonts w:hint="eastAsia" w:ascii="Times New Roman" w:hAnsi="Times New Roman" w:eastAsia="宋体" w:cs="Times New Roman"/>
          <w:b w:val="0"/>
          <w:bCs w:val="0"/>
          <w:color w:val="000000" w:themeColor="text1"/>
          <w:szCs w:val="20"/>
          <w:u w:val="none"/>
          <w:lang w:eastAsia="zh-CN"/>
          <w14:textFill>
            <w14:solidFill>
              <w14:schemeClr w14:val="tx1"/>
            </w14:solidFill>
          </w14:textFill>
        </w:rPr>
      </w:pPr>
      <w:r>
        <w:rPr>
          <w:rFonts w:hint="eastAsia" w:ascii="Times New Roman" w:hAnsi="Times New Roman" w:eastAsia="宋体" w:cs="Times New Roman"/>
          <w:b w:val="0"/>
          <w:bCs w:val="0"/>
          <w:color w:val="000000" w:themeColor="text1"/>
          <w:szCs w:val="20"/>
          <w:u w:val="none"/>
          <w:lang w:eastAsia="zh-CN"/>
          <w14:textFill>
            <w14:solidFill>
              <w14:schemeClr w14:val="tx1"/>
            </w14:solidFill>
          </w14:textFill>
        </w:rPr>
        <w:t>模块单元平面尺寸应符合建筑功能与人居环境要求，单个模块单元进深不宜超过10m，单个模块单元的宽度不宜超过 4m</w:t>
      </w:r>
      <w:r>
        <w:rPr>
          <w:rFonts w:hint="eastAsia" w:cs="Times New Roman"/>
          <w:b w:val="0"/>
          <w:bCs w:val="0"/>
          <w:color w:val="000000" w:themeColor="text1"/>
          <w:szCs w:val="20"/>
          <w:u w:val="none"/>
          <w:lang w:eastAsia="zh-CN"/>
          <w14:textFill>
            <w14:solidFill>
              <w14:schemeClr w14:val="tx1"/>
            </w14:solidFill>
          </w14:textFill>
        </w:rPr>
        <w:t>；</w:t>
      </w:r>
    </w:p>
    <w:p w14:paraId="364A6B7D">
      <w:pPr>
        <w:numPr>
          <w:ilvl w:val="0"/>
          <w:numId w:val="6"/>
        </w:numPr>
        <w:bidi w:val="0"/>
        <w:ind w:leftChars="0" w:firstLine="420"/>
        <w:rPr>
          <w:rFonts w:hint="eastAsia" w:ascii="Times New Roman" w:hAnsi="Times New Roman" w:eastAsia="宋体" w:cs="Times New Roman"/>
          <w:b w:val="0"/>
          <w:bCs w:val="0"/>
          <w:color w:val="000000" w:themeColor="text1"/>
          <w:szCs w:val="20"/>
          <w:u w:val="none"/>
          <w:lang w:eastAsia="zh-CN"/>
          <w14:textFill>
            <w14:solidFill>
              <w14:schemeClr w14:val="tx1"/>
            </w14:solidFill>
          </w14:textFill>
        </w:rPr>
      </w:pPr>
      <w:r>
        <w:rPr>
          <w:rFonts w:hint="eastAsia" w:ascii="Times New Roman" w:hAnsi="Times New Roman" w:eastAsia="宋体" w:cs="Times New Roman"/>
          <w:b w:val="0"/>
          <w:bCs w:val="0"/>
          <w:color w:val="000000" w:themeColor="text1"/>
          <w:szCs w:val="20"/>
          <w:u w:val="none"/>
          <w:lang w:eastAsia="zh-CN"/>
          <w14:textFill>
            <w14:solidFill>
              <w14:schemeClr w14:val="tx1"/>
            </w14:solidFill>
          </w14:textFill>
        </w:rPr>
        <w:t>梯间模块宜采用2.4m、2.7m开间，走廊宽度宜采用1.8m、2.4m</w:t>
      </w:r>
      <w:r>
        <w:rPr>
          <w:rFonts w:hint="eastAsia" w:cs="Times New Roman"/>
          <w:b w:val="0"/>
          <w:bCs w:val="0"/>
          <w:color w:val="000000" w:themeColor="text1"/>
          <w:szCs w:val="20"/>
          <w:u w:val="none"/>
          <w:lang w:eastAsia="zh-CN"/>
          <w14:textFill>
            <w14:solidFill>
              <w14:schemeClr w14:val="tx1"/>
            </w14:solidFill>
          </w14:textFill>
        </w:rPr>
        <w:t>；</w:t>
      </w:r>
    </w:p>
    <w:p w14:paraId="61FB4E29">
      <w:pPr>
        <w:numPr>
          <w:ilvl w:val="0"/>
          <w:numId w:val="6"/>
        </w:numPr>
        <w:bidi w:val="0"/>
        <w:ind w:leftChars="0" w:firstLine="420"/>
        <w:rPr>
          <w:rFonts w:hint="eastAsia" w:ascii="Times New Roman" w:hAnsi="Times New Roman" w:eastAsia="宋体" w:cs="Times New Roman"/>
          <w:b w:val="0"/>
          <w:bCs w:val="0"/>
          <w:color w:val="FF0000"/>
          <w:szCs w:val="20"/>
          <w:u w:val="none"/>
          <w:lang w:eastAsia="zh-CN"/>
        </w:rPr>
      </w:pPr>
      <w:r>
        <w:rPr>
          <w:rFonts w:hint="eastAsia" w:ascii="Times New Roman" w:hAnsi="Times New Roman" w:eastAsia="宋体" w:cs="Times New Roman"/>
          <w:b w:val="0"/>
          <w:bCs w:val="0"/>
          <w:color w:val="000000" w:themeColor="text1"/>
          <w:szCs w:val="20"/>
          <w:u w:val="none"/>
          <w:lang w:eastAsia="zh-CN"/>
          <w14:textFill>
            <w14:solidFill>
              <w14:schemeClr w14:val="tx1"/>
            </w14:solidFill>
          </w14:textFill>
        </w:rPr>
        <w:t>模块高度应符合国家有关建筑标准和模数规定，室内可居住房间净高不应小于2.</w:t>
      </w:r>
      <w:r>
        <w:rPr>
          <w:rFonts w:hint="eastAsia" w:ascii="Times New Roman" w:hAnsi="Times New Roman" w:eastAsia="宋体" w:cs="Times New Roman"/>
          <w:b w:val="0"/>
          <w:bCs w:val="0"/>
          <w:color w:val="000000" w:themeColor="text1"/>
          <w:szCs w:val="20"/>
          <w:u w:val="none"/>
          <w:lang w:val="en-US" w:eastAsia="zh-CN"/>
          <w14:textFill>
            <w14:solidFill>
              <w14:schemeClr w14:val="tx1"/>
            </w14:solidFill>
          </w14:textFill>
        </w:rPr>
        <w:t>6</w:t>
      </w:r>
      <w:r>
        <w:rPr>
          <w:rFonts w:hint="eastAsia" w:ascii="Times New Roman" w:hAnsi="Times New Roman" w:eastAsia="宋体" w:cs="Times New Roman"/>
          <w:b w:val="0"/>
          <w:bCs w:val="0"/>
          <w:color w:val="000000" w:themeColor="text1"/>
          <w:szCs w:val="20"/>
          <w:u w:val="none"/>
          <w:lang w:eastAsia="zh-CN"/>
          <w14:textFill>
            <w14:solidFill>
              <w14:schemeClr w14:val="tx1"/>
            </w14:solidFill>
          </w14:textFill>
        </w:rPr>
        <w:t>m，厨房、卫浴、走廊、通道等房间净高不应小于</w:t>
      </w:r>
      <w:r>
        <w:t>2.2m</w:t>
      </w:r>
      <w:r>
        <w:rPr>
          <w:rFonts w:hint="eastAsia" w:cs="Times New Roman"/>
          <w:b w:val="0"/>
          <w:bCs w:val="0"/>
          <w:color w:val="000000" w:themeColor="text1"/>
          <w:szCs w:val="20"/>
          <w:u w:val="none"/>
          <w:lang w:eastAsia="zh-CN"/>
          <w14:textFill>
            <w14:solidFill>
              <w14:schemeClr w14:val="tx1"/>
            </w14:solidFill>
          </w14:textFill>
        </w:rPr>
        <w:t>；</w:t>
      </w:r>
    </w:p>
    <w:p w14:paraId="0ED202CC">
      <w:pPr>
        <w:pStyle w:val="45"/>
        <w:numPr>
          <w:ilvl w:val="0"/>
          <w:numId w:val="0"/>
        </w:numPr>
        <w:bidi w:val="0"/>
        <w:ind w:leftChars="0" w:firstLine="482" w:firstLineChars="200"/>
        <w:rPr>
          <w:color w:val="000000" w:themeColor="text1"/>
          <w:szCs w:val="20"/>
          <w:lang w:eastAsia="zh-CN"/>
          <w14:textFill>
            <w14:solidFill>
              <w14:schemeClr w14:val="tx1"/>
            </w14:solidFill>
          </w14:textFill>
        </w:rPr>
      </w:pPr>
      <w:r>
        <w:rPr>
          <w:rFonts w:hint="eastAsia" w:eastAsia="宋体" w:cs="Times New Roman"/>
          <w:b/>
          <w:bCs/>
          <w:color w:val="000000" w:themeColor="text1"/>
          <w:szCs w:val="20"/>
          <w:u w:val="none"/>
          <w:lang w:val="en-US" w:eastAsia="zh-CN"/>
          <w14:textFill>
            <w14:solidFill>
              <w14:schemeClr w14:val="tx1"/>
            </w14:solidFill>
          </w14:textFill>
        </w:rPr>
        <w:t>4</w:t>
      </w:r>
      <w:r>
        <w:rPr>
          <w:rFonts w:hint="eastAsia" w:ascii="Times New Roman" w:hAnsi="Times New Roman" w:eastAsia="宋体" w:cs="Times New Roman"/>
          <w:b w:val="0"/>
          <w:bCs w:val="0"/>
          <w:color w:val="000000" w:themeColor="text1"/>
          <w:szCs w:val="20"/>
          <w:u w:val="none"/>
          <w:lang w:eastAsia="zh-CN"/>
          <w14:textFill>
            <w14:solidFill>
              <w14:schemeClr w14:val="tx1"/>
            </w14:solidFill>
          </w14:textFill>
        </w:rPr>
        <w:t>模块单元的模数尚应考虑道路运输条件和现场吊装条件的限制。</w:t>
      </w:r>
    </w:p>
    <w:p w14:paraId="32859084">
      <w:pPr>
        <w:pStyle w:val="45"/>
        <w:numPr>
          <w:ilvl w:val="0"/>
          <w:numId w:val="0"/>
        </w:numPr>
        <w:bidi w:val="0"/>
        <w:ind w:leftChars="0"/>
        <w:rPr>
          <w:rFonts w:hint="eastAsia" w:ascii="Times New Roman" w:hAnsi="Times New Roman" w:eastAsia="楷体" w:cs="Times New Roman"/>
          <w:kern w:val="2"/>
          <w:sz w:val="24"/>
          <w:szCs w:val="20"/>
          <w:u w:val="single"/>
          <w:lang w:val="en-US" w:eastAsia="zh-CN" w:bidi="ar-SA"/>
        </w:rPr>
      </w:pPr>
      <w:r>
        <w:rPr>
          <w:rFonts w:hint="eastAsia" w:ascii="Times New Roman" w:hAnsi="Times New Roman" w:eastAsia="楷体" w:cs="Times New Roman"/>
          <w:b/>
          <w:bCs/>
          <w:kern w:val="2"/>
          <w:sz w:val="24"/>
          <w:szCs w:val="20"/>
          <w:u w:val="single"/>
          <w:lang w:val="en-US" w:eastAsia="zh-CN" w:bidi="ar-SA"/>
        </w:rPr>
        <w:t>【条文说明】</w:t>
      </w:r>
      <w:r>
        <w:rPr>
          <w:rFonts w:hint="eastAsia" w:ascii="Times New Roman" w:hAnsi="Times New Roman" w:eastAsia="楷体" w:cs="Times New Roman"/>
          <w:b w:val="0"/>
          <w:bCs w:val="0"/>
          <w:kern w:val="2"/>
          <w:sz w:val="24"/>
          <w:szCs w:val="20"/>
          <w:u w:val="single"/>
          <w:lang w:val="en-US" w:eastAsia="zh-CN" w:bidi="ar-SA"/>
        </w:rPr>
        <w:t>《住宅项目规范》GB 55038-2025</w:t>
      </w:r>
      <w:r>
        <w:rPr>
          <w:rFonts w:hint="eastAsia" w:ascii="Times New Roman" w:hAnsi="Times New Roman" w:eastAsia="楷体" w:cs="Times New Roman"/>
          <w:kern w:val="2"/>
          <w:sz w:val="24"/>
          <w:szCs w:val="20"/>
          <w:u w:val="single"/>
          <w:lang w:val="en-US" w:eastAsia="zh-CN" w:bidi="ar-SA"/>
        </w:rPr>
        <w:t>规定:卧室、起居室的室内净高不应低</w:t>
      </w:r>
      <w:r>
        <w:rPr>
          <w:rFonts w:hint="eastAsia" w:cs="Times New Roman"/>
          <w:kern w:val="2"/>
          <w:sz w:val="24"/>
          <w:szCs w:val="20"/>
          <w:u w:val="single"/>
          <w:lang w:val="en-US" w:eastAsia="zh-CN" w:bidi="ar-SA"/>
        </w:rPr>
        <w:t>于</w:t>
      </w:r>
      <w:r>
        <w:rPr>
          <w:rFonts w:hint="eastAsia" w:ascii="Times New Roman" w:hAnsi="Times New Roman" w:eastAsia="楷体" w:cs="Times New Roman"/>
          <w:kern w:val="2"/>
          <w:sz w:val="24"/>
          <w:szCs w:val="20"/>
          <w:u w:val="single"/>
          <w:lang w:val="en-US" w:eastAsia="zh-CN" w:bidi="ar-SA"/>
        </w:rPr>
        <w:t>2. 60m, 局部净高不应低于2.20m, 且局部净高低于2.60m的面积不应大于室内使用面积的1/3。但部分模块化</w:t>
      </w:r>
      <w:r>
        <w:rPr>
          <w:rFonts w:hint="eastAsia" w:cs="Times New Roman"/>
          <w:kern w:val="2"/>
          <w:sz w:val="24"/>
          <w:szCs w:val="20"/>
          <w:u w:val="single"/>
          <w:lang w:val="en-US" w:eastAsia="zh-CN" w:bidi="ar-SA"/>
        </w:rPr>
        <w:t>钢结构房屋</w:t>
      </w:r>
      <w:r>
        <w:rPr>
          <w:rFonts w:hint="eastAsia" w:ascii="Times New Roman" w:hAnsi="Times New Roman" w:eastAsia="楷体" w:cs="Times New Roman"/>
          <w:kern w:val="2"/>
          <w:sz w:val="24"/>
          <w:szCs w:val="20"/>
          <w:u w:val="single"/>
          <w:lang w:val="en-US" w:eastAsia="zh-CN" w:bidi="ar-SA"/>
        </w:rPr>
        <w:t>考虑到应用标准集装箱渠道进行长距离运输，常见的20尺柜和40尺柜集装箱内尺寸为5.69m</w:t>
      </w:r>
      <w:r>
        <w:rPr>
          <w:rFonts w:hint="eastAsia" w:cs="Times New Roman"/>
          <w:kern w:val="2"/>
          <w:sz w:val="24"/>
          <w:szCs w:val="20"/>
          <w:u w:val="single"/>
          <w:lang w:val="en-US" w:eastAsia="zh-CN" w:bidi="ar-SA"/>
        </w:rPr>
        <w:t>×</w:t>
      </w:r>
      <w:r>
        <w:rPr>
          <w:rFonts w:hint="eastAsia" w:ascii="Times New Roman" w:hAnsi="Times New Roman" w:eastAsia="楷体" w:cs="Times New Roman"/>
          <w:kern w:val="2"/>
          <w:sz w:val="24"/>
          <w:szCs w:val="20"/>
          <w:u w:val="single"/>
          <w:lang w:val="en-US" w:eastAsia="zh-CN" w:bidi="ar-SA"/>
        </w:rPr>
        <w:t>2.13m</w:t>
      </w:r>
      <w:r>
        <w:rPr>
          <w:rFonts w:hint="eastAsia" w:cs="Times New Roman"/>
          <w:kern w:val="2"/>
          <w:sz w:val="24"/>
          <w:szCs w:val="20"/>
          <w:u w:val="single"/>
          <w:lang w:val="en-US" w:eastAsia="zh-CN" w:bidi="ar-SA"/>
        </w:rPr>
        <w:t>×</w:t>
      </w:r>
      <w:r>
        <w:rPr>
          <w:rFonts w:hint="eastAsia" w:ascii="Times New Roman" w:hAnsi="Times New Roman" w:eastAsia="楷体" w:cs="Times New Roman"/>
          <w:kern w:val="2"/>
          <w:sz w:val="24"/>
          <w:szCs w:val="20"/>
          <w:u w:val="single"/>
          <w:lang w:val="en-US" w:eastAsia="zh-CN" w:bidi="ar-SA"/>
        </w:rPr>
        <w:t>2.18m和11.8m</w:t>
      </w:r>
      <w:r>
        <w:rPr>
          <w:rFonts w:hint="eastAsia" w:cs="Times New Roman"/>
          <w:kern w:val="2"/>
          <w:sz w:val="24"/>
          <w:szCs w:val="20"/>
          <w:u w:val="single"/>
          <w:lang w:val="en-US" w:eastAsia="zh-CN" w:bidi="ar-SA"/>
        </w:rPr>
        <w:t>×</w:t>
      </w:r>
      <w:r>
        <w:rPr>
          <w:rFonts w:hint="eastAsia" w:ascii="Times New Roman" w:hAnsi="Times New Roman" w:eastAsia="楷体" w:cs="Times New Roman"/>
          <w:kern w:val="2"/>
          <w:sz w:val="24"/>
          <w:szCs w:val="20"/>
          <w:u w:val="single"/>
          <w:lang w:val="en-US" w:eastAsia="zh-CN" w:bidi="ar-SA"/>
        </w:rPr>
        <w:t>2.13m</w:t>
      </w:r>
      <w:r>
        <w:rPr>
          <w:rFonts w:hint="eastAsia" w:cs="Times New Roman"/>
          <w:kern w:val="2"/>
          <w:sz w:val="24"/>
          <w:szCs w:val="20"/>
          <w:u w:val="single"/>
          <w:lang w:val="en-US" w:eastAsia="zh-CN" w:bidi="ar-SA"/>
        </w:rPr>
        <w:t>×</w:t>
      </w:r>
      <w:r>
        <w:rPr>
          <w:rFonts w:hint="eastAsia" w:ascii="Times New Roman" w:hAnsi="Times New Roman" w:eastAsia="楷体" w:cs="Times New Roman"/>
          <w:kern w:val="2"/>
          <w:sz w:val="24"/>
          <w:szCs w:val="20"/>
          <w:u w:val="single"/>
          <w:lang w:val="en-US" w:eastAsia="zh-CN" w:bidi="ar-SA"/>
        </w:rPr>
        <w:t>2.18m，高度不足2.20m，所以此处净高放宽为2.10m，且只能用于厨房、卫生间、通道等部位。</w:t>
      </w:r>
    </w:p>
    <w:p w14:paraId="29E6636B">
      <w:pPr>
        <w:pStyle w:val="30"/>
        <w:rPr>
          <w:rFonts w:hint="eastAsia" w:ascii="Times New Roman" w:hAnsi="Times New Roman" w:eastAsia="楷体" w:cs="Times New Roman"/>
          <w:kern w:val="2"/>
          <w:sz w:val="24"/>
          <w:szCs w:val="20"/>
          <w:u w:val="single"/>
          <w:lang w:val="en-US" w:eastAsia="zh-CN" w:bidi="ar-SA"/>
        </w:rPr>
      </w:pPr>
    </w:p>
    <w:p w14:paraId="140CE01C">
      <w:pPr>
        <w:numPr>
          <w:ilvl w:val="0"/>
          <w:numId w:val="5"/>
        </w:numPr>
        <w:bidi w:val="0"/>
        <w:spacing w:line="400" w:lineRule="exact"/>
        <w:ind w:left="0" w:leftChars="0" w:firstLine="0" w:firstLineChars="0"/>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建筑平面设计应符合下列规定:</w:t>
      </w:r>
    </w:p>
    <w:p w14:paraId="05F3D2BA">
      <w:pPr>
        <w:numPr>
          <w:ilvl w:val="0"/>
          <w:numId w:val="7"/>
        </w:numPr>
        <w:bidi w:val="0"/>
        <w:spacing w:line="400" w:lineRule="exact"/>
        <w:ind w:left="0" w:leftChars="0" w:firstLine="420" w:firstLineChars="0"/>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平面的功能区应通过标准模块的尺寸组合进行布置，其布置宜规则、对称</w:t>
      </w:r>
      <w:r>
        <w:rPr>
          <w:rFonts w:hint="eastAsia" w:cs="Times New Roman"/>
          <w:sz w:val="24"/>
          <w:szCs w:val="20"/>
          <w:lang w:eastAsia="zh-CN"/>
        </w:rPr>
        <w:t>；</w:t>
      </w:r>
    </w:p>
    <w:p w14:paraId="43C0698C">
      <w:pPr>
        <w:numPr>
          <w:ilvl w:val="0"/>
          <w:numId w:val="7"/>
        </w:numPr>
        <w:bidi w:val="0"/>
        <w:spacing w:line="400" w:lineRule="exact"/>
        <w:ind w:left="0" w:leftChars="0" w:firstLine="420" w:firstLineChars="0"/>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在同一功能区中布置的模块数量应</w:t>
      </w:r>
      <w:r>
        <w:rPr>
          <w:rFonts w:hint="eastAsia" w:cs="Times New Roman"/>
          <w:sz w:val="24"/>
          <w:szCs w:val="20"/>
          <w:lang w:val="en-US" w:eastAsia="zh-CN"/>
        </w:rPr>
        <w:t>合理</w:t>
      </w:r>
      <w:r>
        <w:rPr>
          <w:rFonts w:hint="eastAsia" w:cs="Times New Roman"/>
          <w:sz w:val="24"/>
          <w:szCs w:val="20"/>
          <w:lang w:eastAsia="zh-CN"/>
        </w:rPr>
        <w:t>，</w:t>
      </w:r>
      <w:r>
        <w:rPr>
          <w:rFonts w:hint="eastAsia" w:ascii="Times New Roman" w:hAnsi="Times New Roman" w:eastAsia="宋体" w:cs="Times New Roman"/>
          <w:sz w:val="24"/>
          <w:szCs w:val="20"/>
          <w:lang w:eastAsia="zh-CN"/>
        </w:rPr>
        <w:t>减少拼缝</w:t>
      </w:r>
      <w:r>
        <w:rPr>
          <w:rFonts w:hint="eastAsia" w:cs="Times New Roman"/>
          <w:sz w:val="24"/>
          <w:szCs w:val="20"/>
          <w:lang w:eastAsia="zh-CN"/>
        </w:rPr>
        <w:t>；</w:t>
      </w:r>
    </w:p>
    <w:p w14:paraId="72D28F63">
      <w:pPr>
        <w:numPr>
          <w:ilvl w:val="0"/>
          <w:numId w:val="7"/>
        </w:numPr>
        <w:bidi w:val="0"/>
        <w:spacing w:line="400" w:lineRule="exact"/>
        <w:ind w:left="0" w:leftChars="0" w:firstLine="420" w:firstLineChars="0"/>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一个功能区由多个模块覆盖时，功能区内的管线、设备、墙壁、门窗宜保持整体性</w:t>
      </w:r>
      <w:r>
        <w:rPr>
          <w:rFonts w:hint="eastAsia" w:cs="Times New Roman"/>
          <w:sz w:val="24"/>
          <w:szCs w:val="20"/>
          <w:lang w:eastAsia="zh-CN"/>
        </w:rPr>
        <w:t>；</w:t>
      </w:r>
    </w:p>
    <w:p w14:paraId="1FDEB30B">
      <w:pPr>
        <w:numPr>
          <w:ilvl w:val="0"/>
          <w:numId w:val="7"/>
        </w:numPr>
        <w:bidi w:val="0"/>
        <w:spacing w:line="400" w:lineRule="exact"/>
        <w:ind w:left="0" w:leftChars="0" w:firstLine="420" w:firstLineChars="0"/>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楼梯间、电梯间、卫生间、厨房等功能特殊、管线密集的区域，宜采用单个模块单元</w:t>
      </w:r>
      <w:r>
        <w:rPr>
          <w:rFonts w:hint="eastAsia" w:cs="Times New Roman"/>
          <w:sz w:val="24"/>
          <w:szCs w:val="20"/>
          <w:lang w:eastAsia="zh-CN"/>
        </w:rPr>
        <w:t>；</w:t>
      </w:r>
    </w:p>
    <w:p w14:paraId="4E896A2A">
      <w:pPr>
        <w:numPr>
          <w:ilvl w:val="0"/>
          <w:numId w:val="7"/>
        </w:numPr>
        <w:bidi w:val="0"/>
        <w:spacing w:line="400" w:lineRule="exact"/>
        <w:ind w:left="0" w:leftChars="0" w:firstLine="420" w:firstLineChars="0"/>
        <w:rPr>
          <w:rFonts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建筑平面设计时应考虑相邻模块单元的连接关系</w:t>
      </w:r>
      <w:r>
        <w:rPr>
          <w:rFonts w:hint="eastAsia" w:cs="Times New Roman"/>
          <w:sz w:val="24"/>
          <w:szCs w:val="20"/>
          <w:lang w:eastAsia="zh-CN"/>
        </w:rPr>
        <w:t>。</w:t>
      </w:r>
    </w:p>
    <w:p w14:paraId="137AC578">
      <w:pPr>
        <w:pStyle w:val="30"/>
        <w:rPr>
          <w:rFonts w:ascii="宋体" w:hAnsi="宋体" w:eastAsia="宋体" w:cs="宋体"/>
          <w:sz w:val="24"/>
          <w:szCs w:val="24"/>
        </w:rPr>
      </w:pPr>
      <w:r>
        <w:rPr>
          <w:rFonts w:hint="eastAsia"/>
          <w:b/>
          <w:bCs/>
          <w:szCs w:val="20"/>
          <w:lang w:val="en-US" w:eastAsia="zh-CN"/>
        </w:rPr>
        <w:t>【条文说明】</w:t>
      </w:r>
      <w:r>
        <w:rPr>
          <w:rStyle w:val="46"/>
        </w:rPr>
        <w:t>相邻模块单元连接包括单元构件和设备管线连接。</w:t>
      </w:r>
    </w:p>
    <w:p w14:paraId="07828074">
      <w:pPr>
        <w:pStyle w:val="30"/>
        <w:rPr>
          <w:rFonts w:hint="eastAsia" w:ascii="宋体" w:hAnsi="宋体" w:eastAsia="宋体" w:cs="宋体"/>
          <w:sz w:val="24"/>
          <w:szCs w:val="24"/>
          <w:lang w:val="en-US" w:eastAsia="zh-CN"/>
        </w:rPr>
      </w:pPr>
    </w:p>
    <w:p w14:paraId="54BD9D7F">
      <w:pPr>
        <w:numPr>
          <w:ilvl w:val="0"/>
          <w:numId w:val="5"/>
        </w:numPr>
        <w:bidi w:val="0"/>
        <w:spacing w:line="400" w:lineRule="exact"/>
        <w:ind w:left="0" w:leftChars="0" w:firstLine="0" w:firstLineChars="0"/>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建筑平面设计中，楼梯间、电梯间、卫生间和走廊等区域结合模块建筑抗侧力结构布置要求，综合优化布置并应满足其使用功能，并应符合人流、物流通行以及安全疏散等建筑要求。</w:t>
      </w:r>
    </w:p>
    <w:p w14:paraId="42753DB7">
      <w:pPr>
        <w:numPr>
          <w:ilvl w:val="0"/>
          <w:numId w:val="5"/>
        </w:numPr>
        <w:bidi w:val="0"/>
        <w:spacing w:line="400" w:lineRule="exact"/>
        <w:ind w:left="0" w:leftChars="0" w:firstLine="0" w:firstLineChars="0"/>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 xml:space="preserve">建筑平面设计应采用标准模块不同堆叠形式，来实现多样化的建筑功能需求。可通过在平面和立面上偏移模块单元、阳台和屋面模块单元附件的使用等技术提高建筑美观效果(图 </w:t>
      </w:r>
      <w:r>
        <w:rPr>
          <w:rFonts w:hint="eastAsia" w:cs="Times New Roman"/>
          <w:sz w:val="24"/>
          <w:szCs w:val="20"/>
          <w:lang w:val="en-US" w:eastAsia="zh-CN"/>
        </w:rPr>
        <w:t>4</w:t>
      </w:r>
      <w:r>
        <w:rPr>
          <w:rFonts w:hint="eastAsia" w:ascii="Times New Roman" w:hAnsi="Times New Roman" w:eastAsia="宋体" w:cs="Times New Roman"/>
          <w:sz w:val="24"/>
          <w:szCs w:val="20"/>
          <w:lang w:eastAsia="zh-CN"/>
        </w:rPr>
        <w:t>.2.</w:t>
      </w:r>
      <w:r>
        <w:rPr>
          <w:rFonts w:hint="eastAsia" w:cs="Times New Roman"/>
          <w:sz w:val="24"/>
          <w:szCs w:val="20"/>
          <w:lang w:val="en-US" w:eastAsia="zh-CN"/>
        </w:rPr>
        <w:t>6</w:t>
      </w:r>
      <w:r>
        <w:rPr>
          <w:rFonts w:hint="eastAsia" w:ascii="Times New Roman" w:hAnsi="Times New Roman" w:eastAsia="宋体" w:cs="Times New Roman"/>
          <w:sz w:val="24"/>
          <w:szCs w:val="20"/>
          <w:lang w:eastAsia="zh-CN"/>
        </w:rPr>
        <w:t>)。</w:t>
      </w:r>
    </w:p>
    <w:p w14:paraId="3B016E5A">
      <w:pPr>
        <w:pStyle w:val="43"/>
        <w:bidi w:val="0"/>
      </w:pPr>
      <w:r>
        <w:drawing>
          <wp:inline distT="0" distB="0" distL="114300" distR="114300">
            <wp:extent cx="5739130" cy="5842000"/>
            <wp:effectExtent l="0" t="0" r="13970" b="0"/>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pic:cNvPicPr>
                      <a:picLocks noChangeAspect="1"/>
                    </pic:cNvPicPr>
                  </pic:nvPicPr>
                  <pic:blipFill>
                    <a:blip r:embed="rId22"/>
                    <a:stretch>
                      <a:fillRect/>
                    </a:stretch>
                  </pic:blipFill>
                  <pic:spPr>
                    <a:xfrm>
                      <a:off x="0" y="0"/>
                      <a:ext cx="5739130" cy="5842000"/>
                    </a:xfrm>
                    <a:prstGeom prst="rect">
                      <a:avLst/>
                    </a:prstGeom>
                    <a:noFill/>
                    <a:ln>
                      <a:noFill/>
                    </a:ln>
                  </pic:spPr>
                </pic:pic>
              </a:graphicData>
            </a:graphic>
          </wp:inline>
        </w:drawing>
      </w:r>
    </w:p>
    <w:p w14:paraId="483C751D">
      <w:pPr>
        <w:pStyle w:val="43"/>
        <w:bidi w:val="0"/>
        <w:jc w:val="center"/>
        <w:rPr>
          <w:rFonts w:ascii="宋体" w:hAnsi="宋体" w:eastAsia="宋体" w:cs="宋体"/>
          <w:sz w:val="24"/>
          <w:szCs w:val="24"/>
        </w:rPr>
      </w:pPr>
      <w:r>
        <w:rPr>
          <w:rFonts w:hint="eastAsia"/>
          <w:lang w:val="en-US" w:eastAsia="zh-CN"/>
        </w:rPr>
        <w:t>图4.2.6</w:t>
      </w:r>
      <w:r>
        <w:rPr>
          <w:rFonts w:ascii="宋体" w:hAnsi="宋体" w:eastAsia="宋体" w:cs="宋体"/>
          <w:sz w:val="24"/>
          <w:szCs w:val="24"/>
        </w:rPr>
        <w:t>模块单元的不同堆叠形式</w:t>
      </w:r>
    </w:p>
    <w:p w14:paraId="6278EAF0">
      <w:pPr>
        <w:pStyle w:val="45"/>
        <w:numPr>
          <w:ilvl w:val="0"/>
          <w:numId w:val="0"/>
        </w:numPr>
        <w:bidi w:val="0"/>
        <w:ind w:leftChars="0" w:firstLine="480" w:firstLineChars="200"/>
        <w:rPr>
          <w:rFonts w:hint="default"/>
          <w:lang w:val="en-US" w:eastAsia="zh-CN"/>
        </w:rPr>
      </w:pPr>
    </w:p>
    <w:p w14:paraId="78ED9E7F">
      <w:pPr>
        <w:numPr>
          <w:ilvl w:val="0"/>
          <w:numId w:val="5"/>
        </w:numPr>
        <w:bidi w:val="0"/>
        <w:spacing w:line="400" w:lineRule="exact"/>
        <w:ind w:left="0" w:leftChars="0" w:firstLine="0" w:firstLineChars="0"/>
        <w:rPr>
          <w:rFonts w:hint="default" w:ascii="Times New Roman" w:hAnsi="Times New Roman" w:eastAsia="宋体" w:cs="Times New Roman"/>
          <w:color w:val="000000" w:themeColor="text1"/>
          <w:sz w:val="24"/>
          <w:szCs w:val="20"/>
          <w:lang w:val="en-US" w:eastAsia="zh-CN"/>
          <w14:textFill>
            <w14:solidFill>
              <w14:schemeClr w14:val="tx1"/>
            </w14:solidFill>
          </w14:textFill>
        </w:rPr>
      </w:pPr>
      <w:r>
        <w:rPr>
          <w:rFonts w:hint="default" w:ascii="Times New Roman" w:hAnsi="Times New Roman" w:eastAsia="宋体" w:cs="Times New Roman"/>
          <w:color w:val="000000" w:themeColor="text1"/>
          <w:sz w:val="24"/>
          <w:szCs w:val="20"/>
          <w:lang w:val="en-US" w:eastAsia="zh-CN"/>
          <w14:textFill>
            <w14:solidFill>
              <w14:schemeClr w14:val="tx1"/>
            </w14:solidFill>
          </w14:textFill>
        </w:rPr>
        <w:t>模块布置应考虑与结构支撑、剪力墙等布置的协调。当室内布局需要较大尺寸空间时，可采用模块与框架结构、框架支撑结构等形成混合结构体系的方式实现(图</w:t>
      </w:r>
      <w:r>
        <w:rPr>
          <w:rFonts w:hint="eastAsia" w:cs="Times New Roman"/>
          <w:color w:val="000000" w:themeColor="text1"/>
          <w:sz w:val="24"/>
          <w:szCs w:val="20"/>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0"/>
          <w:lang w:val="en-US" w:eastAsia="zh-CN"/>
          <w14:textFill>
            <w14:solidFill>
              <w14:schemeClr w14:val="tx1"/>
            </w14:solidFill>
          </w14:textFill>
        </w:rPr>
        <w:t>.2.</w:t>
      </w:r>
      <w:r>
        <w:rPr>
          <w:rFonts w:hint="eastAsia" w:cs="Times New Roman"/>
          <w:color w:val="000000" w:themeColor="text1"/>
          <w:sz w:val="24"/>
          <w:szCs w:val="20"/>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0"/>
          <w:lang w:val="en-US" w:eastAsia="zh-CN"/>
          <w14:textFill>
            <w14:solidFill>
              <w14:schemeClr w14:val="tx1"/>
            </w14:solidFill>
          </w14:textFill>
        </w:rPr>
        <w:t>)</w:t>
      </w:r>
      <w:r>
        <w:rPr>
          <w:rFonts w:hint="eastAsia" w:cs="Times New Roman"/>
          <w:color w:val="000000" w:themeColor="text1"/>
          <w:sz w:val="24"/>
          <w:szCs w:val="20"/>
          <w:lang w:val="en-US" w:eastAsia="zh-CN"/>
          <w14:textFill>
            <w14:solidFill>
              <w14:schemeClr w14:val="tx1"/>
            </w14:solidFill>
          </w14:textFill>
        </w:rPr>
        <w:t>。</w:t>
      </w:r>
    </w:p>
    <w:p w14:paraId="59AE4254">
      <w:pPr>
        <w:pStyle w:val="43"/>
        <w:bidi w:val="0"/>
        <w:jc w:val="center"/>
        <w:rPr>
          <w:rFonts w:hint="default"/>
          <w:lang w:val="en-US" w:eastAsia="zh-CN"/>
        </w:rPr>
      </w:pPr>
      <w:r>
        <w:drawing>
          <wp:inline distT="0" distB="0" distL="114300" distR="114300">
            <wp:extent cx="4705350" cy="561784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3"/>
                    <a:stretch>
                      <a:fillRect/>
                    </a:stretch>
                  </pic:blipFill>
                  <pic:spPr>
                    <a:xfrm>
                      <a:off x="0" y="0"/>
                      <a:ext cx="4705350" cy="5617845"/>
                    </a:xfrm>
                    <a:prstGeom prst="rect">
                      <a:avLst/>
                    </a:prstGeom>
                    <a:noFill/>
                    <a:ln>
                      <a:noFill/>
                    </a:ln>
                  </pic:spPr>
                </pic:pic>
              </a:graphicData>
            </a:graphic>
          </wp:inline>
        </w:drawing>
      </w:r>
    </w:p>
    <w:p w14:paraId="4BCBA68F">
      <w:pPr>
        <w:bidi w:val="0"/>
        <w:jc w:val="center"/>
        <w:rPr>
          <w:rFonts w:ascii="宋体" w:hAnsi="宋体" w:eastAsia="宋体" w:cs="宋体"/>
          <w:sz w:val="24"/>
          <w:szCs w:val="24"/>
        </w:rPr>
      </w:pPr>
      <w:r>
        <w:rPr>
          <w:rFonts w:hint="eastAsia"/>
          <w:lang w:val="en-US" w:eastAsia="zh-CN"/>
        </w:rPr>
        <w:t xml:space="preserve">图4.2.7 </w:t>
      </w:r>
      <w:r>
        <w:rPr>
          <w:rFonts w:ascii="宋体" w:hAnsi="宋体" w:eastAsia="宋体" w:cs="宋体"/>
          <w:sz w:val="24"/>
          <w:szCs w:val="24"/>
        </w:rPr>
        <w:t>建筑悬挑和中庭的模块单元布置</w:t>
      </w:r>
    </w:p>
    <w:p w14:paraId="3992CD39">
      <w:pPr>
        <w:pStyle w:val="30"/>
        <w:rPr>
          <w:rStyle w:val="46"/>
        </w:rPr>
      </w:pPr>
      <w:r>
        <w:rPr>
          <w:rFonts w:hint="eastAsia"/>
          <w:b/>
          <w:bCs/>
          <w:szCs w:val="20"/>
          <w:lang w:val="en-US" w:eastAsia="zh-CN"/>
        </w:rPr>
        <w:t>【条文说明】</w:t>
      </w:r>
      <w:r>
        <w:rPr>
          <w:rStyle w:val="46"/>
          <w:rFonts w:hint="eastAsia" w:eastAsia="楷体"/>
          <w:lang w:val="en-US" w:eastAsia="zh-CN"/>
        </w:rPr>
        <w:t>图4.2.6、图4.2.7</w:t>
      </w:r>
      <w:r>
        <w:rPr>
          <w:rStyle w:val="46"/>
        </w:rPr>
        <w:t>给出了一些将模块单元作为主要构件的堆叠形式和布置方式。在平面和立面上偏移模块单元、阳台和屋面模块单元附件的使用等技术均可用于提高建筑美观效果。独立的钢结构框架起到局部支撑的作用，比如对阳台的支撑，或作为通道起到连接各模块的作用。</w:t>
      </w:r>
    </w:p>
    <w:p w14:paraId="4D4E796D">
      <w:pPr>
        <w:pStyle w:val="30"/>
        <w:rPr>
          <w:rStyle w:val="46"/>
          <w:rFonts w:hint="eastAsia" w:eastAsia="楷体"/>
          <w:lang w:val="en-US" w:eastAsia="zh-CN"/>
        </w:rPr>
      </w:pPr>
      <w:r>
        <w:rPr>
          <w:rStyle w:val="46"/>
        </w:rPr>
        <w:t>场外预制阳台、楼梯、垂直电梯的使用增加了模块单元在建筑物中的使用范围。</w:t>
      </w:r>
    </w:p>
    <w:p w14:paraId="16E43892">
      <w:pPr>
        <w:pStyle w:val="45"/>
        <w:numPr>
          <w:ilvl w:val="0"/>
          <w:numId w:val="0"/>
        </w:numPr>
        <w:bidi w:val="0"/>
        <w:ind w:leftChars="0" w:firstLine="480" w:firstLineChars="200"/>
      </w:pPr>
      <w:r>
        <w:rPr>
          <w:rFonts w:hint="eastAsia"/>
          <w:lang w:val="en-US" w:eastAsia="zh-CN"/>
        </w:rPr>
        <w:t>图4.2.6</w:t>
      </w:r>
      <w:r>
        <w:t xml:space="preserve">给出了多种不影响结构设计的模块单元排布方式， </w:t>
      </w:r>
      <w:r>
        <w:rPr>
          <w:rFonts w:hint="eastAsia"/>
          <w:lang w:val="en-US" w:eastAsia="zh-CN"/>
        </w:rPr>
        <w:t>图4.2.7</w:t>
      </w:r>
      <w:r>
        <w:t>给出了几种模块化</w:t>
      </w:r>
      <w:r>
        <w:rPr>
          <w:rFonts w:hint="eastAsia"/>
          <w:lang w:eastAsia="zh-CN"/>
        </w:rPr>
        <w:t>钢结构房屋</w:t>
      </w:r>
      <w:r>
        <w:t>悬臂梁和中庭的布置方式，可将中庭的布置原则扩展为各种布置方式的变体，中庭部位四周应设有独立的雨篷。</w:t>
      </w:r>
    </w:p>
    <w:p w14:paraId="232EE4CF">
      <w:pPr>
        <w:pStyle w:val="30"/>
        <w:rPr>
          <w:rFonts w:hint="eastAsia" w:eastAsia="楷体" w:cs="Times New Roman"/>
          <w:kern w:val="2"/>
          <w:sz w:val="24"/>
          <w:szCs w:val="20"/>
          <w:u w:val="single"/>
          <w:lang w:val="en-US" w:eastAsia="zh-CN" w:bidi="ar-SA"/>
        </w:rPr>
      </w:pPr>
    </w:p>
    <w:p w14:paraId="5E911F5D">
      <w:pPr>
        <w:numPr>
          <w:ilvl w:val="0"/>
          <w:numId w:val="5"/>
        </w:numPr>
        <w:bidi w:val="0"/>
        <w:spacing w:line="400" w:lineRule="exact"/>
        <w:ind w:left="0" w:leftChars="0" w:firstLine="0" w:firstLineChars="0"/>
        <w:rPr>
          <w:rFonts w:hint="default" w:ascii="Times New Roman" w:hAnsi="Times New Roman" w:eastAsia="宋体" w:cs="Times New Roman"/>
          <w:color w:val="000000" w:themeColor="text1"/>
          <w:sz w:val="24"/>
          <w:szCs w:val="20"/>
          <w:lang w:val="en-US" w:eastAsia="zh-CN"/>
          <w14:textFill>
            <w14:solidFill>
              <w14:schemeClr w14:val="tx1"/>
            </w14:solidFill>
          </w14:textFill>
        </w:rPr>
      </w:pPr>
      <w:r>
        <w:rPr>
          <w:rFonts w:hint="default" w:ascii="Times New Roman" w:hAnsi="Times New Roman" w:eastAsia="宋体" w:cs="Times New Roman"/>
          <w:color w:val="000000" w:themeColor="text1"/>
          <w:sz w:val="24"/>
          <w:szCs w:val="20"/>
          <w:lang w:val="en-US" w:eastAsia="zh-CN"/>
          <w14:textFill>
            <w14:solidFill>
              <w14:schemeClr w14:val="tx1"/>
            </w14:solidFill>
          </w14:textFill>
        </w:rPr>
        <w:t>建筑立面设计应符合规划要求，外立面分割尺寸合理流线简洁，符合环境要求。</w:t>
      </w:r>
    </w:p>
    <w:p w14:paraId="060DAC1F">
      <w:pPr>
        <w:pStyle w:val="45"/>
        <w:numPr>
          <w:ilvl w:val="0"/>
          <w:numId w:val="0"/>
        </w:numPr>
        <w:bidi w:val="0"/>
        <w:ind w:leftChars="0" w:firstLine="482" w:firstLineChars="200"/>
        <w:rPr>
          <w:rFonts w:hint="default"/>
          <w:lang w:val="en-US" w:eastAsia="zh-CN"/>
        </w:rPr>
      </w:pPr>
      <w:r>
        <w:rPr>
          <w:rFonts w:hint="eastAsia"/>
          <w:b/>
          <w:bCs/>
          <w:lang w:val="en-US" w:eastAsia="zh-CN"/>
        </w:rPr>
        <w:t>【条文说明】</w:t>
      </w:r>
      <w:r>
        <w:t>本条规定了外立面应符合城市市容市貌整体规划，与周围环境相协调，外立面通过变形缝进行尺寸分割，变形缝应能适应温度变化引起的外墙变形。同时应采用建筑体量、材质肌理、色彩变化等方式来实现不同的建筑立面效果。尽量避免采用专用的装饰构件来完成建筑外立面，以免降低建筑模块的生产效率，并给模块的运输和安装带来不利的影响</w:t>
      </w:r>
    </w:p>
    <w:p w14:paraId="3595D420">
      <w:pPr>
        <w:pStyle w:val="30"/>
        <w:rPr>
          <w:rFonts w:hint="eastAsia" w:eastAsia="楷体" w:cs="Times New Roman"/>
          <w:kern w:val="2"/>
          <w:sz w:val="24"/>
          <w:szCs w:val="20"/>
          <w:u w:val="single"/>
          <w:lang w:val="en-US" w:eastAsia="zh-CN" w:bidi="ar-SA"/>
        </w:rPr>
      </w:pPr>
    </w:p>
    <w:p w14:paraId="1EC1B151">
      <w:pPr>
        <w:numPr>
          <w:ilvl w:val="0"/>
          <w:numId w:val="5"/>
        </w:numPr>
        <w:bidi w:val="0"/>
        <w:rPr>
          <w:rFonts w:hint="eastAsia"/>
          <w:lang w:eastAsia="zh-CN"/>
        </w:rPr>
      </w:pPr>
      <w:r>
        <w:rPr>
          <w:rFonts w:hint="eastAsia"/>
          <w:lang w:eastAsia="zh-CN"/>
        </w:rPr>
        <w:t>模块化钢结构房屋的连接与接口设计应符合下列规定：</w:t>
      </w:r>
    </w:p>
    <w:p w14:paraId="44D046F3">
      <w:pPr>
        <w:numPr>
          <w:ilvl w:val="0"/>
          <w:numId w:val="8"/>
        </w:numPr>
        <w:bidi w:val="0"/>
        <w:spacing w:line="400" w:lineRule="exact"/>
        <w:ind w:left="0" w:leftChars="0" w:firstLine="420" w:firstLineChars="0"/>
        <w:rPr>
          <w:rFonts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连接与接口设计应明确工厂加工与现场施工的交界面；</w:t>
      </w:r>
    </w:p>
    <w:p w14:paraId="4BFDE52E">
      <w:pPr>
        <w:numPr>
          <w:ilvl w:val="0"/>
          <w:numId w:val="8"/>
        </w:numPr>
        <w:bidi w:val="0"/>
        <w:spacing w:line="400" w:lineRule="exact"/>
        <w:ind w:left="0" w:leftChars="0" w:firstLine="420" w:firstLineChars="0"/>
        <w:rPr>
          <w:rFonts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连接与接口设计应为现场施工安装提供足够的施工及安全保护空间；</w:t>
      </w:r>
    </w:p>
    <w:p w14:paraId="1FEC1246">
      <w:pPr>
        <w:numPr>
          <w:ilvl w:val="0"/>
          <w:numId w:val="8"/>
        </w:numPr>
        <w:bidi w:val="0"/>
        <w:spacing w:line="400" w:lineRule="exact"/>
        <w:ind w:left="0" w:leftChars="0" w:firstLine="420" w:firstLineChars="0"/>
        <w:rPr>
          <w:rFonts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连接与接口设计应留有检修口，方便后期的维护及检修</w:t>
      </w:r>
      <w:r>
        <w:rPr>
          <w:rFonts w:hint="eastAsia" w:cs="Times New Roman"/>
          <w:sz w:val="24"/>
          <w:szCs w:val="20"/>
          <w:lang w:eastAsia="zh-CN"/>
        </w:rPr>
        <w:t>；</w:t>
      </w:r>
    </w:p>
    <w:p w14:paraId="23DC978C">
      <w:pPr>
        <w:numPr>
          <w:ilvl w:val="0"/>
          <w:numId w:val="8"/>
        </w:numPr>
        <w:bidi w:val="0"/>
        <w:spacing w:line="400" w:lineRule="exact"/>
        <w:ind w:left="0" w:leftChars="0" w:firstLine="420" w:firstLineChars="0"/>
        <w:rPr>
          <w:rFonts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连接与接口设计应结合现场吊装安装时的预留位置综合考虑</w:t>
      </w:r>
      <w:r>
        <w:rPr>
          <w:rFonts w:hint="eastAsia" w:cs="Times New Roman"/>
          <w:sz w:val="24"/>
          <w:szCs w:val="20"/>
          <w:lang w:eastAsia="zh-CN"/>
        </w:rPr>
        <w:t>；</w:t>
      </w:r>
    </w:p>
    <w:p w14:paraId="1705A0FF">
      <w:pPr>
        <w:numPr>
          <w:ilvl w:val="0"/>
          <w:numId w:val="8"/>
        </w:numPr>
        <w:bidi w:val="0"/>
        <w:spacing w:line="400" w:lineRule="exact"/>
        <w:ind w:left="0" w:leftChars="0" w:firstLine="420" w:firstLineChars="0"/>
        <w:rPr>
          <w:rFonts w:hint="eastAsia" w:ascii="Times New Roman" w:hAnsi="Times New Roman" w:eastAsia="宋体" w:cs="Times New Roman"/>
          <w:sz w:val="24"/>
          <w:szCs w:val="20"/>
          <w:lang w:eastAsia="zh-CN"/>
        </w:rPr>
      </w:pPr>
      <w:r>
        <w:rPr>
          <w:rFonts w:hint="eastAsia"/>
          <w:lang w:eastAsia="zh-CN"/>
        </w:rPr>
        <w:t>模块单元与基础之间，模块单元之间以及模块单元与内部功能单元之间接口的设计，应满足建筑的防火、防水、防潮、隔声等各项要求。</w:t>
      </w:r>
    </w:p>
    <w:p w14:paraId="0B57AE85">
      <w:pPr>
        <w:pStyle w:val="45"/>
        <w:numPr>
          <w:ilvl w:val="0"/>
          <w:numId w:val="0"/>
        </w:numPr>
        <w:bidi w:val="0"/>
        <w:ind w:leftChars="0"/>
        <w:rPr>
          <w:rFonts w:hint="eastAsia"/>
          <w:szCs w:val="20"/>
          <w:lang w:eastAsia="zh-CN"/>
        </w:rPr>
      </w:pPr>
      <w:r>
        <w:rPr>
          <w:rFonts w:hint="eastAsia"/>
          <w:b/>
          <w:bCs/>
          <w:szCs w:val="20"/>
          <w:lang w:val="en-US" w:eastAsia="zh-CN"/>
        </w:rPr>
        <w:t>【条文说明】</w:t>
      </w:r>
      <w:r>
        <w:rPr>
          <w:rFonts w:hint="eastAsia"/>
          <w:szCs w:val="20"/>
          <w:lang w:eastAsia="zh-CN"/>
        </w:rPr>
        <w:t>模块单元间的连接应考虑建筑使用要求以及施工安装和维护检修的操作空间等因素，同时要采取有效的防腐、防火等安全措施。</w:t>
      </w:r>
    </w:p>
    <w:p w14:paraId="6F1CBF5F">
      <w:pPr>
        <w:keepNext w:val="0"/>
        <w:keepLines w:val="0"/>
        <w:widowControl/>
        <w:bidi w:val="0"/>
        <w:spacing w:before="0" w:beforeLines="-2147483648" w:after="0" w:afterLines="-2147483648" w:line="240" w:lineRule="auto"/>
        <w:jc w:val="left"/>
        <w:outlineLvl w:val="9"/>
        <w:rPr>
          <w:rFonts w:hint="default"/>
          <w:lang w:val="en-US" w:eastAsia="zh-CN"/>
        </w:rPr>
      </w:pPr>
    </w:p>
    <w:p w14:paraId="25B5040F">
      <w:pPr>
        <w:keepNext/>
        <w:keepLines/>
        <w:widowControl w:val="0"/>
        <w:bidi w:val="0"/>
        <w:spacing w:before="50" w:beforeLines="50" w:after="50" w:afterLines="50" w:line="360" w:lineRule="auto"/>
        <w:jc w:val="center"/>
        <w:outlineLvl w:val="1"/>
        <w:rPr>
          <w:rFonts w:ascii="Times New Roman" w:hAnsi="Times New Roman" w:eastAsia="黑体" w:cs="Times New Roman"/>
          <w:bCs/>
          <w:kern w:val="2"/>
          <w:sz w:val="32"/>
          <w:szCs w:val="32"/>
          <w:lang w:val="en-US" w:eastAsia="zh-CN" w:bidi="ar-SA"/>
        </w:rPr>
      </w:pPr>
      <w:bookmarkStart w:id="23" w:name="_Toc7521"/>
      <w:r>
        <w:rPr>
          <w:rFonts w:ascii="Times New Roman" w:hAnsi="Times New Roman" w:eastAsia="黑体" w:cs="Times New Roman"/>
          <w:bCs/>
          <w:kern w:val="2"/>
          <w:sz w:val="32"/>
          <w:szCs w:val="32"/>
          <w:lang w:val="en-US" w:eastAsia="zh-CN" w:bidi="ar-SA"/>
        </w:rPr>
        <w:t>4.</w:t>
      </w:r>
      <w:r>
        <w:rPr>
          <w:rFonts w:hint="eastAsia" w:ascii="Times New Roman" w:hAnsi="Times New Roman" w:eastAsia="黑体" w:cs="Times New Roman"/>
          <w:bCs/>
          <w:kern w:val="2"/>
          <w:sz w:val="32"/>
          <w:szCs w:val="32"/>
          <w:lang w:val="en-US" w:eastAsia="zh-CN" w:bidi="ar-SA"/>
        </w:rPr>
        <w:t>3</w:t>
      </w:r>
      <w:r>
        <w:rPr>
          <w:rFonts w:ascii="Times New Roman" w:hAnsi="Times New Roman" w:eastAsia="黑体" w:cs="Times New Roman"/>
          <w:bCs/>
          <w:kern w:val="2"/>
          <w:sz w:val="32"/>
          <w:szCs w:val="32"/>
          <w:lang w:val="en-US" w:eastAsia="zh-CN" w:bidi="ar-SA"/>
        </w:rPr>
        <w:t>围护系统</w:t>
      </w:r>
      <w:bookmarkEnd w:id="23"/>
    </w:p>
    <w:p w14:paraId="0AE752CA">
      <w:pPr>
        <w:numPr>
          <w:ilvl w:val="0"/>
          <w:numId w:val="9"/>
        </w:numPr>
        <w:bidi w:val="0"/>
      </w:pPr>
      <w:r>
        <w:rPr>
          <w:rFonts w:hint="eastAsia" w:ascii="宋体" w:hAnsi="宋体" w:cs="宋体"/>
          <w:spacing w:val="7"/>
          <w:sz w:val="24"/>
          <w:szCs w:val="24"/>
          <w:lang w:val="en-US" w:eastAsia="zh-CN"/>
        </w:rPr>
        <w:t>模块地板可采用轻钢结构楼板、压型钢板组合楼板、工厂预制钢筋混凝土楼板、预制钢筋混凝土圆孔板、装配整体式楼板等。</w:t>
      </w:r>
    </w:p>
    <w:p w14:paraId="4971F688">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轻钢结构板宜采用主次龙骨或轻钢龙骨桁架结构，其上铺设复合板材组成。</w:t>
      </w:r>
    </w:p>
    <w:p w14:paraId="7803583F">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复合板材可采用增强纤维硅酸钙板、定向刨花板等，不得采用不配钢筋的纤维水泥类板材和水泥加气发泡类板材。</w:t>
      </w:r>
    </w:p>
    <w:p w14:paraId="1696A38A">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预制钢筋混凝土楼板在工厂内宜采用轻质混凝土现浇制成，楼板钢筋应与模块四周边梁可靠连接，楼板和模块之间应增设连接件有效连接。</w:t>
      </w:r>
    </w:p>
    <w:p w14:paraId="5F688EB5">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对于预制混凝土圆孔板或装配整体式楼板，板与梁、板与板之间应有效连接。</w:t>
      </w:r>
    </w:p>
    <w:p w14:paraId="1BD2BEBD">
      <w:pPr>
        <w:numPr>
          <w:ilvl w:val="0"/>
          <w:numId w:val="9"/>
        </w:numPr>
        <w:bidi w:val="0"/>
        <w:rPr>
          <w:rFonts w:hint="eastAsia"/>
          <w:lang w:val="en-US" w:eastAsia="zh-CN"/>
        </w:rPr>
      </w:pPr>
      <w:r>
        <w:rPr>
          <w:rFonts w:hint="eastAsia"/>
          <w:lang w:val="en-US" w:eastAsia="zh-CN"/>
        </w:rPr>
        <w:t>模块顶板宜采用轻钢龙骨吊顶、夹芯板吊顶、单层或双层钢板复合板吊顶等轻质板材形式，并应符合现行国家标准《建筑防火通用规范》GB 55037的规定。不同的吊顶板材应符合下列规定:</w:t>
      </w:r>
    </w:p>
    <w:p w14:paraId="61D02D61">
      <w:pPr>
        <w:numPr>
          <w:ilvl w:val="0"/>
          <w:numId w:val="10"/>
        </w:numPr>
        <w:bidi w:val="0"/>
        <w:ind w:left="0" w:leftChars="0" w:firstLine="420" w:firstLineChars="0"/>
        <w:rPr>
          <w:rFonts w:hint="eastAsia"/>
          <w:lang w:val="en-US" w:eastAsia="zh-CN"/>
        </w:rPr>
      </w:pPr>
      <w:r>
        <w:rPr>
          <w:rFonts w:hint="eastAsia"/>
          <w:lang w:val="en-US" w:eastAsia="zh-CN"/>
        </w:rPr>
        <w:t>夹芯板宜选择热镀锌钢板，双面镀锌含量不应小于180g/时，厚度可选用 0.5mm 及以上的板材，其连接方式可采用搭接方式；</w:t>
      </w:r>
    </w:p>
    <w:p w14:paraId="72827DB4">
      <w:pPr>
        <w:numPr>
          <w:ilvl w:val="0"/>
          <w:numId w:val="10"/>
        </w:numPr>
        <w:bidi w:val="0"/>
        <w:ind w:left="0" w:leftChars="0" w:firstLine="420" w:firstLineChars="0"/>
        <w:rPr>
          <w:rFonts w:hint="eastAsia"/>
          <w:lang w:val="en-US" w:eastAsia="zh-CN"/>
        </w:rPr>
      </w:pPr>
      <w:r>
        <w:rPr>
          <w:rFonts w:hint="eastAsia"/>
          <w:lang w:val="en-US" w:eastAsia="zh-CN"/>
        </w:rPr>
        <w:t>夹芯板的板芯材料可采用岩棉板材，其密度不应小于100kg/m</w:t>
      </w:r>
      <w:r>
        <w:rPr>
          <w:rFonts w:hint="eastAsia"/>
          <w:vertAlign w:val="superscript"/>
          <w:lang w:val="en-US" w:eastAsia="zh-CN"/>
        </w:rPr>
        <w:t>3</w:t>
      </w:r>
      <w:r>
        <w:rPr>
          <w:rFonts w:hint="eastAsia"/>
          <w:lang w:val="en-US" w:eastAsia="zh-CN"/>
        </w:rPr>
        <w:t xml:space="preserve"> ；也可选用挤塑型聚苯板；</w:t>
      </w:r>
    </w:p>
    <w:p w14:paraId="3DD79AEC">
      <w:pPr>
        <w:numPr>
          <w:ilvl w:val="0"/>
          <w:numId w:val="10"/>
        </w:numPr>
        <w:bidi w:val="0"/>
        <w:ind w:left="0" w:leftChars="0" w:firstLine="420" w:firstLineChars="0"/>
        <w:rPr>
          <w:rFonts w:hint="eastAsia"/>
          <w:lang w:val="en-US" w:eastAsia="zh-CN"/>
        </w:rPr>
      </w:pPr>
      <w:r>
        <w:rPr>
          <w:rFonts w:hint="eastAsia"/>
          <w:lang w:val="en-US" w:eastAsia="zh-CN"/>
        </w:rPr>
        <w:t>单层钢板复合板可采用钢板下铺带铝宿防潮层的玻璃棉毡；必要时在底部设置钢丝网或玻璃纤维布加强，以承托保温材料；</w:t>
      </w:r>
    </w:p>
    <w:p w14:paraId="5DF7A800">
      <w:pPr>
        <w:numPr>
          <w:ilvl w:val="0"/>
          <w:numId w:val="10"/>
        </w:numPr>
        <w:bidi w:val="0"/>
        <w:ind w:left="0" w:leftChars="0" w:firstLine="420" w:firstLineChars="0"/>
        <w:rPr>
          <w:rFonts w:hint="eastAsia"/>
          <w:lang w:val="en-US" w:eastAsia="zh-CN"/>
        </w:rPr>
      </w:pPr>
      <w:r>
        <w:rPr>
          <w:rFonts w:hint="eastAsia"/>
          <w:lang w:val="en-US" w:eastAsia="zh-CN"/>
        </w:rPr>
        <w:t>双层钢板复合板可采用双层压型钢板内填充玻璃棉毡、挤塑板等保温材料，加工成板材。</w:t>
      </w:r>
    </w:p>
    <w:p w14:paraId="0391F732">
      <w:pPr>
        <w:pStyle w:val="30"/>
        <w:rPr>
          <w:rFonts w:hint="eastAsia"/>
          <w:lang w:val="en-US" w:eastAsia="zh-CN"/>
        </w:rPr>
      </w:pPr>
      <w:r>
        <w:rPr>
          <w:rFonts w:hint="eastAsia"/>
          <w:b/>
          <w:bCs/>
          <w:szCs w:val="20"/>
          <w:lang w:val="en-US" w:eastAsia="zh-CN"/>
        </w:rPr>
        <w:t>【条文说明】</w:t>
      </w:r>
      <w:r>
        <w:rPr>
          <w:rStyle w:val="46"/>
          <w:rFonts w:hint="eastAsia"/>
          <w:lang w:val="en-US" w:eastAsia="zh-CN"/>
        </w:rPr>
        <w:t>考虑到下层模块顶板及吊顶受到上层模块楼板保护，通过构造措施可满足吊顶的防潮保温性能。吊顶不宜过重，否则可能增加梁截面高度，安全性较差。岩棉等纤维材料易游离在空气中，应保证岩棉材料处于密闭空间，防止人吸人肺中，影响健康。</w:t>
      </w:r>
    </w:p>
    <w:p w14:paraId="5AEB6C57">
      <w:pPr>
        <w:pStyle w:val="45"/>
        <w:numPr>
          <w:ilvl w:val="0"/>
          <w:numId w:val="0"/>
        </w:numPr>
        <w:bidi w:val="0"/>
        <w:ind w:leftChars="0" w:firstLine="480" w:firstLineChars="200"/>
        <w:rPr>
          <w:rFonts w:hint="eastAsia"/>
          <w:lang w:val="en-US" w:eastAsia="zh-CN"/>
        </w:rPr>
      </w:pPr>
      <w:r>
        <w:rPr>
          <w:rFonts w:hint="eastAsia"/>
          <w:lang w:val="en-US" w:eastAsia="zh-CN"/>
        </w:rPr>
        <w:t>1 钢板一般宽度为 1000mm、 1200mm。</w:t>
      </w:r>
    </w:p>
    <w:p w14:paraId="1D6DA732">
      <w:pPr>
        <w:pStyle w:val="45"/>
        <w:numPr>
          <w:ilvl w:val="0"/>
          <w:numId w:val="0"/>
        </w:numPr>
        <w:bidi w:val="0"/>
        <w:ind w:leftChars="0" w:firstLine="480" w:firstLineChars="200"/>
        <w:rPr>
          <w:rFonts w:hint="eastAsia"/>
          <w:lang w:val="en-US" w:eastAsia="zh-CN"/>
        </w:rPr>
      </w:pPr>
      <w:r>
        <w:rPr>
          <w:rFonts w:hint="eastAsia"/>
          <w:lang w:val="en-US" w:eastAsia="zh-CN"/>
        </w:rPr>
        <w:t>2 当采用分块的保温材料填充模块顶板时，若保温材料有掉落的可能，则可采用在保温材料底部增设钢丝网或玻璃纤维布的方式加强保温材料的整体性。</w:t>
      </w:r>
    </w:p>
    <w:p w14:paraId="3AF68507">
      <w:pPr>
        <w:numPr>
          <w:ilvl w:val="0"/>
          <w:numId w:val="9"/>
        </w:numPr>
        <w:bidi w:val="0"/>
        <w:rPr>
          <w:rFonts w:hint="eastAsia" w:ascii="宋体" w:hAnsi="宋体" w:cs="宋体"/>
          <w:spacing w:val="7"/>
          <w:sz w:val="24"/>
          <w:szCs w:val="24"/>
          <w:lang w:eastAsia="zh-CN"/>
        </w:rPr>
      </w:pPr>
      <w:r>
        <w:rPr>
          <w:rFonts w:hint="eastAsia" w:ascii="宋体" w:hAnsi="宋体" w:cs="宋体"/>
          <w:spacing w:val="7"/>
          <w:sz w:val="24"/>
          <w:szCs w:val="24"/>
          <w:lang w:val="en-US" w:eastAsia="zh-CN"/>
        </w:rPr>
        <w:t>模块顶板宜设置对角拉撑，增加平面内刚度，防止发生</w:t>
      </w:r>
      <w:r>
        <w:rPr>
          <w:rFonts w:hint="default" w:ascii="宋体" w:hAnsi="宋体" w:cs="宋体"/>
          <w:spacing w:val="7"/>
          <w:sz w:val="24"/>
          <w:szCs w:val="24"/>
          <w:lang w:val="en-US" w:eastAsia="zh-CN"/>
        </w:rPr>
        <w:t>变形。</w:t>
      </w:r>
    </w:p>
    <w:p w14:paraId="3D2C0C38">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模块顶板的支撑构件可选用C型钢檩条，也可在工厂制作钢筋小桁架檩条，间距应经计算确定，檩条应与框架梁可靠连接。檩条下应铺设吊顶的龙骨。</w:t>
      </w:r>
    </w:p>
    <w:p w14:paraId="29154ED7">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模块顶板应包含保温层和防潮层；顶棚各层、各构件间应安装紧密，以确保模块建筑的气密性。</w:t>
      </w:r>
    </w:p>
    <w:p w14:paraId="00ED3B0F">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模块墙板应根据功能要求分为外墙、内隔墙等，不同功能墙体宜采用同类材料、不同尺寸和构造。</w:t>
      </w:r>
    </w:p>
    <w:p w14:paraId="58FA8392">
      <w:pPr>
        <w:pStyle w:val="45"/>
        <w:numPr>
          <w:ilvl w:val="0"/>
          <w:numId w:val="0"/>
        </w:numPr>
        <w:bidi w:val="0"/>
        <w:ind w:leftChars="0"/>
        <w:rPr>
          <w:rFonts w:hint="eastAsia"/>
          <w:lang w:val="en-US" w:eastAsia="zh-CN"/>
        </w:rPr>
      </w:pPr>
      <w:r>
        <w:rPr>
          <w:rFonts w:hint="eastAsia"/>
          <w:b/>
          <w:bCs/>
          <w:szCs w:val="20"/>
          <w:lang w:val="en-US" w:eastAsia="zh-CN"/>
        </w:rPr>
        <w:t>【条文说明】</w:t>
      </w:r>
      <w:r>
        <w:rPr>
          <w:rFonts w:hint="eastAsia"/>
          <w:lang w:val="en-US" w:eastAsia="zh-CN"/>
        </w:rPr>
        <w:t>墙体挂板的目的是提供耐候性和外观需要。模块建筑的挂板可以为自身提供垂直支撑，由模块结构提供水平支撑，也可以选择由模块结构提供全部支撑。</w:t>
      </w:r>
    </w:p>
    <w:p w14:paraId="4A760379">
      <w:pPr>
        <w:pStyle w:val="45"/>
        <w:numPr>
          <w:ilvl w:val="0"/>
          <w:numId w:val="0"/>
        </w:numPr>
        <w:bidi w:val="0"/>
        <w:ind w:leftChars="0"/>
        <w:rPr>
          <w:rFonts w:hint="eastAsia"/>
          <w:lang w:val="en-US" w:eastAsia="zh-CN"/>
        </w:rPr>
      </w:pPr>
      <w:r>
        <w:rPr>
          <w:rFonts w:hint="eastAsia"/>
          <w:lang w:val="en-US" w:eastAsia="zh-CN"/>
        </w:rPr>
        <w:t>外部挂板和模块结构之间的空腔必须包含隔层，起到阻挡烟和火焰扩散的作用，所有独立住宅或者防火分区都要求有空腔隔层，通常使用矿物棉。</w:t>
      </w:r>
    </w:p>
    <w:p w14:paraId="6312E7A5">
      <w:pPr>
        <w:pStyle w:val="45"/>
        <w:numPr>
          <w:ilvl w:val="0"/>
          <w:numId w:val="0"/>
        </w:numPr>
        <w:bidi w:val="0"/>
        <w:ind w:leftChars="0"/>
        <w:rPr>
          <w:rFonts w:hint="eastAsia"/>
          <w:lang w:val="en-US" w:eastAsia="zh-CN"/>
        </w:rPr>
      </w:pPr>
      <w:r>
        <w:rPr>
          <w:rFonts w:hint="eastAsia"/>
          <w:lang w:val="en-US" w:eastAsia="zh-CN"/>
        </w:rPr>
        <w:t>对于建筑外立面，可考虑采用由模块结构直接提供支撑的抹灰挂板，其呈现出多种多样的颜色和完成面效果，可以是仿砖砌效果或者十分光滑的完成面，可以有不同颜色和纹理。</w:t>
      </w:r>
    </w:p>
    <w:p w14:paraId="6D0801CC">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墙体结构宜采取次结构框架进行支撑，并进行有效隔断，以避免产生冷桥，墙体可采用波纹板、衬板、盒式面板、复合板或者轻质混凝土板、木板等材料围护。</w:t>
      </w:r>
    </w:p>
    <w:p w14:paraId="31BF2844">
      <w:pPr>
        <w:pStyle w:val="45"/>
        <w:numPr>
          <w:ilvl w:val="0"/>
          <w:numId w:val="0"/>
        </w:numPr>
        <w:bidi w:val="0"/>
        <w:ind w:leftChars="0"/>
        <w:rPr>
          <w:rFonts w:hint="eastAsia"/>
          <w:lang w:val="en-US" w:eastAsia="zh-CN"/>
        </w:rPr>
      </w:pPr>
      <w:r>
        <w:rPr>
          <w:rFonts w:hint="eastAsia"/>
          <w:b/>
          <w:bCs/>
          <w:szCs w:val="20"/>
          <w:lang w:val="en-US" w:eastAsia="zh-CN"/>
        </w:rPr>
        <w:t>【条文说明】</w:t>
      </w:r>
      <w:r>
        <w:rPr>
          <w:rFonts w:hint="eastAsia" w:ascii="宋体" w:hAnsi="宋体" w:cs="宋体"/>
          <w:spacing w:val="7"/>
          <w:szCs w:val="24"/>
          <w:lang w:val="en-US" w:eastAsia="zh-CN"/>
        </w:rPr>
        <w:t>墙体结构宜采取次结构框架进行支撑，并进行有效隔断，以避免产生冷桥，</w:t>
      </w:r>
      <w:r>
        <w:rPr>
          <w:rFonts w:hint="eastAsia"/>
          <w:lang w:val="en-US" w:eastAsia="zh-CN"/>
        </w:rPr>
        <w:t>墙体可采用波纹板、衬板、盒式面板、复合板或者轻质混凝土板、木板等材料围护。轻质挂板由模块单元提供支撑，单元设计时应考虑额外荷载。轻质挂板的形式为压型板、内衬夹层、盒式板或者组合板。如果盒式板是分离的正方形或者长方形构件，典型尺寸在600mm~1200mm之间，则压型板、内衬夹层以及组合板都是内衬构件。</w:t>
      </w:r>
    </w:p>
    <w:p w14:paraId="0ED136F6">
      <w:pPr>
        <w:pStyle w:val="45"/>
        <w:numPr>
          <w:ilvl w:val="0"/>
          <w:numId w:val="0"/>
        </w:numPr>
        <w:bidi w:val="0"/>
        <w:ind w:leftChars="0"/>
        <w:rPr>
          <w:rFonts w:hint="eastAsia"/>
          <w:lang w:val="en-US" w:eastAsia="zh-CN"/>
        </w:rPr>
      </w:pPr>
      <w:r>
        <w:rPr>
          <w:rFonts w:hint="eastAsia"/>
          <w:lang w:val="en-US" w:eastAsia="zh-CN"/>
        </w:rPr>
        <w:t>多数情况下，需要钢制或者铝制的二次框架支撑挂板构件，外墙围护材料独立于支撑结构以避免形成冷桥。部分轻质挂板可在工厂内直接固定到模块单元上，单元之间的连接在现场密封。这对设计和施工的精确度提出较高要求。</w:t>
      </w:r>
    </w:p>
    <w:p w14:paraId="3E3ED3FC">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墙体保温、隔热材料宜采用轻质、可装配的板材。</w:t>
      </w:r>
    </w:p>
    <w:p w14:paraId="7BC5E4FC">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外墙构造应符合墙体节能的有关规定，宜采用含有重质材料和轻质高效保温隔热材料组合的复合材料。当采用无机材料复合保温板时，可按现行行业标准《建筑结构保温复合板》JG/T 432的规定执行。</w:t>
      </w:r>
    </w:p>
    <w:p w14:paraId="7D9B5E1A">
      <w:pPr>
        <w:pStyle w:val="45"/>
        <w:numPr>
          <w:ilvl w:val="0"/>
          <w:numId w:val="0"/>
        </w:numPr>
        <w:bidi w:val="0"/>
        <w:ind w:leftChars="0"/>
        <w:rPr>
          <w:rFonts w:hint="eastAsia"/>
          <w:lang w:val="en-US" w:eastAsia="zh-CN"/>
        </w:rPr>
      </w:pPr>
      <w:r>
        <w:rPr>
          <w:rFonts w:hint="eastAsia"/>
          <w:b/>
          <w:bCs/>
          <w:szCs w:val="20"/>
          <w:lang w:val="en-US" w:eastAsia="zh-CN"/>
        </w:rPr>
        <w:t>【条文说明】</w:t>
      </w:r>
      <w:r>
        <w:rPr>
          <w:rFonts w:hint="eastAsia"/>
          <w:lang w:val="en-US" w:eastAsia="zh-CN"/>
        </w:rPr>
        <w:t>外墙保温装饰一体板是由保温装饰一体板、胶粘剂、锚固件、密封胶、界面砂浆等与建筑物外围护结构层组成的系统；保温装饰一体板是由工厂预制成型用于外墙保温装饰的板状制品，由饰面板、粘结层和保温层复合而成。</w:t>
      </w:r>
    </w:p>
    <w:p w14:paraId="6FFFCD55">
      <w:pPr>
        <w:pStyle w:val="43"/>
        <w:bidi w:val="0"/>
        <w:jc w:val="left"/>
        <w:rPr>
          <w:rFonts w:hint="eastAsia" w:ascii="Times New Roman" w:hAnsi="Times New Roman" w:eastAsia="楷体" w:cs="Times New Roman"/>
          <w:kern w:val="2"/>
          <w:sz w:val="24"/>
          <w:u w:val="single"/>
          <w:lang w:val="en-US" w:eastAsia="zh-CN" w:bidi="ar-SA"/>
        </w:rPr>
      </w:pPr>
      <w:r>
        <w:rPr>
          <w:rFonts w:hint="eastAsia" w:ascii="Times New Roman" w:hAnsi="Times New Roman" w:eastAsia="楷体" w:cs="Times New Roman"/>
          <w:kern w:val="2"/>
          <w:sz w:val="24"/>
          <w:u w:val="single"/>
          <w:lang w:val="en-US" w:eastAsia="zh-CN" w:bidi="ar-SA"/>
        </w:rPr>
        <w:t>玻纤增强无机板是以耐碱玻璃纤维为主要增强材料、硫铝酸盐水泥或硅酸盐水泥为胶凝材料，以砂、植物纤维或固体废弃物为集料，以粉煤灰、硅灰、矿渣等为掺合料，加</w:t>
      </w:r>
      <w:r>
        <w:rPr>
          <w:rFonts w:hint="eastAsia" w:eastAsia="楷体" w:cs="Times New Roman"/>
          <w:kern w:val="2"/>
          <w:sz w:val="24"/>
          <w:u w:val="single"/>
          <w:lang w:val="en-US" w:eastAsia="zh-CN" w:bidi="ar-SA"/>
        </w:rPr>
        <w:t>入</w:t>
      </w:r>
      <w:r>
        <w:rPr>
          <w:rFonts w:hint="eastAsia" w:ascii="Times New Roman" w:hAnsi="Times New Roman" w:eastAsia="楷体" w:cs="Times New Roman"/>
          <w:kern w:val="2"/>
          <w:sz w:val="24"/>
          <w:u w:val="single"/>
          <w:lang w:val="en-US" w:eastAsia="zh-CN" w:bidi="ar-SA"/>
        </w:rPr>
        <w:t>其他外加剂，在工厂预制成型的板材。</w:t>
      </w:r>
    </w:p>
    <w:p w14:paraId="3139B155">
      <w:pPr>
        <w:pStyle w:val="43"/>
        <w:bidi w:val="0"/>
        <w:jc w:val="center"/>
      </w:pPr>
    </w:p>
    <w:p w14:paraId="137BF2E9">
      <w:pPr>
        <w:numPr>
          <w:ilvl w:val="0"/>
          <w:numId w:val="9"/>
        </w:numPr>
        <w:bidi w:val="0"/>
        <w:rPr>
          <w:rFonts w:hint="eastAsia"/>
          <w:lang w:val="en-US" w:eastAsia="zh-CN"/>
        </w:rPr>
      </w:pPr>
      <w:r>
        <w:rPr>
          <w:rFonts w:hint="eastAsia"/>
          <w:lang w:val="en-US" w:eastAsia="zh-CN"/>
        </w:rPr>
        <w:t>外墙应与所在地区的气候条件相适应，并通过采取下列技术措施，满足室内基本的热环境要求和国家现行标准《公共建筑节能设计标准》GB 50189 、《民用建筑热工设计规范》 GB 50176、《夏热冬冷地区居住建筑节能设计标准》JGJ 134、《夏热冬暖地区居住建筑节能设计标准》JGJ 75和《严寒和寒冷地区居住建筑节能设计标准》JGJ 26、</w:t>
      </w:r>
      <w:r>
        <w:rPr>
          <w:rFonts w:hint="eastAsia"/>
          <w:szCs w:val="20"/>
          <w:lang w:val="en-US" w:eastAsia="zh-CN"/>
        </w:rPr>
        <w:t>《建筑节能与可再生能源利用通用规范》GB55015、</w:t>
      </w:r>
      <w:r>
        <w:rPr>
          <w:rFonts w:hint="eastAsia" w:ascii="Times New Roman" w:hAnsi="Times New Roman" w:eastAsia="宋体" w:cs="Times New Roman"/>
          <w:szCs w:val="20"/>
          <w:lang w:val="en-US" w:eastAsia="zh-CN"/>
        </w:rPr>
        <w:t>《四川省公共建筑节能设计标准》DBJ51/143《四川省居住建筑节能设计标准》DBJ51/5027</w:t>
      </w:r>
      <w:r>
        <w:rPr>
          <w:rFonts w:hint="eastAsia"/>
          <w:lang w:val="en-US" w:eastAsia="zh-CN"/>
        </w:rPr>
        <w:t>的规定：</w:t>
      </w:r>
    </w:p>
    <w:p w14:paraId="62C0D849">
      <w:pPr>
        <w:pStyle w:val="30"/>
        <w:numPr>
          <w:ilvl w:val="0"/>
          <w:numId w:val="11"/>
        </w:numPr>
        <w:ind w:left="0" w:leftChars="0" w:firstLine="420" w:firstLineChars="0"/>
        <w:rPr>
          <w:rFonts w:hint="eastAsia"/>
          <w:lang w:val="en-US" w:eastAsia="zh-CN"/>
        </w:rPr>
      </w:pPr>
      <w:r>
        <w:rPr>
          <w:rFonts w:hint="eastAsia"/>
          <w:lang w:val="en-US" w:eastAsia="zh-CN"/>
        </w:rPr>
        <w:t>模块化钢结构房屋外墙应满足所在地的节能要求，宜采用外保温隔热构造。</w:t>
      </w:r>
    </w:p>
    <w:p w14:paraId="7A1C8968">
      <w:pPr>
        <w:pStyle w:val="30"/>
        <w:numPr>
          <w:ilvl w:val="0"/>
          <w:numId w:val="11"/>
        </w:numPr>
        <w:ind w:left="0" w:leftChars="0" w:firstLine="420" w:firstLineChars="0"/>
        <w:rPr>
          <w:rFonts w:hint="eastAsia"/>
          <w:lang w:val="en-US" w:eastAsia="zh-CN"/>
        </w:rPr>
      </w:pPr>
      <w:r>
        <w:rPr>
          <w:rFonts w:hint="eastAsia"/>
          <w:lang w:val="en-US" w:eastAsia="zh-CN"/>
        </w:rPr>
        <w:t>有保温要求的地区，墙体应满足国家现行本类别建筑节能设计标准所规定的传热系数限值要求。供暖地区的墙体应尽量避免金属件或连接件直接穿透保温层；必须穿透时，应进行露点验算，不满足时应采取措施保证热桥部位内表面温度不低于室内空气露点温度。</w:t>
      </w:r>
    </w:p>
    <w:p w14:paraId="4F532391">
      <w:pPr>
        <w:pStyle w:val="30"/>
        <w:numPr>
          <w:ilvl w:val="0"/>
          <w:numId w:val="11"/>
        </w:numPr>
        <w:ind w:left="0" w:leftChars="0" w:firstLine="420" w:firstLineChars="0"/>
        <w:rPr>
          <w:rFonts w:hint="eastAsia"/>
          <w:lang w:val="en-US" w:eastAsia="zh-CN"/>
        </w:rPr>
      </w:pPr>
      <w:r>
        <w:rPr>
          <w:rFonts w:hint="eastAsia"/>
          <w:lang w:val="en-US" w:eastAsia="zh-CN"/>
        </w:rPr>
        <w:t>严寒地区、寒冷地区、夏热冬冷地区的围护结构保温层内侧宜设置隔汽层。</w:t>
      </w:r>
    </w:p>
    <w:p w14:paraId="3C16BF2D">
      <w:pPr>
        <w:pStyle w:val="30"/>
        <w:numPr>
          <w:ilvl w:val="0"/>
          <w:numId w:val="11"/>
        </w:numPr>
        <w:ind w:left="0" w:leftChars="0" w:firstLine="420" w:firstLineChars="0"/>
        <w:rPr>
          <w:rFonts w:hint="eastAsia"/>
          <w:lang w:val="en-US" w:eastAsia="zh-CN"/>
        </w:rPr>
      </w:pPr>
      <w:r>
        <w:rPr>
          <w:rFonts w:hint="eastAsia"/>
          <w:lang w:val="en-US" w:eastAsia="zh-CN"/>
        </w:rPr>
        <w:t>有防热要求的地区，当采用轻质墙体结构且热惰性指标不满足要求时，应采取遮阳、通风空气间层、反射构造等综合措施。</w:t>
      </w:r>
    </w:p>
    <w:p w14:paraId="48B1B04B">
      <w:pPr>
        <w:pStyle w:val="45"/>
        <w:numPr>
          <w:ilvl w:val="0"/>
          <w:numId w:val="0"/>
        </w:numPr>
        <w:bidi w:val="0"/>
        <w:ind w:leftChars="0" w:firstLine="482" w:firstLineChars="200"/>
        <w:rPr>
          <w:rFonts w:hint="eastAsia"/>
          <w:lang w:val="en-US" w:eastAsia="zh-CN"/>
        </w:rPr>
      </w:pPr>
      <w:r>
        <w:rPr>
          <w:rFonts w:hint="eastAsia"/>
          <w:b/>
          <w:bCs/>
          <w:szCs w:val="20"/>
          <w:lang w:val="en-US" w:eastAsia="zh-CN"/>
        </w:rPr>
        <w:t>【条文说明】</w:t>
      </w:r>
      <w:r>
        <w:rPr>
          <w:rFonts w:hint="eastAsia"/>
          <w:lang w:val="en-US" w:eastAsia="zh-CN"/>
        </w:rPr>
        <w:t>模块化钢结构房屋多为钢结构金属框架模块，如在外部环境中直接暴露，对保证室内环境和节能不利，故围护结构设计为外保温(隔热)是有益的。但预制的模块单元外部保温(隔热)构件成品保护和接缝处理比较复杂，故有条件时外围护作业宜在现场完成；有特殊需要时，也可做成模块外露的内保温(隔热)。下列情况适用于做成模块外露的内保温(隔热):</w:t>
      </w:r>
    </w:p>
    <w:p w14:paraId="1AAB03DF">
      <w:pPr>
        <w:pStyle w:val="45"/>
        <w:numPr>
          <w:ilvl w:val="0"/>
          <w:numId w:val="0"/>
        </w:numPr>
        <w:bidi w:val="0"/>
        <w:ind w:leftChars="0" w:firstLine="480" w:firstLineChars="200"/>
        <w:rPr>
          <w:rFonts w:hint="eastAsia"/>
          <w:lang w:val="en-US" w:eastAsia="zh-CN"/>
        </w:rPr>
      </w:pPr>
      <w:r>
        <w:rPr>
          <w:rFonts w:hint="eastAsia"/>
          <w:lang w:val="en-US" w:eastAsia="zh-CN"/>
        </w:rPr>
        <w:t>1)房屋充分预制；</w:t>
      </w:r>
    </w:p>
    <w:p w14:paraId="43617E12">
      <w:pPr>
        <w:pStyle w:val="45"/>
        <w:numPr>
          <w:ilvl w:val="0"/>
          <w:numId w:val="0"/>
        </w:numPr>
        <w:bidi w:val="0"/>
        <w:ind w:leftChars="0" w:firstLine="480" w:firstLineChars="200"/>
        <w:rPr>
          <w:rFonts w:hint="eastAsia"/>
          <w:lang w:val="en-US" w:eastAsia="zh-CN"/>
        </w:rPr>
      </w:pPr>
      <w:r>
        <w:rPr>
          <w:rFonts w:hint="eastAsia"/>
          <w:lang w:val="en-US" w:eastAsia="zh-CN"/>
        </w:rPr>
        <w:t>2)非严寒、寒冷地区，且结合遮阳、通风手段；</w:t>
      </w:r>
    </w:p>
    <w:p w14:paraId="5462E825">
      <w:pPr>
        <w:pStyle w:val="45"/>
        <w:numPr>
          <w:ilvl w:val="0"/>
          <w:numId w:val="0"/>
        </w:numPr>
        <w:bidi w:val="0"/>
        <w:ind w:leftChars="0" w:firstLine="480" w:firstLineChars="200"/>
        <w:rPr>
          <w:rFonts w:hint="eastAsia"/>
          <w:lang w:val="en-US" w:eastAsia="zh-CN"/>
        </w:rPr>
      </w:pPr>
      <w:r>
        <w:rPr>
          <w:rFonts w:hint="eastAsia"/>
          <w:lang w:val="en-US" w:eastAsia="zh-CN"/>
        </w:rPr>
        <w:t>3)独立使用的房屋；</w:t>
      </w:r>
    </w:p>
    <w:p w14:paraId="546E3D11">
      <w:pPr>
        <w:pStyle w:val="45"/>
        <w:numPr>
          <w:ilvl w:val="0"/>
          <w:numId w:val="0"/>
        </w:numPr>
        <w:bidi w:val="0"/>
        <w:ind w:leftChars="0" w:firstLine="480" w:firstLineChars="200"/>
        <w:rPr>
          <w:rFonts w:hint="eastAsia"/>
          <w:lang w:val="en-US" w:eastAsia="zh-CN"/>
        </w:rPr>
      </w:pPr>
      <w:r>
        <w:rPr>
          <w:rFonts w:hint="eastAsia"/>
          <w:lang w:val="en-US" w:eastAsia="zh-CN"/>
        </w:rPr>
        <w:t>4)移动使用的房屋；</w:t>
      </w:r>
    </w:p>
    <w:p w14:paraId="6062DA13">
      <w:pPr>
        <w:pStyle w:val="45"/>
        <w:numPr>
          <w:ilvl w:val="0"/>
          <w:numId w:val="0"/>
        </w:numPr>
        <w:bidi w:val="0"/>
        <w:ind w:leftChars="0" w:firstLine="480" w:firstLineChars="200"/>
        <w:rPr>
          <w:rFonts w:hint="eastAsia"/>
          <w:lang w:val="en-US" w:eastAsia="zh-CN"/>
        </w:rPr>
      </w:pPr>
      <w:r>
        <w:rPr>
          <w:rFonts w:hint="eastAsia"/>
          <w:lang w:val="en-US" w:eastAsia="zh-CN"/>
        </w:rPr>
        <w:t>5)造型需要箱体外露，规模较小的项目；</w:t>
      </w:r>
    </w:p>
    <w:p w14:paraId="17C3E857">
      <w:pPr>
        <w:pStyle w:val="45"/>
        <w:numPr>
          <w:ilvl w:val="0"/>
          <w:numId w:val="0"/>
        </w:numPr>
        <w:bidi w:val="0"/>
        <w:ind w:leftChars="0" w:firstLine="480" w:firstLineChars="200"/>
        <w:rPr>
          <w:rFonts w:hint="eastAsia"/>
          <w:lang w:val="en-US" w:eastAsia="zh-CN"/>
        </w:rPr>
      </w:pPr>
      <w:r>
        <w:rPr>
          <w:rFonts w:hint="eastAsia"/>
          <w:lang w:val="en-US" w:eastAsia="zh-CN"/>
        </w:rPr>
        <w:t>6)季节性使用的房屋</w:t>
      </w:r>
    </w:p>
    <w:p w14:paraId="2FCF7BA0">
      <w:pPr>
        <w:pStyle w:val="45"/>
        <w:numPr>
          <w:ilvl w:val="0"/>
          <w:numId w:val="0"/>
        </w:numPr>
        <w:bidi w:val="0"/>
        <w:ind w:leftChars="0" w:firstLine="480" w:firstLineChars="200"/>
        <w:rPr>
          <w:rFonts w:hint="eastAsia"/>
          <w:lang w:val="en-US" w:eastAsia="zh-CN"/>
        </w:rPr>
      </w:pPr>
      <w:r>
        <w:rPr>
          <w:rFonts w:hint="eastAsia"/>
          <w:lang w:val="en-US" w:eastAsia="zh-CN"/>
        </w:rPr>
        <w:t>轻质复合围护结构的热惰性(D值)很难满足有关标准的要求，热稳定性差、夏热地区尤为突出，故更应加强构造措施，除加强通风、设置遮阳外，还应利用复合墙具有中空空间的特点，在中空层中铺设反射材料(如铝膜)，可降低辐射热的影响。同理，外围护表面涂浅色的反射涂膜，门窗采用热反射玻璃等措施，均可提高实际隔热效果。</w:t>
      </w:r>
    </w:p>
    <w:p w14:paraId="48D9AA4B">
      <w:pPr>
        <w:pStyle w:val="45"/>
        <w:numPr>
          <w:ilvl w:val="0"/>
          <w:numId w:val="0"/>
        </w:numPr>
        <w:bidi w:val="0"/>
        <w:ind w:leftChars="0" w:firstLine="480" w:firstLineChars="200"/>
        <w:rPr>
          <w:rFonts w:hint="eastAsia"/>
          <w:lang w:val="en-US" w:eastAsia="zh-CN"/>
        </w:rPr>
      </w:pPr>
    </w:p>
    <w:p w14:paraId="05B5AF1F">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当外墙为内保温隔热时，宜选用薄型轻质高效保温材料。</w:t>
      </w:r>
    </w:p>
    <w:p w14:paraId="1D0860F3">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以隔热为主的钢结构模块化建筑房屋，可采用带有可流动空气层的幕墙做法，以增强外墙的隔热性能。</w:t>
      </w:r>
    </w:p>
    <w:p w14:paraId="557398A3">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当外墙保温隔热构造允许时，宜设置空气隔层、铝筒反射层、防水层；当保温隔热材料有受潮风险时，宜采用防水透气膜或覆铝的防水透气膜外包，使保温隔热材料保持干燥。</w:t>
      </w:r>
    </w:p>
    <w:p w14:paraId="5BB6C26F">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墙体中的空气隔层应密封良好，可作为空气屏障来增强外墙的保温隔热性能。</w:t>
      </w:r>
    </w:p>
    <w:p w14:paraId="7C586EAE">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采用墙体空腔中填充纤维类保温材料时，热阻计算应考虑结构构件、连接件等热桥构件的影响，保温材料的宽度应等于或略大于立柱间距，厚度不宜小于立柱截面高度。</w:t>
      </w:r>
    </w:p>
    <w:p w14:paraId="54C02478">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模块外墙的轻钢龙骨宜采用小截面方钢管桁架结构。采用冷弯薄壁C型钢龙骨时，应双排交错布置形成断桥。当钢构件外侧保温材料厚度受限时，应进行露点验算。</w:t>
      </w:r>
    </w:p>
    <w:p w14:paraId="3C61D3A7">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可通过设置空腔、安装多层材料、使用隔声性能好的材料等方式提高建筑墙体的隔声性能。外墙厚度不宜小于150mm。</w:t>
      </w:r>
    </w:p>
    <w:p w14:paraId="6EDCA1D3">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内隔墙应符合下列功能要求:</w:t>
      </w:r>
    </w:p>
    <w:p w14:paraId="217DE2E9">
      <w:pPr>
        <w:numPr>
          <w:ilvl w:val="0"/>
          <w:numId w:val="12"/>
        </w:numPr>
        <w:bidi w:val="0"/>
        <w:rPr>
          <w:rFonts w:hint="eastAsia"/>
          <w:lang w:val="en-US" w:eastAsia="zh-CN"/>
        </w:rPr>
      </w:pPr>
      <w:r>
        <w:rPr>
          <w:rFonts w:hint="eastAsia"/>
          <w:lang w:val="en-US" w:eastAsia="zh-CN"/>
        </w:rPr>
        <w:t>隔墙应有良好的隔声、防火、气密和保温性能，且应具备足够强度和刚度抵抗室内冲击荷载，确保装修、设备、管线的正常工作；</w:t>
      </w:r>
    </w:p>
    <w:p w14:paraId="17FA2370">
      <w:pPr>
        <w:numPr>
          <w:ilvl w:val="0"/>
          <w:numId w:val="12"/>
        </w:numPr>
        <w:bidi w:val="0"/>
        <w:rPr>
          <w:rFonts w:hint="eastAsia"/>
          <w:lang w:val="en-US" w:eastAsia="zh-CN"/>
        </w:rPr>
      </w:pPr>
      <w:r>
        <w:rPr>
          <w:rFonts w:hint="eastAsia"/>
          <w:lang w:val="en-US" w:eastAsia="zh-CN"/>
        </w:rPr>
        <w:t>隔墙应满足吊挂要求，厨房、卫生间的隔墙应满足防水要求或者应有防水措施；</w:t>
      </w:r>
    </w:p>
    <w:p w14:paraId="2E3C5259">
      <w:pPr>
        <w:numPr>
          <w:ilvl w:val="0"/>
          <w:numId w:val="12"/>
        </w:numPr>
        <w:bidi w:val="0"/>
        <w:rPr>
          <w:rFonts w:hint="eastAsia"/>
          <w:lang w:val="en-US" w:eastAsia="zh-CN"/>
        </w:rPr>
      </w:pPr>
      <w:r>
        <w:rPr>
          <w:rFonts w:hint="eastAsia"/>
          <w:lang w:val="en-US" w:eastAsia="zh-CN"/>
        </w:rPr>
        <w:t>隔墙与隔墙、外墙、地板、顶棚、模块单元钢骨架应有可靠的、可以保证隔墙与其他结构不分离、脱落的连接；</w:t>
      </w:r>
    </w:p>
    <w:p w14:paraId="6BCA5092">
      <w:pPr>
        <w:numPr>
          <w:ilvl w:val="0"/>
          <w:numId w:val="12"/>
        </w:numPr>
        <w:bidi w:val="0"/>
        <w:rPr>
          <w:rFonts w:hint="eastAsia"/>
          <w:lang w:val="en-US" w:eastAsia="zh-CN"/>
        </w:rPr>
      </w:pPr>
      <w:r>
        <w:rPr>
          <w:rFonts w:hint="eastAsia"/>
          <w:lang w:val="en-US" w:eastAsia="zh-CN"/>
        </w:rPr>
        <w:t>当内隔墙用作分户墙时宜采用双层隔墙，隔墙之间应留10mm 隔空间隙，且应布置保温和隔汽层；</w:t>
      </w:r>
    </w:p>
    <w:p w14:paraId="6B79B60E">
      <w:pPr>
        <w:numPr>
          <w:ilvl w:val="0"/>
          <w:numId w:val="12"/>
        </w:numPr>
        <w:bidi w:val="0"/>
        <w:rPr>
          <w:rFonts w:hint="eastAsia"/>
          <w:lang w:val="en-US" w:eastAsia="zh-CN"/>
        </w:rPr>
      </w:pPr>
      <w:r>
        <w:rPr>
          <w:rFonts w:hint="eastAsia"/>
          <w:lang w:val="en-US" w:eastAsia="zh-CN"/>
        </w:rPr>
        <w:t>隔墙宜采用轻钢龙骨非金属面板隔墙或夹芯板隔墙，并按国家现行有关隔声、保温和防火标准进行设计；</w:t>
      </w:r>
    </w:p>
    <w:p w14:paraId="691D3C09">
      <w:pPr>
        <w:numPr>
          <w:ilvl w:val="0"/>
          <w:numId w:val="12"/>
        </w:numPr>
        <w:bidi w:val="0"/>
        <w:rPr>
          <w:rFonts w:hint="eastAsia"/>
          <w:lang w:val="en-US" w:eastAsia="zh-CN"/>
        </w:rPr>
      </w:pPr>
      <w:r>
        <w:rPr>
          <w:rFonts w:hint="eastAsia"/>
          <w:lang w:val="en-US" w:eastAsia="zh-CN"/>
        </w:rPr>
        <w:t>内隔墙与钢结构模块单元的骨架之间应设置变形空间，用轻质防火材料填充，内隔墙上需要设置电器开关或插座时，必须做好隔声处理；内隔墙两侧均需要设置电器开关或插座时，两者应错位设置。</w:t>
      </w:r>
    </w:p>
    <w:p w14:paraId="6BBFB254">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根据建筑的使用环境和建筑效果需要，屋面可采用平屋面或坡屋面的形式。采用坡屋面时，应设置和桁架及跨越侧墙之间的檩条支撑屋面板，并应符合下列规定:</w:t>
      </w:r>
    </w:p>
    <w:p w14:paraId="41206932">
      <w:pPr>
        <w:numPr>
          <w:ilvl w:val="0"/>
          <w:numId w:val="13"/>
        </w:numPr>
        <w:bidi w:val="0"/>
        <w:rPr>
          <w:rFonts w:hint="eastAsia"/>
          <w:lang w:val="en-US" w:eastAsia="zh-CN"/>
        </w:rPr>
      </w:pPr>
      <w:r>
        <w:rPr>
          <w:rFonts w:hint="eastAsia" w:ascii="宋体" w:hAnsi="宋体" w:cs="宋体"/>
          <w:spacing w:val="7"/>
          <w:sz w:val="24"/>
          <w:szCs w:val="24"/>
          <w:lang w:val="en-US" w:eastAsia="zh-CN"/>
        </w:rPr>
        <w:t>桁架应</w:t>
      </w:r>
      <w:r>
        <w:rPr>
          <w:rFonts w:hint="eastAsia"/>
          <w:lang w:val="en-US" w:eastAsia="zh-CN"/>
        </w:rPr>
        <w:t>由采用螺栓连接的C型钢组成时，布置间隔不宜大于600mm；</w:t>
      </w:r>
    </w:p>
    <w:p w14:paraId="34DF53B4">
      <w:pPr>
        <w:numPr>
          <w:ilvl w:val="0"/>
          <w:numId w:val="13"/>
        </w:numPr>
        <w:bidi w:val="0"/>
        <w:rPr>
          <w:rFonts w:hint="eastAsia"/>
          <w:lang w:val="en-US" w:eastAsia="zh-CN"/>
        </w:rPr>
      </w:pPr>
      <w:r>
        <w:rPr>
          <w:rFonts w:hint="eastAsia" w:ascii="宋体" w:hAnsi="宋体" w:cs="宋体"/>
          <w:spacing w:val="7"/>
          <w:sz w:val="24"/>
          <w:szCs w:val="24"/>
          <w:lang w:val="en-US" w:eastAsia="zh-CN"/>
        </w:rPr>
        <w:t>檩条</w:t>
      </w:r>
      <w:r>
        <w:rPr>
          <w:rFonts w:hint="eastAsia"/>
          <w:lang w:val="en-US" w:eastAsia="zh-CN"/>
        </w:rPr>
        <w:t>通常采用独立的C型钢或Z型钢，</w:t>
      </w:r>
      <w:r>
        <w:rPr>
          <w:rFonts w:hint="eastAsia" w:ascii="宋体" w:hAnsi="宋体" w:cs="宋体"/>
          <w:spacing w:val="7"/>
          <w:sz w:val="24"/>
          <w:szCs w:val="24"/>
          <w:lang w:val="en-US" w:eastAsia="zh-CN"/>
        </w:rPr>
        <w:t>檩条</w:t>
      </w:r>
      <w:r>
        <w:rPr>
          <w:rFonts w:hint="eastAsia"/>
          <w:lang w:val="en-US" w:eastAsia="zh-CN"/>
        </w:rPr>
        <w:t>上方布置衬板或盖板用来支撑屋面其他部件。</w:t>
      </w:r>
    </w:p>
    <w:p w14:paraId="3996A8F6">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屋面应设置防水措施，应根据建筑的重要程度及使用功能，结合工程特点及地区自然条件等按不同等级进行设防。</w:t>
      </w:r>
    </w:p>
    <w:p w14:paraId="66E47059">
      <w:pPr>
        <w:numPr>
          <w:ilvl w:val="0"/>
          <w:numId w:val="0"/>
        </w:numPr>
        <w:tabs>
          <w:tab w:val="left" w:pos="0"/>
        </w:tabs>
        <w:bidi w:val="0"/>
        <w:ind w:leftChars="0" w:firstLine="482" w:firstLineChars="200"/>
        <w:rPr>
          <w:rFonts w:hint="eastAsia" w:ascii="宋体" w:hAnsi="宋体" w:cs="宋体"/>
          <w:spacing w:val="7"/>
          <w:sz w:val="24"/>
          <w:szCs w:val="24"/>
          <w:lang w:val="en-US" w:eastAsia="zh-CN"/>
        </w:rPr>
      </w:pPr>
      <w:r>
        <w:rPr>
          <w:rFonts w:hint="eastAsia"/>
          <w:b/>
          <w:bCs/>
          <w:szCs w:val="20"/>
          <w:lang w:val="en-US" w:eastAsia="zh-CN"/>
        </w:rPr>
        <w:t>【条文说明】</w:t>
      </w:r>
      <w:r>
        <w:rPr>
          <w:rStyle w:val="46"/>
          <w:rFonts w:hint="eastAsia"/>
          <w:lang w:val="en-US" w:eastAsia="zh-CN"/>
        </w:rPr>
        <w:t>本条规定了屋面工程防水设防标准。屋面工程应按国家现行标准《屋面工程技术规范》GB50345、《坡屋面工程技术规范》GB 50693、《种植屋面工程技术规程》JGJ155、《压型金属板工程应用技术规范》GB50896、《建筑与市政工程防水通用规范》GB55030中相应条款合理确定屋面工程防水设防标准</w:t>
      </w:r>
      <w:r>
        <w:rPr>
          <w:rFonts w:hint="eastAsia" w:ascii="宋体" w:hAnsi="宋体" w:cs="宋体"/>
          <w:spacing w:val="7"/>
          <w:sz w:val="24"/>
          <w:szCs w:val="24"/>
          <w:lang w:val="en-US" w:eastAsia="zh-CN"/>
        </w:rPr>
        <w:t>。</w:t>
      </w:r>
    </w:p>
    <w:p w14:paraId="288FCA54">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门框、窗框与墙体结构连接应可靠、牢固、耐久性好，并符合高效的工厂标准化施工的特点。门窗气密性应满足现行国家标准要求。</w:t>
      </w:r>
    </w:p>
    <w:p w14:paraId="10353765">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门窗安装时应避免跨越相邻的模块。如必须设置跨越模块的门窗，该门窗应在现场安装。安装应可靠、方便，且不得破坏已经安装完成的设备和管线。</w:t>
      </w:r>
    </w:p>
    <w:p w14:paraId="7A056E09">
      <w:pPr>
        <w:pStyle w:val="30"/>
        <w:rPr>
          <w:rFonts w:hint="eastAsia"/>
          <w:lang w:val="en-US" w:eastAsia="zh-CN"/>
        </w:rPr>
      </w:pPr>
    </w:p>
    <w:p w14:paraId="75FEBD6F">
      <w:pPr>
        <w:numPr>
          <w:ilvl w:val="0"/>
          <w:numId w:val="9"/>
        </w:numPr>
        <w:bidi w:val="0"/>
        <w:rPr>
          <w:rFonts w:hint="eastAsia" w:ascii="宋体" w:hAnsi="宋体" w:cs="宋体"/>
          <w:spacing w:val="7"/>
          <w:sz w:val="24"/>
          <w:szCs w:val="24"/>
          <w:lang w:val="en-US" w:eastAsia="zh-CN"/>
        </w:rPr>
      </w:pPr>
      <w:r>
        <w:rPr>
          <w:rFonts w:hint="eastAsia" w:ascii="宋体" w:hAnsi="宋体" w:cs="宋体"/>
          <w:spacing w:val="7"/>
          <w:sz w:val="24"/>
          <w:szCs w:val="24"/>
          <w:lang w:val="en-US" w:eastAsia="zh-CN"/>
        </w:rPr>
        <w:t>外墙应协调门(窗)宽度与外墙框架的结构空间关系­并应设置洞口加强型钢，设计合理的泛水构造。</w:t>
      </w:r>
    </w:p>
    <w:p w14:paraId="4F3B7A9A">
      <w:pPr>
        <w:pStyle w:val="3"/>
        <w:bidi w:val="0"/>
        <w:rPr>
          <w:rFonts w:hint="eastAsia"/>
          <w:lang w:val="en-US" w:eastAsia="zh-CN"/>
        </w:rPr>
      </w:pPr>
      <w:bookmarkStart w:id="24" w:name="_Toc18584"/>
      <w:r>
        <w:rPr>
          <w:rFonts w:hint="eastAsia"/>
          <w:lang w:val="en-US" w:eastAsia="zh-CN"/>
        </w:rPr>
        <w:t>4.4室内装饰装修</w:t>
      </w:r>
      <w:bookmarkEnd w:id="24"/>
    </w:p>
    <w:p w14:paraId="03A01DAD">
      <w:pPr>
        <w:numPr>
          <w:ilvl w:val="0"/>
          <w:numId w:val="14"/>
        </w:numPr>
        <w:bidi w:val="0"/>
        <w:rPr>
          <w:rFonts w:ascii="宋体" w:hAnsi="宋体" w:eastAsia="宋体" w:cs="宋体"/>
          <w:sz w:val="24"/>
          <w:szCs w:val="24"/>
          <w:lang w:eastAsia="zh-CN"/>
        </w:rPr>
      </w:pPr>
      <w:r>
        <w:rPr>
          <w:rFonts w:hint="eastAsia" w:ascii="宋体" w:hAnsi="宋体" w:cs="宋体"/>
          <w:spacing w:val="10"/>
          <w:sz w:val="24"/>
          <w:szCs w:val="24"/>
          <w:lang w:eastAsia="zh-CN"/>
        </w:rPr>
        <w:t>模块化钢结构房屋</w:t>
      </w:r>
      <w:r>
        <w:rPr>
          <w:rFonts w:ascii="宋体" w:hAnsi="宋体" w:eastAsia="宋体" w:cs="宋体"/>
          <w:spacing w:val="10"/>
          <w:sz w:val="24"/>
          <w:szCs w:val="24"/>
          <w:lang w:eastAsia="zh-CN"/>
        </w:rPr>
        <w:t>内装系统设计与部品选型应满足绿色环保的要求。室内污染物限制应</w:t>
      </w:r>
      <w:r>
        <w:rPr>
          <w:rFonts w:ascii="宋体" w:hAnsi="宋体" w:eastAsia="宋体" w:cs="宋体"/>
          <w:spacing w:val="8"/>
          <w:sz w:val="24"/>
          <w:szCs w:val="24"/>
          <w:lang w:eastAsia="zh-CN"/>
        </w:rPr>
        <w:t>符合现行国家标准《民用建筑工程室内环境污染控制标准》</w:t>
      </w:r>
      <w:r>
        <w:rPr>
          <w:rFonts w:ascii="Times New Roman" w:hAnsi="Times New Roman" w:eastAsia="Times New Roman" w:cs="Times New Roman"/>
          <w:sz w:val="24"/>
          <w:szCs w:val="24"/>
          <w:lang w:eastAsia="zh-CN"/>
        </w:rPr>
        <w:t>GB</w:t>
      </w:r>
      <w:r>
        <w:rPr>
          <w:rFonts w:ascii="Times New Roman" w:hAnsi="Times New Roman" w:eastAsia="Times New Roman" w:cs="Times New Roman"/>
          <w:spacing w:val="8"/>
          <w:sz w:val="24"/>
          <w:szCs w:val="24"/>
          <w:lang w:eastAsia="zh-CN"/>
        </w:rPr>
        <w:t>50325</w:t>
      </w:r>
      <w:r>
        <w:rPr>
          <w:rFonts w:hint="eastAsia" w:eastAsia="Times New Roman" w:cs="Times New Roman"/>
          <w:spacing w:val="8"/>
          <w:sz w:val="24"/>
          <w:szCs w:val="24"/>
          <w:lang w:eastAsia="zh-CN"/>
        </w:rPr>
        <w:t>、《建筑环境通用规范》GB55016</w:t>
      </w:r>
      <w:r>
        <w:rPr>
          <w:rFonts w:ascii="宋体" w:hAnsi="宋体" w:eastAsia="宋体" w:cs="宋体"/>
          <w:spacing w:val="8"/>
          <w:sz w:val="24"/>
          <w:szCs w:val="24"/>
          <w:lang w:eastAsia="zh-CN"/>
        </w:rPr>
        <w:t>的有关规定。</w:t>
      </w:r>
    </w:p>
    <w:p w14:paraId="38D8EEF2">
      <w:pPr>
        <w:numPr>
          <w:ilvl w:val="0"/>
          <w:numId w:val="14"/>
        </w:numPr>
        <w:spacing w:before="69" w:line="280" w:lineRule="auto"/>
        <w:ind w:left="0" w:leftChars="0" w:right="68" w:firstLine="0" w:firstLineChars="0"/>
        <w:jc w:val="left"/>
        <w:rPr>
          <w:rFonts w:ascii="宋体" w:hAnsi="宋体" w:eastAsia="宋体" w:cs="宋体"/>
          <w:sz w:val="24"/>
          <w:szCs w:val="24"/>
          <w:lang w:eastAsia="zh-CN"/>
        </w:rPr>
      </w:pPr>
      <w:r>
        <w:rPr>
          <w:rFonts w:ascii="宋体" w:hAnsi="宋体" w:eastAsia="宋体" w:cs="宋体"/>
          <w:spacing w:val="8"/>
          <w:sz w:val="24"/>
          <w:szCs w:val="24"/>
          <w:lang w:eastAsia="zh-CN"/>
        </w:rPr>
        <w:t>内装系统宜采用装配式装修技术</w:t>
      </w:r>
      <w:r>
        <w:rPr>
          <w:rFonts w:ascii="宋体" w:hAnsi="宋体" w:eastAsia="宋体" w:cs="宋体"/>
          <w:spacing w:val="7"/>
          <w:sz w:val="24"/>
          <w:szCs w:val="24"/>
          <w:lang w:eastAsia="zh-CN"/>
        </w:rPr>
        <w:t>，并应符合下列规定：</w:t>
      </w:r>
    </w:p>
    <w:p w14:paraId="08B456BB">
      <w:pPr>
        <w:numPr>
          <w:ilvl w:val="0"/>
          <w:numId w:val="15"/>
        </w:numPr>
        <w:bidi w:val="0"/>
        <w:ind w:left="0" w:leftChars="0" w:firstLine="420" w:firstLineChars="0"/>
        <w:rPr>
          <w:lang w:eastAsia="zh-CN"/>
        </w:rPr>
      </w:pPr>
      <w:r>
        <w:rPr>
          <w:lang w:eastAsia="zh-CN"/>
        </w:rPr>
        <w:t>内装系统的设计应遵循标准化设计和模数协调的原则，并应满足室内功能和性能要求；</w:t>
      </w:r>
    </w:p>
    <w:p w14:paraId="5B16D677">
      <w:pPr>
        <w:numPr>
          <w:ilvl w:val="0"/>
          <w:numId w:val="15"/>
        </w:numPr>
        <w:bidi w:val="0"/>
        <w:rPr>
          <w:lang w:eastAsia="zh-CN"/>
        </w:rPr>
      </w:pPr>
      <w:r>
        <w:rPr>
          <w:lang w:eastAsia="zh-CN"/>
        </w:rPr>
        <w:t>模块内部装修，除内部接口位置外，宜在工厂内完成；</w:t>
      </w:r>
    </w:p>
    <w:p w14:paraId="53F38107">
      <w:pPr>
        <w:numPr>
          <w:ilvl w:val="0"/>
          <w:numId w:val="15"/>
        </w:numPr>
        <w:bidi w:val="0"/>
        <w:ind w:left="0" w:leftChars="0" w:firstLine="420" w:firstLineChars="0"/>
        <w:rPr>
          <w:lang w:eastAsia="zh-CN"/>
        </w:rPr>
      </w:pPr>
      <w:r>
        <w:rPr>
          <w:lang w:eastAsia="zh-CN"/>
        </w:rPr>
        <w:t>内装修材料及部品应根据不同的使用年限，做到安全可靠，连接牢固，维护便利；</w:t>
      </w:r>
    </w:p>
    <w:p w14:paraId="6B030130">
      <w:pPr>
        <w:numPr>
          <w:ilvl w:val="0"/>
          <w:numId w:val="15"/>
        </w:numPr>
        <w:bidi w:val="0"/>
        <w:ind w:left="0" w:leftChars="0" w:firstLine="420" w:firstLineChars="0"/>
        <w:rPr>
          <w:lang w:eastAsia="zh-CN"/>
        </w:rPr>
      </w:pPr>
      <w:r>
        <w:rPr>
          <w:lang w:eastAsia="zh-CN"/>
        </w:rPr>
        <w:t>内装部品应根据规格和安装顺序对部品进行统一编号。</w:t>
      </w:r>
    </w:p>
    <w:p w14:paraId="2184F239">
      <w:pPr>
        <w:numPr>
          <w:ilvl w:val="0"/>
          <w:numId w:val="14"/>
        </w:numPr>
        <w:bidi w:val="0"/>
        <w:rPr>
          <w:lang w:eastAsia="zh-CN"/>
        </w:rPr>
      </w:pPr>
      <w:r>
        <w:rPr>
          <w:lang w:eastAsia="zh-CN"/>
        </w:rPr>
        <w:t>内装部品宜结合设备管线进行集成设计，内装部品的装配宜满足干式工法的要求。</w:t>
      </w:r>
    </w:p>
    <w:p w14:paraId="014DEFB1">
      <w:pPr>
        <w:numPr>
          <w:ilvl w:val="0"/>
          <w:numId w:val="14"/>
        </w:numPr>
        <w:bidi w:val="0"/>
        <w:rPr>
          <w:lang w:eastAsia="zh-CN"/>
        </w:rPr>
      </w:pPr>
      <w:r>
        <w:rPr>
          <w:lang w:eastAsia="zh-CN"/>
        </w:rPr>
        <w:t>内装系统的相关部品部件的尺寸、公差应与接口相协调，内装部品应具有通用性和互换性。</w:t>
      </w:r>
    </w:p>
    <w:p w14:paraId="344460FB">
      <w:pPr>
        <w:numPr>
          <w:ilvl w:val="0"/>
          <w:numId w:val="14"/>
        </w:numPr>
        <w:bidi w:val="0"/>
        <w:rPr>
          <w:rFonts w:ascii="宋体" w:hAnsi="宋体" w:eastAsia="宋体" w:cs="宋体"/>
          <w:sz w:val="24"/>
          <w:szCs w:val="24"/>
          <w:lang w:eastAsia="zh-CN"/>
        </w:rPr>
      </w:pPr>
      <w:r>
        <w:rPr>
          <w:rFonts w:ascii="宋体" w:hAnsi="宋体" w:eastAsia="宋体" w:cs="宋体"/>
          <w:spacing w:val="9"/>
          <w:sz w:val="24"/>
          <w:szCs w:val="24"/>
          <w:lang w:eastAsia="zh-CN"/>
        </w:rPr>
        <w:t>楼地面系统宜选用集成化部品</w:t>
      </w:r>
      <w:r>
        <w:rPr>
          <w:rFonts w:ascii="宋体" w:hAnsi="宋体" w:eastAsia="宋体" w:cs="宋体"/>
          <w:spacing w:val="8"/>
          <w:sz w:val="24"/>
          <w:szCs w:val="24"/>
          <w:lang w:eastAsia="zh-CN"/>
        </w:rPr>
        <w:t>，宜采用干式施工工法的饰面材料，并应符合下列规定：</w:t>
      </w:r>
    </w:p>
    <w:p w14:paraId="33719FC1">
      <w:pPr>
        <w:numPr>
          <w:ilvl w:val="0"/>
          <w:numId w:val="16"/>
        </w:numPr>
        <w:bidi w:val="0"/>
        <w:ind w:left="0" w:leftChars="0" w:firstLine="420" w:firstLineChars="0"/>
        <w:rPr>
          <w:lang w:eastAsia="zh-CN"/>
        </w:rPr>
      </w:pPr>
      <w:r>
        <w:rPr>
          <w:lang w:eastAsia="zh-CN"/>
        </w:rPr>
        <w:t>瓷砖地面宜采用薄贴做法；</w:t>
      </w:r>
    </w:p>
    <w:p w14:paraId="09FABBDB">
      <w:pPr>
        <w:numPr>
          <w:ilvl w:val="0"/>
          <w:numId w:val="16"/>
        </w:numPr>
        <w:bidi w:val="0"/>
        <w:ind w:left="0" w:leftChars="0" w:firstLine="420" w:firstLineChars="0"/>
        <w:rPr>
          <w:lang w:eastAsia="zh-CN"/>
        </w:rPr>
      </w:pPr>
      <w:r>
        <w:rPr>
          <w:lang w:eastAsia="zh-CN"/>
        </w:rPr>
        <w:t>地胶地面宜采用干式卡扣连接做法；</w:t>
      </w:r>
    </w:p>
    <w:p w14:paraId="7D29061B">
      <w:pPr>
        <w:numPr>
          <w:ilvl w:val="0"/>
          <w:numId w:val="16"/>
        </w:numPr>
        <w:bidi w:val="0"/>
        <w:ind w:left="0" w:leftChars="0" w:firstLine="420" w:firstLineChars="0"/>
        <w:rPr>
          <w:lang w:eastAsia="zh-CN"/>
        </w:rPr>
      </w:pPr>
      <w:r>
        <w:rPr>
          <w:lang w:eastAsia="zh-CN"/>
        </w:rPr>
        <w:t>复合木地板地面宜采用实铺式做法；</w:t>
      </w:r>
    </w:p>
    <w:p w14:paraId="725E01E5">
      <w:pPr>
        <w:numPr>
          <w:ilvl w:val="0"/>
          <w:numId w:val="16"/>
        </w:numPr>
        <w:bidi w:val="0"/>
        <w:ind w:left="0" w:leftChars="0" w:firstLine="420" w:firstLineChars="0"/>
        <w:rPr>
          <w:lang w:eastAsia="zh-CN"/>
        </w:rPr>
      </w:pPr>
      <w:r>
        <w:rPr>
          <w:lang w:eastAsia="zh-CN"/>
        </w:rPr>
        <w:t>地毯地面宜采用免胶做法；</w:t>
      </w:r>
    </w:p>
    <w:p w14:paraId="08245495">
      <w:pPr>
        <w:numPr>
          <w:ilvl w:val="0"/>
          <w:numId w:val="16"/>
        </w:numPr>
        <w:bidi w:val="0"/>
        <w:ind w:left="0" w:leftChars="0" w:firstLine="420" w:firstLineChars="0"/>
        <w:rPr>
          <w:lang w:eastAsia="zh-CN"/>
        </w:rPr>
      </w:pPr>
      <w:r>
        <w:rPr>
          <w:lang w:eastAsia="zh-CN"/>
        </w:rPr>
        <w:t>架空地板地面的架空高度应根据下敷管线尺寸、路径、设置坡度等确定，并应设置检修口；</w:t>
      </w:r>
    </w:p>
    <w:p w14:paraId="7BF4F72C">
      <w:pPr>
        <w:numPr>
          <w:ilvl w:val="0"/>
          <w:numId w:val="16"/>
        </w:numPr>
        <w:bidi w:val="0"/>
        <w:ind w:left="0" w:leftChars="0" w:firstLine="420" w:firstLineChars="0"/>
        <w:rPr>
          <w:lang w:eastAsia="zh-CN"/>
        </w:rPr>
      </w:pPr>
      <w:r>
        <w:rPr>
          <w:lang w:eastAsia="zh-CN"/>
        </w:rPr>
        <w:t>潮湿区域楼地面系统宜采用防滑，防潮类部品，并宜在模块内完成防水处理。</w:t>
      </w:r>
    </w:p>
    <w:p w14:paraId="596981B5">
      <w:pPr>
        <w:numPr>
          <w:ilvl w:val="0"/>
          <w:numId w:val="14"/>
        </w:numPr>
        <w:spacing w:before="81" w:line="220" w:lineRule="auto"/>
        <w:ind w:left="0" w:leftChars="0" w:firstLine="0" w:firstLineChars="0"/>
        <w:jc w:val="left"/>
        <w:rPr>
          <w:rFonts w:ascii="宋体" w:hAnsi="宋体" w:eastAsia="宋体" w:cs="宋体"/>
          <w:sz w:val="24"/>
          <w:szCs w:val="24"/>
          <w:lang w:eastAsia="zh-CN"/>
        </w:rPr>
      </w:pPr>
      <w:r>
        <w:rPr>
          <w:rFonts w:ascii="宋体" w:hAnsi="宋体" w:eastAsia="宋体" w:cs="宋体"/>
          <w:spacing w:val="9"/>
          <w:sz w:val="24"/>
          <w:szCs w:val="24"/>
          <w:lang w:eastAsia="zh-CN"/>
        </w:rPr>
        <w:t>模块单元内部轻质隔墙宜采用轻钢龙骨隔墙或其他装</w:t>
      </w:r>
      <w:r>
        <w:rPr>
          <w:rFonts w:ascii="宋体" w:hAnsi="宋体" w:eastAsia="宋体" w:cs="宋体"/>
          <w:spacing w:val="8"/>
          <w:sz w:val="24"/>
          <w:szCs w:val="24"/>
          <w:lang w:eastAsia="zh-CN"/>
        </w:rPr>
        <w:t>配式隔墙，并应符合下列规定：</w:t>
      </w:r>
    </w:p>
    <w:p w14:paraId="787C7E38">
      <w:pPr>
        <w:numPr>
          <w:ilvl w:val="0"/>
          <w:numId w:val="17"/>
        </w:numPr>
        <w:bidi w:val="0"/>
        <w:ind w:left="0" w:leftChars="0" w:firstLine="420" w:firstLineChars="0"/>
        <w:rPr>
          <w:lang w:eastAsia="zh-CN"/>
        </w:rPr>
      </w:pPr>
      <w:r>
        <w:rPr>
          <w:lang w:eastAsia="zh-CN"/>
        </w:rPr>
        <w:t>隔墙宜结合室内管线的敷设进行构造设计，避免管线安装和维修更换对墙体造成破坏；</w:t>
      </w:r>
    </w:p>
    <w:p w14:paraId="11F122D1">
      <w:pPr>
        <w:numPr>
          <w:ilvl w:val="0"/>
          <w:numId w:val="17"/>
        </w:numPr>
        <w:bidi w:val="0"/>
        <w:ind w:left="0" w:leftChars="0" w:firstLine="420" w:firstLineChars="0"/>
        <w:rPr>
          <w:lang w:eastAsia="zh-CN"/>
        </w:rPr>
      </w:pPr>
      <w:r>
        <w:rPr>
          <w:lang w:eastAsia="zh-CN"/>
        </w:rPr>
        <w:t>室内管线宜结合隔墙构造进行相应的隐蔽设计，避免明管明线；</w:t>
      </w:r>
    </w:p>
    <w:p w14:paraId="4AE16BC4">
      <w:pPr>
        <w:numPr>
          <w:ilvl w:val="0"/>
          <w:numId w:val="17"/>
        </w:numPr>
        <w:bidi w:val="0"/>
        <w:ind w:left="0" w:leftChars="0" w:firstLine="420" w:firstLineChars="0"/>
        <w:rPr>
          <w:lang w:eastAsia="zh-CN"/>
        </w:rPr>
      </w:pPr>
      <w:r>
        <w:rPr>
          <w:lang w:eastAsia="zh-CN"/>
        </w:rPr>
        <w:t>隔墙饰面应高于吊顶完成面，确保隔墙基层隐蔽；</w:t>
      </w:r>
    </w:p>
    <w:p w14:paraId="747CDD75">
      <w:pPr>
        <w:numPr>
          <w:ilvl w:val="0"/>
          <w:numId w:val="17"/>
        </w:numPr>
        <w:bidi w:val="0"/>
        <w:ind w:left="0" w:leftChars="0" w:firstLine="420" w:firstLineChars="0"/>
        <w:rPr>
          <w:lang w:eastAsia="zh-CN"/>
        </w:rPr>
      </w:pPr>
      <w:r>
        <w:rPr>
          <w:lang w:eastAsia="zh-CN"/>
        </w:rPr>
        <w:t>隔墙龙骨应直接固定在混凝土楼板及模块框架梁上，不宜采用混合加固的方式。</w:t>
      </w:r>
    </w:p>
    <w:p w14:paraId="409A9F07">
      <w:pPr>
        <w:numPr>
          <w:ilvl w:val="0"/>
          <w:numId w:val="0"/>
        </w:numPr>
        <w:tabs>
          <w:tab w:val="left" w:pos="0"/>
        </w:tabs>
        <w:bidi w:val="0"/>
        <w:ind w:leftChars="0" w:firstLine="482" w:firstLineChars="200"/>
        <w:rPr>
          <w:rFonts w:hint="default"/>
          <w:b/>
          <w:bCs/>
          <w:szCs w:val="20"/>
          <w:lang w:val="en-US" w:eastAsia="zh-CN"/>
        </w:rPr>
      </w:pPr>
      <w:r>
        <w:rPr>
          <w:rFonts w:hint="eastAsia"/>
          <w:b/>
          <w:bCs/>
          <w:szCs w:val="20"/>
          <w:lang w:val="en-US" w:eastAsia="zh-CN"/>
        </w:rPr>
        <w:t>【条文说明】</w:t>
      </w:r>
      <w:r>
        <w:rPr>
          <w:rStyle w:val="46"/>
          <w:rFonts w:hint="eastAsia"/>
          <w:lang w:val="en-US" w:eastAsia="zh-CN"/>
        </w:rPr>
        <w:t>龙骨应承载在钢结构主要构件上,且天地龙骨与主体结构密切固定,混合加固指使用轻钢龙骨以外的龙骨系统与轻钢龙骨结构进行搭接加固，使用混合加固会降低龙骨平整度，垂直度和承载力，但当空间超过龙骨最大长度时，可以与钢结构焊接混合加固来满足空间高度的需求。</w:t>
      </w:r>
    </w:p>
    <w:p w14:paraId="3D6F51FB">
      <w:pPr>
        <w:numPr>
          <w:ilvl w:val="0"/>
          <w:numId w:val="14"/>
        </w:numPr>
        <w:bidi w:val="0"/>
        <w:rPr>
          <w:rFonts w:ascii="宋体" w:hAnsi="宋体" w:eastAsia="宋体" w:cs="宋体"/>
          <w:sz w:val="24"/>
          <w:szCs w:val="24"/>
          <w:lang w:eastAsia="zh-CN"/>
        </w:rPr>
      </w:pPr>
      <w:r>
        <w:rPr>
          <w:rFonts w:ascii="宋体" w:hAnsi="宋体" w:eastAsia="宋体" w:cs="宋体"/>
          <w:spacing w:val="8"/>
          <w:sz w:val="24"/>
          <w:szCs w:val="24"/>
          <w:lang w:eastAsia="zh-CN"/>
        </w:rPr>
        <w:t>模块单元内部的吊顶系统应满足室内净高的需求，</w:t>
      </w:r>
      <w:r>
        <w:rPr>
          <w:rFonts w:ascii="宋体" w:hAnsi="宋体" w:eastAsia="宋体" w:cs="宋体"/>
          <w:spacing w:val="7"/>
          <w:sz w:val="24"/>
          <w:szCs w:val="24"/>
          <w:lang w:eastAsia="zh-CN"/>
        </w:rPr>
        <w:t>并应符合下列规定：</w:t>
      </w:r>
    </w:p>
    <w:p w14:paraId="4B02FEFF">
      <w:pPr>
        <w:numPr>
          <w:ilvl w:val="0"/>
          <w:numId w:val="18"/>
        </w:numPr>
        <w:bidi w:val="0"/>
        <w:ind w:left="0" w:leftChars="0" w:firstLine="420" w:firstLineChars="0"/>
        <w:rPr>
          <w:lang w:eastAsia="zh-CN"/>
        </w:rPr>
      </w:pPr>
      <w:r>
        <w:rPr>
          <w:lang w:eastAsia="zh-CN"/>
        </w:rPr>
        <w:t>天花饰面宜采用具备装配特点的扣板天花系统或铝板天花系统；</w:t>
      </w:r>
    </w:p>
    <w:p w14:paraId="72170BEE">
      <w:pPr>
        <w:numPr>
          <w:ilvl w:val="0"/>
          <w:numId w:val="18"/>
        </w:numPr>
        <w:bidi w:val="0"/>
        <w:ind w:left="0" w:leftChars="0" w:firstLine="420" w:firstLineChars="0"/>
        <w:rPr>
          <w:lang w:eastAsia="zh-CN"/>
        </w:rPr>
      </w:pPr>
      <w:r>
        <w:rPr>
          <w:lang w:eastAsia="zh-CN"/>
        </w:rPr>
        <w:t>在工厂施工时，吊顶系统宜使用轻钢龙骨系统作为固定构件；</w:t>
      </w:r>
    </w:p>
    <w:p w14:paraId="7E29FFAE">
      <w:pPr>
        <w:numPr>
          <w:ilvl w:val="0"/>
          <w:numId w:val="18"/>
        </w:numPr>
        <w:bidi w:val="0"/>
        <w:ind w:left="0" w:leftChars="0" w:firstLine="420" w:firstLineChars="0"/>
        <w:rPr>
          <w:lang w:eastAsia="zh-CN"/>
        </w:rPr>
      </w:pPr>
      <w:r>
        <w:rPr>
          <w:lang w:eastAsia="zh-CN"/>
        </w:rPr>
        <w:t>吊顶内设备及管线集中位置应设置检修口；</w:t>
      </w:r>
    </w:p>
    <w:p w14:paraId="51386C34">
      <w:pPr>
        <w:numPr>
          <w:ilvl w:val="0"/>
          <w:numId w:val="18"/>
        </w:numPr>
        <w:bidi w:val="0"/>
        <w:ind w:left="0" w:leftChars="0" w:firstLine="420" w:firstLineChars="0"/>
        <w:rPr>
          <w:lang w:eastAsia="zh-CN"/>
        </w:rPr>
      </w:pPr>
      <w:r>
        <w:rPr>
          <w:lang w:eastAsia="zh-CN"/>
        </w:rPr>
        <w:t>吊筋应与模块框架梁焊接，不应与模块顶板直接焊接；</w:t>
      </w:r>
    </w:p>
    <w:p w14:paraId="15DE3F9D">
      <w:pPr>
        <w:numPr>
          <w:ilvl w:val="0"/>
          <w:numId w:val="18"/>
        </w:numPr>
        <w:bidi w:val="0"/>
        <w:rPr>
          <w:lang w:eastAsia="zh-CN"/>
        </w:rPr>
      </w:pPr>
      <w:r>
        <w:rPr>
          <w:lang w:eastAsia="zh-CN"/>
        </w:rPr>
        <w:t>天花边沿处宜使用金属收口条或成品收口构件进行收口。</w:t>
      </w:r>
    </w:p>
    <w:p w14:paraId="15C22694">
      <w:pPr>
        <w:numPr>
          <w:ilvl w:val="0"/>
          <w:numId w:val="14"/>
        </w:numPr>
        <w:bidi w:val="0"/>
        <w:rPr>
          <w:lang w:eastAsia="zh-CN"/>
        </w:rPr>
      </w:pPr>
      <w:r>
        <w:rPr>
          <w:lang w:eastAsia="zh-CN"/>
        </w:rPr>
        <w:t>对于不便在工厂进行装修作业的模块单元墙板，在现场宜采用装配式装修技术，并应符合现行</w:t>
      </w:r>
      <w:r>
        <w:rPr>
          <w:rFonts w:hint="eastAsia"/>
          <w:lang w:eastAsia="zh-CN"/>
        </w:rPr>
        <w:t>《四川省混凝土结构居住建筑装配式装修工程技术标准》</w:t>
      </w:r>
      <w:r>
        <w:rPr>
          <w:rFonts w:hint="default"/>
          <w:lang w:eastAsia="zh-CN"/>
        </w:rPr>
        <w:t>DBJ51/T135</w:t>
      </w:r>
      <w:r>
        <w:rPr>
          <w:lang w:eastAsia="zh-CN"/>
        </w:rPr>
        <w:t>的有关规定。</w:t>
      </w:r>
    </w:p>
    <w:p w14:paraId="63B53095">
      <w:pPr>
        <w:numPr>
          <w:ilvl w:val="0"/>
          <w:numId w:val="14"/>
        </w:numPr>
        <w:spacing w:before="83" w:line="220" w:lineRule="auto"/>
        <w:ind w:left="0" w:leftChars="0" w:firstLine="0" w:firstLineChars="0"/>
        <w:jc w:val="left"/>
        <w:rPr>
          <w:rFonts w:ascii="宋体" w:hAnsi="宋体" w:eastAsia="宋体" w:cs="宋体"/>
          <w:sz w:val="24"/>
          <w:szCs w:val="24"/>
          <w:lang w:eastAsia="zh-CN"/>
        </w:rPr>
      </w:pPr>
      <w:r>
        <w:rPr>
          <w:rFonts w:ascii="宋体" w:hAnsi="宋体" w:eastAsia="宋体" w:cs="宋体"/>
          <w:spacing w:val="7"/>
          <w:sz w:val="24"/>
          <w:szCs w:val="24"/>
          <w:lang w:eastAsia="zh-CN"/>
        </w:rPr>
        <w:t>内装修设计应体现二次机电末端点位，并应符合下列规定：</w:t>
      </w:r>
    </w:p>
    <w:p w14:paraId="7C93B885">
      <w:pPr>
        <w:keepNext w:val="0"/>
        <w:keepLines w:val="0"/>
        <w:pageBreakBefore w:val="0"/>
        <w:widowControl w:val="0"/>
        <w:kinsoku/>
        <w:wordWrap/>
        <w:overflowPunct/>
        <w:topLinePunct w:val="0"/>
        <w:autoSpaceDE/>
        <w:autoSpaceDN/>
        <w:bidi w:val="0"/>
        <w:adjustRightInd/>
        <w:snapToGrid/>
        <w:spacing w:before="83" w:line="221" w:lineRule="auto"/>
        <w:ind w:left="0" w:firstLine="504" w:firstLineChars="200"/>
        <w:jc w:val="left"/>
        <w:textAlignment w:val="auto"/>
        <w:rPr>
          <w:rFonts w:ascii="宋体" w:hAnsi="宋体" w:eastAsia="宋体" w:cs="宋体"/>
          <w:sz w:val="24"/>
          <w:szCs w:val="24"/>
          <w:lang w:eastAsia="zh-CN"/>
        </w:rPr>
      </w:pPr>
      <w:r>
        <w:rPr>
          <w:rFonts w:ascii="Times New Roman" w:hAnsi="Times New Roman" w:eastAsia="Times New Roman" w:cs="Times New Roman"/>
          <w:b/>
          <w:bCs/>
          <w:spacing w:val="6"/>
          <w:sz w:val="24"/>
          <w:szCs w:val="24"/>
          <w:lang w:eastAsia="zh-CN"/>
        </w:rPr>
        <w:t>1</w:t>
      </w:r>
      <w:r>
        <w:rPr>
          <w:rFonts w:ascii="宋体" w:hAnsi="宋体" w:eastAsia="宋体" w:cs="宋体"/>
          <w:spacing w:val="6"/>
          <w:sz w:val="24"/>
          <w:szCs w:val="24"/>
          <w:lang w:eastAsia="zh-CN"/>
        </w:rPr>
        <w:t>内装修设计应在一次机电基础上进行深化设计和末端定位，并应符合机电消防相关要求；</w:t>
      </w:r>
    </w:p>
    <w:p w14:paraId="406CE9BB">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516" w:firstLineChars="200"/>
        <w:jc w:val="left"/>
        <w:textAlignment w:val="auto"/>
        <w:rPr>
          <w:rFonts w:hint="default" w:ascii="Times New Roman" w:hAnsi="Times New Roman" w:eastAsia="黑体" w:cs="Times New Roman"/>
          <w:bCs/>
          <w:kern w:val="2"/>
          <w:sz w:val="32"/>
          <w:szCs w:val="32"/>
          <w:lang w:val="en-US" w:eastAsia="zh-CN" w:bidi="ar-SA"/>
        </w:rPr>
      </w:pPr>
      <w:r>
        <w:rPr>
          <w:rFonts w:ascii="Times New Roman" w:hAnsi="Times New Roman" w:eastAsia="Times New Roman" w:cs="Times New Roman"/>
          <w:b/>
          <w:bCs/>
          <w:spacing w:val="9"/>
          <w:sz w:val="24"/>
          <w:szCs w:val="24"/>
          <w:lang w:eastAsia="zh-CN"/>
        </w:rPr>
        <w:t>2</w:t>
      </w:r>
      <w:r>
        <w:rPr>
          <w:rFonts w:ascii="宋体" w:hAnsi="宋体" w:eastAsia="宋体" w:cs="宋体"/>
          <w:spacing w:val="9"/>
          <w:sz w:val="24"/>
          <w:szCs w:val="24"/>
          <w:lang w:eastAsia="zh-CN"/>
        </w:rPr>
        <w:t>内装修图纸应包含所有设备系统的</w:t>
      </w:r>
      <w:r>
        <w:rPr>
          <w:rFonts w:ascii="宋体" w:hAnsi="宋体" w:eastAsia="宋体" w:cs="宋体"/>
          <w:spacing w:val="8"/>
          <w:sz w:val="24"/>
          <w:szCs w:val="24"/>
          <w:lang w:eastAsia="zh-CN"/>
        </w:rPr>
        <w:t>平面图、尺寸图、连线图和综合点位图。</w:t>
      </w:r>
    </w:p>
    <w:p w14:paraId="5D40FAD4">
      <w:pPr>
        <w:keepNext/>
        <w:keepLines/>
        <w:widowControl w:val="0"/>
        <w:bidi w:val="0"/>
        <w:spacing w:before="50" w:beforeLines="50" w:after="50" w:afterLines="50" w:line="360" w:lineRule="auto"/>
        <w:jc w:val="center"/>
        <w:outlineLvl w:val="1"/>
        <w:rPr>
          <w:rFonts w:hint="eastAsia" w:ascii="Times New Roman" w:hAnsi="Times New Roman" w:eastAsia="黑体" w:cs="Times New Roman"/>
          <w:bCs/>
          <w:kern w:val="2"/>
          <w:sz w:val="32"/>
          <w:szCs w:val="32"/>
          <w:lang w:val="en-US" w:eastAsia="zh-CN" w:bidi="ar-SA"/>
        </w:rPr>
      </w:pPr>
      <w:bookmarkStart w:id="25" w:name="_Toc5075"/>
      <w:r>
        <w:rPr>
          <w:rFonts w:hint="eastAsia" w:ascii="Times New Roman" w:hAnsi="Times New Roman" w:eastAsia="黑体" w:cs="Times New Roman"/>
          <w:bCs/>
          <w:kern w:val="2"/>
          <w:sz w:val="32"/>
          <w:szCs w:val="32"/>
          <w:lang w:val="en-US" w:eastAsia="zh-CN" w:bidi="ar-SA"/>
        </w:rPr>
        <w:t>4.5设备与管线</w:t>
      </w:r>
      <w:bookmarkEnd w:id="25"/>
    </w:p>
    <w:p w14:paraId="092DF8C7">
      <w:pPr>
        <w:numPr>
          <w:ilvl w:val="0"/>
          <w:numId w:val="19"/>
        </w:num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模块化</w:t>
      </w:r>
      <w:r>
        <w:rPr>
          <w:rFonts w:hint="eastAsia"/>
          <w:color w:val="000000" w:themeColor="text1"/>
          <w:lang w:val="en-US" w:eastAsia="zh-CN"/>
          <w14:textFill>
            <w14:solidFill>
              <w14:schemeClr w14:val="tx1"/>
            </w14:solidFill>
          </w14:textFill>
        </w:rPr>
        <w:t>钢结构房屋的</w:t>
      </w:r>
      <w:r>
        <w:rPr>
          <w:rFonts w:hint="default"/>
          <w:color w:val="000000" w:themeColor="text1"/>
          <w:lang w:val="en-US" w:eastAsia="zh-CN"/>
          <w14:textFill>
            <w14:solidFill>
              <w14:schemeClr w14:val="tx1"/>
            </w14:solidFill>
          </w14:textFill>
        </w:rPr>
        <w:t>设备设施与电气有关各专业应与建筑、结构专业同步开展一体化综合设计，</w:t>
      </w:r>
      <w:r>
        <w:rPr>
          <w:rFonts w:hint="eastAsia"/>
          <w:color w:val="000000" w:themeColor="text1"/>
          <w:lang w:val="en-US" w:eastAsia="zh-CN"/>
          <w14:textFill>
            <w14:solidFill>
              <w14:schemeClr w14:val="tx1"/>
            </w14:solidFill>
          </w14:textFill>
        </w:rPr>
        <w:t>具备相关</w:t>
      </w:r>
      <w:r>
        <w:rPr>
          <w:rFonts w:hint="default"/>
          <w:color w:val="000000" w:themeColor="text1"/>
          <w:lang w:val="en-US" w:eastAsia="zh-CN"/>
          <w14:textFill>
            <w14:solidFill>
              <w14:schemeClr w14:val="tx1"/>
            </w14:solidFill>
          </w14:textFill>
        </w:rPr>
        <w:t>条件的项目可增加智能化设计内容。</w:t>
      </w:r>
    </w:p>
    <w:p w14:paraId="22C3F8E5">
      <w:pPr>
        <w:numPr>
          <w:ilvl w:val="0"/>
          <w:numId w:val="0"/>
        </w:numPr>
        <w:tabs>
          <w:tab w:val="left" w:pos="0"/>
        </w:tabs>
        <w:bidi w:val="0"/>
        <w:ind w:leftChars="0" w:firstLine="482" w:firstLineChars="200"/>
        <w:rPr>
          <w:rFonts w:hint="default"/>
          <w:color w:val="0000FF"/>
          <w:lang w:val="en-US" w:eastAsia="zh-CN"/>
        </w:rPr>
      </w:pPr>
      <w:r>
        <w:rPr>
          <w:rFonts w:hint="eastAsia"/>
          <w:b/>
          <w:bCs/>
          <w:szCs w:val="20"/>
          <w:lang w:val="en-US" w:eastAsia="zh-CN"/>
        </w:rPr>
        <w:t>【条文说明】</w:t>
      </w:r>
      <w:r>
        <w:rPr>
          <w:rStyle w:val="46"/>
          <w:rFonts w:hint="default"/>
          <w:lang w:val="en-US" w:eastAsia="zh-CN"/>
        </w:rPr>
        <w:t>模块单元可以单独使用，也可以和其他模块组合使用，因此具有组合方式多样化的特点。设计时各个专业要进行-体化综合设计，尽可能满足组合后的房屋在建筑种类和功能布局上的变化需求。</w:t>
      </w:r>
    </w:p>
    <w:p w14:paraId="058AE823">
      <w:pPr>
        <w:numPr>
          <w:ilvl w:val="0"/>
          <w:numId w:val="0"/>
        </w:numPr>
        <w:tabs>
          <w:tab w:val="left" w:pos="0"/>
        </w:tabs>
        <w:bidi w:val="0"/>
        <w:ind w:leftChars="0"/>
        <w:rPr>
          <w:rFonts w:hint="default"/>
          <w:color w:val="0000FF"/>
          <w:lang w:val="en-US" w:eastAsia="zh-CN"/>
        </w:rPr>
      </w:pPr>
    </w:p>
    <w:p w14:paraId="25E983CA">
      <w:pPr>
        <w:numPr>
          <w:ilvl w:val="0"/>
          <w:numId w:val="19"/>
        </w:num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给水排水设计应符合下列规定:</w:t>
      </w:r>
    </w:p>
    <w:p w14:paraId="74883104">
      <w:pPr>
        <w:pStyle w:val="3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 当建筑规模较大达到 3000m</w:t>
      </w:r>
      <w:r>
        <w:rPr>
          <w:rFonts w:hint="eastAsia"/>
          <w:color w:val="000000" w:themeColor="text1"/>
          <w:vertAlign w:val="superscript"/>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 xml:space="preserve"> 时，冲厕宜采用可再生水源，水质应符合现行国家标准《城市污水再生利用―城市杂用水水质</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 xml:space="preserve"> GB/T 18920 的规定，并应有防止误饮误用的安全措施</w:t>
      </w:r>
      <w:r>
        <w:rPr>
          <w:rFonts w:hint="eastAsia"/>
          <w:color w:val="000000" w:themeColor="text1"/>
          <w:lang w:val="en-US" w:eastAsia="zh-CN"/>
          <w14:textFill>
            <w14:solidFill>
              <w14:schemeClr w14:val="tx1"/>
            </w14:solidFill>
          </w14:textFill>
        </w:rPr>
        <w:t>；</w:t>
      </w:r>
    </w:p>
    <w:p w14:paraId="6D0F1A8A">
      <w:pPr>
        <w:pStyle w:val="3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 宜采用预制的集成式厨房与集成式卫浴，设备及管道应在安装完成后进行水压试验，并应预留相应的给水、热水、排水管道接口，给水系统配水管道接口的形式和设置位置应便于检修</w:t>
      </w:r>
      <w:r>
        <w:rPr>
          <w:rFonts w:hint="eastAsia"/>
          <w:color w:val="000000" w:themeColor="text1"/>
          <w:lang w:val="en-US" w:eastAsia="zh-CN"/>
          <w14:textFill>
            <w14:solidFill>
              <w14:schemeClr w14:val="tx1"/>
            </w14:solidFill>
          </w14:textFill>
        </w:rPr>
        <w:t>；</w:t>
      </w:r>
    </w:p>
    <w:p w14:paraId="4226B1B0">
      <w:pPr>
        <w:pStyle w:val="3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 模块单元内设置给水分水器时，分水器与用水器具的管道应一对一连接，管道中间不应出现机械式接口，并宜采用装配式的管线及其配件连接</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给水分水器设置位置应有排水措施，并便于检修</w:t>
      </w:r>
      <w:r>
        <w:rPr>
          <w:rFonts w:hint="eastAsia"/>
          <w:color w:val="000000" w:themeColor="text1"/>
          <w:lang w:val="en-US" w:eastAsia="zh-CN"/>
          <w14:textFill>
            <w14:solidFill>
              <w14:schemeClr w14:val="tx1"/>
            </w14:solidFill>
          </w14:textFill>
        </w:rPr>
        <w:t>；</w:t>
      </w:r>
    </w:p>
    <w:p w14:paraId="512A5734">
      <w:pPr>
        <w:pStyle w:val="3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 太阳能热水系统集热器、储水罐等的安装应与其他专业集成设计，应预留预埋</w:t>
      </w:r>
      <w:r>
        <w:rPr>
          <w:rFonts w:hint="eastAsia"/>
          <w:color w:val="000000" w:themeColor="text1"/>
          <w:lang w:val="en-US" w:eastAsia="zh-CN"/>
          <w14:textFill>
            <w14:solidFill>
              <w14:schemeClr w14:val="tx1"/>
            </w14:solidFill>
          </w14:textFill>
        </w:rPr>
        <w:t>；</w:t>
      </w:r>
    </w:p>
    <w:p w14:paraId="73A0FB6F">
      <w:pPr>
        <w:pStyle w:val="3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 排水系统设计应根据建筑层高、楼板跨度、卫生部品及管道长度、坡度等因素确定</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排水管道宜采用不降板同层排水技术，给水、供暖水平管线宜暗敷于本层地面下的垫层中，同层排水管道敷设在架空层时，宜设置积水排除装置</w:t>
      </w:r>
      <w:r>
        <w:rPr>
          <w:rFonts w:hint="eastAsia"/>
          <w:color w:val="000000" w:themeColor="text1"/>
          <w:lang w:val="en-US" w:eastAsia="zh-CN"/>
          <w14:textFill>
            <w14:solidFill>
              <w14:schemeClr w14:val="tx1"/>
            </w14:solidFill>
          </w14:textFill>
        </w:rPr>
        <w:t>；</w:t>
      </w:r>
    </w:p>
    <w:p w14:paraId="6F114D3F">
      <w:pPr>
        <w:pStyle w:val="3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 应选用耐腐蚀、使用寿命长、降噪性能好、便于安装及更换、连接可靠、密封性能好的管材、管件以及阀门设备</w:t>
      </w:r>
      <w:r>
        <w:rPr>
          <w:rFonts w:hint="eastAsia"/>
          <w:color w:val="000000" w:themeColor="text1"/>
          <w:lang w:val="en-US" w:eastAsia="zh-CN"/>
          <w14:textFill>
            <w14:solidFill>
              <w14:schemeClr w14:val="tx1"/>
            </w14:solidFill>
          </w14:textFill>
        </w:rPr>
        <w:t>；</w:t>
      </w:r>
    </w:p>
    <w:p w14:paraId="7F38292C">
      <w:pPr>
        <w:pStyle w:val="3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7 敷设在墙体或吊顶内的设备及管道应有防腐、隔声、降噪和防结露等措施。</w:t>
      </w:r>
    </w:p>
    <w:p w14:paraId="480848A1">
      <w:pPr>
        <w:pStyle w:val="45"/>
        <w:numPr>
          <w:ilvl w:val="0"/>
          <w:numId w:val="0"/>
        </w:numPr>
        <w:bidi w:val="0"/>
        <w:ind w:leftChars="0" w:firstLine="482" w:firstLineChars="200"/>
        <w:rPr>
          <w:rFonts w:hint="eastAsia"/>
          <w:lang w:val="en-US" w:eastAsia="zh-CN"/>
        </w:rPr>
      </w:pPr>
      <w:r>
        <w:rPr>
          <w:rFonts w:hint="eastAsia"/>
          <w:b/>
          <w:bCs/>
          <w:szCs w:val="20"/>
          <w:lang w:val="en-US" w:eastAsia="zh-CN"/>
        </w:rPr>
        <w:t>【条文说明】</w:t>
      </w:r>
      <w:r>
        <w:rPr>
          <w:rFonts w:hint="eastAsia"/>
          <w:lang w:val="en-US" w:eastAsia="zh-CN"/>
        </w:rPr>
        <w:t>本条规定了模块化钢结构房屋给水排水设计的基本要求</w:t>
      </w:r>
    </w:p>
    <w:p w14:paraId="0777F9FA">
      <w:pPr>
        <w:pStyle w:val="45"/>
        <w:numPr>
          <w:ilvl w:val="0"/>
          <w:numId w:val="0"/>
        </w:numPr>
        <w:bidi w:val="0"/>
        <w:ind w:leftChars="0" w:firstLine="480" w:firstLineChars="200"/>
        <w:rPr>
          <w:rFonts w:hint="eastAsia"/>
          <w:lang w:val="en-US" w:eastAsia="zh-CN"/>
        </w:rPr>
      </w:pPr>
      <w:r>
        <w:rPr>
          <w:rFonts w:hint="eastAsia"/>
          <w:lang w:val="en-US" w:eastAsia="zh-CN"/>
        </w:rPr>
        <w:t>1 居住建筑冲厕用水可采用模块化分户中水系统，同时应做好防水处理。</w:t>
      </w:r>
    </w:p>
    <w:p w14:paraId="081340CA">
      <w:pPr>
        <w:pStyle w:val="45"/>
        <w:numPr>
          <w:ilvl w:val="0"/>
          <w:numId w:val="0"/>
        </w:numPr>
        <w:bidi w:val="0"/>
        <w:ind w:leftChars="0" w:firstLine="480" w:firstLineChars="200"/>
        <w:rPr>
          <w:rFonts w:hint="eastAsia"/>
          <w:lang w:val="en-US" w:eastAsia="zh-CN"/>
        </w:rPr>
      </w:pPr>
      <w:r>
        <w:rPr>
          <w:rFonts w:hint="eastAsia"/>
          <w:lang w:val="en-US" w:eastAsia="zh-CN"/>
        </w:rPr>
        <w:t>2 集成式厨房与集成式卫浴应符合现行行业标准《住宅整体卫浴间》JG/T183和《住宅整体厨房》JG/T184的要求。为便于日后管道维修拆卸，给水系统的给水立管与部品配水管道的接口宜设置内螺纹活接连接。</w:t>
      </w:r>
    </w:p>
    <w:p w14:paraId="0B715322">
      <w:pPr>
        <w:pStyle w:val="45"/>
        <w:numPr>
          <w:ilvl w:val="0"/>
          <w:numId w:val="0"/>
        </w:numPr>
        <w:bidi w:val="0"/>
        <w:ind w:leftChars="0" w:firstLine="480" w:firstLineChars="200"/>
        <w:rPr>
          <w:rFonts w:hint="eastAsia"/>
          <w:lang w:val="en-US" w:eastAsia="zh-CN"/>
        </w:rPr>
      </w:pPr>
      <w:r>
        <w:rPr>
          <w:rFonts w:hint="eastAsia"/>
          <w:lang w:val="en-US" w:eastAsia="zh-CN"/>
        </w:rPr>
        <w:t>3 采用装配式的管线及其配件连接，可减少工厂集成安装时的焊接、热熔工作。</w:t>
      </w:r>
    </w:p>
    <w:p w14:paraId="687CE83A">
      <w:pPr>
        <w:pStyle w:val="45"/>
        <w:numPr>
          <w:ilvl w:val="0"/>
          <w:numId w:val="0"/>
        </w:numPr>
        <w:bidi w:val="0"/>
        <w:ind w:leftChars="0" w:firstLine="480" w:firstLineChars="200"/>
        <w:rPr>
          <w:rFonts w:hint="eastAsia"/>
          <w:lang w:val="en-US" w:eastAsia="zh-CN"/>
        </w:rPr>
      </w:pPr>
      <w:r>
        <w:rPr>
          <w:rFonts w:hint="eastAsia"/>
          <w:lang w:val="en-US" w:eastAsia="zh-CN"/>
        </w:rPr>
        <w:t>4卫生间采用地漏中设置降板积水排除器或者立管上设置回填层积水排除装置等方式排除垫层积水。</w:t>
      </w:r>
    </w:p>
    <w:p w14:paraId="2568F679">
      <w:pPr>
        <w:pStyle w:val="45"/>
        <w:numPr>
          <w:ilvl w:val="0"/>
          <w:numId w:val="0"/>
        </w:numPr>
        <w:bidi w:val="0"/>
        <w:ind w:leftChars="0" w:firstLine="480" w:firstLineChars="200"/>
        <w:rPr>
          <w:color w:val="000000" w:themeColor="text1"/>
          <w14:textFill>
            <w14:solidFill>
              <w14:schemeClr w14:val="tx1"/>
            </w14:solidFill>
          </w14:textFill>
        </w:rPr>
      </w:pPr>
      <w:r>
        <w:rPr>
          <w:rFonts w:ascii="Arial" w:hAnsi="Arial" w:eastAsia="Arial" w:cs="Arial"/>
          <w:i w:val="0"/>
          <w:iCs w:val="0"/>
          <w:caps w:val="0"/>
          <w:color w:val="000000" w:themeColor="text1"/>
          <w:spacing w:val="0"/>
          <w:kern w:val="0"/>
          <w:szCs w:val="27"/>
          <w:u w:val="single"/>
          <w:shd w:val="clear" w:fill="FFFFFF"/>
          <w:lang w:val="en-US" w:eastAsia="zh-CN" w:bidi="ar"/>
          <w14:textFill>
            <w14:solidFill>
              <w14:schemeClr w14:val="tx1"/>
            </w14:solidFill>
          </w14:textFill>
        </w:rPr>
        <w:fldChar w:fldCharType="begin"/>
      </w:r>
      <w:r>
        <w:rPr>
          <w:rFonts w:ascii="Arial" w:hAnsi="Arial" w:eastAsia="Arial" w:cs="Arial"/>
          <w:i w:val="0"/>
          <w:iCs w:val="0"/>
          <w:caps w:val="0"/>
          <w:color w:val="000000" w:themeColor="text1"/>
          <w:spacing w:val="0"/>
          <w:kern w:val="0"/>
          <w:szCs w:val="27"/>
          <w:u w:val="single"/>
          <w:shd w:val="clear" w:fill="FFFFFF"/>
          <w:lang w:val="en-US" w:eastAsia="zh-CN" w:bidi="ar"/>
          <w14:textFill>
            <w14:solidFill>
              <w14:schemeClr w14:val="tx1"/>
            </w14:solidFill>
          </w14:textFill>
        </w:rPr>
        <w:instrText xml:space="preserve"> HYPERLINK "http://www.baidu.com/link?url=7Q_cCkmZDlOz_kvmfilPWRXOSBeLbGLz1bYvgP3V1bY0AMRGRH7mLqF8ZRVZ5Bc6DyP59fC3N9d5sHV99JknJI8dtKf1K9eI3SM-BI0A7MZf8ptTlTVN6c8ry7nVdnrA1qgLlTY_INPLB15pjLIyJi9iWHLLi1IFXgF-I1Xp1Y4qL9ja-0BIXS5pE65i0IT_qx6QMsh9BC37nEEs5d2E5H2mplt4vPInIosselY1nVu5acOKJVAxAP3my28ioAq0" \t "https://www.baidu.com/_blank" </w:instrText>
      </w:r>
      <w:r>
        <w:rPr>
          <w:rFonts w:ascii="Arial" w:hAnsi="Arial" w:eastAsia="Arial" w:cs="Arial"/>
          <w:i w:val="0"/>
          <w:iCs w:val="0"/>
          <w:caps w:val="0"/>
          <w:color w:val="000000" w:themeColor="text1"/>
          <w:spacing w:val="0"/>
          <w:kern w:val="0"/>
          <w:szCs w:val="27"/>
          <w:u w:val="single"/>
          <w:shd w:val="clear" w:fill="FFFFFF"/>
          <w:lang w:val="en-US" w:eastAsia="zh-CN" w:bidi="ar"/>
          <w14:textFill>
            <w14:solidFill>
              <w14:schemeClr w14:val="tx1"/>
            </w14:solidFill>
          </w14:textFill>
        </w:rPr>
        <w:fldChar w:fldCharType="separate"/>
      </w:r>
    </w:p>
    <w:p w14:paraId="2483BA3D">
      <w:pPr>
        <w:numPr>
          <w:ilvl w:val="0"/>
          <w:numId w:val="19"/>
        </w:numPr>
        <w:bidi w:val="0"/>
        <w:rPr>
          <w:rFonts w:hint="default"/>
          <w:color w:val="000000" w:themeColor="text1"/>
          <w:lang w:val="en-US" w:eastAsia="zh-CN"/>
          <w14:textFill>
            <w14:solidFill>
              <w14:schemeClr w14:val="tx1"/>
            </w14:solidFill>
          </w14:textFill>
        </w:rPr>
      </w:pPr>
      <w:r>
        <w:rPr>
          <w:rFonts w:hint="default" w:ascii="Arial" w:hAnsi="Arial" w:eastAsia="Arial" w:cs="Arial"/>
          <w:i w:val="0"/>
          <w:iCs w:val="0"/>
          <w:caps w:val="0"/>
          <w:color w:val="000000" w:themeColor="text1"/>
          <w:spacing w:val="0"/>
          <w:kern w:val="0"/>
          <w:sz w:val="27"/>
          <w:szCs w:val="27"/>
          <w:u w:val="single"/>
          <w:shd w:val="clear" w:fill="FFFFFF"/>
          <w:lang w:val="en-US" w:eastAsia="zh-CN" w:bidi="ar"/>
          <w14:textFill>
            <w14:solidFill>
              <w14:schemeClr w14:val="tx1"/>
            </w14:solidFill>
          </w14:textFill>
        </w:rPr>
        <w:fldChar w:fldCharType="end"/>
      </w:r>
      <w:r>
        <w:rPr>
          <w:rFonts w:hint="default"/>
          <w:color w:val="000000" w:themeColor="text1"/>
          <w:lang w:val="en-US" w:eastAsia="zh-CN"/>
          <w14:textFill>
            <w14:solidFill>
              <w14:schemeClr w14:val="tx1"/>
            </w14:solidFill>
          </w14:textFill>
        </w:rPr>
        <w:t xml:space="preserve">供暖、通风、空调及燃气应符合下列规定: </w:t>
      </w:r>
    </w:p>
    <w:p w14:paraId="1AFADD49">
      <w:pPr>
        <w:numPr>
          <w:ilvl w:val="0"/>
          <w:numId w:val="0"/>
        </w:numPr>
        <w:tabs>
          <w:tab w:val="left" w:pos="0"/>
        </w:tabs>
        <w:bidi w:val="0"/>
        <w:ind w:leftChars="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 采用低温热水地板辐射供暖系统时，宜采用干法施工工艺技术</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 xml:space="preserve"> </w:t>
      </w:r>
    </w:p>
    <w:p w14:paraId="1866582D">
      <w:pPr>
        <w:numPr>
          <w:ilvl w:val="0"/>
          <w:numId w:val="0"/>
        </w:numPr>
        <w:tabs>
          <w:tab w:val="left" w:pos="0"/>
        </w:tabs>
        <w:bidi w:val="0"/>
        <w:ind w:leftChars="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 模块单元内供暖系统采用散热器供暖时，墙板与散热器的连接处应采取加强措施</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暗敷管道不应出现机械式接口，必须设连接口处，应结合建筑设计预留检查口</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 xml:space="preserve"> </w:t>
      </w:r>
    </w:p>
    <w:p w14:paraId="574C1823">
      <w:pPr>
        <w:numPr>
          <w:ilvl w:val="0"/>
          <w:numId w:val="0"/>
        </w:numPr>
        <w:tabs>
          <w:tab w:val="left" w:pos="0"/>
        </w:tabs>
        <w:bidi w:val="0"/>
        <w:ind w:leftChars="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 供暖管道固定在梁柱等钢构件上时，应采用绝热支架</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 xml:space="preserve"> </w:t>
      </w:r>
    </w:p>
    <w:p w14:paraId="28FAA2A6">
      <w:pPr>
        <w:numPr>
          <w:ilvl w:val="0"/>
          <w:numId w:val="0"/>
        </w:numPr>
        <w:tabs>
          <w:tab w:val="left" w:pos="0"/>
        </w:tabs>
        <w:bidi w:val="0"/>
        <w:ind w:leftChars="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 采用集成卫生间或同层排水架空地板时，不宜采用地板辐射供暖系统</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 xml:space="preserve"> </w:t>
      </w:r>
    </w:p>
    <w:p w14:paraId="64FDCEF9">
      <w:pPr>
        <w:numPr>
          <w:ilvl w:val="0"/>
          <w:numId w:val="0"/>
        </w:numPr>
        <w:tabs>
          <w:tab w:val="left" w:pos="0"/>
        </w:tabs>
        <w:bidi w:val="0"/>
        <w:ind w:leftChars="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 供暖、通风、空气调节及防排烟系统的设备宜结合建筑方案整体设计，并预留相关设备基础、吊挂支撑及孔洞位置</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设备基础和构件应连接牢固，并按设备技术文件的要求预留地脚螺栓孔洞</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 xml:space="preserve"> </w:t>
      </w:r>
    </w:p>
    <w:p w14:paraId="42E55AE0">
      <w:pPr>
        <w:numPr>
          <w:ilvl w:val="0"/>
          <w:numId w:val="0"/>
        </w:numPr>
        <w:tabs>
          <w:tab w:val="left" w:pos="0"/>
        </w:tabs>
        <w:bidi w:val="0"/>
        <w:ind w:leftChars="0" w:firstLine="48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 模块化</w:t>
      </w:r>
      <w:r>
        <w:rPr>
          <w:rFonts w:hint="eastAsia"/>
          <w:color w:val="000000" w:themeColor="text1"/>
          <w:lang w:val="en-US" w:eastAsia="zh-CN"/>
          <w14:textFill>
            <w14:solidFill>
              <w14:schemeClr w14:val="tx1"/>
            </w14:solidFill>
          </w14:textFill>
        </w:rPr>
        <w:t>钢结构房屋</w:t>
      </w:r>
      <w:r>
        <w:rPr>
          <w:rFonts w:hint="default"/>
          <w:color w:val="000000" w:themeColor="text1"/>
          <w:lang w:val="en-US" w:eastAsia="zh-CN"/>
          <w14:textFill>
            <w14:solidFill>
              <w14:schemeClr w14:val="tx1"/>
            </w14:solidFill>
          </w14:textFill>
        </w:rPr>
        <w:t>作为居住建筑使用时，应在外墙预留燃气热水器烟气排放口、厨房烟气排放口和空调冷媒冷凝管穿墙口的孔洞。当作为公共建筑使用时，应为公共厨房、卫浴预留通风设备风道穿墙孔和油烟净化设备安装基础，并应采取措施避免设备噪声和振动。</w:t>
      </w:r>
    </w:p>
    <w:p w14:paraId="42338AE8">
      <w:pPr>
        <w:numPr>
          <w:ilvl w:val="0"/>
          <w:numId w:val="0"/>
        </w:numPr>
        <w:tabs>
          <w:tab w:val="left" w:pos="0"/>
        </w:tabs>
        <w:bidi w:val="0"/>
        <w:ind w:leftChars="0" w:firstLine="482" w:firstLineChars="200"/>
        <w:rPr>
          <w:rStyle w:val="46"/>
          <w:rFonts w:hint="default"/>
          <w:lang w:val="en-US" w:eastAsia="zh-CN"/>
        </w:rPr>
      </w:pPr>
      <w:r>
        <w:rPr>
          <w:rStyle w:val="46"/>
          <w:rFonts w:hint="eastAsia"/>
          <w:b/>
          <w:bCs/>
          <w:lang w:val="en-US" w:eastAsia="zh-CN"/>
        </w:rPr>
        <w:t>【条文说明】</w:t>
      </w:r>
      <w:r>
        <w:rPr>
          <w:rStyle w:val="46"/>
          <w:rFonts w:hint="default"/>
          <w:lang w:val="en-US" w:eastAsia="zh-CN"/>
        </w:rPr>
        <w:t>模块建筑供暖、通风和空气调节设备均应选用节能型产品。</w:t>
      </w:r>
    </w:p>
    <w:p w14:paraId="023620F0">
      <w:pPr>
        <w:numPr>
          <w:ilvl w:val="0"/>
          <w:numId w:val="19"/>
        </w:num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电气及智能化设计应符合下列规定:</w:t>
      </w:r>
    </w:p>
    <w:p w14:paraId="49496D86">
      <w:pPr>
        <w:numPr>
          <w:ilvl w:val="0"/>
          <w:numId w:val="20"/>
        </w:numPr>
        <w:bidi w:val="0"/>
        <w:ind w:left="0" w:leftChars="0" w:firstLine="420" w:firstLineChars="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电气设备易产生高温发热部位靠近钢结构构件时，应采取隔热、散热等防护措施；</w:t>
      </w:r>
    </w:p>
    <w:p w14:paraId="5288F899">
      <w:pPr>
        <w:numPr>
          <w:ilvl w:val="0"/>
          <w:numId w:val="20"/>
        </w:numPr>
        <w:bidi w:val="0"/>
        <w:ind w:left="0" w:leftChars="0" w:firstLine="420" w:firstLineChars="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低压配电系统及智能化系统的主干线应在公共区域的电气坚井内设置；功能单元内终端线路较多时，宜采用金属槽盒敷设，较少时可统一预埋在预制板内或装饰墙面内，墙板内竖向电气和智能化管线布置应保持安全间距；</w:t>
      </w:r>
    </w:p>
    <w:p w14:paraId="48624832">
      <w:pPr>
        <w:numPr>
          <w:ilvl w:val="0"/>
          <w:numId w:val="20"/>
        </w:numPr>
        <w:bidi w:val="0"/>
        <w:ind w:left="0" w:leftChars="0" w:firstLine="420" w:firstLineChars="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固定在模块单元构件上较重的大型灯具、桥架、母线、配电设备等，应预留预埋件进行固定；</w:t>
      </w:r>
    </w:p>
    <w:p w14:paraId="49491969">
      <w:pPr>
        <w:numPr>
          <w:ilvl w:val="0"/>
          <w:numId w:val="20"/>
        </w:numPr>
        <w:bidi w:val="0"/>
        <w:ind w:left="0" w:leftChars="0" w:firstLine="420" w:firstLineChars="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暗装的电气及智能化设备的出线口、接线盒等的孔洞均应准确定位；隔墙两侧暗装电气与智能化设备应错位设置；开关、电源插座、信息插座及其必要的接线盒、连接管等应结合内装设计进行预留和预埋，其背后的墙体保温层应连续布置；</w:t>
      </w:r>
    </w:p>
    <w:p w14:paraId="255CB1FC">
      <w:pPr>
        <w:numPr>
          <w:ilvl w:val="0"/>
          <w:numId w:val="20"/>
        </w:numPr>
        <w:bidi w:val="0"/>
        <w:ind w:left="0" w:leftChars="0" w:firstLine="420" w:firstLineChars="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电气与智能化设备接地宜与防雷接地系统共用接地网，防雷引下线和共用接地装置应充分利用钢结构自身作为防雷接地装置，构件连接部位应有永久性明显标记，其预留端头应方便防雷装置的可靠连接；</w:t>
      </w:r>
    </w:p>
    <w:p w14:paraId="4E012858">
      <w:pPr>
        <w:numPr>
          <w:ilvl w:val="0"/>
          <w:numId w:val="20"/>
        </w:numPr>
        <w:bidi w:val="0"/>
        <w:ind w:left="0" w:leftChars="0" w:firstLine="420" w:firstLineChars="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在完成线路铺设及安装工程时，应用绝缘电阻等仪器测试电器器具，合格后应通电试运行并按质量要求进行检查。</w:t>
      </w:r>
    </w:p>
    <w:p w14:paraId="2DB715CF">
      <w:pPr>
        <w:bidi w:val="0"/>
        <w:rPr>
          <w:rStyle w:val="46"/>
          <w:rFonts w:hint="default"/>
          <w:color w:val="000000" w:themeColor="text1"/>
          <w:lang w:val="en-US" w:eastAsia="zh-CN"/>
          <w14:textFill>
            <w14:solidFill>
              <w14:schemeClr w14:val="tx1"/>
            </w14:solidFill>
          </w14:textFill>
        </w:rPr>
      </w:pPr>
      <w:r>
        <w:rPr>
          <w:rStyle w:val="46"/>
          <w:rFonts w:hint="eastAsia"/>
          <w:b/>
          <w:bCs/>
          <w:color w:val="000000" w:themeColor="text1"/>
          <w:lang w:val="en-US" w:eastAsia="zh-CN"/>
          <w14:textFill>
            <w14:solidFill>
              <w14:schemeClr w14:val="tx1"/>
            </w14:solidFill>
          </w14:textFill>
        </w:rPr>
        <w:t>【条文说明】</w:t>
      </w:r>
      <w:r>
        <w:rPr>
          <w:rStyle w:val="46"/>
          <w:rFonts w:hint="default"/>
          <w:color w:val="000000" w:themeColor="text1"/>
          <w:lang w:val="en-US" w:eastAsia="zh-CN"/>
          <w14:textFill>
            <w14:solidFill>
              <w14:schemeClr w14:val="tx1"/>
            </w14:solidFill>
          </w14:textFill>
        </w:rPr>
        <w:t>所有需与钢结构做电气连接的部位，宜在工厂内预制连接件，施工现场不应在钢结构主体上直接焊接。</w:t>
      </w:r>
    </w:p>
    <w:p w14:paraId="1EF45FCA">
      <w:pPr>
        <w:bidi w:val="0"/>
        <w:rPr>
          <w:rStyle w:val="46"/>
          <w:rFonts w:hint="default"/>
          <w:color w:val="000000" w:themeColor="text1"/>
          <w:lang w:val="en-US" w:eastAsia="zh-CN"/>
          <w14:textFill>
            <w14:solidFill>
              <w14:schemeClr w14:val="tx1"/>
            </w14:solidFill>
          </w14:textFill>
        </w:rPr>
      </w:pPr>
    </w:p>
    <w:p w14:paraId="6250944A">
      <w:pPr>
        <w:numPr>
          <w:ilvl w:val="0"/>
          <w:numId w:val="19"/>
        </w:num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设备管线的布置应符合下列规定:</w:t>
      </w:r>
    </w:p>
    <w:p w14:paraId="4961E2D1">
      <w:pPr>
        <w:numPr>
          <w:ilvl w:val="0"/>
          <w:numId w:val="21"/>
        </w:numPr>
        <w:bidi w:val="0"/>
        <w:ind w:left="0" w:leftChars="0" w:firstLine="42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模块单元在工厂进行预制时，模块内的空调及暖通、给水排水、电气设备与管线等宜在工厂内完成预制且与内装一体化综合设计、集中设置、减少平面交叉</w:t>
      </w:r>
      <w:r>
        <w:rPr>
          <w:rFonts w:hint="eastAsia"/>
          <w:color w:val="000000" w:themeColor="text1"/>
          <w:lang w:val="en-US" w:eastAsia="zh-CN"/>
          <w14:textFill>
            <w14:solidFill>
              <w14:schemeClr w14:val="tx1"/>
            </w14:solidFill>
          </w14:textFill>
        </w:rPr>
        <w:t>；</w:t>
      </w:r>
    </w:p>
    <w:p w14:paraId="7651A7D3">
      <w:pPr>
        <w:numPr>
          <w:ilvl w:val="0"/>
          <w:numId w:val="21"/>
        </w:numPr>
        <w:bidi w:val="0"/>
        <w:ind w:left="0" w:leftChars="0" w:firstLine="42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管线宜采用同层布置，且宜利用公共区域的空间布置管线</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空调水平管线宜布置在本层顶板内，电气水平管线宜暗敷于结构楼板叠合层中，也可布置在本层顶板内</w:t>
      </w:r>
      <w:r>
        <w:rPr>
          <w:rFonts w:hint="eastAsia"/>
          <w:color w:val="000000" w:themeColor="text1"/>
          <w:lang w:val="en-US" w:eastAsia="zh-CN"/>
          <w14:textFill>
            <w14:solidFill>
              <w14:schemeClr w14:val="tx1"/>
            </w14:solidFill>
          </w14:textFill>
        </w:rPr>
        <w:t>；</w:t>
      </w:r>
    </w:p>
    <w:p w14:paraId="00769A41">
      <w:pPr>
        <w:numPr>
          <w:ilvl w:val="0"/>
          <w:numId w:val="21"/>
        </w:numPr>
        <w:bidi w:val="0"/>
        <w:ind w:left="0" w:leftChars="0" w:firstLine="42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竖向管线宜集中布置在供上下层、多系统管线连接的管道井内，应减少上下模块间的管线竖向连接，并按国家现行有关标准要求设计隔断和保护</w:t>
      </w:r>
      <w:r>
        <w:rPr>
          <w:rFonts w:hint="eastAsia"/>
          <w:color w:val="000000" w:themeColor="text1"/>
          <w:lang w:val="en-US" w:eastAsia="zh-CN"/>
          <w14:textFill>
            <w14:solidFill>
              <w14:schemeClr w14:val="tx1"/>
            </w14:solidFill>
          </w14:textFill>
        </w:rPr>
        <w:t>；</w:t>
      </w:r>
    </w:p>
    <w:p w14:paraId="50566214">
      <w:pPr>
        <w:numPr>
          <w:ilvl w:val="0"/>
          <w:numId w:val="21"/>
        </w:numPr>
        <w:bidi w:val="0"/>
        <w:ind w:left="0" w:leftChars="0" w:firstLine="42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水平管线宜利用上下层模块间的结构空隙空间进行布置，但应对管线采取保护措施</w:t>
      </w:r>
      <w:r>
        <w:rPr>
          <w:rFonts w:hint="eastAsia"/>
          <w:color w:val="000000" w:themeColor="text1"/>
          <w:lang w:val="en-US" w:eastAsia="zh-CN"/>
          <w14:textFill>
            <w14:solidFill>
              <w14:schemeClr w14:val="tx1"/>
            </w14:solidFill>
          </w14:textFill>
        </w:rPr>
        <w:t>；</w:t>
      </w:r>
    </w:p>
    <w:p w14:paraId="4D76E423">
      <w:pPr>
        <w:numPr>
          <w:ilvl w:val="0"/>
          <w:numId w:val="21"/>
        </w:numPr>
        <w:bidi w:val="0"/>
        <w:ind w:left="0" w:leftChars="0" w:firstLine="42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应尽量减少模块之间管线的水平连接</w:t>
      </w:r>
      <w:r>
        <w:rPr>
          <w:rFonts w:hint="eastAsia"/>
          <w:color w:val="000000" w:themeColor="text1"/>
          <w:lang w:val="en-US" w:eastAsia="zh-CN"/>
          <w14:textFill>
            <w14:solidFill>
              <w14:schemeClr w14:val="tx1"/>
            </w14:solidFill>
          </w14:textFill>
        </w:rPr>
        <w:t>；无</w:t>
      </w:r>
      <w:r>
        <w:rPr>
          <w:rFonts w:hint="default"/>
          <w:color w:val="000000" w:themeColor="text1"/>
          <w:lang w:val="en-US" w:eastAsia="zh-CN"/>
          <w14:textFill>
            <w14:solidFill>
              <w14:schemeClr w14:val="tx1"/>
            </w14:solidFill>
          </w14:textFill>
        </w:rPr>
        <w:t>法避免时，应进行柔性连接，以适应模块单元之间的相对移动</w:t>
      </w:r>
      <w:r>
        <w:rPr>
          <w:rFonts w:hint="eastAsia"/>
          <w:color w:val="000000" w:themeColor="text1"/>
          <w:lang w:val="en-US" w:eastAsia="zh-CN"/>
          <w14:textFill>
            <w14:solidFill>
              <w14:schemeClr w14:val="tx1"/>
            </w14:solidFill>
          </w14:textFill>
        </w:rPr>
        <w:t>；</w:t>
      </w:r>
    </w:p>
    <w:p w14:paraId="09B07692">
      <w:pPr>
        <w:numPr>
          <w:ilvl w:val="0"/>
          <w:numId w:val="21"/>
        </w:numPr>
        <w:bidi w:val="0"/>
        <w:ind w:left="0" w:leftChars="0" w:firstLine="42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预装于模块外侧的管线，应采取相应的防水、防腐、防结露和防撞击的防护措施</w:t>
      </w:r>
      <w:r>
        <w:rPr>
          <w:rFonts w:hint="eastAsia"/>
          <w:color w:val="000000" w:themeColor="text1"/>
          <w:lang w:val="en-US" w:eastAsia="zh-CN"/>
          <w14:textFill>
            <w14:solidFill>
              <w14:schemeClr w14:val="tx1"/>
            </w14:solidFill>
          </w14:textFill>
        </w:rPr>
        <w:t>；</w:t>
      </w:r>
    </w:p>
    <w:p w14:paraId="24E9B5DB">
      <w:pPr>
        <w:numPr>
          <w:ilvl w:val="0"/>
          <w:numId w:val="21"/>
        </w:numPr>
        <w:bidi w:val="0"/>
        <w:ind w:left="0" w:leftChars="0" w:firstLine="42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模块化房屋设备与管线穿越楼板和墙体时，应根据需要采取相应的防水、防火、隔声、密封等措施</w:t>
      </w:r>
      <w:r>
        <w:rPr>
          <w:rFonts w:hint="eastAsia"/>
          <w:color w:val="000000" w:themeColor="text1"/>
          <w:lang w:val="en-US" w:eastAsia="zh-CN"/>
          <w14:textFill>
            <w14:solidFill>
              <w14:schemeClr w14:val="tx1"/>
            </w14:solidFill>
          </w14:textFill>
        </w:rPr>
        <w:t>。</w:t>
      </w:r>
    </w:p>
    <w:p w14:paraId="0A3EA4E1">
      <w:pPr>
        <w:pStyle w:val="45"/>
        <w:numPr>
          <w:ilvl w:val="0"/>
          <w:numId w:val="0"/>
        </w:numPr>
        <w:bidi w:val="0"/>
        <w:ind w:leftChars="0"/>
        <w:rPr>
          <w:rFonts w:hint="default"/>
          <w:color w:val="000000" w:themeColor="text1"/>
          <w:lang w:val="en-US" w:eastAsia="zh-CN"/>
          <w14:textFill>
            <w14:solidFill>
              <w14:schemeClr w14:val="tx1"/>
            </w14:solidFill>
          </w14:textFill>
        </w:rPr>
      </w:pPr>
      <w:r>
        <w:rPr>
          <w:rStyle w:val="46"/>
          <w:rFonts w:hint="eastAsia"/>
          <w:b/>
          <w:bCs/>
          <w:color w:val="000000" w:themeColor="text1"/>
          <w:lang w:val="en-US" w:eastAsia="zh-CN"/>
          <w14:textFill>
            <w14:solidFill>
              <w14:schemeClr w14:val="tx1"/>
            </w14:solidFill>
          </w14:textFill>
        </w:rPr>
        <w:t>【条文说明】</w:t>
      </w:r>
      <w:r>
        <w:rPr>
          <w:rFonts w:hint="default"/>
          <w:color w:val="000000" w:themeColor="text1"/>
          <w:lang w:val="en-US" w:eastAsia="zh-CN"/>
          <w14:textFill>
            <w14:solidFill>
              <w14:schemeClr w14:val="tx1"/>
            </w14:solidFill>
          </w14:textFill>
        </w:rPr>
        <w:t>本条规定了设备管线的布置要求。</w:t>
      </w:r>
    </w:p>
    <w:p w14:paraId="08059D7F">
      <w:pPr>
        <w:pStyle w:val="45"/>
        <w:numPr>
          <w:ilvl w:val="0"/>
          <w:numId w:val="0"/>
        </w:numPr>
        <w:bidi w:val="0"/>
        <w:ind w:leftChars="0" w:firstLine="480" w:firstLineChars="200"/>
        <w:rPr>
          <w:rFonts w:hint="default"/>
          <w:lang w:val="en-US" w:eastAsia="zh-CN"/>
        </w:rPr>
      </w:pPr>
      <w:r>
        <w:rPr>
          <w:rFonts w:hint="eastAsia"/>
          <w:lang w:val="en-US" w:eastAsia="zh-CN"/>
        </w:rPr>
        <w:t>1</w:t>
      </w:r>
      <w:r>
        <w:rPr>
          <w:rFonts w:hint="default"/>
          <w:lang w:val="en-US" w:eastAsia="zh-CN"/>
        </w:rPr>
        <w:t xml:space="preserve"> 当受条件所限必须暗埋或穿越时，竖向布置的设备及管线需在模块单元的墙体、楼板中预留沟、槽、孔洞或套管。</w:t>
      </w:r>
    </w:p>
    <w:p w14:paraId="6ED70827">
      <w:pPr>
        <w:pStyle w:val="45"/>
        <w:numPr>
          <w:ilvl w:val="0"/>
          <w:numId w:val="0"/>
        </w:numPr>
        <w:bidi w:val="0"/>
        <w:ind w:leftChars="0" w:firstLine="480" w:firstLineChars="200"/>
        <w:rPr>
          <w:rFonts w:hint="default"/>
          <w:lang w:val="en-US" w:eastAsia="zh-CN"/>
        </w:rPr>
      </w:pPr>
      <w:r>
        <w:rPr>
          <w:rFonts w:hint="eastAsia"/>
          <w:lang w:val="en-US" w:eastAsia="zh-CN"/>
        </w:rPr>
        <w:t xml:space="preserve">2 </w:t>
      </w:r>
      <w:r>
        <w:rPr>
          <w:rFonts w:hint="default"/>
          <w:lang w:val="en-US" w:eastAsia="zh-CN"/>
        </w:rPr>
        <w:t>竖向管线宜集中布置于管井中。</w:t>
      </w:r>
    </w:p>
    <w:p w14:paraId="2A0413E4">
      <w:pPr>
        <w:pStyle w:val="45"/>
        <w:numPr>
          <w:ilvl w:val="0"/>
          <w:numId w:val="0"/>
        </w:numPr>
        <w:bidi w:val="0"/>
        <w:ind w:leftChars="0" w:firstLine="480" w:firstLineChars="200"/>
        <w:rPr>
          <w:rFonts w:hint="default"/>
          <w:lang w:val="en-US" w:eastAsia="zh-CN"/>
        </w:rPr>
      </w:pPr>
      <w:r>
        <w:rPr>
          <w:rFonts w:hint="eastAsia"/>
          <w:lang w:val="en-US" w:eastAsia="zh-CN"/>
        </w:rPr>
        <w:t>3</w:t>
      </w:r>
      <w:r>
        <w:rPr>
          <w:rFonts w:hint="default"/>
          <w:lang w:val="en-US" w:eastAsia="zh-CN"/>
        </w:rPr>
        <w:t xml:space="preserve"> 可利用建筑模块内地板或顶棚区域布置管线，若必须穿过钢梁构件时，其开孔位置、开孔直径和补强措施应满足国家现行有关标准的要求。预制构件上为管线、设备及其吊挂配件预留的孔洞、沟槽宜选择对构件受力影响最小的部位，当条件受限无法满足上述要求时，建筑和结构专业应采取相应的处理措施。设计过程中设备专业应与建筑和结构专业密切沟通，防止遗漏，以避免后期制作过程中对预制构件凿剔。</w:t>
      </w:r>
    </w:p>
    <w:p w14:paraId="40BB01C4">
      <w:pPr>
        <w:pStyle w:val="45"/>
        <w:numPr>
          <w:ilvl w:val="0"/>
          <w:numId w:val="0"/>
        </w:numPr>
        <w:bidi w:val="0"/>
        <w:ind w:leftChars="0" w:firstLine="480" w:firstLineChars="200"/>
        <w:rPr>
          <w:rFonts w:hint="default"/>
          <w:lang w:val="en-US" w:eastAsia="zh-CN"/>
        </w:rPr>
      </w:pPr>
      <w:r>
        <w:rPr>
          <w:rFonts w:hint="eastAsia"/>
          <w:lang w:val="en-US" w:eastAsia="zh-CN"/>
        </w:rPr>
        <w:t>4</w:t>
      </w:r>
      <w:r>
        <w:rPr>
          <w:rFonts w:hint="default"/>
          <w:lang w:val="en-US" w:eastAsia="zh-CN"/>
        </w:rPr>
        <w:t xml:space="preserve"> 当受条件所限必须进行模块之间的连接时，横向布置的设备及管线应结合建筑模块侧墙进行设计，也可在模块墙、楼板内预留孔洞或套管。由于模块之间可能出现相对位移，因此模块之间的管线连接节点应有一定的适应变形能力。</w:t>
      </w:r>
    </w:p>
    <w:p w14:paraId="5429BB3E">
      <w:pPr>
        <w:pStyle w:val="45"/>
        <w:numPr>
          <w:ilvl w:val="0"/>
          <w:numId w:val="0"/>
        </w:numPr>
        <w:bidi w:val="0"/>
        <w:ind w:leftChars="0" w:firstLine="480" w:firstLineChars="200"/>
        <w:rPr>
          <w:rFonts w:hint="default"/>
          <w:lang w:val="en-US" w:eastAsia="zh-CN"/>
        </w:rPr>
      </w:pPr>
      <w:r>
        <w:rPr>
          <w:rFonts w:hint="eastAsia"/>
          <w:lang w:val="en-US" w:eastAsia="zh-CN"/>
        </w:rPr>
        <w:t>5</w:t>
      </w:r>
      <w:r>
        <w:rPr>
          <w:rFonts w:hint="default"/>
          <w:lang w:val="en-US" w:eastAsia="zh-CN"/>
        </w:rPr>
        <w:t xml:space="preserve"> 管道宜采用预埋件或管卡等予以固定。设备管道与钢结构构件上的预留孔洞空隙处采用不燃柔性材料填充。</w:t>
      </w:r>
    </w:p>
    <w:p w14:paraId="0479CB4E">
      <w:pPr>
        <w:pStyle w:val="45"/>
        <w:numPr>
          <w:ilvl w:val="0"/>
          <w:numId w:val="0"/>
        </w:numPr>
        <w:bidi w:val="0"/>
        <w:ind w:leftChars="0" w:firstLine="480" w:firstLineChars="200"/>
        <w:rPr>
          <w:rFonts w:hint="default"/>
          <w:lang w:val="en-US" w:eastAsia="zh-CN"/>
        </w:rPr>
      </w:pPr>
    </w:p>
    <w:p w14:paraId="31B09C7F">
      <w:pPr>
        <w:numPr>
          <w:ilvl w:val="0"/>
          <w:numId w:val="19"/>
        </w:numPr>
        <w:bidi w:val="0"/>
        <w:rPr>
          <w:rFonts w:hint="default"/>
          <w:lang w:val="en-US" w:eastAsia="zh-CN"/>
        </w:rPr>
      </w:pPr>
      <w:r>
        <w:rPr>
          <w:rFonts w:hint="default"/>
          <w:lang w:val="en-US" w:eastAsia="zh-CN"/>
        </w:rPr>
        <w:t xml:space="preserve">公共管线、阀门、检修配件、计量仪表、电表箱、配电箱、弱电箱等应设置在公共区域(图 </w:t>
      </w:r>
      <w:r>
        <w:rPr>
          <w:rFonts w:hint="eastAsia"/>
          <w:lang w:val="en-US" w:eastAsia="zh-CN"/>
        </w:rPr>
        <w:t>4.5.6）</w:t>
      </w:r>
      <w:r>
        <w:rPr>
          <w:rFonts w:hint="default"/>
          <w:lang w:val="en-US" w:eastAsia="zh-CN"/>
        </w:rPr>
        <w:t>。</w:t>
      </w:r>
    </w:p>
    <w:p w14:paraId="4E96A896">
      <w:pPr>
        <w:pStyle w:val="43"/>
        <w:bidi w:val="0"/>
        <w:jc w:val="center"/>
        <w:rPr>
          <w:rFonts w:hint="default"/>
          <w:lang w:val="en-US" w:eastAsia="zh-CN"/>
        </w:rPr>
      </w:pPr>
      <w:r>
        <w:drawing>
          <wp:inline distT="0" distB="0" distL="114300" distR="114300">
            <wp:extent cx="4562475" cy="3300730"/>
            <wp:effectExtent l="0" t="0" r="9525" b="1397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24"/>
                    <a:stretch>
                      <a:fillRect/>
                    </a:stretch>
                  </pic:blipFill>
                  <pic:spPr>
                    <a:xfrm>
                      <a:off x="0" y="0"/>
                      <a:ext cx="4562475" cy="3300730"/>
                    </a:xfrm>
                    <a:prstGeom prst="rect">
                      <a:avLst/>
                    </a:prstGeom>
                    <a:noFill/>
                    <a:ln>
                      <a:noFill/>
                    </a:ln>
                  </pic:spPr>
                </pic:pic>
              </a:graphicData>
            </a:graphic>
          </wp:inline>
        </w:drawing>
      </w:r>
    </w:p>
    <w:p w14:paraId="15AC5F9C">
      <w:pPr>
        <w:bidi w:val="0"/>
        <w:rPr>
          <w:rFonts w:hint="default"/>
          <w:lang w:val="en-US" w:eastAsia="zh-CN"/>
        </w:rPr>
      </w:pPr>
    </w:p>
    <w:p w14:paraId="6D57DE88">
      <w:pPr>
        <w:bidi w:val="0"/>
        <w:jc w:val="center"/>
        <w:rPr>
          <w:rFonts w:hint="default"/>
          <w:lang w:val="en-US" w:eastAsia="zh-CN"/>
        </w:rPr>
      </w:pPr>
      <w:r>
        <w:rPr>
          <w:rFonts w:hint="eastAsia"/>
          <w:lang w:val="en-US" w:eastAsia="zh-CN"/>
        </w:rPr>
        <w:t>图4.5.6</w:t>
      </w:r>
      <w:r>
        <w:rPr>
          <w:rFonts w:hint="default"/>
          <w:lang w:val="en-US" w:eastAsia="zh-CN"/>
        </w:rPr>
        <w:t>模块建筑典型设备管道布置示意</w:t>
      </w:r>
    </w:p>
    <w:p w14:paraId="70A43F80">
      <w:pPr>
        <w:bidi w:val="0"/>
        <w:jc w:val="center"/>
        <w:rPr>
          <w:rFonts w:hint="default"/>
          <w:lang w:val="en-US" w:eastAsia="zh-CN"/>
        </w:rPr>
      </w:pPr>
      <w:r>
        <w:rPr>
          <w:rFonts w:hint="default"/>
          <w:lang w:val="en-US" w:eastAsia="zh-CN"/>
        </w:rPr>
        <w:t>l 现场安装填充板</w:t>
      </w:r>
      <w:r>
        <w:rPr>
          <w:rFonts w:hint="eastAsia"/>
          <w:lang w:val="en-US" w:eastAsia="zh-CN"/>
        </w:rPr>
        <w:t>；2</w:t>
      </w:r>
      <w:r>
        <w:rPr>
          <w:rFonts w:hint="default"/>
          <w:lang w:val="en-US" w:eastAsia="zh-CN"/>
        </w:rPr>
        <w:t>一检修门</w:t>
      </w:r>
      <w:r>
        <w:rPr>
          <w:rFonts w:hint="eastAsia"/>
          <w:lang w:val="en-US" w:eastAsia="zh-CN"/>
        </w:rPr>
        <w:t>；3</w:t>
      </w:r>
      <w:r>
        <w:rPr>
          <w:rFonts w:hint="default"/>
          <w:lang w:val="en-US" w:eastAsia="zh-CN"/>
        </w:rPr>
        <w:t>一排风管</w:t>
      </w:r>
      <w:r>
        <w:rPr>
          <w:rFonts w:hint="eastAsia"/>
          <w:lang w:val="en-US" w:eastAsia="zh-CN"/>
        </w:rPr>
        <w:t>；</w:t>
      </w:r>
      <w:r>
        <w:rPr>
          <w:rFonts w:hint="default"/>
          <w:lang w:val="en-US" w:eastAsia="zh-CN"/>
        </w:rPr>
        <w:t xml:space="preserve"> 4 排污管道浴</w:t>
      </w:r>
      <w:r>
        <w:rPr>
          <w:rFonts w:hint="eastAsia"/>
          <w:lang w:val="en-US" w:eastAsia="zh-CN"/>
        </w:rPr>
        <w:t>；</w:t>
      </w:r>
    </w:p>
    <w:p w14:paraId="600E3EE8">
      <w:pPr>
        <w:bidi w:val="0"/>
        <w:jc w:val="center"/>
        <w:rPr>
          <w:rFonts w:hint="default"/>
          <w:lang w:val="en-US" w:eastAsia="zh-CN"/>
        </w:rPr>
      </w:pPr>
      <w:r>
        <w:rPr>
          <w:rFonts w:hint="default"/>
          <w:lang w:val="en-US" w:eastAsia="zh-CN"/>
        </w:rPr>
        <w:t xml:space="preserve">5 </w:t>
      </w:r>
      <w:r>
        <w:rPr>
          <w:rFonts w:hint="eastAsia"/>
          <w:lang w:val="en-US" w:eastAsia="zh-CN"/>
        </w:rPr>
        <w:t>浴</w:t>
      </w:r>
      <w:r>
        <w:rPr>
          <w:rFonts w:hint="default"/>
          <w:lang w:val="en-US" w:eastAsia="zh-CN"/>
        </w:rPr>
        <w:t>室排风扇</w:t>
      </w:r>
      <w:r>
        <w:rPr>
          <w:rFonts w:hint="eastAsia"/>
          <w:lang w:val="en-US" w:eastAsia="zh-CN"/>
        </w:rPr>
        <w:t>；</w:t>
      </w:r>
      <w:r>
        <w:rPr>
          <w:rFonts w:hint="default"/>
          <w:lang w:val="en-US" w:eastAsia="zh-CN"/>
        </w:rPr>
        <w:t xml:space="preserve"> 6 密封条</w:t>
      </w:r>
      <w:r>
        <w:rPr>
          <w:rFonts w:hint="eastAsia"/>
          <w:lang w:val="en-US" w:eastAsia="zh-CN"/>
        </w:rPr>
        <w:t>；</w:t>
      </w:r>
      <w:r>
        <w:rPr>
          <w:rFonts w:hint="default"/>
          <w:lang w:val="en-US" w:eastAsia="zh-CN"/>
        </w:rPr>
        <w:t xml:space="preserve"> 7 相邻模块单元的墙体</w:t>
      </w:r>
      <w:r>
        <w:rPr>
          <w:rFonts w:hint="eastAsia"/>
          <w:lang w:val="en-US" w:eastAsia="zh-CN"/>
        </w:rPr>
        <w:t>；</w:t>
      </w:r>
    </w:p>
    <w:p w14:paraId="3825FEAC">
      <w:pPr>
        <w:bidi w:val="0"/>
        <w:jc w:val="center"/>
        <w:rPr>
          <w:rFonts w:hint="default"/>
          <w:lang w:val="en-US" w:eastAsia="zh-CN"/>
        </w:rPr>
      </w:pPr>
      <w:r>
        <w:rPr>
          <w:rFonts w:hint="default"/>
          <w:lang w:val="en-US" w:eastAsia="zh-CN"/>
        </w:rPr>
        <w:t>8 电气线槽</w:t>
      </w:r>
      <w:r>
        <w:rPr>
          <w:rFonts w:hint="eastAsia"/>
          <w:lang w:val="en-US" w:eastAsia="zh-CN"/>
        </w:rPr>
        <w:t>；9</w:t>
      </w:r>
      <w:r>
        <w:rPr>
          <w:rFonts w:hint="default"/>
          <w:lang w:val="en-US" w:eastAsia="zh-CN"/>
        </w:rPr>
        <w:t>一热水管</w:t>
      </w:r>
      <w:r>
        <w:rPr>
          <w:rFonts w:hint="eastAsia"/>
          <w:lang w:val="en-US" w:eastAsia="zh-CN"/>
        </w:rPr>
        <w:t>；</w:t>
      </w:r>
      <w:r>
        <w:rPr>
          <w:rFonts w:hint="default"/>
          <w:lang w:val="en-US" w:eastAsia="zh-CN"/>
        </w:rPr>
        <w:t xml:space="preserve"> 10一冷水管</w:t>
      </w:r>
    </w:p>
    <w:p w14:paraId="4FB1CA0D">
      <w:pPr>
        <w:bidi w:val="0"/>
        <w:rPr>
          <w:rStyle w:val="46"/>
          <w:rFonts w:hint="default"/>
          <w:lang w:val="en-US" w:eastAsia="zh-CN"/>
        </w:rPr>
      </w:pPr>
      <w:r>
        <w:rPr>
          <w:rStyle w:val="46"/>
          <w:rFonts w:hint="eastAsia"/>
          <w:b/>
          <w:bCs/>
          <w:lang w:val="en-US" w:eastAsia="zh-CN"/>
        </w:rPr>
        <w:t>【条文说明】</w:t>
      </w:r>
      <w:r>
        <w:rPr>
          <w:rStyle w:val="46"/>
          <w:rFonts w:hint="default"/>
          <w:lang w:val="en-US" w:eastAsia="zh-CN"/>
        </w:rPr>
        <w:t>将模块化</w:t>
      </w:r>
      <w:r>
        <w:rPr>
          <w:rStyle w:val="46"/>
          <w:rFonts w:hint="eastAsia"/>
          <w:lang w:val="en-US" w:eastAsia="zh-CN"/>
        </w:rPr>
        <w:t>钢结构房屋</w:t>
      </w:r>
      <w:r>
        <w:rPr>
          <w:rStyle w:val="46"/>
          <w:rFonts w:hint="default"/>
          <w:lang w:val="en-US" w:eastAsia="zh-CN"/>
        </w:rPr>
        <w:t>公共设备及管线布置在公共区域，便于安装与管理。</w:t>
      </w:r>
    </w:p>
    <w:p w14:paraId="2C34E6E7">
      <w:pPr>
        <w:bidi w:val="0"/>
        <w:rPr>
          <w:rStyle w:val="46"/>
          <w:rFonts w:hint="default"/>
          <w:lang w:val="en-US" w:eastAsia="zh-CN"/>
        </w:rPr>
      </w:pPr>
    </w:p>
    <w:p w14:paraId="523BC240">
      <w:pPr>
        <w:numPr>
          <w:ilvl w:val="0"/>
          <w:numId w:val="19"/>
        </w:num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配电系统应利用钢结构进行总等电位连接。防雷接地应与交流工作接地、安全保护接地等共用钢结构作为自然接地体。此时应按</w:t>
      </w:r>
      <w:r>
        <w:rPr>
          <w:rFonts w:hint="eastAsia"/>
          <w:color w:val="000000" w:themeColor="text1"/>
          <w:lang w:val="en-US" w:eastAsia="zh-CN"/>
          <w14:textFill>
            <w14:solidFill>
              <w14:schemeClr w14:val="tx1"/>
            </w14:solidFill>
          </w14:textFill>
        </w:rPr>
        <w:t>一</w:t>
      </w:r>
      <w:r>
        <w:rPr>
          <w:rFonts w:hint="default"/>
          <w:color w:val="000000" w:themeColor="text1"/>
          <w:lang w:val="en-US" w:eastAsia="zh-CN"/>
          <w14:textFill>
            <w14:solidFill>
              <w14:schemeClr w14:val="tx1"/>
            </w14:solidFill>
          </w14:textFill>
        </w:rPr>
        <w:t>定布置将基础预埋件与基础主筋连系焊接，达不到接地电阻值时应从钢模块结构构件另外引出接地极。</w:t>
      </w:r>
    </w:p>
    <w:p w14:paraId="4771B3FE">
      <w:pPr>
        <w:numPr>
          <w:ilvl w:val="0"/>
          <w:numId w:val="19"/>
        </w:num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水电暖设备以及管线的安装和测试都应在连接成一个整体后进行。模块化</w:t>
      </w:r>
      <w:r>
        <w:rPr>
          <w:rFonts w:hint="eastAsia"/>
          <w:color w:val="000000" w:themeColor="text1"/>
          <w:lang w:val="en-US" w:eastAsia="zh-CN"/>
          <w14:textFill>
            <w14:solidFill>
              <w14:schemeClr w14:val="tx1"/>
            </w14:solidFill>
          </w14:textFill>
        </w:rPr>
        <w:t>钢结构房屋</w:t>
      </w:r>
      <w:r>
        <w:rPr>
          <w:rFonts w:hint="default"/>
          <w:color w:val="000000" w:themeColor="text1"/>
          <w:lang w:val="en-US" w:eastAsia="zh-CN"/>
          <w14:textFill>
            <w14:solidFill>
              <w14:schemeClr w14:val="tx1"/>
            </w14:solidFill>
          </w14:textFill>
        </w:rPr>
        <w:t>结构与管线的连接点应采用牢固、耐震的柔性连接。</w:t>
      </w:r>
    </w:p>
    <w:p w14:paraId="752E1CD0">
      <w:pPr>
        <w:numPr>
          <w:ilvl w:val="0"/>
          <w:numId w:val="0"/>
        </w:numPr>
        <w:tabs>
          <w:tab w:val="left" w:pos="0"/>
        </w:tabs>
        <w:bidi w:val="0"/>
        <w:ind w:leftChars="0"/>
        <w:rPr>
          <w:rFonts w:hint="default"/>
          <w:color w:val="0000FF"/>
          <w:lang w:val="en-US" w:eastAsia="zh-CN"/>
        </w:rPr>
      </w:pPr>
      <w:r>
        <w:rPr>
          <w:rStyle w:val="46"/>
          <w:rFonts w:hint="eastAsia"/>
          <w:b/>
          <w:bCs/>
          <w:lang w:val="en-US" w:eastAsia="zh-CN"/>
        </w:rPr>
        <w:t>【条文说明】</w:t>
      </w:r>
      <w:r>
        <w:rPr>
          <w:rStyle w:val="46"/>
          <w:rFonts w:hint="eastAsia"/>
          <w:b w:val="0"/>
          <w:bCs w:val="0"/>
          <w:lang w:val="en-US" w:eastAsia="zh-CN"/>
        </w:rPr>
        <w:t>抗震设防烈度为6度及6度以上地区的建筑机电工程应按现行国家标准《建筑机电工程抗震设计规范》GB50981进行建筑机电抗震设计。四川省全区域的抗震设防烈度超过6度及6度以上，因此均需进行抗震设计。</w:t>
      </w:r>
    </w:p>
    <w:p w14:paraId="29A01C8A">
      <w:pPr>
        <w:numPr>
          <w:ilvl w:val="0"/>
          <w:numId w:val="19"/>
        </w:numPr>
        <w:bidi w:val="0"/>
        <w:rPr>
          <w:lang w:eastAsia="zh-CN"/>
        </w:rPr>
      </w:pPr>
      <w:r>
        <w:rPr>
          <w:lang w:eastAsia="zh-CN"/>
        </w:rPr>
        <w:t>电气调试和防雷接地应符合下列规定：</w:t>
      </w:r>
    </w:p>
    <w:p w14:paraId="0399730E">
      <w:pPr>
        <w:numPr>
          <w:ilvl w:val="0"/>
          <w:numId w:val="22"/>
        </w:numPr>
        <w:bidi w:val="0"/>
        <w:rPr>
          <w:lang w:eastAsia="zh-CN"/>
        </w:rPr>
      </w:pPr>
      <w:r>
        <w:rPr>
          <w:lang w:eastAsia="zh-CN"/>
        </w:rPr>
        <w:t>电气调试时应测试所有电气回路及电气设备的绝缘情况。调试过程中应做好调试记录，调试完成后应清除临时短接线和各种障碍物；</w:t>
      </w:r>
    </w:p>
    <w:p w14:paraId="1686AC1D">
      <w:pPr>
        <w:numPr>
          <w:ilvl w:val="0"/>
          <w:numId w:val="22"/>
        </w:numPr>
        <w:bidi w:val="0"/>
        <w:rPr>
          <w:lang w:eastAsia="zh-CN"/>
        </w:rPr>
      </w:pPr>
      <w:r>
        <w:rPr>
          <w:lang w:eastAsia="zh-CN"/>
        </w:rPr>
        <w:t>防雷接地电阻应使用接地电阻测试仪进行测试，接地电阻值应符合设计要求。当钢结构接地体无法满足接地电阻要求时，应增加人工接地极；</w:t>
      </w:r>
    </w:p>
    <w:p w14:paraId="26430170">
      <w:pPr>
        <w:numPr>
          <w:ilvl w:val="0"/>
          <w:numId w:val="22"/>
        </w:numPr>
        <w:bidi w:val="0"/>
        <w:rPr>
          <w:lang w:eastAsia="zh-CN"/>
        </w:rPr>
      </w:pPr>
      <w:r>
        <w:rPr>
          <w:lang w:eastAsia="zh-CN"/>
        </w:rPr>
        <w:t>现场应先完成防雷接地体的安装，并预留出模块单元的连接器件，待模块单元安装完成后，再将连接器件与模块单元进行连接；</w:t>
      </w:r>
    </w:p>
    <w:p w14:paraId="6CB1FC1D">
      <w:pPr>
        <w:numPr>
          <w:ilvl w:val="0"/>
          <w:numId w:val="22"/>
        </w:numPr>
        <w:bidi w:val="0"/>
        <w:spacing w:line="400" w:lineRule="exact"/>
        <w:ind w:left="0" w:leftChars="0" w:firstLine="420" w:firstLineChars="0"/>
        <w:rPr>
          <w:rFonts w:ascii="Times New Roman" w:hAnsi="Times New Roman" w:eastAsia="宋体" w:cs="Times New Roman"/>
          <w:sz w:val="24"/>
          <w:szCs w:val="20"/>
          <w:lang w:eastAsia="zh-CN"/>
        </w:rPr>
      </w:pPr>
      <w:r>
        <w:rPr>
          <w:rFonts w:ascii="Times New Roman" w:hAnsi="Times New Roman" w:eastAsia="宋体" w:cs="Times New Roman"/>
          <w:sz w:val="24"/>
          <w:szCs w:val="20"/>
          <w:lang w:eastAsia="zh-CN"/>
        </w:rPr>
        <w:t>利用顶层模块单元的屋面金属压顶做接闪带时，宜将同一模块单元内的金属压顶预先连接。</w:t>
      </w:r>
    </w:p>
    <w:p w14:paraId="34E0AAB2">
      <w:pPr>
        <w:bidi w:val="0"/>
        <w:rPr>
          <w:rFonts w:ascii="宋体" w:hAnsi="宋体" w:eastAsia="宋体" w:cs="宋体"/>
          <w:spacing w:val="5"/>
          <w:sz w:val="24"/>
          <w:szCs w:val="24"/>
          <w:lang w:eastAsia="zh-CN"/>
        </w:rPr>
      </w:pPr>
    </w:p>
    <w:p w14:paraId="54769126">
      <w:pPr>
        <w:bidi w:val="0"/>
        <w:rPr>
          <w:rFonts w:ascii="宋体" w:hAnsi="宋体" w:eastAsia="宋体" w:cs="宋体"/>
          <w:spacing w:val="5"/>
          <w:sz w:val="24"/>
          <w:szCs w:val="24"/>
          <w:lang w:eastAsia="zh-CN"/>
        </w:rPr>
      </w:pPr>
    </w:p>
    <w:p w14:paraId="694A64F3">
      <w:pPr>
        <w:bidi w:val="0"/>
        <w:rPr>
          <w:rFonts w:ascii="宋体" w:hAnsi="宋体" w:eastAsia="宋体" w:cs="宋体"/>
          <w:spacing w:val="5"/>
          <w:sz w:val="24"/>
          <w:szCs w:val="24"/>
          <w:lang w:eastAsia="zh-CN"/>
        </w:rPr>
      </w:pPr>
    </w:p>
    <w:p w14:paraId="3A548AF4">
      <w:pPr>
        <w:bidi w:val="0"/>
        <w:rPr>
          <w:rFonts w:ascii="宋体" w:hAnsi="宋体" w:eastAsia="宋体" w:cs="宋体"/>
          <w:spacing w:val="5"/>
          <w:sz w:val="24"/>
          <w:szCs w:val="24"/>
          <w:lang w:eastAsia="zh-CN"/>
        </w:rPr>
      </w:pPr>
    </w:p>
    <w:p w14:paraId="10ED39ED">
      <w:pPr>
        <w:bidi w:val="0"/>
        <w:rPr>
          <w:rFonts w:ascii="宋体" w:hAnsi="宋体" w:eastAsia="宋体" w:cs="宋体"/>
          <w:spacing w:val="5"/>
          <w:sz w:val="24"/>
          <w:szCs w:val="24"/>
          <w:lang w:eastAsia="zh-CN"/>
        </w:rPr>
      </w:pPr>
    </w:p>
    <w:p w14:paraId="589455D0">
      <w:pPr>
        <w:bidi w:val="0"/>
        <w:rPr>
          <w:rFonts w:ascii="宋体" w:hAnsi="宋体" w:eastAsia="宋体" w:cs="宋体"/>
          <w:spacing w:val="5"/>
          <w:sz w:val="24"/>
          <w:szCs w:val="24"/>
          <w:lang w:eastAsia="zh-CN"/>
        </w:rPr>
      </w:pPr>
    </w:p>
    <w:p w14:paraId="21A0FC75">
      <w:pPr>
        <w:bidi w:val="0"/>
        <w:rPr>
          <w:rFonts w:ascii="宋体" w:hAnsi="宋体" w:eastAsia="宋体" w:cs="宋体"/>
          <w:spacing w:val="5"/>
          <w:sz w:val="24"/>
          <w:szCs w:val="24"/>
          <w:lang w:eastAsia="zh-CN"/>
        </w:rPr>
      </w:pPr>
    </w:p>
    <w:p w14:paraId="0E9D3C46">
      <w:pPr>
        <w:bidi w:val="0"/>
        <w:rPr>
          <w:rFonts w:ascii="宋体" w:hAnsi="宋体" w:eastAsia="宋体" w:cs="宋体"/>
          <w:spacing w:val="5"/>
          <w:sz w:val="24"/>
          <w:szCs w:val="24"/>
          <w:lang w:eastAsia="zh-CN"/>
        </w:rPr>
      </w:pPr>
    </w:p>
    <w:p w14:paraId="24A04E79">
      <w:pPr>
        <w:bidi w:val="0"/>
        <w:rPr>
          <w:rFonts w:ascii="宋体" w:hAnsi="宋体" w:eastAsia="宋体" w:cs="宋体"/>
          <w:spacing w:val="5"/>
          <w:sz w:val="24"/>
          <w:szCs w:val="24"/>
          <w:lang w:eastAsia="zh-CN"/>
        </w:rPr>
      </w:pPr>
    </w:p>
    <w:p w14:paraId="3F9FF15A">
      <w:pPr>
        <w:bidi w:val="0"/>
        <w:rPr>
          <w:rFonts w:ascii="宋体" w:hAnsi="宋体" w:eastAsia="宋体" w:cs="宋体"/>
          <w:spacing w:val="5"/>
          <w:sz w:val="24"/>
          <w:szCs w:val="24"/>
          <w:lang w:eastAsia="zh-CN"/>
        </w:rPr>
      </w:pPr>
    </w:p>
    <w:p w14:paraId="55C99152">
      <w:pPr>
        <w:bidi w:val="0"/>
        <w:rPr>
          <w:rFonts w:ascii="宋体" w:hAnsi="宋体" w:eastAsia="宋体" w:cs="宋体"/>
          <w:spacing w:val="5"/>
          <w:sz w:val="24"/>
          <w:szCs w:val="24"/>
          <w:lang w:eastAsia="zh-CN"/>
        </w:rPr>
      </w:pPr>
    </w:p>
    <w:p w14:paraId="7C936E98">
      <w:pPr>
        <w:bidi w:val="0"/>
        <w:rPr>
          <w:rFonts w:ascii="宋体" w:hAnsi="宋体" w:eastAsia="宋体" w:cs="宋体"/>
          <w:spacing w:val="5"/>
          <w:sz w:val="24"/>
          <w:szCs w:val="24"/>
          <w:lang w:eastAsia="zh-CN"/>
        </w:rPr>
      </w:pPr>
    </w:p>
    <w:p w14:paraId="6C13ECBB">
      <w:pPr>
        <w:bidi w:val="0"/>
        <w:rPr>
          <w:rFonts w:ascii="宋体" w:hAnsi="宋体" w:eastAsia="宋体" w:cs="宋体"/>
          <w:spacing w:val="5"/>
          <w:sz w:val="24"/>
          <w:szCs w:val="24"/>
          <w:lang w:eastAsia="zh-CN"/>
        </w:rPr>
      </w:pPr>
    </w:p>
    <w:p w14:paraId="572261F4">
      <w:pPr>
        <w:bidi w:val="0"/>
        <w:rPr>
          <w:rFonts w:ascii="宋体" w:hAnsi="宋体" w:eastAsia="宋体" w:cs="宋体"/>
          <w:spacing w:val="5"/>
          <w:sz w:val="24"/>
          <w:szCs w:val="24"/>
          <w:lang w:eastAsia="zh-CN"/>
        </w:rPr>
      </w:pPr>
    </w:p>
    <w:p w14:paraId="5F03FDA7">
      <w:pPr>
        <w:bidi w:val="0"/>
        <w:rPr>
          <w:rFonts w:ascii="宋体" w:hAnsi="宋体" w:eastAsia="宋体" w:cs="宋体"/>
          <w:spacing w:val="5"/>
          <w:sz w:val="24"/>
          <w:szCs w:val="24"/>
          <w:lang w:eastAsia="zh-CN"/>
        </w:rPr>
      </w:pPr>
    </w:p>
    <w:p w14:paraId="47EB3157">
      <w:pPr>
        <w:bidi w:val="0"/>
        <w:rPr>
          <w:rFonts w:ascii="宋体" w:hAnsi="宋体" w:eastAsia="宋体" w:cs="宋体"/>
          <w:spacing w:val="5"/>
          <w:sz w:val="24"/>
          <w:szCs w:val="24"/>
          <w:lang w:eastAsia="zh-CN"/>
        </w:rPr>
      </w:pPr>
    </w:p>
    <w:p w14:paraId="6EB1F645">
      <w:pPr>
        <w:bidi w:val="0"/>
        <w:rPr>
          <w:rFonts w:ascii="宋体" w:hAnsi="宋体" w:eastAsia="宋体" w:cs="宋体"/>
          <w:spacing w:val="5"/>
          <w:sz w:val="24"/>
          <w:szCs w:val="24"/>
          <w:lang w:eastAsia="zh-CN"/>
        </w:rPr>
        <w:sectPr>
          <w:footerReference r:id="rId8" w:type="default"/>
          <w:pgSz w:w="11907" w:h="16839"/>
          <w:pgMar w:top="1134" w:right="1417" w:bottom="1134" w:left="1417" w:header="0" w:footer="989" w:gutter="0"/>
          <w:pgNumType w:fmt="decimal"/>
          <w:cols w:space="720" w:num="1"/>
        </w:sectPr>
      </w:pPr>
    </w:p>
    <w:p w14:paraId="02167BAD">
      <w:pPr>
        <w:pStyle w:val="2"/>
        <w:bidi w:val="0"/>
        <w:rPr>
          <w:lang w:val="en-US" w:eastAsia="zh-CN"/>
        </w:rPr>
      </w:pPr>
      <w:bookmarkStart w:id="26" w:name="_Toc29360"/>
      <w:r>
        <w:rPr>
          <w:rFonts w:hint="eastAsia"/>
          <w:lang w:val="en-US" w:eastAsia="zh-CN"/>
        </w:rPr>
        <w:t>5</w:t>
      </w:r>
      <w:r>
        <w:rPr>
          <w:lang w:val="en-US" w:eastAsia="zh-CN"/>
        </w:rPr>
        <w:t>结构设计</w:t>
      </w:r>
      <w:bookmarkEnd w:id="26"/>
    </w:p>
    <w:p w14:paraId="0F612525">
      <w:pPr>
        <w:pStyle w:val="3"/>
        <w:bidi w:val="0"/>
        <w:rPr>
          <w:lang w:val="en-US" w:eastAsia="zh-CN"/>
        </w:rPr>
      </w:pPr>
      <w:bookmarkStart w:id="27" w:name="_Toc24283"/>
      <w:r>
        <w:rPr>
          <w:lang w:val="en-US" w:eastAsia="zh-CN"/>
        </w:rPr>
        <w:t>5.1一般规定</w:t>
      </w:r>
      <w:bookmarkEnd w:id="27"/>
    </w:p>
    <w:p w14:paraId="7F7C71D2">
      <w:pPr>
        <w:numPr>
          <w:ilvl w:val="0"/>
          <w:numId w:val="23"/>
        </w:numPr>
        <w:bidi w:val="0"/>
        <w:ind w:left="0" w:leftChars="0" w:firstLine="0" w:firstLineChars="0"/>
        <w:rPr>
          <w:lang w:eastAsia="zh-CN"/>
        </w:rPr>
      </w:pPr>
      <w:r>
        <w:t>模块化钢结构</w:t>
      </w:r>
      <w:r>
        <w:rPr>
          <w:rFonts w:hint="eastAsia"/>
          <w:lang w:val="en-US" w:eastAsia="zh-CN"/>
        </w:rPr>
        <w:t>房屋</w:t>
      </w:r>
      <w:r>
        <w:rPr>
          <w:lang w:eastAsia="zh-CN"/>
        </w:rPr>
        <w:t>的安全等级和设计</w:t>
      </w:r>
      <w:r>
        <w:rPr>
          <w:rFonts w:hint="eastAsia"/>
          <w:lang w:val="en-US" w:eastAsia="zh-CN"/>
        </w:rPr>
        <w:t>工作</w:t>
      </w:r>
      <w:r>
        <w:rPr>
          <w:lang w:eastAsia="zh-CN"/>
        </w:rPr>
        <w:t>年限应符合现行国家标准《建筑结构可靠性设计统一标准》GB 50068和《工程结构可靠性设计统一标准》GB50153 的规定。结构</w:t>
      </w:r>
      <w:r>
        <w:rPr>
          <w:rFonts w:hint="eastAsia"/>
          <w:lang w:eastAsia="zh-CN"/>
        </w:rPr>
        <w:t>设计工作年限</w:t>
      </w:r>
      <w:r>
        <w:rPr>
          <w:lang w:eastAsia="zh-CN"/>
        </w:rPr>
        <w:t>为25年时，其</w:t>
      </w:r>
      <w:r>
        <w:rPr>
          <w:color w:val="000000" w:themeColor="text1"/>
          <w:lang w:eastAsia="zh-CN"/>
          <w14:textFill>
            <w14:solidFill>
              <w14:schemeClr w14:val="tx1"/>
            </w14:solidFill>
          </w14:textFill>
        </w:rPr>
        <w:t>相应的结构重要性系数不应小于0.95</w:t>
      </w:r>
      <w:r>
        <w:rPr>
          <w:rFonts w:hint="eastAsia"/>
          <w:lang w:eastAsia="zh-CN"/>
        </w:rPr>
        <w:t>。</w:t>
      </w:r>
    </w:p>
    <w:p w14:paraId="1312133B">
      <w:pPr>
        <w:pStyle w:val="45"/>
        <w:numPr>
          <w:ilvl w:val="0"/>
          <w:numId w:val="0"/>
        </w:numPr>
        <w:bidi w:val="0"/>
        <w:ind w:leftChars="0"/>
        <w:rPr>
          <w:rStyle w:val="46"/>
          <w:rFonts w:hint="eastAsia"/>
          <w:lang w:eastAsia="zh-CN"/>
        </w:rPr>
      </w:pPr>
      <w:r>
        <w:rPr>
          <w:rStyle w:val="46"/>
          <w:rFonts w:hint="eastAsia"/>
          <w:b/>
          <w:bCs/>
          <w:lang w:eastAsia="zh-CN"/>
        </w:rPr>
        <w:t>【</w:t>
      </w:r>
      <w:r>
        <w:rPr>
          <w:rStyle w:val="46"/>
          <w:rFonts w:hint="eastAsia"/>
          <w:b/>
          <w:bCs/>
          <w:lang w:val="en-US" w:eastAsia="zh-CN"/>
        </w:rPr>
        <w:t>条文说明</w:t>
      </w:r>
      <w:r>
        <w:rPr>
          <w:rStyle w:val="46"/>
          <w:rFonts w:hint="eastAsia"/>
          <w:b/>
          <w:bCs/>
          <w:lang w:eastAsia="zh-CN"/>
        </w:rPr>
        <w:t>】</w:t>
      </w:r>
      <w:r>
        <w:rPr>
          <w:rStyle w:val="46"/>
          <w:rFonts w:hint="eastAsia"/>
          <w:lang w:eastAsia="zh-CN"/>
        </w:rPr>
        <w:t>本标准的设计原则是根据现行国家标准《建筑结构可靠性设计统一标准》GB</w:t>
      </w:r>
      <w:r>
        <w:rPr>
          <w:rStyle w:val="46"/>
          <w:rFonts w:hint="eastAsia"/>
          <w:lang w:val="en-US" w:eastAsia="zh-CN"/>
        </w:rPr>
        <w:t xml:space="preserve"> </w:t>
      </w:r>
      <w:r>
        <w:rPr>
          <w:rStyle w:val="46"/>
          <w:rFonts w:hint="eastAsia"/>
          <w:lang w:eastAsia="zh-CN"/>
        </w:rPr>
        <w:t>50068和《工程结构可靠性设计统一标准》GB</w:t>
      </w:r>
      <w:r>
        <w:rPr>
          <w:rStyle w:val="46"/>
          <w:rFonts w:hint="eastAsia"/>
          <w:lang w:val="en-US" w:eastAsia="zh-CN"/>
        </w:rPr>
        <w:t xml:space="preserve"> </w:t>
      </w:r>
      <w:r>
        <w:rPr>
          <w:rStyle w:val="46"/>
          <w:rFonts w:hint="eastAsia"/>
          <w:lang w:eastAsia="zh-CN"/>
        </w:rPr>
        <w:t>50153的原则制订的。考虑到既有</w:t>
      </w:r>
      <w:r>
        <w:t>模块化钢结构</w:t>
      </w:r>
      <w:r>
        <w:rPr>
          <w:rFonts w:hint="eastAsia"/>
          <w:lang w:val="en-US" w:eastAsia="zh-CN"/>
        </w:rPr>
        <w:t>房屋</w:t>
      </w:r>
      <w:r>
        <w:rPr>
          <w:rStyle w:val="46"/>
          <w:rFonts w:hint="eastAsia"/>
          <w:lang w:eastAsia="zh-CN"/>
        </w:rPr>
        <w:t>建造灵活、便于迁建的特点，同时，模块可能经过使用或修复等情况，补充提出了构件设计工作年限可为25年的有关规定。</w:t>
      </w:r>
    </w:p>
    <w:p w14:paraId="18090512">
      <w:pPr>
        <w:pStyle w:val="45"/>
        <w:numPr>
          <w:ilvl w:val="0"/>
          <w:numId w:val="0"/>
        </w:numPr>
        <w:bidi w:val="0"/>
        <w:ind w:leftChars="0"/>
        <w:rPr>
          <w:rStyle w:val="46"/>
          <w:rFonts w:hint="eastAsia"/>
          <w:lang w:eastAsia="zh-CN"/>
        </w:rPr>
      </w:pPr>
    </w:p>
    <w:p w14:paraId="53CDE125">
      <w:pPr>
        <w:numPr>
          <w:ilvl w:val="0"/>
          <w:numId w:val="23"/>
        </w:numPr>
        <w:bidi w:val="0"/>
        <w:ind w:left="0" w:leftChars="0" w:firstLine="0" w:firstLineChars="0"/>
        <w:rPr>
          <w:rFonts w:hint="eastAsia"/>
          <w:strike/>
          <w:dstrike w:val="0"/>
          <w:color w:val="00B0F0"/>
          <w:lang w:eastAsia="zh-CN"/>
        </w:rPr>
      </w:pPr>
      <w:r>
        <w:rPr>
          <w:rFonts w:hint="eastAsia"/>
          <w:color w:val="00B0F0"/>
          <w:lang w:eastAsia="zh-CN"/>
        </w:rPr>
        <w:t> </w:t>
      </w:r>
      <w:r>
        <w:rPr>
          <w:rFonts w:hint="eastAsia"/>
          <w:lang w:eastAsia="zh-CN"/>
        </w:rPr>
        <w:t>结构设计应按承载力极限状态进行计算和正常使用极限状态进行验算。结构的计算应符合《钢结构设计标准》GB50017、《工程结构通用规范》GB 55001、《钢结构通用规范》GB 55006、《建筑与市政工程抗震通用规范》GB55002、《冷弯薄壁型钢结构技术规范》GB 50018和《建筑抗震设计标准》GB 50011、《装配式钢结构建筑技术标准》GB/T 51232</w:t>
      </w:r>
      <w:r>
        <w:rPr>
          <w:rFonts w:hint="eastAsia"/>
          <w:lang w:val="en-US" w:eastAsia="zh-CN"/>
        </w:rPr>
        <w:t>等国家现行有关标准</w:t>
      </w:r>
      <w:r>
        <w:rPr>
          <w:rFonts w:hint="eastAsia"/>
          <w:lang w:eastAsia="zh-CN"/>
        </w:rPr>
        <w:t>的规定。</w:t>
      </w:r>
    </w:p>
    <w:p w14:paraId="662654F4">
      <w:pPr>
        <w:pStyle w:val="45"/>
        <w:numPr>
          <w:ilvl w:val="0"/>
          <w:numId w:val="0"/>
        </w:numPr>
        <w:bidi w:val="0"/>
        <w:ind w:leftChars="0"/>
        <w:rPr>
          <w:rStyle w:val="46"/>
          <w:rFonts w:hint="eastAsia"/>
          <w:lang w:eastAsia="zh-CN"/>
        </w:rPr>
      </w:pPr>
      <w:r>
        <w:rPr>
          <w:rStyle w:val="46"/>
          <w:rFonts w:hint="eastAsia"/>
          <w:b/>
          <w:bCs/>
          <w:lang w:eastAsia="zh-CN"/>
        </w:rPr>
        <w:t>【</w:t>
      </w:r>
      <w:r>
        <w:rPr>
          <w:rStyle w:val="46"/>
          <w:rFonts w:hint="eastAsia"/>
          <w:b/>
          <w:bCs/>
          <w:lang w:val="en-US" w:eastAsia="zh-CN"/>
        </w:rPr>
        <w:t>条文说明</w:t>
      </w:r>
      <w:r>
        <w:rPr>
          <w:rStyle w:val="46"/>
          <w:rFonts w:hint="eastAsia"/>
          <w:b/>
          <w:bCs/>
          <w:lang w:eastAsia="zh-CN"/>
        </w:rPr>
        <w:t>】</w:t>
      </w:r>
      <w:r>
        <w:rPr>
          <w:rStyle w:val="46"/>
          <w:rFonts w:hint="eastAsia"/>
          <w:lang w:eastAsia="zh-CN"/>
        </w:rPr>
        <w:t xml:space="preserve"> 承载能力极限状态包括：构件或连接的强度破坏、脆性断裂，因过度变形而不适用于继续承载，结构和构件丧失稳定，结构转变为机动体系和结构倾覆。正常使用极限状态包括：影响结构、构件或非结构构件正常使用或外观的变形，影响结构正常使用的振动，影响正常使用或耐久性能的局部损坏。</w:t>
      </w:r>
    </w:p>
    <w:p w14:paraId="18D584F0">
      <w:pPr>
        <w:pStyle w:val="45"/>
        <w:numPr>
          <w:ilvl w:val="0"/>
          <w:numId w:val="0"/>
        </w:numPr>
        <w:bidi w:val="0"/>
        <w:ind w:leftChars="0"/>
        <w:rPr>
          <w:rStyle w:val="46"/>
          <w:rFonts w:hint="eastAsia"/>
          <w:lang w:eastAsia="zh-CN"/>
        </w:rPr>
      </w:pPr>
    </w:p>
    <w:p w14:paraId="03888BB1">
      <w:pPr>
        <w:numPr>
          <w:ilvl w:val="-1"/>
          <w:numId w:val="0"/>
        </w:numPr>
        <w:tabs>
          <w:tab w:val="left" w:pos="0"/>
        </w:tabs>
        <w:bidi w:val="0"/>
        <w:ind w:left="0" w:leftChars="0" w:firstLine="0" w:firstLineChars="0"/>
        <w:rPr>
          <w:lang w:eastAsia="zh-CN"/>
        </w:rPr>
      </w:pPr>
    </w:p>
    <w:p w14:paraId="69D0A597">
      <w:pPr>
        <w:numPr>
          <w:ilvl w:val="0"/>
          <w:numId w:val="23"/>
        </w:numPr>
        <w:bidi w:val="0"/>
        <w:ind w:left="0" w:leftChars="0" w:firstLine="0" w:firstLineChars="0"/>
        <w:rPr>
          <w:lang w:eastAsia="zh-CN"/>
        </w:rPr>
      </w:pPr>
      <w:r>
        <w:rPr>
          <w:rFonts w:hint="eastAsia"/>
          <w:lang w:val="en-US" w:eastAsia="zh-CN"/>
        </w:rPr>
        <w:t>模块化钢结构房屋应根据环境条件、材质、结构形式、使用要求、施工条件和维护管理条件等，按照《建筑钢结构防腐技术规程》JGJ251、《建筑钢结构防火技术规范》GB 51249等国家现行有关标准进行防腐蚀、防火设计</w:t>
      </w:r>
      <w:r>
        <w:rPr>
          <w:rFonts w:hint="eastAsia"/>
          <w:lang w:eastAsia="zh-CN"/>
        </w:rPr>
        <w:t>，</w:t>
      </w:r>
      <w:r>
        <w:rPr>
          <w:lang w:eastAsia="zh-CN"/>
        </w:rPr>
        <w:t>设计应明确提出防火和防腐蚀的技术要求与防护措施。</w:t>
      </w:r>
    </w:p>
    <w:p w14:paraId="0C11FF4A">
      <w:pPr>
        <w:pStyle w:val="45"/>
        <w:numPr>
          <w:ilvl w:val="0"/>
          <w:numId w:val="0"/>
        </w:numPr>
        <w:bidi w:val="0"/>
        <w:ind w:leftChars="0"/>
        <w:rPr>
          <w:rStyle w:val="46"/>
          <w:rFonts w:hint="eastAsia"/>
          <w:lang w:eastAsia="zh-CN"/>
        </w:rPr>
      </w:pPr>
      <w:r>
        <w:rPr>
          <w:rStyle w:val="46"/>
          <w:rFonts w:hint="eastAsia"/>
          <w:b/>
          <w:bCs/>
          <w:lang w:eastAsia="zh-CN"/>
        </w:rPr>
        <w:t>【</w:t>
      </w:r>
      <w:r>
        <w:rPr>
          <w:rStyle w:val="46"/>
          <w:rFonts w:hint="eastAsia"/>
          <w:b/>
          <w:bCs/>
          <w:lang w:val="en-US" w:eastAsia="zh-CN"/>
        </w:rPr>
        <w:t>条文说明</w:t>
      </w:r>
      <w:r>
        <w:rPr>
          <w:rStyle w:val="46"/>
          <w:rFonts w:hint="eastAsia"/>
          <w:b/>
          <w:bCs/>
          <w:lang w:eastAsia="zh-CN"/>
        </w:rPr>
        <w:t>】</w:t>
      </w:r>
      <w:r>
        <w:rPr>
          <w:rStyle w:val="46"/>
          <w:rFonts w:hint="eastAsia"/>
          <w:lang w:eastAsia="zh-CN"/>
        </w:rPr>
        <w:t>本条特别明确地提出了</w:t>
      </w:r>
      <w:r>
        <w:t>模块化钢结构</w:t>
      </w:r>
      <w:r>
        <w:rPr>
          <w:rFonts w:hint="eastAsia"/>
          <w:lang w:val="en-US" w:eastAsia="zh-CN"/>
        </w:rPr>
        <w:t>房屋</w:t>
      </w:r>
      <w:r>
        <w:rPr>
          <w:rStyle w:val="46"/>
          <w:rFonts w:hint="eastAsia"/>
          <w:lang w:eastAsia="zh-CN"/>
        </w:rPr>
        <w:t>设计文件应包括防火和防腐的内容，包括防火等级与防火构造措施、防腐蚀年限和表面处理及涂装构造技术要求以及使用维护要求等 。</w:t>
      </w:r>
    </w:p>
    <w:p w14:paraId="77B10BCE">
      <w:pPr>
        <w:pStyle w:val="45"/>
        <w:numPr>
          <w:ilvl w:val="0"/>
          <w:numId w:val="0"/>
        </w:numPr>
        <w:bidi w:val="0"/>
        <w:ind w:leftChars="0"/>
        <w:rPr>
          <w:rStyle w:val="46"/>
          <w:rFonts w:hint="eastAsia"/>
          <w:lang w:eastAsia="zh-CN"/>
        </w:rPr>
      </w:pPr>
    </w:p>
    <w:p w14:paraId="66BECA7F">
      <w:pPr>
        <w:numPr>
          <w:ilvl w:val="0"/>
          <w:numId w:val="23"/>
        </w:numPr>
        <w:bidi w:val="0"/>
        <w:ind w:left="0" w:leftChars="0" w:firstLine="0" w:firstLineChars="0"/>
        <w:rPr>
          <w:lang w:eastAsia="zh-CN"/>
        </w:rPr>
      </w:pPr>
      <w:r>
        <w:rPr>
          <w:rFonts w:hint="eastAsia"/>
          <w:lang w:eastAsia="zh-CN"/>
        </w:rPr>
        <w:t>模块化钢结构房屋应综合考虑生产工艺、产品运输、安装工艺和工序等因素进行结构设计</w:t>
      </w:r>
      <w:r>
        <w:rPr>
          <w:rFonts w:hint="eastAsia"/>
          <w:lang w:val="en-US" w:eastAsia="zh-CN"/>
        </w:rPr>
        <w:t>。</w:t>
      </w:r>
    </w:p>
    <w:p w14:paraId="584AEA9F">
      <w:pPr>
        <w:pStyle w:val="45"/>
        <w:numPr>
          <w:ilvl w:val="0"/>
          <w:numId w:val="0"/>
        </w:numPr>
        <w:bidi w:val="0"/>
        <w:ind w:leftChars="0"/>
        <w:rPr>
          <w:rStyle w:val="46"/>
          <w:rFonts w:hint="eastAsia"/>
          <w:lang w:eastAsia="zh-CN"/>
        </w:rPr>
      </w:pPr>
      <w:r>
        <w:rPr>
          <w:rStyle w:val="46"/>
          <w:rFonts w:hint="eastAsia"/>
          <w:b/>
          <w:bCs/>
          <w:lang w:eastAsia="zh-CN"/>
        </w:rPr>
        <w:t>【</w:t>
      </w:r>
      <w:r>
        <w:rPr>
          <w:rStyle w:val="46"/>
          <w:rFonts w:hint="eastAsia"/>
          <w:b/>
          <w:bCs/>
          <w:lang w:val="en-US" w:eastAsia="zh-CN"/>
        </w:rPr>
        <w:t>条文说明</w:t>
      </w:r>
      <w:r>
        <w:rPr>
          <w:rStyle w:val="46"/>
          <w:rFonts w:hint="eastAsia"/>
          <w:b/>
          <w:bCs/>
          <w:lang w:eastAsia="zh-CN"/>
        </w:rPr>
        <w:t>】</w:t>
      </w:r>
      <w:r>
        <w:rPr>
          <w:rStyle w:val="46"/>
          <w:rFonts w:hint="eastAsia"/>
          <w:lang w:eastAsia="zh-CN"/>
        </w:rPr>
        <w:t>由于模块构件在工厂中预制生产，应满足流水线作业的有关要求，以提高生产效率。</w:t>
      </w:r>
    </w:p>
    <w:p w14:paraId="3463E464">
      <w:pPr>
        <w:pStyle w:val="45"/>
        <w:numPr>
          <w:ilvl w:val="0"/>
          <w:numId w:val="0"/>
        </w:numPr>
        <w:bidi w:val="0"/>
        <w:ind w:leftChars="0"/>
        <w:rPr>
          <w:rStyle w:val="46"/>
          <w:rFonts w:hint="eastAsia"/>
          <w:lang w:eastAsia="zh-CN"/>
        </w:rPr>
      </w:pPr>
    </w:p>
    <w:p w14:paraId="11B9C695">
      <w:pPr>
        <w:numPr>
          <w:ilvl w:val="0"/>
          <w:numId w:val="23"/>
        </w:numPr>
        <w:bidi w:val="0"/>
        <w:ind w:left="0" w:leftChars="0" w:firstLine="0" w:firstLineChars="0"/>
        <w:rPr>
          <w:lang w:eastAsia="zh-CN"/>
        </w:rPr>
      </w:pPr>
      <w:r>
        <w:rPr>
          <w:rFonts w:hint="eastAsia"/>
          <w:lang w:eastAsia="zh-CN"/>
        </w:rPr>
        <w:t>模块化钢结构房屋的作用及作用组合应</w:t>
      </w:r>
      <w:r>
        <w:rPr>
          <w:rFonts w:hint="eastAsia"/>
          <w:lang w:val="en-US" w:eastAsia="zh-CN"/>
        </w:rPr>
        <w:t>符合</w:t>
      </w:r>
      <w:r>
        <w:rPr>
          <w:rFonts w:hint="eastAsia"/>
          <w:lang w:eastAsia="zh-CN"/>
        </w:rPr>
        <w:t>《工程结构通用规范》GB55001、《建筑结构荷载规范》GB50009等国家现行标准</w:t>
      </w:r>
      <w:r>
        <w:rPr>
          <w:rFonts w:hint="eastAsia"/>
          <w:lang w:val="en-US" w:eastAsia="zh-CN"/>
        </w:rPr>
        <w:t>的</w:t>
      </w:r>
      <w:r>
        <w:rPr>
          <w:rFonts w:hint="eastAsia"/>
          <w:lang w:eastAsia="zh-CN"/>
        </w:rPr>
        <w:t>规定。</w:t>
      </w:r>
    </w:p>
    <w:p w14:paraId="345C2C72">
      <w:pPr>
        <w:numPr>
          <w:ilvl w:val="0"/>
          <w:numId w:val="23"/>
        </w:numPr>
        <w:bidi w:val="0"/>
        <w:ind w:left="0" w:leftChars="0" w:firstLine="0" w:firstLineChars="0"/>
        <w:rPr>
          <w:lang w:eastAsia="zh-CN"/>
        </w:rPr>
      </w:pPr>
      <w:r>
        <w:rPr>
          <w:lang w:eastAsia="zh-CN"/>
        </w:rPr>
        <w:t>模块单元制作、</w:t>
      </w:r>
      <w:r>
        <w:rPr>
          <w:rFonts w:hint="eastAsia"/>
          <w:lang w:val="en-US" w:eastAsia="zh-CN"/>
        </w:rPr>
        <w:t>运输、</w:t>
      </w:r>
      <w:r>
        <w:rPr>
          <w:lang w:eastAsia="zh-CN"/>
        </w:rPr>
        <w:t>吊装、</w:t>
      </w:r>
      <w:r>
        <w:rPr>
          <w:rFonts w:hint="eastAsia"/>
          <w:lang w:val="en-US" w:eastAsia="zh-CN"/>
        </w:rPr>
        <w:t>等短暂设计状况下的施工验算</w:t>
      </w:r>
      <w:r>
        <w:rPr>
          <w:lang w:eastAsia="zh-CN"/>
        </w:rPr>
        <w:t>，作用在模块单元顶板上的施工荷载应按实际考虑，并宜采取合理的吊装方法减小施工荷载，当不具备必要的施工条件时，</w:t>
      </w:r>
      <w:r>
        <w:rPr>
          <w:rFonts w:hint="eastAsia"/>
          <w:lang w:val="en-US" w:eastAsia="zh-CN"/>
        </w:rPr>
        <w:t>吊装</w:t>
      </w:r>
      <w:r>
        <w:rPr>
          <w:lang w:eastAsia="zh-CN"/>
        </w:rPr>
        <w:t>施工荷载取值不宜小于</w:t>
      </w:r>
      <w:r>
        <w:rPr>
          <w:color w:val="auto"/>
          <w:lang w:eastAsia="zh-CN"/>
        </w:rPr>
        <w:t>1.0kN</w:t>
      </w:r>
      <w:r>
        <w:rPr>
          <w:lang w:eastAsia="zh-CN"/>
        </w:rPr>
        <w:t>。楼面二次装修荷载应按实际考虑</w:t>
      </w:r>
      <w:r>
        <w:rPr>
          <w:rFonts w:hint="eastAsia"/>
          <w:lang w:eastAsia="zh-CN"/>
        </w:rPr>
        <w:t>，</w:t>
      </w:r>
      <w:r>
        <w:rPr>
          <w:rFonts w:hint="eastAsia"/>
          <w:lang w:val="en-US" w:eastAsia="zh-CN"/>
        </w:rPr>
        <w:t>且</w:t>
      </w:r>
      <w:r>
        <w:rPr>
          <w:lang w:eastAsia="zh-CN"/>
        </w:rPr>
        <w:t>不宜小于0.8kN/m²。</w:t>
      </w:r>
    </w:p>
    <w:p w14:paraId="369FB75C">
      <w:pPr>
        <w:keepNext w:val="0"/>
        <w:keepLines w:val="0"/>
        <w:pageBreakBefore w:val="0"/>
        <w:widowControl w:val="0"/>
        <w:numPr>
          <w:ilvl w:val="0"/>
          <w:numId w:val="0"/>
        </w:numPr>
        <w:tabs>
          <w:tab w:val="left" w:pos="0"/>
        </w:tabs>
        <w:kinsoku/>
        <w:wordWrap/>
        <w:overflowPunct/>
        <w:topLinePunct w:val="0"/>
        <w:autoSpaceDE/>
        <w:autoSpaceDN/>
        <w:bidi w:val="0"/>
        <w:adjustRightInd/>
        <w:snapToGrid/>
        <w:textAlignment w:val="auto"/>
        <w:rPr>
          <w:lang w:eastAsia="zh-CN"/>
        </w:rPr>
      </w:pPr>
      <w:r>
        <w:rPr>
          <w:rStyle w:val="46"/>
          <w:rFonts w:hint="eastAsia"/>
          <w:b/>
          <w:bCs/>
          <w:lang w:eastAsia="zh-CN"/>
        </w:rPr>
        <w:t>【</w:t>
      </w:r>
      <w:r>
        <w:rPr>
          <w:rStyle w:val="46"/>
          <w:rFonts w:hint="eastAsia"/>
          <w:b/>
          <w:bCs/>
          <w:lang w:val="en-US" w:eastAsia="zh-CN"/>
        </w:rPr>
        <w:t>条文说明</w:t>
      </w:r>
      <w:r>
        <w:rPr>
          <w:rStyle w:val="46"/>
          <w:rFonts w:hint="eastAsia"/>
          <w:b/>
          <w:bCs/>
          <w:lang w:eastAsia="zh-CN"/>
        </w:rPr>
        <w:t>】</w:t>
      </w:r>
      <w:r>
        <w:rPr>
          <w:rStyle w:val="46"/>
          <w:rFonts w:hint="eastAsia"/>
          <w:lang w:eastAsia="zh-CN"/>
        </w:rPr>
        <w:t>对于</w:t>
      </w:r>
      <w:r>
        <w:rPr>
          <w:rStyle w:val="46"/>
          <w:rFonts w:hint="eastAsia"/>
          <w:lang w:val="en-US" w:eastAsia="zh-CN"/>
        </w:rPr>
        <w:t>模块化钢结构</w:t>
      </w:r>
      <w:r>
        <w:rPr>
          <w:rStyle w:val="46"/>
          <w:rFonts w:hint="eastAsia"/>
          <w:lang w:eastAsia="zh-CN"/>
        </w:rPr>
        <w:t>房屋，吊装荷载应按实际情况进行验算。由于模块安装引起的模块单元顶棚上的施工荷载应按实际验算，且为保证安全，荷载不宜小于本条中规定的限值</w:t>
      </w:r>
      <w:r>
        <w:rPr>
          <w:rStyle w:val="46"/>
          <w:rFonts w:hint="eastAsia"/>
          <w:lang w:val="en-US" w:eastAsia="zh-CN"/>
        </w:rPr>
        <w:t>。模块安装完毕之后需进行二次装修，引起的楼面荷载也应按实际考虑，且不宜小于本条中规定的限值。</w:t>
      </w:r>
    </w:p>
    <w:p w14:paraId="2DE58AA3">
      <w:pPr>
        <w:numPr>
          <w:ilvl w:val="0"/>
          <w:numId w:val="23"/>
        </w:numPr>
        <w:bidi w:val="0"/>
        <w:ind w:left="0" w:leftChars="0" w:firstLine="0" w:firstLineChars="0"/>
        <w:rPr>
          <w:color w:val="FF0000"/>
          <w:lang w:eastAsia="zh-CN"/>
        </w:rPr>
      </w:pPr>
      <w:r>
        <w:rPr>
          <w:lang w:eastAsia="zh-CN"/>
        </w:rPr>
        <w:t>支撑布置应与建筑门窗布置相协调，且支撑外边缘尺寸不应超过梁外边缘，当楼层大于4层时，应根据实际设计加入局部侧向支撑。</w:t>
      </w:r>
    </w:p>
    <w:p w14:paraId="3E114C19">
      <w:pPr>
        <w:numPr>
          <w:ilvl w:val="0"/>
          <w:numId w:val="23"/>
        </w:numPr>
        <w:bidi w:val="0"/>
        <w:ind w:left="0" w:leftChars="0" w:firstLine="0" w:firstLineChars="0"/>
        <w:rPr>
          <w:strike/>
          <w:dstrike w:val="0"/>
          <w:lang w:eastAsia="zh-CN"/>
        </w:rPr>
      </w:pPr>
      <w:r>
        <w:rPr>
          <w:rFonts w:hint="eastAsia"/>
          <w:lang w:val="en-US" w:eastAsia="zh-CN"/>
        </w:rPr>
        <w:t>模块</w:t>
      </w:r>
      <w:r>
        <w:rPr>
          <w:lang w:eastAsia="zh-CN"/>
        </w:rPr>
        <w:t>墙壁有开孔并引起整体刚度有较大削弱时，宜采用有孔模块与无孔模块错列对称布置等措施。</w:t>
      </w:r>
    </w:p>
    <w:p w14:paraId="71F02F94">
      <w:pPr>
        <w:pStyle w:val="3"/>
        <w:bidi w:val="0"/>
        <w:rPr>
          <w:rFonts w:hint="eastAsia"/>
          <w:lang w:val="en-US" w:eastAsia="zh-CN"/>
        </w:rPr>
      </w:pPr>
      <w:bookmarkStart w:id="28" w:name="_Toc24777"/>
      <w:r>
        <w:rPr>
          <w:rFonts w:hint="eastAsia"/>
          <w:lang w:val="en-US" w:eastAsia="zh-CN"/>
        </w:rPr>
        <w:t>5.2模块单元</w:t>
      </w:r>
      <w:bookmarkEnd w:id="28"/>
    </w:p>
    <w:p w14:paraId="033A1CBC">
      <w:pPr>
        <w:numPr>
          <w:ilvl w:val="0"/>
          <w:numId w:val="24"/>
        </w:numPr>
        <w:bidi w:val="0"/>
        <w:ind w:left="0" w:leftChars="0" w:firstLine="0" w:firstLineChars="0"/>
        <w:rPr>
          <w:rFonts w:hint="default"/>
          <w:lang w:val="en-US" w:eastAsia="zh-CN"/>
        </w:rPr>
      </w:pPr>
      <w:r>
        <w:rPr>
          <w:rFonts w:hint="default"/>
          <w:lang w:val="en-US" w:eastAsia="zh-CN"/>
        </w:rPr>
        <w:t>模块单元应为几何不变体，并应能够承担自身的重力荷载以及整体结构的效应。</w:t>
      </w:r>
    </w:p>
    <w:p w14:paraId="632E3B6F">
      <w:pPr>
        <w:numPr>
          <w:ilvl w:val="0"/>
          <w:numId w:val="24"/>
        </w:numPr>
        <w:bidi w:val="0"/>
        <w:ind w:left="0" w:leftChars="0" w:firstLine="0" w:firstLineChars="0"/>
        <w:rPr>
          <w:rFonts w:hint="default"/>
          <w:lang w:val="en-US" w:eastAsia="zh-CN"/>
        </w:rPr>
      </w:pPr>
      <w:r>
        <w:rPr>
          <w:rFonts w:hint="default"/>
          <w:lang w:val="en-US" w:eastAsia="zh-CN"/>
        </w:rPr>
        <w:t>模块单元可采用墙承重模块单元和柱承重模块单元。墙承重模块单元不宜用于3层以上的建筑。墙承重模块单元中的墙体若不能直接传力，应在墙体对应位置的楼板空间内设置梯形桁架以实现竖向荷载的传递。</w:t>
      </w:r>
    </w:p>
    <w:p w14:paraId="4B78B7B7">
      <w:pPr>
        <w:numPr>
          <w:ilvl w:val="0"/>
          <w:numId w:val="24"/>
        </w:numPr>
        <w:bidi w:val="0"/>
        <w:ind w:left="0" w:leftChars="0" w:firstLine="0" w:firstLineChars="0"/>
        <w:rPr>
          <w:rFonts w:hint="default"/>
          <w:lang w:val="en-US" w:eastAsia="zh-CN"/>
        </w:rPr>
      </w:pPr>
      <w:r>
        <w:rPr>
          <w:rFonts w:hint="default"/>
          <w:lang w:val="en-US" w:eastAsia="zh-CN"/>
        </w:rPr>
        <w:t>楼板和承重墙可采用70mm~100mm高，1.5mm~6.0mm厚的卷边</w:t>
      </w:r>
      <w:r>
        <w:rPr>
          <w:rFonts w:hint="eastAsia"/>
          <w:lang w:val="en-US" w:eastAsia="zh-CN"/>
        </w:rPr>
        <w:t>C型</w:t>
      </w:r>
      <w:r>
        <w:rPr>
          <w:rFonts w:hint="default"/>
          <w:lang w:val="en-US" w:eastAsia="zh-CN"/>
        </w:rPr>
        <w:t>钢</w:t>
      </w:r>
      <w:r>
        <w:rPr>
          <w:rFonts w:hint="eastAsia"/>
          <w:lang w:val="en-US" w:eastAsia="zh-CN"/>
        </w:rPr>
        <w:t>，</w:t>
      </w:r>
      <w:r>
        <w:rPr>
          <w:rFonts w:hint="default"/>
          <w:lang w:val="en-US" w:eastAsia="zh-CN"/>
        </w:rPr>
        <w:t>按400mm或600mm间距沿墙竖直布置。荷载较大时，可按600mm的间距成对布置，并应进行墙体稳定性验算。</w:t>
      </w:r>
    </w:p>
    <w:p w14:paraId="1CC1F25C">
      <w:pPr>
        <w:numPr>
          <w:ilvl w:val="0"/>
          <w:numId w:val="0"/>
        </w:numPr>
        <w:tabs>
          <w:tab w:val="left" w:pos="0"/>
        </w:tabs>
        <w:bidi w:val="0"/>
        <w:ind w:leftChars="0"/>
        <w:rPr>
          <w:rFonts w:hint="default"/>
          <w:lang w:val="en-US" w:eastAsia="zh-CN"/>
        </w:rPr>
      </w:pPr>
      <w:r>
        <w:rPr>
          <w:rStyle w:val="46"/>
          <w:rFonts w:hint="eastAsia"/>
          <w:b/>
          <w:bCs/>
          <w:lang w:eastAsia="zh-CN"/>
        </w:rPr>
        <w:t>【</w:t>
      </w:r>
      <w:r>
        <w:rPr>
          <w:rStyle w:val="46"/>
          <w:rFonts w:hint="eastAsia"/>
          <w:b/>
          <w:bCs/>
          <w:lang w:val="en-US" w:eastAsia="zh-CN"/>
        </w:rPr>
        <w:t>条文说明</w:t>
      </w:r>
      <w:r>
        <w:rPr>
          <w:rStyle w:val="46"/>
          <w:rFonts w:hint="eastAsia"/>
          <w:b/>
          <w:bCs/>
          <w:lang w:eastAsia="zh-CN"/>
        </w:rPr>
        <w:t>】</w:t>
      </w:r>
      <w:r>
        <w:rPr>
          <w:rStyle w:val="46"/>
          <w:rFonts w:hint="default"/>
          <w:lang w:val="en-US" w:eastAsia="zh-CN"/>
        </w:rPr>
        <w:t>楼板和墙体中使用的薄钢构件一般为C形钢，可根据设计要求，按一定间距以单个或成对(即“背靠背”C形钢)形式布置。</w:t>
      </w:r>
    </w:p>
    <w:p w14:paraId="19A8649A">
      <w:pPr>
        <w:numPr>
          <w:ilvl w:val="0"/>
          <w:numId w:val="24"/>
        </w:numPr>
        <w:bidi w:val="0"/>
        <w:ind w:left="0" w:leftChars="0" w:firstLine="0" w:firstLineChars="0"/>
        <w:rPr>
          <w:rFonts w:hint="default"/>
          <w:lang w:val="en-US" w:eastAsia="zh-CN"/>
        </w:rPr>
      </w:pPr>
      <w:r>
        <w:rPr>
          <w:rFonts w:hint="default"/>
          <w:lang w:val="en-US" w:eastAsia="zh-CN"/>
        </w:rPr>
        <w:t>模块墙板可采用水泥刨花板、防水胶合板、定向刨花板和防水石膏板以及其他合适的板材，并应与墙体构件有效连接，螺钉应按不小于 300mm 的间距布置在板中。</w:t>
      </w:r>
    </w:p>
    <w:p w14:paraId="792A0EE7">
      <w:pPr>
        <w:numPr>
          <w:ilvl w:val="0"/>
          <w:numId w:val="24"/>
        </w:numPr>
        <w:bidi w:val="0"/>
        <w:ind w:left="0" w:leftChars="0" w:firstLine="0" w:firstLineChars="0"/>
        <w:rPr>
          <w:rFonts w:hint="default"/>
          <w:lang w:val="en-US" w:eastAsia="zh-CN"/>
        </w:rPr>
      </w:pPr>
      <w:r>
        <w:rPr>
          <w:rFonts w:hint="default"/>
          <w:lang w:val="en-US" w:eastAsia="zh-CN"/>
        </w:rPr>
        <w:t>模块楼板采用压型钢板组合楼板时，压型钢板与钢骨架应有可靠的结构连接</w:t>
      </w:r>
      <w:r>
        <w:rPr>
          <w:rFonts w:hint="eastAsia"/>
          <w:lang w:val="en-US" w:eastAsia="zh-CN"/>
        </w:rPr>
        <w:t>；</w:t>
      </w:r>
      <w:r>
        <w:rPr>
          <w:rFonts w:hint="default"/>
          <w:lang w:val="en-US" w:eastAsia="zh-CN"/>
        </w:rPr>
        <w:t>采用复合板或轻钢龙骨楼板时，应增加次梁数量，或设置楼板内水平支撑。</w:t>
      </w:r>
    </w:p>
    <w:p w14:paraId="06B52B89">
      <w:pPr>
        <w:numPr>
          <w:ilvl w:val="0"/>
          <w:numId w:val="24"/>
        </w:numPr>
        <w:bidi w:val="0"/>
        <w:ind w:left="0" w:leftChars="0" w:firstLine="0" w:firstLineChars="0"/>
        <w:rPr>
          <w:rFonts w:hint="default"/>
          <w:lang w:val="en-US" w:eastAsia="zh-CN"/>
        </w:rPr>
      </w:pPr>
      <w:r>
        <w:rPr>
          <w:rFonts w:hint="default"/>
          <w:lang w:val="en-US" w:eastAsia="zh-CN"/>
        </w:rPr>
        <w:t xml:space="preserve"> 轻钢龙骨楼板可采用150mm~200mm高、1.2mm~1.5mm厚的</w:t>
      </w:r>
      <w:r>
        <w:rPr>
          <w:rFonts w:hint="eastAsia"/>
          <w:lang w:val="en-US" w:eastAsia="zh-CN"/>
        </w:rPr>
        <w:t>C型</w:t>
      </w:r>
      <w:r>
        <w:rPr>
          <w:rFonts w:hint="default"/>
          <w:lang w:val="en-US" w:eastAsia="zh-CN"/>
        </w:rPr>
        <w:t>钢，按400mm间距布置，其上翼缘应与板可靠连接。</w:t>
      </w:r>
    </w:p>
    <w:p w14:paraId="21DFE008">
      <w:pPr>
        <w:numPr>
          <w:ilvl w:val="0"/>
          <w:numId w:val="24"/>
        </w:numPr>
        <w:bidi w:val="0"/>
        <w:ind w:left="0" w:leftChars="0" w:firstLine="0" w:firstLineChars="0"/>
        <w:rPr>
          <w:rFonts w:hint="default"/>
          <w:lang w:val="en-US" w:eastAsia="zh-CN"/>
        </w:rPr>
      </w:pPr>
      <w:r>
        <w:rPr>
          <w:rFonts w:hint="default"/>
          <w:lang w:val="en-US" w:eastAsia="zh-CN"/>
        </w:rPr>
        <w:t>模块顶板为非承重板，当有其他使用荷载作用时应进行验算补强</w:t>
      </w:r>
      <w:r>
        <w:rPr>
          <w:rFonts w:hint="eastAsia"/>
          <w:lang w:val="en-US" w:eastAsia="zh-CN"/>
        </w:rPr>
        <w:t>；</w:t>
      </w:r>
      <w:r>
        <w:rPr>
          <w:rFonts w:hint="default"/>
          <w:lang w:val="en-US" w:eastAsia="zh-CN"/>
        </w:rPr>
        <w:t>当作为承重屋面使用时，应于其上另行布置轻型屋盖。</w:t>
      </w:r>
    </w:p>
    <w:p w14:paraId="64BBA539">
      <w:pPr>
        <w:numPr>
          <w:ilvl w:val="0"/>
          <w:numId w:val="24"/>
        </w:numPr>
        <w:bidi w:val="0"/>
        <w:ind w:left="0" w:leftChars="0" w:firstLine="0" w:firstLineChars="0"/>
        <w:rPr>
          <w:rFonts w:hint="default"/>
          <w:lang w:val="en-US" w:eastAsia="zh-CN"/>
        </w:rPr>
      </w:pPr>
      <w:r>
        <w:rPr>
          <w:rFonts w:hint="default"/>
          <w:lang w:val="en-US" w:eastAsia="zh-CN"/>
        </w:rPr>
        <w:t>模块单元壁板应避免过大的开孔，所有开孔部位均应补强加固。补强构件应采用小截面钢管或型材。当壁板有较大开孔时，其开孔部位承载的底梁宜按实际有效截面进行强度和挠度的验算。</w:t>
      </w:r>
    </w:p>
    <w:p w14:paraId="56B69525">
      <w:pPr>
        <w:numPr>
          <w:ilvl w:val="0"/>
          <w:numId w:val="24"/>
        </w:numPr>
        <w:bidi w:val="0"/>
        <w:ind w:left="0" w:leftChars="0" w:firstLine="0" w:firstLineChars="0"/>
        <w:rPr>
          <w:rFonts w:hint="default"/>
          <w:lang w:val="en-US" w:eastAsia="zh-CN"/>
        </w:rPr>
      </w:pPr>
      <w:r>
        <w:rPr>
          <w:rFonts w:hint="default"/>
          <w:lang w:val="en-US" w:eastAsia="zh-CN"/>
        </w:rPr>
        <w:t>模块单元在结构设计时，应进行吊装阶段的强度和刚度验算，提升部位应依据具体情况进行补强</w:t>
      </w:r>
      <w:r>
        <w:rPr>
          <w:rFonts w:hint="eastAsia"/>
          <w:lang w:val="en-US" w:eastAsia="zh-CN"/>
        </w:rPr>
        <w:t>。</w:t>
      </w:r>
    </w:p>
    <w:p w14:paraId="7BEA47FC">
      <w:pPr>
        <w:numPr>
          <w:ilvl w:val="0"/>
          <w:numId w:val="0"/>
        </w:numPr>
        <w:tabs>
          <w:tab w:val="left" w:pos="0"/>
        </w:tabs>
        <w:bidi w:val="0"/>
        <w:ind w:leftChars="0"/>
        <w:rPr>
          <w:rFonts w:hint="default"/>
          <w:lang w:val="en-US" w:eastAsia="zh-CN"/>
        </w:rPr>
      </w:pPr>
      <w:r>
        <w:rPr>
          <w:rStyle w:val="46"/>
          <w:rFonts w:hint="eastAsia"/>
          <w:b/>
          <w:bCs/>
          <w:lang w:eastAsia="zh-CN"/>
        </w:rPr>
        <w:t>【</w:t>
      </w:r>
      <w:r>
        <w:rPr>
          <w:rStyle w:val="46"/>
          <w:rFonts w:hint="eastAsia"/>
          <w:b/>
          <w:bCs/>
          <w:lang w:val="en-US" w:eastAsia="zh-CN"/>
        </w:rPr>
        <w:t>条文说明</w:t>
      </w:r>
      <w:r>
        <w:rPr>
          <w:rStyle w:val="46"/>
          <w:rFonts w:hint="eastAsia"/>
          <w:b/>
          <w:bCs/>
          <w:lang w:eastAsia="zh-CN"/>
        </w:rPr>
        <w:t>】</w:t>
      </w:r>
      <w:r>
        <w:rPr>
          <w:rStyle w:val="46"/>
          <w:rFonts w:hint="eastAsia"/>
          <w:b w:val="0"/>
          <w:bCs w:val="0"/>
          <w:lang w:val="en-US" w:eastAsia="zh-CN"/>
        </w:rPr>
        <w:t>模块单元在</w:t>
      </w:r>
      <w:r>
        <w:rPr>
          <w:rStyle w:val="46"/>
          <w:rFonts w:hint="eastAsia"/>
          <w:b w:val="0"/>
          <w:bCs w:val="0"/>
          <w:lang w:eastAsia="zh-CN"/>
        </w:rPr>
        <w:t>设计</w:t>
      </w:r>
      <w:r>
        <w:rPr>
          <w:rStyle w:val="46"/>
          <w:rFonts w:hint="eastAsia"/>
          <w:b w:val="0"/>
          <w:bCs w:val="0"/>
          <w:lang w:val="en-US" w:eastAsia="zh-CN"/>
        </w:rPr>
        <w:t>时，</w:t>
      </w:r>
      <w:r>
        <w:rPr>
          <w:rStyle w:val="46"/>
          <w:rFonts w:hint="eastAsia"/>
          <w:b w:val="0"/>
          <w:bCs w:val="0"/>
          <w:lang w:eastAsia="zh-CN"/>
        </w:rPr>
        <w:t>应考虑</w:t>
      </w:r>
      <w:r>
        <w:rPr>
          <w:rStyle w:val="46"/>
          <w:rFonts w:hint="eastAsia"/>
          <w:b w:val="0"/>
          <w:bCs w:val="0"/>
          <w:lang w:val="en-US" w:eastAsia="zh-CN"/>
        </w:rPr>
        <w:t>后续</w:t>
      </w:r>
      <w:r>
        <w:rPr>
          <w:rStyle w:val="46"/>
          <w:rFonts w:hint="eastAsia"/>
          <w:b w:val="0"/>
          <w:bCs w:val="0"/>
          <w:lang w:eastAsia="zh-CN"/>
        </w:rPr>
        <w:t>吊装</w:t>
      </w:r>
      <w:r>
        <w:rPr>
          <w:rStyle w:val="46"/>
          <w:rFonts w:hint="eastAsia"/>
          <w:b w:val="0"/>
          <w:bCs w:val="0"/>
          <w:lang w:val="en-US" w:eastAsia="zh-CN"/>
        </w:rPr>
        <w:t>的问题</w:t>
      </w:r>
      <w:r>
        <w:rPr>
          <w:rStyle w:val="46"/>
          <w:rFonts w:hint="eastAsia"/>
          <w:b w:val="0"/>
          <w:bCs w:val="0"/>
          <w:lang w:eastAsia="zh-CN"/>
        </w:rPr>
        <w:t>，设计隐藏式吊孔或者吊耳，</w:t>
      </w:r>
      <w:r>
        <w:rPr>
          <w:rStyle w:val="46"/>
          <w:rFonts w:hint="eastAsia"/>
          <w:b w:val="0"/>
          <w:bCs w:val="0"/>
          <w:lang w:val="en-US" w:eastAsia="zh-CN"/>
        </w:rPr>
        <w:t>提高模块单元安装效率。</w:t>
      </w:r>
    </w:p>
    <w:p w14:paraId="5AF94092">
      <w:pPr>
        <w:numPr>
          <w:ilvl w:val="0"/>
          <w:numId w:val="24"/>
        </w:numPr>
        <w:bidi w:val="0"/>
        <w:ind w:left="0" w:leftChars="0" w:firstLine="0" w:firstLineChars="0"/>
        <w:rPr>
          <w:rFonts w:hint="default"/>
          <w:lang w:val="en-US" w:eastAsia="zh-CN"/>
        </w:rPr>
      </w:pPr>
      <w:r>
        <w:rPr>
          <w:rFonts w:hint="default"/>
          <w:lang w:val="en-US" w:eastAsia="zh-CN"/>
        </w:rPr>
        <w:t>墙承重模块单元承重墙中的</w:t>
      </w:r>
      <w:r>
        <w:rPr>
          <w:rFonts w:hint="eastAsia"/>
          <w:lang w:val="en-US" w:eastAsia="zh-CN"/>
        </w:rPr>
        <w:t>C型</w:t>
      </w:r>
      <w:r>
        <w:rPr>
          <w:rFonts w:hint="default"/>
          <w:lang w:val="en-US" w:eastAsia="zh-CN"/>
        </w:rPr>
        <w:t>钢构件应按现行国家标准《冷弯薄壁型钢结构技术规范》GB50018的规定进行设计。</w:t>
      </w:r>
    </w:p>
    <w:p w14:paraId="775DC107">
      <w:pPr>
        <w:numPr>
          <w:ilvl w:val="0"/>
          <w:numId w:val="24"/>
        </w:numPr>
        <w:bidi w:val="0"/>
        <w:ind w:left="0" w:leftChars="0" w:firstLine="0" w:firstLineChars="0"/>
        <w:rPr>
          <w:rFonts w:hint="default"/>
          <w:lang w:val="en-US" w:eastAsia="zh-CN"/>
        </w:rPr>
      </w:pPr>
      <w:r>
        <w:rPr>
          <w:rFonts w:hint="default"/>
          <w:lang w:val="en-US" w:eastAsia="zh-CN"/>
        </w:rPr>
        <w:t>柱承重模块单元的边梁可采用热轧槽钢或冷弯型钢截面或其他特定的截面形状。</w:t>
      </w:r>
    </w:p>
    <w:p w14:paraId="34E792E8">
      <w:pPr>
        <w:numPr>
          <w:ilvl w:val="0"/>
          <w:numId w:val="24"/>
        </w:numPr>
        <w:bidi w:val="0"/>
        <w:ind w:left="0" w:leftChars="0" w:firstLine="0" w:firstLineChars="0"/>
        <w:rPr>
          <w:rFonts w:hint="default"/>
          <w:lang w:val="en-US" w:eastAsia="zh-CN"/>
        </w:rPr>
      </w:pPr>
      <w:r>
        <w:rPr>
          <w:rFonts w:hint="default"/>
          <w:lang w:val="en-US" w:eastAsia="zh-CN"/>
        </w:rPr>
        <w:t>模块边梁在所支承楼板自重下的跨中挠度不应大于5mm</w:t>
      </w:r>
      <w:r>
        <w:rPr>
          <w:rFonts w:hint="eastAsia"/>
          <w:lang w:val="en-US" w:eastAsia="zh-CN"/>
        </w:rPr>
        <w:t>。</w:t>
      </w:r>
    </w:p>
    <w:p w14:paraId="44996C35">
      <w:pPr>
        <w:numPr>
          <w:ilvl w:val="0"/>
          <w:numId w:val="24"/>
        </w:numPr>
        <w:bidi w:val="0"/>
        <w:ind w:left="0" w:leftChars="0" w:firstLine="0" w:firstLineChars="0"/>
        <w:rPr>
          <w:rFonts w:hint="default"/>
          <w:lang w:val="en-US" w:eastAsia="zh-CN"/>
        </w:rPr>
      </w:pPr>
      <w:r>
        <w:rPr>
          <w:rFonts w:hint="default"/>
          <w:lang w:val="en-US" w:eastAsia="zh-CN"/>
        </w:rPr>
        <w:t>角柱可采用方钢管、角钢或者其他开口截面。</w:t>
      </w:r>
    </w:p>
    <w:p w14:paraId="4B0F5C93">
      <w:pPr>
        <w:numPr>
          <w:ilvl w:val="0"/>
          <w:numId w:val="24"/>
        </w:numPr>
        <w:bidi w:val="0"/>
        <w:ind w:left="0" w:leftChars="0" w:firstLine="0" w:firstLineChars="0"/>
        <w:rPr>
          <w:rFonts w:hint="default"/>
          <w:lang w:val="en-US" w:eastAsia="zh-CN"/>
        </w:rPr>
      </w:pPr>
      <w:r>
        <w:rPr>
          <w:rFonts w:hint="default"/>
          <w:lang w:val="en-US" w:eastAsia="zh-CN"/>
        </w:rPr>
        <w:t>角柱设计宜考虑的影响因素包括:由相邻墙体提供的侧向约束、来自上部模块的荷载偏心以及上下模块之间的连接，在重力荷载作用下，角柱的柱端弯矩可按安装和制造的偏心误差限值加上由每层边梁传递的荷载引起的力矩来计算。</w:t>
      </w:r>
    </w:p>
    <w:p w14:paraId="7620B3EF">
      <w:pPr>
        <w:numPr>
          <w:ilvl w:val="0"/>
          <w:numId w:val="24"/>
        </w:numPr>
        <w:bidi w:val="0"/>
        <w:ind w:left="0" w:leftChars="0" w:firstLine="0" w:firstLineChars="0"/>
        <w:rPr>
          <w:rFonts w:hint="default"/>
          <w:lang w:val="en-US" w:eastAsia="zh-CN"/>
        </w:rPr>
      </w:pPr>
      <w:r>
        <w:rPr>
          <w:rFonts w:hint="default"/>
          <w:lang w:val="en-US" w:eastAsia="zh-CN"/>
        </w:rPr>
        <w:t xml:space="preserve"> 模块单元内部可根据需要设置支撑。支撑形式可采用X形或K形，X形支撑应设计为仅受拉，门窗附近等有空间限制的地方宜采用K形支撑，可采用</w:t>
      </w:r>
      <w:r>
        <w:rPr>
          <w:rFonts w:hint="eastAsia"/>
          <w:lang w:val="en-US" w:eastAsia="zh-CN"/>
        </w:rPr>
        <w:t>C型</w:t>
      </w:r>
      <w:r>
        <w:rPr>
          <w:rFonts w:hint="default"/>
          <w:lang w:val="en-US" w:eastAsia="zh-CN"/>
        </w:rPr>
        <w:t>钢并作为墙体的一部分，且应设计为可承受拉力和压力。</w:t>
      </w:r>
    </w:p>
    <w:p w14:paraId="559A5979">
      <w:pPr>
        <w:numPr>
          <w:ilvl w:val="0"/>
          <w:numId w:val="0"/>
        </w:numPr>
        <w:tabs>
          <w:tab w:val="left" w:pos="0"/>
        </w:tabs>
        <w:bidi w:val="0"/>
        <w:ind w:leftChars="0"/>
        <w:rPr>
          <w:rFonts w:hint="default"/>
          <w:lang w:val="en-US" w:eastAsia="zh-CN"/>
        </w:rPr>
      </w:pPr>
      <w:r>
        <w:rPr>
          <w:rStyle w:val="46"/>
          <w:rFonts w:hint="eastAsia"/>
          <w:b/>
          <w:bCs/>
          <w:lang w:eastAsia="zh-CN"/>
        </w:rPr>
        <w:t>【</w:t>
      </w:r>
      <w:r>
        <w:rPr>
          <w:rStyle w:val="46"/>
          <w:rFonts w:hint="eastAsia"/>
          <w:b/>
          <w:bCs/>
          <w:lang w:val="en-US" w:eastAsia="zh-CN"/>
        </w:rPr>
        <w:t>条文说明</w:t>
      </w:r>
      <w:r>
        <w:rPr>
          <w:rStyle w:val="46"/>
          <w:rFonts w:hint="eastAsia"/>
          <w:b/>
          <w:bCs/>
          <w:lang w:eastAsia="zh-CN"/>
        </w:rPr>
        <w:t>】</w:t>
      </w:r>
      <w:r>
        <w:rPr>
          <w:rStyle w:val="46"/>
          <w:rFonts w:hint="default"/>
          <w:lang w:val="en-US" w:eastAsia="zh-CN"/>
        </w:rPr>
        <w:t>K形支撑可抵抗的水平剪力相对较小，因此在中高层(6层~8层)建筑中宜采用X形支撑</w:t>
      </w:r>
      <w:r>
        <w:rPr>
          <w:rStyle w:val="46"/>
          <w:rFonts w:hint="eastAsia"/>
          <w:lang w:val="en-US" w:eastAsia="zh-CN"/>
        </w:rPr>
        <w:t>。</w:t>
      </w:r>
    </w:p>
    <w:p w14:paraId="2198B396">
      <w:pPr>
        <w:numPr>
          <w:ilvl w:val="0"/>
          <w:numId w:val="24"/>
        </w:numPr>
        <w:bidi w:val="0"/>
        <w:ind w:left="0" w:leftChars="0" w:firstLine="0" w:firstLineChars="0"/>
        <w:rPr>
          <w:rFonts w:hint="default"/>
          <w:lang w:val="en-US" w:eastAsia="zh-CN"/>
        </w:rPr>
      </w:pPr>
      <w:r>
        <w:rPr>
          <w:rFonts w:hint="default"/>
          <w:lang w:val="en-US" w:eastAsia="zh-CN"/>
        </w:rPr>
        <w:t>进行结构纵向的抗侧验算时，可考虑K形支撑、X形支撑、蒙皮效应以及刚性框架效应。</w:t>
      </w:r>
    </w:p>
    <w:p w14:paraId="3FD5F4C2">
      <w:pPr>
        <w:numPr>
          <w:ilvl w:val="0"/>
          <w:numId w:val="0"/>
        </w:numPr>
        <w:tabs>
          <w:tab w:val="left" w:pos="0"/>
        </w:tabs>
        <w:bidi w:val="0"/>
        <w:ind w:leftChars="0"/>
        <w:rPr>
          <w:rFonts w:hint="default"/>
          <w:lang w:val="en-US" w:eastAsia="zh-CN"/>
        </w:rPr>
      </w:pPr>
      <w:r>
        <w:rPr>
          <w:rStyle w:val="46"/>
          <w:rFonts w:hint="eastAsia"/>
          <w:b/>
          <w:bCs/>
          <w:lang w:eastAsia="zh-CN"/>
        </w:rPr>
        <w:t>【</w:t>
      </w:r>
      <w:r>
        <w:rPr>
          <w:rStyle w:val="46"/>
          <w:rFonts w:hint="eastAsia"/>
          <w:b/>
          <w:bCs/>
          <w:lang w:val="en-US" w:eastAsia="zh-CN"/>
        </w:rPr>
        <w:t>条文说明</w:t>
      </w:r>
      <w:r>
        <w:rPr>
          <w:rStyle w:val="46"/>
          <w:rFonts w:hint="eastAsia"/>
          <w:b/>
          <w:bCs/>
          <w:lang w:eastAsia="zh-CN"/>
        </w:rPr>
        <w:t>】K形支撑是指C</w:t>
      </w:r>
      <w:r>
        <w:rPr>
          <w:rStyle w:val="46"/>
          <w:rFonts w:hint="eastAsia"/>
          <w:b/>
          <w:bCs/>
          <w:lang w:val="en-US" w:eastAsia="zh-CN"/>
        </w:rPr>
        <w:t>型</w:t>
      </w:r>
      <w:r>
        <w:rPr>
          <w:rStyle w:val="46"/>
          <w:rFonts w:hint="eastAsia"/>
          <w:b/>
          <w:bCs/>
          <w:lang w:eastAsia="zh-CN"/>
        </w:rPr>
        <w:t>钢呈对角形式固定在墙内的竖向龙骨上，对角支撑构件应有效连接到竖向龙骨上以确保拉力和压力的传递。X支撑是指交叉的钢带固定在墙骨的外表面;这些钢带仅在张力下起作用，并且可在安装期间进行预拉伸。蒙皮效应是指通过使用合适的板材实现有效的蒙皮效应(石膏板或其他更坚固的板)，通过自钻自攻螺钉或其他方式固定在轻钢墙骨上，最大间距为300mm，在面板的边缘通常需要150mm的间距。刚性框架效应是指墙骨构件和地板托梁之间的连续接头，形成刚性框架和门式刚架效应，可提高模块的总体扭转刚度。</w:t>
      </w:r>
    </w:p>
    <w:p w14:paraId="17E7F3BC">
      <w:pPr>
        <w:pStyle w:val="3"/>
        <w:bidi w:val="0"/>
        <w:rPr>
          <w:rFonts w:hint="default"/>
          <w:color w:val="000000" w:themeColor="text1"/>
          <w:lang w:val="en-US" w:eastAsia="zh-CN"/>
          <w14:textFill>
            <w14:solidFill>
              <w14:schemeClr w14:val="tx1"/>
            </w14:solidFill>
          </w14:textFill>
        </w:rPr>
      </w:pPr>
      <w:bookmarkStart w:id="29" w:name="_Toc9635"/>
      <w:r>
        <w:rPr>
          <w:color w:val="000000" w:themeColor="text1"/>
          <w:lang w:val="en-US" w:eastAsia="zh-CN"/>
          <w14:textFill>
            <w14:solidFill>
              <w14:schemeClr w14:val="tx1"/>
            </w14:solidFill>
          </w14:textFill>
        </w:rPr>
        <w:t>5.</w:t>
      </w:r>
      <w:r>
        <w:rPr>
          <w:rFonts w:hint="eastAsia"/>
          <w:color w:val="000000" w:themeColor="text1"/>
          <w:lang w:val="en-US" w:eastAsia="zh-CN"/>
          <w14:textFill>
            <w14:solidFill>
              <w14:schemeClr w14:val="tx1"/>
            </w14:solidFill>
          </w14:textFill>
        </w:rPr>
        <w:t>3</w:t>
      </w:r>
      <w:r>
        <w:rPr>
          <w:rFonts w:hint="eastAsia"/>
          <w:color w:val="000000" w:themeColor="text1"/>
          <w:u w:val="none"/>
          <w:lang w:val="en-US" w:eastAsia="zh-CN"/>
          <w14:textFill>
            <w14:solidFill>
              <w14:schemeClr w14:val="tx1"/>
            </w14:solidFill>
          </w14:textFill>
        </w:rPr>
        <w:t>结构体系</w:t>
      </w:r>
      <w:bookmarkEnd w:id="29"/>
    </w:p>
    <w:p w14:paraId="53F4B177">
      <w:pPr>
        <w:numPr>
          <w:ilvl w:val="0"/>
          <w:numId w:val="25"/>
        </w:numPr>
        <w:bidi w:val="0"/>
        <w:ind w:left="0" w:leftChars="0" w:firstLine="0" w:firstLineChars="0"/>
        <w:rPr>
          <w:lang w:eastAsia="zh-CN"/>
        </w:rPr>
      </w:pPr>
      <w:r>
        <w:rPr>
          <w:rFonts w:hint="eastAsia"/>
          <w:lang w:val="en-US" w:eastAsia="zh-CN"/>
        </w:rPr>
        <w:t>模块化钢结构房屋</w:t>
      </w:r>
      <w:r>
        <w:rPr>
          <w:rFonts w:hint="eastAsia"/>
          <w:lang w:eastAsia="zh-CN"/>
        </w:rPr>
        <w:t>可采用叠箱结构体系、叠箱-框架混合</w:t>
      </w:r>
      <w:r>
        <w:rPr>
          <w:rFonts w:hint="eastAsia"/>
          <w:lang w:val="en-US" w:eastAsia="zh-CN"/>
        </w:rPr>
        <w:t>结构体系，</w:t>
      </w:r>
      <w:r>
        <w:rPr>
          <w:rFonts w:hint="eastAsia"/>
          <w:lang w:eastAsia="zh-CN"/>
        </w:rPr>
        <w:t>叠箱-剪力墙/核心筒混合结构体系，以及</w:t>
      </w:r>
      <w:r>
        <w:rPr>
          <w:rFonts w:hint="eastAsia"/>
          <w:color w:val="000000" w:themeColor="text1"/>
          <w:lang w:eastAsia="zh-CN"/>
          <w14:textFill>
            <w14:solidFill>
              <w14:schemeClr w14:val="tx1"/>
            </w14:solidFill>
          </w14:textFill>
        </w:rPr>
        <w:t>嵌入式模块化结构体系（</w:t>
      </w:r>
      <w:r>
        <w:rPr>
          <w:rFonts w:hint="eastAsia"/>
          <w:color w:val="000000" w:themeColor="text1"/>
          <w:lang w:val="en-US" w:eastAsia="zh-CN"/>
          <w14:textFill>
            <w14:solidFill>
              <w14:schemeClr w14:val="tx1"/>
            </w14:solidFill>
          </w14:textFill>
        </w:rPr>
        <w:t>图5.3.1</w:t>
      </w:r>
      <w:r>
        <w:rPr>
          <w:rFonts w:hint="eastAsia"/>
          <w:color w:val="000000" w:themeColor="text1"/>
          <w:lang w:eastAsia="zh-CN"/>
          <w14:textFill>
            <w14:solidFill>
              <w14:schemeClr w14:val="tx1"/>
            </w14:solidFill>
          </w14:textFill>
        </w:rPr>
        <w:t>）。模块组合布置应形成稳定的几何不变体系，结构连接和节点构造应</w:t>
      </w:r>
      <w:r>
        <w:rPr>
          <w:rFonts w:hint="eastAsia"/>
          <w:color w:val="000000" w:themeColor="text1"/>
          <w:lang w:val="en-US" w:eastAsia="zh-CN"/>
          <w14:textFill>
            <w14:solidFill>
              <w14:schemeClr w14:val="tx1"/>
            </w14:solidFill>
          </w14:textFill>
        </w:rPr>
        <w:t>安全、可靠，且</w:t>
      </w:r>
      <w:r>
        <w:rPr>
          <w:rFonts w:hint="eastAsia"/>
          <w:color w:val="000000" w:themeColor="text1"/>
          <w:lang w:eastAsia="zh-CN"/>
          <w14:textFill>
            <w14:solidFill>
              <w14:schemeClr w14:val="tx1"/>
            </w14:solidFill>
          </w14:textFill>
        </w:rPr>
        <w:t>满足</w:t>
      </w:r>
      <w:r>
        <w:rPr>
          <w:rFonts w:hint="eastAsia"/>
          <w:lang w:eastAsia="zh-CN"/>
        </w:rPr>
        <w:t>工业化快速建造需求。</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7FDD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4814" w:type="dxa"/>
            <w:tcBorders>
              <w:top w:val="nil"/>
              <w:left w:val="nil"/>
              <w:bottom w:val="nil"/>
              <w:right w:val="nil"/>
            </w:tcBorders>
          </w:tcPr>
          <w:p w14:paraId="501425F8">
            <w:pPr>
              <w:pStyle w:val="42"/>
              <w:keepNext w:val="0"/>
              <w:keepLines w:val="0"/>
              <w:suppressLineNumbers w:val="0"/>
              <w:bidi w:val="0"/>
              <w:spacing w:before="0" w:beforeAutospacing="0" w:after="0" w:afterAutospacing="0"/>
              <w:ind w:right="0"/>
              <w:rPr>
                <w:rFonts w:hint="default" w:ascii="Times New Roman" w:hAnsi="Times New Roman" w:eastAsia="宋体" w:cs="Times New Roman"/>
                <w:spacing w:val="0"/>
                <w:kern w:val="2"/>
                <w:sz w:val="24"/>
                <w:szCs w:val="20"/>
                <w:lang w:val="en-US" w:eastAsia="zh-CN" w:bidi="ar-SA"/>
              </w:rPr>
            </w:pPr>
            <w:r>
              <w:rPr>
                <w:rFonts w:hint="default"/>
              </w:rPr>
              <w:drawing>
                <wp:inline distT="0" distB="0" distL="114300" distR="114300">
                  <wp:extent cx="1391920" cy="2000885"/>
                  <wp:effectExtent l="0" t="0" r="17780" b="18415"/>
                  <wp:docPr id="3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1"/>
                          <pic:cNvPicPr>
                            <a:picLocks noChangeAspect="1"/>
                          </pic:cNvPicPr>
                        </pic:nvPicPr>
                        <pic:blipFill>
                          <a:blip r:embed="rId25"/>
                          <a:stretch>
                            <a:fillRect/>
                          </a:stretch>
                        </pic:blipFill>
                        <pic:spPr>
                          <a:xfrm>
                            <a:off x="0" y="0"/>
                            <a:ext cx="1391920" cy="2000885"/>
                          </a:xfrm>
                          <a:prstGeom prst="rect">
                            <a:avLst/>
                          </a:prstGeom>
                          <a:noFill/>
                          <a:ln>
                            <a:noFill/>
                          </a:ln>
                        </pic:spPr>
                      </pic:pic>
                    </a:graphicData>
                  </a:graphic>
                </wp:inline>
              </w:drawing>
            </w:r>
          </w:p>
        </w:tc>
        <w:tc>
          <w:tcPr>
            <w:tcW w:w="4814" w:type="dxa"/>
            <w:tcBorders>
              <w:top w:val="nil"/>
              <w:left w:val="nil"/>
              <w:bottom w:val="nil"/>
              <w:right w:val="nil"/>
            </w:tcBorders>
          </w:tcPr>
          <w:p w14:paraId="5E848249">
            <w:pPr>
              <w:pStyle w:val="42"/>
              <w:keepNext w:val="0"/>
              <w:keepLines w:val="0"/>
              <w:suppressLineNumbers w:val="0"/>
              <w:bidi w:val="0"/>
              <w:spacing w:before="0" w:beforeAutospacing="0" w:after="0" w:afterAutospacing="0"/>
              <w:ind w:right="0"/>
              <w:rPr>
                <w:rFonts w:hint="eastAsia" w:ascii="Times New Roman" w:hAnsi="Times New Roman" w:eastAsia="宋体" w:cs="Times New Roman"/>
                <w:spacing w:val="0"/>
                <w:kern w:val="2"/>
                <w:sz w:val="24"/>
                <w:szCs w:val="20"/>
                <w:lang w:val="en-US" w:eastAsia="zh-CN" w:bidi="ar-SA"/>
              </w:rPr>
            </w:pPr>
            <w:r>
              <w:rPr>
                <w:rFonts w:hint="default"/>
              </w:rPr>
              <w:drawing>
                <wp:inline distT="0" distB="0" distL="114300" distR="114300">
                  <wp:extent cx="2562225" cy="2152650"/>
                  <wp:effectExtent l="0" t="0" r="9525" b="0"/>
                  <wp:docPr id="4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2"/>
                          <pic:cNvPicPr>
                            <a:picLocks noChangeAspect="1"/>
                          </pic:cNvPicPr>
                        </pic:nvPicPr>
                        <pic:blipFill>
                          <a:blip r:embed="rId26"/>
                          <a:stretch>
                            <a:fillRect/>
                          </a:stretch>
                        </pic:blipFill>
                        <pic:spPr>
                          <a:xfrm>
                            <a:off x="0" y="0"/>
                            <a:ext cx="2562225" cy="2152650"/>
                          </a:xfrm>
                          <a:prstGeom prst="rect">
                            <a:avLst/>
                          </a:prstGeom>
                          <a:noFill/>
                          <a:ln>
                            <a:noFill/>
                          </a:ln>
                        </pic:spPr>
                      </pic:pic>
                    </a:graphicData>
                  </a:graphic>
                </wp:inline>
              </w:drawing>
            </w:r>
          </w:p>
        </w:tc>
      </w:tr>
      <w:tr w14:paraId="2FDD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814" w:type="dxa"/>
            <w:tcBorders>
              <w:top w:val="nil"/>
              <w:left w:val="nil"/>
              <w:bottom w:val="nil"/>
              <w:right w:val="nil"/>
            </w:tcBorders>
          </w:tcPr>
          <w:p w14:paraId="4308D6D2">
            <w:pPr>
              <w:pStyle w:val="42"/>
              <w:keepNext w:val="0"/>
              <w:keepLines w:val="0"/>
              <w:suppressLineNumbers w:val="0"/>
              <w:bidi w:val="0"/>
              <w:spacing w:before="0" w:beforeAutospacing="0" w:after="0" w:afterAutospacing="0"/>
              <w:ind w:right="0"/>
              <w:rPr>
                <w:rFonts w:hint="eastAsia" w:ascii="Times New Roman" w:hAnsi="Times New Roman" w:eastAsia="宋体" w:cs="Times New Roman"/>
                <w:spacing w:val="0"/>
                <w:kern w:val="2"/>
                <w:sz w:val="24"/>
                <w:szCs w:val="20"/>
                <w:lang w:val="en-US" w:eastAsia="zh-CN" w:bidi="ar-SA"/>
              </w:rPr>
            </w:pPr>
            <w:r>
              <w:rPr>
                <w:rFonts w:hint="eastAsia" w:ascii="Times New Roman" w:hAnsi="Times New Roman" w:eastAsia="宋体" w:cs="Times New Roman"/>
                <w:spacing w:val="0"/>
                <w:kern w:val="2"/>
                <w:sz w:val="24"/>
                <w:szCs w:val="20"/>
                <w:lang w:val="en-US" w:eastAsia="zh-CN" w:bidi="ar-SA"/>
              </w:rPr>
              <w:t>（a）叠箱结构体系</w:t>
            </w:r>
          </w:p>
        </w:tc>
        <w:tc>
          <w:tcPr>
            <w:tcW w:w="4814" w:type="dxa"/>
            <w:tcBorders>
              <w:top w:val="nil"/>
              <w:left w:val="nil"/>
              <w:bottom w:val="nil"/>
              <w:right w:val="nil"/>
            </w:tcBorders>
          </w:tcPr>
          <w:p w14:paraId="683DFA02">
            <w:pPr>
              <w:pStyle w:val="42"/>
              <w:keepNext w:val="0"/>
              <w:keepLines w:val="0"/>
              <w:suppressLineNumbers w:val="0"/>
              <w:bidi w:val="0"/>
              <w:spacing w:before="0" w:beforeAutospacing="0" w:after="0" w:afterAutospacing="0"/>
              <w:ind w:right="0"/>
              <w:rPr>
                <w:rFonts w:hint="eastAsia" w:ascii="Times New Roman" w:hAnsi="Times New Roman" w:eastAsia="宋体" w:cs="Times New Roman"/>
                <w:spacing w:val="0"/>
                <w:kern w:val="2"/>
                <w:sz w:val="24"/>
                <w:szCs w:val="20"/>
                <w:lang w:val="en-US" w:eastAsia="zh-CN" w:bidi="ar-SA"/>
              </w:rPr>
            </w:pPr>
            <w:r>
              <w:rPr>
                <w:rFonts w:hint="eastAsia" w:ascii="Times New Roman" w:hAnsi="Times New Roman" w:eastAsia="宋体" w:cs="Times New Roman"/>
                <w:spacing w:val="0"/>
                <w:kern w:val="2"/>
                <w:sz w:val="24"/>
                <w:szCs w:val="20"/>
                <w:lang w:val="en-US" w:eastAsia="zh-CN" w:bidi="ar-SA"/>
              </w:rPr>
              <w:t>（b）叠箱-框架混合结构体系</w:t>
            </w:r>
          </w:p>
        </w:tc>
      </w:tr>
      <w:tr w14:paraId="7F6B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628" w:type="dxa"/>
            <w:gridSpan w:val="2"/>
            <w:tcBorders>
              <w:top w:val="nil"/>
              <w:left w:val="nil"/>
              <w:bottom w:val="nil"/>
              <w:right w:val="nil"/>
            </w:tcBorders>
          </w:tcPr>
          <w:p w14:paraId="710964CA">
            <w:pPr>
              <w:pStyle w:val="42"/>
              <w:keepNext w:val="0"/>
              <w:keepLines w:val="0"/>
              <w:suppressLineNumbers w:val="0"/>
              <w:bidi w:val="0"/>
              <w:spacing w:before="0" w:beforeAutospacing="0" w:after="0" w:afterAutospacing="0"/>
              <w:ind w:right="0"/>
              <w:rPr>
                <w:rFonts w:hint="eastAsia" w:ascii="Times New Roman" w:hAnsi="Times New Roman" w:eastAsia="宋体" w:cs="Times New Roman"/>
                <w:spacing w:val="0"/>
                <w:kern w:val="2"/>
                <w:sz w:val="24"/>
                <w:szCs w:val="20"/>
                <w:lang w:val="en-US" w:eastAsia="zh-CN" w:bidi="ar-SA"/>
              </w:rPr>
            </w:pPr>
            <w:r>
              <w:rPr>
                <w:rFonts w:hint="eastAsia" w:ascii="Times New Roman" w:hAnsi="Times New Roman" w:eastAsia="宋体" w:cs="Times New Roman"/>
                <w:spacing w:val="0"/>
                <w:kern w:val="2"/>
                <w:sz w:val="24"/>
                <w:szCs w:val="20"/>
                <w:lang w:val="en-US" w:eastAsia="zh-CN" w:bidi="ar-SA"/>
              </w:rPr>
              <w:t>图 5.3.1模块化钢结构房屋结构体系</w:t>
            </w:r>
          </w:p>
          <w:p w14:paraId="5BAE4145">
            <w:pPr>
              <w:pStyle w:val="42"/>
              <w:keepNext w:val="0"/>
              <w:keepLines w:val="0"/>
              <w:suppressLineNumbers w:val="0"/>
              <w:bidi w:val="0"/>
              <w:spacing w:before="0" w:beforeAutospacing="0" w:after="0" w:afterAutospacing="0"/>
              <w:ind w:right="0"/>
              <w:rPr>
                <w:rFonts w:hint="eastAsia" w:ascii="Times New Roman" w:hAnsi="Times New Roman" w:eastAsia="宋体" w:cs="Times New Roman"/>
                <w:spacing w:val="0"/>
                <w:kern w:val="2"/>
                <w:sz w:val="24"/>
                <w:szCs w:val="20"/>
                <w:lang w:val="en-US" w:eastAsia="zh-CN" w:bidi="ar-SA"/>
              </w:rPr>
            </w:pPr>
            <w:r>
              <w:rPr>
                <w:rFonts w:hint="eastAsia" w:ascii="Times New Roman" w:hAnsi="Times New Roman" w:eastAsia="宋体" w:cs="Times New Roman"/>
                <w:spacing w:val="0"/>
                <w:kern w:val="2"/>
                <w:sz w:val="24"/>
                <w:szCs w:val="20"/>
                <w:lang w:val="en-US" w:eastAsia="zh-CN" w:bidi="ar-SA"/>
              </w:rPr>
              <w:t>1-箱体;2-支撑框架</w:t>
            </w:r>
          </w:p>
        </w:tc>
      </w:tr>
      <w:tr w14:paraId="1885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9" w:hRule="atLeast"/>
        </w:trPr>
        <w:tc>
          <w:tcPr>
            <w:tcW w:w="4814" w:type="dxa"/>
            <w:tcBorders>
              <w:top w:val="nil"/>
              <w:left w:val="nil"/>
              <w:bottom w:val="nil"/>
              <w:right w:val="nil"/>
            </w:tcBorders>
          </w:tcPr>
          <w:p w14:paraId="220AE302">
            <w:pPr>
              <w:pStyle w:val="42"/>
              <w:keepNext w:val="0"/>
              <w:keepLines w:val="0"/>
              <w:suppressLineNumbers w:val="0"/>
              <w:bidi w:val="0"/>
              <w:spacing w:before="0" w:beforeAutospacing="0" w:after="0" w:afterAutospacing="0"/>
              <w:ind w:right="0"/>
              <w:rPr>
                <w:rFonts w:hint="default"/>
              </w:rPr>
            </w:pPr>
          </w:p>
          <w:p w14:paraId="7086DDC8">
            <w:pPr>
              <w:pStyle w:val="42"/>
              <w:keepNext w:val="0"/>
              <w:keepLines w:val="0"/>
              <w:suppressLineNumbers w:val="0"/>
              <w:bidi w:val="0"/>
              <w:spacing w:before="0" w:beforeAutospacing="0" w:after="0" w:afterAutospacing="0"/>
              <w:ind w:right="0"/>
              <w:rPr>
                <w:rFonts w:hint="eastAsia"/>
                <w:lang w:val="en-US" w:eastAsia="zh-CN"/>
              </w:rPr>
            </w:pPr>
            <w:r>
              <w:rPr>
                <w:rFonts w:hint="default"/>
              </w:rPr>
              <w:drawing>
                <wp:inline distT="0" distB="0" distL="114300" distR="114300">
                  <wp:extent cx="2931795" cy="2708910"/>
                  <wp:effectExtent l="0" t="0" r="1905" b="15240"/>
                  <wp:docPr id="4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3"/>
                          <pic:cNvPicPr>
                            <a:picLocks noChangeAspect="1"/>
                          </pic:cNvPicPr>
                        </pic:nvPicPr>
                        <pic:blipFill>
                          <a:blip r:embed="rId27"/>
                          <a:stretch>
                            <a:fillRect/>
                          </a:stretch>
                        </pic:blipFill>
                        <pic:spPr>
                          <a:xfrm>
                            <a:off x="0" y="0"/>
                            <a:ext cx="2931795" cy="2708910"/>
                          </a:xfrm>
                          <a:prstGeom prst="rect">
                            <a:avLst/>
                          </a:prstGeom>
                          <a:noFill/>
                          <a:ln>
                            <a:noFill/>
                          </a:ln>
                        </pic:spPr>
                      </pic:pic>
                    </a:graphicData>
                  </a:graphic>
                </wp:inline>
              </w:drawing>
            </w:r>
          </w:p>
        </w:tc>
        <w:tc>
          <w:tcPr>
            <w:tcW w:w="4814" w:type="dxa"/>
            <w:tcBorders>
              <w:top w:val="nil"/>
              <w:left w:val="nil"/>
              <w:bottom w:val="nil"/>
              <w:right w:val="nil"/>
            </w:tcBorders>
          </w:tcPr>
          <w:p w14:paraId="3CC5760E">
            <w:pPr>
              <w:pStyle w:val="42"/>
              <w:keepNext w:val="0"/>
              <w:keepLines w:val="0"/>
              <w:suppressLineNumbers w:val="0"/>
              <w:bidi w:val="0"/>
              <w:spacing w:before="0" w:beforeAutospacing="0" w:after="0" w:afterAutospacing="0"/>
              <w:ind w:right="0"/>
              <w:rPr>
                <w:rFonts w:hint="default"/>
                <w:position w:val="-62"/>
              </w:rPr>
            </w:pPr>
          </w:p>
          <w:p w14:paraId="03F5B39F">
            <w:pPr>
              <w:pStyle w:val="42"/>
              <w:keepNext w:val="0"/>
              <w:keepLines w:val="0"/>
              <w:suppressLineNumbers w:val="0"/>
              <w:bidi w:val="0"/>
              <w:spacing w:before="0" w:beforeAutospacing="0" w:after="0" w:afterAutospacing="0"/>
              <w:ind w:right="0"/>
              <w:rPr>
                <w:rFonts w:hint="eastAsia"/>
                <w:position w:val="-62"/>
                <w:lang w:val="en-US" w:eastAsia="zh-CN"/>
              </w:rPr>
            </w:pPr>
            <w:r>
              <w:rPr>
                <w:rFonts w:hint="default"/>
              </w:rPr>
              <w:drawing>
                <wp:inline distT="0" distB="0" distL="114300" distR="114300">
                  <wp:extent cx="2915285" cy="2818130"/>
                  <wp:effectExtent l="0" t="0" r="18415" b="1270"/>
                  <wp:docPr id="2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6"/>
                          <pic:cNvPicPr>
                            <a:picLocks noChangeAspect="1"/>
                          </pic:cNvPicPr>
                        </pic:nvPicPr>
                        <pic:blipFill>
                          <a:blip r:embed="rId28"/>
                          <a:stretch>
                            <a:fillRect/>
                          </a:stretch>
                        </pic:blipFill>
                        <pic:spPr>
                          <a:xfrm>
                            <a:off x="0" y="0"/>
                            <a:ext cx="2915285" cy="2818130"/>
                          </a:xfrm>
                          <a:prstGeom prst="rect">
                            <a:avLst/>
                          </a:prstGeom>
                          <a:noFill/>
                          <a:ln>
                            <a:noFill/>
                          </a:ln>
                        </pic:spPr>
                      </pic:pic>
                    </a:graphicData>
                  </a:graphic>
                </wp:inline>
              </w:drawing>
            </w:r>
          </w:p>
        </w:tc>
      </w:tr>
      <w:tr w14:paraId="3809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814" w:type="dxa"/>
            <w:tcBorders>
              <w:top w:val="nil"/>
              <w:left w:val="nil"/>
              <w:bottom w:val="nil"/>
              <w:right w:val="nil"/>
            </w:tcBorders>
          </w:tcPr>
          <w:p w14:paraId="74E22042">
            <w:pPr>
              <w:pStyle w:val="42"/>
              <w:keepNext w:val="0"/>
              <w:keepLines w:val="0"/>
              <w:suppressLineNumbers w:val="0"/>
              <w:bidi w:val="0"/>
              <w:spacing w:before="0" w:beforeAutospacing="0" w:after="0" w:afterAutospacing="0"/>
              <w:ind w:right="0"/>
              <w:rPr>
                <w:rFonts w:hint="eastAsia"/>
                <w:szCs w:val="20"/>
                <w:lang w:eastAsia="zh-CN"/>
              </w:rPr>
            </w:pPr>
            <w:r>
              <w:rPr>
                <w:rFonts w:hint="eastAsia" w:ascii="Times New Roman" w:hAnsi="Times New Roman" w:eastAsia="宋体" w:cs="Times New Roman"/>
                <w:spacing w:val="0"/>
                <w:kern w:val="2"/>
                <w:sz w:val="24"/>
                <w:szCs w:val="20"/>
                <w:lang w:val="en-US" w:eastAsia="zh-CN" w:bidi="ar-SA"/>
              </w:rPr>
              <w:t>(c)叠箱-剪力墙/核心筒混合结构体系</w:t>
            </w:r>
          </w:p>
        </w:tc>
        <w:tc>
          <w:tcPr>
            <w:tcW w:w="4814" w:type="dxa"/>
            <w:tcBorders>
              <w:top w:val="nil"/>
              <w:left w:val="nil"/>
              <w:bottom w:val="nil"/>
              <w:right w:val="nil"/>
            </w:tcBorders>
          </w:tcPr>
          <w:p w14:paraId="1B5A1659">
            <w:pPr>
              <w:pStyle w:val="42"/>
              <w:keepNext w:val="0"/>
              <w:keepLines w:val="0"/>
              <w:suppressLineNumbers w:val="0"/>
              <w:bidi w:val="0"/>
              <w:spacing w:before="0" w:beforeAutospacing="0" w:after="0" w:afterAutospacing="0"/>
              <w:ind w:right="0"/>
              <w:rPr>
                <w:rFonts w:hint="eastAsia"/>
                <w:szCs w:val="20"/>
                <w:lang w:eastAsia="zh-CN"/>
              </w:rPr>
            </w:pPr>
            <w:r>
              <w:rPr>
                <w:rFonts w:hint="eastAsia" w:ascii="Times New Roman" w:hAnsi="Times New Roman" w:eastAsia="宋体" w:cs="Times New Roman"/>
                <w:spacing w:val="0"/>
                <w:kern w:val="2"/>
                <w:sz w:val="24"/>
                <w:szCs w:val="20"/>
                <w:lang w:val="en-US" w:eastAsia="zh-CN" w:bidi="ar-SA"/>
              </w:rPr>
              <w:t>(d)嵌入式模块化结构体系</w:t>
            </w:r>
          </w:p>
        </w:tc>
      </w:tr>
      <w:tr w14:paraId="2243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2"/>
            <w:tcBorders>
              <w:top w:val="nil"/>
              <w:left w:val="nil"/>
              <w:bottom w:val="nil"/>
              <w:right w:val="nil"/>
            </w:tcBorders>
          </w:tcPr>
          <w:p w14:paraId="2372DFF7">
            <w:pPr>
              <w:pStyle w:val="42"/>
              <w:keepNext w:val="0"/>
              <w:keepLines w:val="0"/>
              <w:suppressLineNumbers w:val="0"/>
              <w:bidi w:val="0"/>
              <w:spacing w:before="0" w:beforeAutospacing="0" w:after="0" w:afterAutospacing="0"/>
              <w:ind w:right="0"/>
              <w:rPr>
                <w:rFonts w:hint="eastAsia" w:ascii="Times New Roman" w:hAnsi="Times New Roman" w:eastAsia="宋体" w:cs="Times New Roman"/>
                <w:spacing w:val="0"/>
                <w:kern w:val="2"/>
                <w:sz w:val="24"/>
                <w:szCs w:val="20"/>
                <w:lang w:val="en-US" w:eastAsia="zh-CN" w:bidi="ar-SA"/>
              </w:rPr>
            </w:pPr>
            <w:r>
              <w:rPr>
                <w:rFonts w:hint="eastAsia" w:ascii="Times New Roman" w:hAnsi="Times New Roman" w:eastAsia="宋体" w:cs="Times New Roman"/>
                <w:spacing w:val="0"/>
                <w:kern w:val="2"/>
                <w:sz w:val="24"/>
                <w:szCs w:val="20"/>
                <w:lang w:val="en-US" w:eastAsia="zh-CN" w:bidi="ar-SA"/>
              </w:rPr>
              <w:t>图5.3.1 模块化钢结构房屋结构体系</w:t>
            </w:r>
          </w:p>
          <w:p w14:paraId="64D18033">
            <w:pPr>
              <w:pStyle w:val="42"/>
              <w:keepNext w:val="0"/>
              <w:keepLines w:val="0"/>
              <w:suppressLineNumbers w:val="0"/>
              <w:bidi w:val="0"/>
              <w:spacing w:before="0" w:beforeAutospacing="0" w:after="0" w:afterAutospacing="0"/>
              <w:ind w:right="0"/>
              <w:rPr>
                <w:rFonts w:hint="eastAsia" w:ascii="Times New Roman" w:hAnsi="Times New Roman" w:eastAsia="宋体" w:cs="Times New Roman"/>
                <w:spacing w:val="0"/>
                <w:kern w:val="2"/>
                <w:sz w:val="24"/>
                <w:szCs w:val="20"/>
                <w:lang w:val="en-US" w:eastAsia="zh-CN" w:bidi="ar-SA"/>
              </w:rPr>
            </w:pPr>
            <w:r>
              <w:rPr>
                <w:rFonts w:hint="eastAsia" w:ascii="Times New Roman" w:hAnsi="Times New Roman" w:eastAsia="宋体" w:cs="Times New Roman"/>
                <w:spacing w:val="0"/>
                <w:kern w:val="2"/>
                <w:sz w:val="24"/>
                <w:szCs w:val="20"/>
                <w:lang w:val="en-US" w:eastAsia="zh-CN" w:bidi="ar-SA"/>
              </w:rPr>
              <w:t>1-箱体;4-剪力墙/核心筒</w:t>
            </w:r>
          </w:p>
        </w:tc>
      </w:tr>
    </w:tbl>
    <w:p w14:paraId="26E66568">
      <w:pPr>
        <w:pStyle w:val="42"/>
        <w:bidi w:val="0"/>
        <w:rPr>
          <w:rFonts w:hint="eastAsia"/>
          <w:lang w:eastAsia="zh-CN"/>
        </w:rPr>
      </w:pPr>
    </w:p>
    <w:p w14:paraId="62B9D93A">
      <w:pPr>
        <w:pStyle w:val="45"/>
        <w:numPr>
          <w:ilvl w:val="0"/>
          <w:numId w:val="0"/>
        </w:numPr>
        <w:bidi w:val="0"/>
        <w:ind w:leftChars="0"/>
        <w:rPr>
          <w:rFonts w:hint="eastAsia"/>
          <w:lang w:eastAsia="zh-CN"/>
        </w:rPr>
      </w:pPr>
      <w:r>
        <w:rPr>
          <w:rStyle w:val="46"/>
          <w:rFonts w:hint="eastAsia"/>
          <w:b/>
          <w:bCs/>
          <w:lang w:eastAsia="zh-CN"/>
        </w:rPr>
        <w:t>【</w:t>
      </w:r>
      <w:r>
        <w:rPr>
          <w:rStyle w:val="46"/>
          <w:rFonts w:hint="eastAsia"/>
          <w:b/>
          <w:bCs/>
          <w:lang w:val="en-US" w:eastAsia="zh-CN"/>
        </w:rPr>
        <w:t>条文说明</w:t>
      </w:r>
      <w:r>
        <w:rPr>
          <w:rStyle w:val="46"/>
          <w:rFonts w:hint="eastAsia"/>
          <w:b/>
          <w:bCs/>
          <w:lang w:eastAsia="zh-CN"/>
        </w:rPr>
        <w:t>】</w:t>
      </w:r>
      <w:r>
        <w:rPr>
          <w:lang w:eastAsia="zh-CN"/>
        </w:rPr>
        <w:t>目前</w:t>
      </w:r>
      <w:r>
        <w:rPr>
          <w:rFonts w:hint="eastAsia"/>
          <w:lang w:val="en-US" w:eastAsia="zh-CN"/>
        </w:rPr>
        <w:t>模块化钢结构房屋</w:t>
      </w:r>
      <w:r>
        <w:rPr>
          <w:lang w:eastAsia="zh-CN"/>
        </w:rPr>
        <w:t>采用的结构形式主要包括：叠箱体系、叠箱-框架(底层框架、剪力墙/核心筒等)混合结构体系以及嵌入式模块化结构体系。叠箱体系全部由预制的模块单元通过安装、堆叠而成，其中包括房间模块、走廊模块等。为提高模块化建筑的结构性能与使用性能，需要将模块化建筑与其他建筑形式进行复合。叠箱-框架混合结构体系将传统框架作为建筑的外部支撑框架，以提高结构整体的抗侧性能。而叠箱-底层框架混合结构体系的主要方式为建造一个框架平台当作上部模块化建筑的基础，并在此框架平台上部进行模块单元的堆叠和安装。另外，为促进多高层轻型模块化钢结构房屋的发展，使结构满足受力要求，还可采用模块单元与剪力墙或核心筒进行结合构成混合结构体系：由于多高层模块化建筑的设计受到结构性能、使用性能、防火性能等多方面的影响，对于模块单元的布局，通常可考虑将模块单元与钢结构或混凝土结构的剪力墙或核心筒组合进行平面布置。嵌入式模块化结构体系以传统框架作为建筑的外骨架，在其内部安装模块单元，主框架可按传统方式进行建造，随着主框架完成一层的施工，模块也相应进行该层的安装</w:t>
      </w:r>
      <w:r>
        <w:rPr>
          <w:rFonts w:hint="eastAsia"/>
          <w:lang w:eastAsia="zh-CN"/>
        </w:rPr>
        <w:t>。</w:t>
      </w:r>
      <w:r>
        <w:rPr>
          <w:lang w:eastAsia="zh-CN"/>
        </w:rPr>
        <w:t xml:space="preserve"> </w:t>
      </w:r>
    </w:p>
    <w:p w14:paraId="740239FC">
      <w:pPr>
        <w:numPr>
          <w:ilvl w:val="0"/>
          <w:numId w:val="25"/>
        </w:numPr>
        <w:bidi w:val="0"/>
        <w:ind w:left="0" w:leftChars="0" w:firstLine="0" w:firstLineChars="0"/>
        <w:rPr>
          <w:rFonts w:hint="eastAsia"/>
          <w:lang w:eastAsia="zh-CN"/>
        </w:rPr>
      </w:pPr>
      <w:r>
        <w:rPr>
          <w:rFonts w:hint="eastAsia"/>
          <w:lang w:eastAsia="zh-CN"/>
        </w:rPr>
        <w:t>模块化</w:t>
      </w:r>
      <w:r>
        <w:rPr>
          <w:rFonts w:hint="eastAsia"/>
          <w:lang w:val="en-US" w:eastAsia="zh-CN"/>
        </w:rPr>
        <w:t>钢结构</w:t>
      </w:r>
      <w:r>
        <w:rPr>
          <w:rFonts w:hint="eastAsia"/>
          <w:lang w:eastAsia="zh-CN"/>
        </w:rPr>
        <w:t>房屋最大适用高度和层数应符合下列规定：</w:t>
      </w:r>
    </w:p>
    <w:p w14:paraId="388FF8A3">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firstLine="480" w:firstLineChars="200"/>
        <w:textAlignment w:val="auto"/>
        <w:rPr>
          <w:rFonts w:hint="eastAsia"/>
          <w:lang w:eastAsia="zh-CN"/>
        </w:rPr>
      </w:pPr>
      <w:r>
        <w:rPr>
          <w:rFonts w:hint="eastAsia"/>
          <w:lang w:eastAsia="zh-CN"/>
        </w:rPr>
        <w:t>1 叠箱结构体系层数不宜超过3层；</w:t>
      </w:r>
    </w:p>
    <w:p w14:paraId="08C67C0A">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firstLine="480" w:firstLineChars="200"/>
        <w:textAlignment w:val="auto"/>
        <w:rPr>
          <w:rFonts w:hint="eastAsia"/>
          <w:lang w:eastAsia="zh-CN"/>
        </w:rPr>
      </w:pPr>
      <w:r>
        <w:rPr>
          <w:rFonts w:hint="eastAsia"/>
          <w:lang w:eastAsia="zh-CN"/>
        </w:rPr>
        <w:t>2 叠箱-底层框架混合结构体系应用于抗震设防烈度为8度 (0.2g)及以下的地区，总层数不应超过4层，总高度不应超过13m；</w:t>
      </w:r>
    </w:p>
    <w:p w14:paraId="4E11951D">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firstLine="480" w:firstLineChars="200"/>
        <w:textAlignment w:val="auto"/>
        <w:rPr>
          <w:rFonts w:hint="eastAsia"/>
          <w:lang w:eastAsia="zh-CN"/>
        </w:rPr>
      </w:pPr>
      <w:r>
        <w:rPr>
          <w:rFonts w:hint="eastAsia"/>
          <w:lang w:eastAsia="zh-CN"/>
        </w:rPr>
        <w:t>3 叠箱-剪力墙/核心筒混合结构体系和嵌入式模块化结构体系总层数不宜超过8层，且总高度不应超过24m。</w:t>
      </w:r>
    </w:p>
    <w:p w14:paraId="20E5D32F">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firstLine="480" w:firstLineChars="200"/>
        <w:textAlignment w:val="auto"/>
        <w:rPr>
          <w:rFonts w:hint="eastAsia"/>
          <w:lang w:eastAsia="zh-CN"/>
        </w:rPr>
      </w:pPr>
      <w:r>
        <w:rPr>
          <w:rFonts w:hint="eastAsia"/>
          <w:lang w:eastAsia="zh-CN"/>
        </w:rPr>
        <w:t>4 应急类临时模块建筑建设层数应为3层及以下，最大适用高度不宜超过10m。</w:t>
      </w:r>
    </w:p>
    <w:p w14:paraId="3CEBB25C">
      <w:pPr>
        <w:pStyle w:val="45"/>
        <w:numPr>
          <w:ilvl w:val="0"/>
          <w:numId w:val="0"/>
        </w:numPr>
        <w:bidi w:val="0"/>
        <w:ind w:leftChars="0"/>
        <w:rPr>
          <w:rStyle w:val="46"/>
          <w:rFonts w:hint="eastAsia"/>
          <w:b/>
          <w:bCs/>
          <w:lang w:eastAsia="zh-CN"/>
        </w:rPr>
      </w:pPr>
      <w:r>
        <w:rPr>
          <w:rStyle w:val="46"/>
          <w:rFonts w:hint="eastAsia"/>
          <w:b/>
          <w:bCs/>
          <w:lang w:eastAsia="zh-CN"/>
        </w:rPr>
        <w:t>【</w:t>
      </w:r>
      <w:r>
        <w:rPr>
          <w:rStyle w:val="46"/>
          <w:rFonts w:hint="eastAsia"/>
          <w:b/>
          <w:bCs/>
          <w:lang w:val="en-US" w:eastAsia="zh-CN"/>
        </w:rPr>
        <w:t>条文说明</w:t>
      </w:r>
      <w:r>
        <w:rPr>
          <w:rStyle w:val="46"/>
          <w:rFonts w:hint="eastAsia"/>
          <w:b/>
          <w:bCs/>
          <w:lang w:eastAsia="zh-CN"/>
        </w:rPr>
        <w:t>】</w:t>
      </w:r>
      <w:r>
        <w:rPr>
          <w:rFonts w:hint="eastAsia" w:ascii="Times New Roman" w:hAnsi="Times New Roman" w:eastAsia="楷体" w:cs="Times New Roman"/>
          <w:color w:val="auto"/>
          <w:kern w:val="2"/>
          <w:sz w:val="24"/>
          <w:u w:val="single"/>
          <w:lang w:val="en-US" w:eastAsia="zh-CN" w:bidi="ar-SA"/>
        </w:rPr>
        <w:t>参照《轻型模块化钢结构组合房屋技术标准》JGJ/T 466-2019对模块化钢结构房屋的高度和层数进行了规定。</w:t>
      </w:r>
    </w:p>
    <w:p w14:paraId="2B2446D4">
      <w:pPr>
        <w:pStyle w:val="45"/>
        <w:numPr>
          <w:ilvl w:val="0"/>
          <w:numId w:val="0"/>
        </w:numPr>
        <w:bidi w:val="0"/>
        <w:ind w:leftChars="0"/>
        <w:rPr>
          <w:rStyle w:val="46"/>
          <w:rFonts w:hint="eastAsia"/>
          <w:b/>
          <w:bCs/>
          <w:lang w:eastAsia="zh-CN"/>
        </w:rPr>
      </w:pPr>
    </w:p>
    <w:p w14:paraId="0A9BF6D0">
      <w:pPr>
        <w:numPr>
          <w:ilvl w:val="0"/>
          <w:numId w:val="25"/>
        </w:numPr>
        <w:bidi w:val="0"/>
        <w:ind w:left="0" w:leftChars="0" w:firstLine="0" w:firstLineChars="0"/>
        <w:rPr>
          <w:rFonts w:hint="eastAsia"/>
          <w:lang w:eastAsia="zh-CN"/>
        </w:rPr>
      </w:pPr>
      <w:r>
        <w:rPr>
          <w:rFonts w:hint="eastAsia"/>
          <w:lang w:val="en-US" w:eastAsia="zh-CN"/>
        </w:rPr>
        <w:t>模块化钢结构房屋</w:t>
      </w:r>
      <w:r>
        <w:rPr>
          <w:rFonts w:hint="eastAsia"/>
          <w:lang w:eastAsia="zh-CN"/>
        </w:rPr>
        <w:t>结构布置应遵循下列原则：</w:t>
      </w:r>
    </w:p>
    <w:p w14:paraId="1A84DE82">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firstLine="480" w:firstLineChars="200"/>
        <w:textAlignment w:val="auto"/>
        <w:rPr>
          <w:lang w:eastAsia="zh-CN"/>
        </w:rPr>
      </w:pPr>
      <w:bookmarkStart w:id="30" w:name="bookmark88"/>
      <w:bookmarkEnd w:id="30"/>
      <w:r>
        <w:rPr>
          <w:lang w:eastAsia="zh-CN"/>
        </w:rPr>
        <w:t>1 结构的平面布置宜规则对称，质量、刚度分布宜均匀</w:t>
      </w:r>
      <w:r>
        <w:rPr>
          <w:rFonts w:hint="eastAsia"/>
          <w:lang w:eastAsia="zh-CN"/>
        </w:rPr>
        <w:t>，</w:t>
      </w:r>
      <w:r>
        <w:rPr>
          <w:rFonts w:hint="eastAsia"/>
          <w:lang w:val="en-US" w:eastAsia="zh-CN"/>
        </w:rPr>
        <w:t>不应采用严重不规则的平面布置</w:t>
      </w:r>
      <w:r>
        <w:rPr>
          <w:lang w:eastAsia="zh-CN"/>
        </w:rPr>
        <w:t>；</w:t>
      </w:r>
    </w:p>
    <w:p w14:paraId="28C316AE">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firstLine="480" w:firstLineChars="200"/>
        <w:textAlignment w:val="auto"/>
        <w:rPr>
          <w:lang w:eastAsia="zh-CN"/>
        </w:rPr>
      </w:pPr>
      <w:r>
        <w:rPr>
          <w:lang w:eastAsia="zh-CN"/>
        </w:rPr>
        <w:t>2 结构竖向布置</w:t>
      </w:r>
      <w:r>
        <w:rPr>
          <w:rFonts w:hint="eastAsia"/>
          <w:lang w:val="en-US" w:eastAsia="zh-CN"/>
        </w:rPr>
        <w:t>应连续、均匀，并应避免侧向刚度和承载力沿竖向突变；</w:t>
      </w:r>
    </w:p>
    <w:p w14:paraId="6381F4AB">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firstLine="480" w:firstLineChars="200"/>
        <w:textAlignment w:val="auto"/>
        <w:rPr>
          <w:rFonts w:hint="default"/>
          <w:lang w:val="en-US" w:eastAsia="zh-CN"/>
        </w:rPr>
      </w:pPr>
      <w:r>
        <w:rPr>
          <w:lang w:eastAsia="zh-CN"/>
        </w:rPr>
        <w:t>3 除外装阳台模块外，不宜外挑构造；必须进行模块外挑时，宜在模块长边方向上外挑，且外挑距离不应大于模块长边总长的1/4</w:t>
      </w:r>
      <w:r>
        <w:rPr>
          <w:rFonts w:hint="eastAsia"/>
          <w:lang w:eastAsia="zh-CN"/>
        </w:rPr>
        <w:t>，</w:t>
      </w:r>
      <w:r>
        <w:rPr>
          <w:rFonts w:hint="eastAsia"/>
          <w:lang w:val="en-US" w:eastAsia="zh-CN"/>
        </w:rPr>
        <w:t>悬挑部分不应开孔</w:t>
      </w:r>
      <w:r>
        <w:rPr>
          <w:rFonts w:hint="eastAsia"/>
          <w:lang w:eastAsia="zh-CN"/>
        </w:rPr>
        <w:t>；</w:t>
      </w:r>
      <w:r>
        <w:rPr>
          <w:lang w:eastAsia="zh-CN"/>
        </w:rPr>
        <w:t>外挑构造的所有挑出的模块应在对应基础首层边柱位 置设置中柱以及必要的支撑；未出挑模块一端的角柱应与下部模块的角柱对应，形成连续的竖向角柱支撑系统</w:t>
      </w:r>
      <w:r>
        <w:rPr>
          <w:rFonts w:hint="eastAsia"/>
          <w:lang w:eastAsia="zh-CN"/>
        </w:rPr>
        <w:t>。</w:t>
      </w:r>
    </w:p>
    <w:p w14:paraId="54E6ADA0">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firstLine="480" w:firstLineChars="200"/>
        <w:textAlignment w:val="auto"/>
        <w:rPr>
          <w:lang w:eastAsia="zh-CN"/>
        </w:rPr>
      </w:pPr>
      <w:r>
        <w:rPr>
          <w:lang w:eastAsia="zh-CN"/>
        </w:rPr>
        <w:t>4 上下楼层的质量比不宜大于1.5。</w:t>
      </w:r>
    </w:p>
    <w:p w14:paraId="55BA837A">
      <w:pPr>
        <w:pStyle w:val="45"/>
        <w:numPr>
          <w:ilvl w:val="0"/>
          <w:numId w:val="0"/>
        </w:numPr>
        <w:bidi w:val="0"/>
        <w:ind w:leftChars="0"/>
        <w:rPr>
          <w:rFonts w:hint="default"/>
          <w:lang w:eastAsia="zh-CN"/>
        </w:rPr>
      </w:pPr>
      <w:r>
        <w:rPr>
          <w:rStyle w:val="46"/>
          <w:rFonts w:hint="eastAsia"/>
          <w:b/>
          <w:bCs/>
          <w:lang w:eastAsia="zh-CN"/>
        </w:rPr>
        <w:t>【</w:t>
      </w:r>
      <w:r>
        <w:rPr>
          <w:rStyle w:val="46"/>
          <w:rFonts w:hint="eastAsia"/>
          <w:b/>
          <w:bCs/>
          <w:lang w:val="en-US" w:eastAsia="zh-CN"/>
        </w:rPr>
        <w:t>条文说明</w:t>
      </w:r>
      <w:r>
        <w:rPr>
          <w:rStyle w:val="46"/>
          <w:rFonts w:hint="eastAsia"/>
          <w:b/>
          <w:bCs/>
          <w:lang w:eastAsia="zh-CN"/>
        </w:rPr>
        <w:t>】</w:t>
      </w:r>
      <w:r>
        <w:rPr>
          <w:rFonts w:hint="default"/>
          <w:lang w:eastAsia="zh-CN"/>
        </w:rPr>
        <w:t>由于模块之间连接受力复杂，在抗震设防建筑中，应尽量避免模块的竖向不规则布置或刚度、质量突变，以防地震作用下局部不规则位置</w:t>
      </w:r>
      <w:r>
        <w:rPr>
          <w:rFonts w:hint="eastAsia"/>
          <w:lang w:val="en-US" w:eastAsia="zh-CN"/>
        </w:rPr>
        <w:t>处</w:t>
      </w:r>
      <w:r>
        <w:rPr>
          <w:rFonts w:hint="default"/>
          <w:lang w:eastAsia="zh-CN"/>
        </w:rPr>
        <w:t>模块间的连接因受力过大而失效。当有模块外挑时，外挑距离不应过大。另外，还应通过设置中柱或支撑保证 角柱的连续性、结构的整体性以及结构的竖向传力路径。</w:t>
      </w:r>
    </w:p>
    <w:p w14:paraId="3F638770">
      <w:pPr>
        <w:pStyle w:val="45"/>
        <w:numPr>
          <w:ilvl w:val="0"/>
          <w:numId w:val="0"/>
        </w:numPr>
        <w:bidi w:val="0"/>
        <w:ind w:leftChars="0"/>
        <w:rPr>
          <w:rFonts w:hint="default"/>
          <w:lang w:eastAsia="zh-CN"/>
        </w:rPr>
      </w:pPr>
    </w:p>
    <w:p w14:paraId="41224CB9">
      <w:pPr>
        <w:pStyle w:val="3"/>
        <w:bidi w:val="0"/>
        <w:rPr>
          <w:rFonts w:hint="default"/>
          <w:strike/>
          <w:dstrike w:val="0"/>
          <w:color w:val="auto"/>
          <w:lang w:val="en-US" w:eastAsia="zh-CN"/>
        </w:rPr>
      </w:pPr>
      <w:bookmarkStart w:id="31" w:name="_Toc23897"/>
      <w:r>
        <w:rPr>
          <w:color w:val="auto"/>
          <w:lang w:val="en-US" w:eastAsia="zh-CN"/>
        </w:rPr>
        <w:t>5.</w:t>
      </w:r>
      <w:r>
        <w:rPr>
          <w:rFonts w:hint="eastAsia"/>
          <w:color w:val="auto"/>
          <w:lang w:val="en-US" w:eastAsia="zh-CN"/>
        </w:rPr>
        <w:t>4</w:t>
      </w:r>
      <w:r>
        <w:rPr>
          <w:rFonts w:hint="eastAsia"/>
          <w:strike w:val="0"/>
          <w:dstrike w:val="0"/>
          <w:color w:val="auto"/>
          <w:lang w:val="en-US" w:eastAsia="zh-CN"/>
        </w:rPr>
        <w:t>结构分析计算</w:t>
      </w:r>
      <w:bookmarkEnd w:id="31"/>
    </w:p>
    <w:p w14:paraId="4BEA6B3E">
      <w:pPr>
        <w:numPr>
          <w:ilvl w:val="0"/>
          <w:numId w:val="26"/>
        </w:numPr>
        <w:bidi w:val="0"/>
        <w:rPr>
          <w:color w:val="auto"/>
          <w:lang w:eastAsia="zh-CN"/>
        </w:rPr>
      </w:pPr>
      <w:r>
        <w:rPr>
          <w:rFonts w:hint="eastAsia"/>
          <w:color w:val="auto"/>
          <w:lang w:eastAsia="zh-CN"/>
        </w:rPr>
        <w:t>模块化钢结构房屋宜采用空间结构模型进行结构计算分析，计算模型应与实际受力情况一致；根据连接构造的不同，模块单元连接可采用刚接、半刚接与铰接的计算假定；模块单元层间竖向连接模拟高度不应小于模块单元结构间竖向净距。</w:t>
      </w:r>
    </w:p>
    <w:p w14:paraId="47F8E604">
      <w:pPr>
        <w:numPr>
          <w:ilvl w:val="0"/>
          <w:numId w:val="26"/>
        </w:numPr>
        <w:bidi w:val="0"/>
        <w:rPr>
          <w:lang w:eastAsia="zh-CN"/>
        </w:rPr>
      </w:pPr>
      <w:r>
        <w:rPr>
          <w:lang w:eastAsia="zh-CN"/>
        </w:rPr>
        <w:t>叠箱-框架(剪力墙/核心筒)混合结构体系宜按双重抗侧力体系计算，任一层叠箱部分承担的地震剪力不应小于结构底部总地震剪力的20%。</w:t>
      </w:r>
    </w:p>
    <w:p w14:paraId="285132F2">
      <w:pPr>
        <w:pStyle w:val="45"/>
        <w:numPr>
          <w:ilvl w:val="0"/>
          <w:numId w:val="0"/>
        </w:numPr>
        <w:tabs>
          <w:tab w:val="clear" w:pos="420"/>
        </w:tabs>
        <w:bidi w:val="0"/>
        <w:ind w:leftChars="0"/>
        <w:rPr>
          <w:rFonts w:hint="eastAsia"/>
          <w:lang w:eastAsia="zh-CN"/>
        </w:rPr>
      </w:pPr>
      <w:r>
        <w:rPr>
          <w:rFonts w:hint="eastAsia"/>
          <w:b/>
          <w:bCs/>
          <w:lang w:eastAsia="zh-CN"/>
        </w:rPr>
        <w:t>【</w:t>
      </w:r>
      <w:r>
        <w:rPr>
          <w:rFonts w:hint="eastAsia"/>
          <w:b/>
          <w:bCs/>
          <w:lang w:val="en-US" w:eastAsia="zh-CN"/>
        </w:rPr>
        <w:t>条文说明</w:t>
      </w:r>
      <w:r>
        <w:rPr>
          <w:rFonts w:hint="eastAsia"/>
          <w:b/>
          <w:bCs/>
          <w:lang w:eastAsia="zh-CN"/>
        </w:rPr>
        <w:t>】</w:t>
      </w:r>
      <w:r>
        <w:rPr>
          <w:rFonts w:hint="eastAsia"/>
          <w:lang w:eastAsia="zh-CN"/>
        </w:rPr>
        <w:t>参考《建筑抗震设计标准》GB50011-2010(2016年版)第6.2.13条和第6.7.1条。</w:t>
      </w:r>
    </w:p>
    <w:p w14:paraId="1D4BDC75">
      <w:pPr>
        <w:pStyle w:val="45"/>
        <w:numPr>
          <w:ilvl w:val="0"/>
          <w:numId w:val="0"/>
        </w:numPr>
        <w:tabs>
          <w:tab w:val="clear" w:pos="420"/>
        </w:tabs>
        <w:bidi w:val="0"/>
        <w:ind w:leftChars="0"/>
        <w:rPr>
          <w:rFonts w:hint="eastAsia"/>
          <w:lang w:eastAsia="zh-CN"/>
        </w:rPr>
      </w:pPr>
    </w:p>
    <w:p w14:paraId="6A36024D">
      <w:pPr>
        <w:numPr>
          <w:ilvl w:val="0"/>
          <w:numId w:val="26"/>
        </w:numPr>
        <w:bidi w:val="0"/>
        <w:rPr>
          <w:rFonts w:hint="default" w:ascii="Times New Roman" w:hAnsi="Times New Roman" w:eastAsia="宋体" w:cs="Times New Roman"/>
          <w:kern w:val="2"/>
          <w:sz w:val="24"/>
          <w:u w:val="none"/>
          <w:lang w:val="en-US" w:eastAsia="zh-CN" w:bidi="ar-SA"/>
        </w:rPr>
      </w:pPr>
      <w:r>
        <w:rPr>
          <w:rFonts w:hint="default" w:ascii="Times New Roman" w:hAnsi="Times New Roman" w:eastAsia="宋体" w:cs="Times New Roman"/>
          <w:kern w:val="2"/>
          <w:sz w:val="24"/>
          <w:u w:val="none"/>
          <w:lang w:val="en-US" w:eastAsia="zh-CN" w:bidi="ar-SA"/>
        </w:rPr>
        <w:t>当采用压型钢板组合楼板，且组合楼板与模块单元钢骨架间有可靠连接时，楼板可按刚性平面进行计算，但在模块边缘交接处楼板应为不连续；采用轻质楼板的模块建筑，其楼板计算结构模型应为由地板主梁和次梁以及下层模块的顶棚主梁和次梁组成的空间钢结构。</w:t>
      </w:r>
    </w:p>
    <w:p w14:paraId="43E502AD">
      <w:pPr>
        <w:pStyle w:val="45"/>
        <w:numPr>
          <w:ilvl w:val="0"/>
          <w:numId w:val="0"/>
        </w:numPr>
        <w:tabs>
          <w:tab w:val="clear" w:pos="420"/>
        </w:tabs>
        <w:bidi w:val="0"/>
        <w:ind w:leftChars="0"/>
        <w:rPr>
          <w:rFonts w:hint="eastAsia"/>
          <w:lang w:eastAsia="zh-CN"/>
        </w:rPr>
      </w:pPr>
      <w:r>
        <w:rPr>
          <w:rFonts w:hint="eastAsia"/>
          <w:b/>
          <w:bCs/>
          <w:lang w:eastAsia="zh-CN"/>
        </w:rPr>
        <w:t>【</w:t>
      </w:r>
      <w:r>
        <w:rPr>
          <w:rFonts w:hint="eastAsia"/>
          <w:b/>
          <w:bCs/>
          <w:lang w:val="en-US" w:eastAsia="zh-CN"/>
        </w:rPr>
        <w:t>条文说明</w:t>
      </w:r>
      <w:r>
        <w:rPr>
          <w:rFonts w:hint="eastAsia"/>
          <w:b/>
          <w:bCs/>
          <w:lang w:eastAsia="zh-CN"/>
        </w:rPr>
        <w:t>】</w:t>
      </w:r>
      <w:r>
        <w:rPr>
          <w:rFonts w:hint="eastAsia" w:ascii="Times New Roman" w:hAnsi="Times New Roman" w:eastAsia="楷体" w:cs="Times New Roman"/>
          <w:kern w:val="2"/>
          <w:sz w:val="24"/>
          <w:u w:val="single"/>
          <w:lang w:val="en-US" w:eastAsia="zh-CN" w:bidi="ar-SA"/>
        </w:rPr>
        <w:t>在模块化钢结构房屋中，当组合楼板和模块单元的钢骨架可靠连接时，楼板的平面内刚度可由楼板和钢骨架共同提供，因此可按刚性平面进行计算；当不符合刚性楼板假定，计算平面内楼板刚度时，应同时考虑本层楼板和下层顶棚的协同作用 。</w:t>
      </w:r>
    </w:p>
    <w:p w14:paraId="2A97FF57">
      <w:pPr>
        <w:numPr>
          <w:ilvl w:val="0"/>
          <w:numId w:val="26"/>
        </w:numPr>
        <w:bidi w:val="0"/>
        <w:rPr>
          <w:lang w:eastAsia="zh-CN"/>
        </w:rPr>
      </w:pPr>
      <w:r>
        <w:rPr>
          <w:rFonts w:hint="eastAsia"/>
          <w:lang w:eastAsia="zh-CN"/>
        </w:rPr>
        <w:t>当结构布置不规则或局部刚度有较大削弱时，</w:t>
      </w:r>
      <w:r>
        <w:rPr>
          <w:rFonts w:hint="eastAsia"/>
          <w:lang w:val="en-US" w:eastAsia="zh-CN"/>
        </w:rPr>
        <w:t>应</w:t>
      </w:r>
      <w:r>
        <w:rPr>
          <w:rFonts w:hint="eastAsia"/>
          <w:lang w:eastAsia="zh-CN"/>
        </w:rPr>
        <w:t>按空间模型进行结构计算，此时屋盖或楼盖的连接构造应符合平面刚性铺板的要求。</w:t>
      </w:r>
    </w:p>
    <w:p w14:paraId="7A2791BF">
      <w:pPr>
        <w:pStyle w:val="45"/>
        <w:numPr>
          <w:ilvl w:val="0"/>
          <w:numId w:val="0"/>
        </w:numPr>
        <w:tabs>
          <w:tab w:val="clear" w:pos="420"/>
        </w:tabs>
        <w:bidi w:val="0"/>
        <w:ind w:leftChars="0"/>
        <w:rPr>
          <w:lang w:eastAsia="zh-CN"/>
        </w:rPr>
      </w:pPr>
      <w:r>
        <w:rPr>
          <w:rFonts w:hint="eastAsia"/>
          <w:b/>
          <w:bCs/>
          <w:lang w:eastAsia="zh-CN"/>
        </w:rPr>
        <w:t>【</w:t>
      </w:r>
      <w:r>
        <w:rPr>
          <w:rFonts w:hint="eastAsia"/>
          <w:b/>
          <w:bCs/>
          <w:lang w:val="en-US" w:eastAsia="zh-CN"/>
        </w:rPr>
        <w:t>条文说明</w:t>
      </w:r>
      <w:r>
        <w:rPr>
          <w:rFonts w:hint="eastAsia"/>
          <w:b/>
          <w:bCs/>
          <w:lang w:eastAsia="zh-CN"/>
        </w:rPr>
        <w:t>】</w:t>
      </w:r>
      <w:r>
        <w:rPr>
          <w:rFonts w:hint="eastAsia"/>
          <w:lang w:eastAsia="zh-CN"/>
        </w:rPr>
        <w:t>当结构布置不规则或局部刚度有较大削弱时，为保证计算的准确性，不宜按平面模型简化计算，而</w:t>
      </w:r>
      <w:r>
        <w:rPr>
          <w:rFonts w:hint="eastAsia"/>
          <w:lang w:val="en-US" w:eastAsia="zh-CN"/>
        </w:rPr>
        <w:t>应采用</w:t>
      </w:r>
      <w:r>
        <w:rPr>
          <w:rFonts w:hint="eastAsia"/>
          <w:lang w:eastAsia="zh-CN"/>
        </w:rPr>
        <w:t>空间模型进行计算。</w:t>
      </w:r>
    </w:p>
    <w:p w14:paraId="37672BAF">
      <w:pPr>
        <w:numPr>
          <w:ilvl w:val="0"/>
          <w:numId w:val="26"/>
        </w:numPr>
        <w:bidi w:val="0"/>
        <w:rPr>
          <w:lang w:eastAsia="zh-CN"/>
        </w:rPr>
      </w:pPr>
      <w:r>
        <w:rPr>
          <w:rFonts w:hint="eastAsia" w:ascii="宋体" w:hAnsi="宋体" w:cs="宋体"/>
          <w:spacing w:val="4"/>
          <w:sz w:val="24"/>
          <w:szCs w:val="24"/>
          <w:lang w:val="en-US" w:eastAsia="zh-CN"/>
        </w:rPr>
        <w:t>模块化钢结构房屋按照弹性方法计算的风荷载和多遇地震作用下的楼层最大水平位移与层高之比均不应</w:t>
      </w:r>
      <w:r>
        <w:rPr>
          <w:rFonts w:ascii="宋体" w:hAnsi="宋体" w:eastAsia="宋体" w:cs="宋体"/>
          <w:spacing w:val="4"/>
          <w:sz w:val="24"/>
          <w:szCs w:val="24"/>
          <w:lang w:eastAsia="zh-CN"/>
        </w:rPr>
        <w:t>超过1/300。</w:t>
      </w:r>
      <w:r>
        <w:rPr>
          <w:rFonts w:hint="eastAsia"/>
          <w:lang w:val="en-US" w:eastAsia="zh-CN"/>
        </w:rPr>
        <w:t xml:space="preserve">              </w:t>
      </w:r>
    </w:p>
    <w:p w14:paraId="64DB7EFF">
      <w:pPr>
        <w:pStyle w:val="45"/>
        <w:numPr>
          <w:ilvl w:val="0"/>
          <w:numId w:val="0"/>
        </w:numPr>
        <w:bidi w:val="0"/>
        <w:ind w:leftChars="0"/>
        <w:rPr>
          <w:lang w:eastAsia="zh-CN"/>
        </w:rPr>
      </w:pPr>
      <w:r>
        <w:rPr>
          <w:rFonts w:hint="eastAsia"/>
          <w:b/>
          <w:bCs/>
          <w:lang w:eastAsia="zh-CN"/>
        </w:rPr>
        <w:t>【</w:t>
      </w:r>
      <w:r>
        <w:rPr>
          <w:rFonts w:hint="eastAsia"/>
          <w:b/>
          <w:bCs/>
          <w:lang w:val="en-US" w:eastAsia="zh-CN"/>
        </w:rPr>
        <w:t>条文说明</w:t>
      </w:r>
      <w:r>
        <w:rPr>
          <w:rFonts w:hint="eastAsia"/>
          <w:b/>
          <w:bCs/>
          <w:lang w:eastAsia="zh-CN"/>
        </w:rPr>
        <w:t>】</w:t>
      </w:r>
      <w:r>
        <w:rPr>
          <w:lang w:eastAsia="zh-CN"/>
        </w:rPr>
        <w:t>《钢结构设计标准》GB50017-2017附录B.2.2条规定层间位移角限值为1/250,由于层间位移对模块化钢结构的影响较大，限值应偏于严格，建议取1/300。</w:t>
      </w:r>
    </w:p>
    <w:p w14:paraId="1C8BC187">
      <w:pPr>
        <w:pStyle w:val="9"/>
        <w:rPr>
          <w:rFonts w:ascii="宋体" w:hAnsi="宋体" w:eastAsia="宋体" w:cs="宋体"/>
          <w:spacing w:val="6"/>
          <w:sz w:val="24"/>
          <w:szCs w:val="24"/>
          <w:lang w:eastAsia="zh-CN"/>
        </w:rPr>
      </w:pPr>
    </w:p>
    <w:p w14:paraId="0C02E8B8">
      <w:pPr>
        <w:numPr>
          <w:ilvl w:val="0"/>
          <w:numId w:val="26"/>
        </w:numPr>
        <w:bidi w:val="0"/>
        <w:rPr>
          <w:lang w:eastAsia="zh-CN"/>
        </w:rPr>
      </w:pPr>
      <w:r>
        <w:rPr>
          <w:lang w:eastAsia="zh-CN"/>
        </w:rPr>
        <w:t>垂直放置的模块组合在结构计算时，由于定位和加工而在每一层引起的水平误差最大累积值可按下式计算：</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38"/>
        <w:gridCol w:w="1751"/>
      </w:tblGrid>
      <w:tr w14:paraId="39108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38" w:type="dxa"/>
          </w:tcPr>
          <w:p w14:paraId="3E3D4E8E">
            <w:pPr>
              <w:keepNext w:val="0"/>
              <w:keepLines w:val="0"/>
              <w:numPr>
                <w:ilvl w:val="0"/>
                <w:numId w:val="0"/>
              </w:numPr>
              <w:suppressLineNumbers w:val="0"/>
              <w:tabs>
                <w:tab w:val="left" w:pos="0"/>
              </w:tabs>
              <w:bidi w:val="0"/>
              <w:spacing w:before="0" w:beforeAutospacing="0" w:after="0" w:afterAutospacing="0"/>
              <w:ind w:left="0" w:right="0"/>
              <w:jc w:val="center"/>
              <w:rPr>
                <w:rFonts w:hint="eastAsia" w:eastAsia="宋体"/>
                <w:szCs w:val="20"/>
                <w:highlight w:val="none"/>
                <w:vertAlign w:val="baseline"/>
                <w:lang w:eastAsia="zh-CN"/>
              </w:rPr>
            </w:pPr>
            <w:r>
              <w:rPr>
                <w:rFonts w:hint="default" w:ascii="Times New Roman" w:hAnsi="Times New Roman" w:eastAsia="Times New Roman" w:cs="Times New Roman"/>
                <w:spacing w:val="-1"/>
                <w:position w:val="-10"/>
                <w:sz w:val="21"/>
                <w:szCs w:val="21"/>
                <w:highlight w:val="none"/>
              </w:rPr>
              <w:object>
                <v:shape id="_x0000_i1029" o:spt="75" type="#_x0000_t75" style="height:18pt;width:78.95pt;" o:ole="t" filled="f" o:preferrelative="t" stroked="f" coordsize="21600,21600">
                  <v:path/>
                  <v:fill on="f" focussize="0,0"/>
                  <v:stroke on="f"/>
                  <v:imagedata r:id="rId30" o:title=""/>
                  <o:lock v:ext="edit" aspectratio="t"/>
                  <w10:wrap type="none"/>
                  <w10:anchorlock/>
                </v:shape>
                <o:OLEObject Type="Embed" ProgID="Equation.KSEE3" ShapeID="_x0000_i1029" DrawAspect="Content" ObjectID="_1468075729" r:id="rId29">
                  <o:LockedField>false</o:LockedField>
                </o:OLEObject>
              </w:object>
            </w:r>
          </w:p>
        </w:tc>
        <w:tc>
          <w:tcPr>
            <w:tcW w:w="1751" w:type="dxa"/>
          </w:tcPr>
          <w:p w14:paraId="77153FE6">
            <w:pPr>
              <w:keepNext w:val="0"/>
              <w:keepLines w:val="0"/>
              <w:numPr>
                <w:ilvl w:val="0"/>
                <w:numId w:val="0"/>
              </w:numPr>
              <w:suppressLineNumbers w:val="0"/>
              <w:tabs>
                <w:tab w:val="left" w:pos="0"/>
              </w:tabs>
              <w:bidi w:val="0"/>
              <w:spacing w:before="0" w:beforeAutospacing="0" w:after="0" w:afterAutospacing="0"/>
              <w:ind w:left="0" w:right="0"/>
              <w:jc w:val="center"/>
              <w:rPr>
                <w:rFonts w:hint="default"/>
                <w:szCs w:val="20"/>
                <w:highlight w:val="yellow"/>
                <w:vertAlign w:val="baseline"/>
                <w:lang w:eastAsia="zh-CN"/>
              </w:rPr>
            </w:pPr>
            <w:r>
              <w:rPr>
                <w:rFonts w:hint="default" w:ascii="宋体" w:hAnsi="宋体" w:eastAsia="宋体" w:cs="宋体"/>
                <w:spacing w:val="-2"/>
                <w:sz w:val="21"/>
                <w:szCs w:val="21"/>
                <w:highlight w:val="none"/>
              </w:rPr>
              <w:t>(5.</w:t>
            </w:r>
            <w:r>
              <w:rPr>
                <w:rFonts w:hint="eastAsia" w:ascii="宋体" w:hAnsi="宋体" w:cs="宋体"/>
                <w:spacing w:val="-2"/>
                <w:sz w:val="21"/>
                <w:szCs w:val="21"/>
                <w:highlight w:val="none"/>
                <w:lang w:val="en-US" w:eastAsia="zh-CN"/>
              </w:rPr>
              <w:t>4</w:t>
            </w:r>
            <w:r>
              <w:rPr>
                <w:rFonts w:hint="default" w:ascii="宋体" w:hAnsi="宋体" w:eastAsia="宋体" w:cs="宋体"/>
                <w:spacing w:val="-2"/>
                <w:sz w:val="21"/>
                <w:szCs w:val="21"/>
                <w:highlight w:val="none"/>
              </w:rPr>
              <w:t>.6)</w:t>
            </w:r>
          </w:p>
        </w:tc>
      </w:tr>
    </w:tbl>
    <w:p w14:paraId="3D5F63A5">
      <w:pPr>
        <w:numPr>
          <w:ilvl w:val="0"/>
          <w:numId w:val="0"/>
        </w:numPr>
        <w:tabs>
          <w:tab w:val="left" w:pos="0"/>
        </w:tabs>
        <w:bidi w:val="0"/>
        <w:ind w:leftChars="0"/>
        <w:rPr>
          <w:lang w:eastAsia="zh-CN"/>
        </w:rPr>
      </w:pPr>
      <w:r>
        <w:rPr>
          <w:lang w:eastAsia="zh-CN"/>
        </w:rPr>
        <w:t xml:space="preserve">式中： </w:t>
      </w:r>
      <w:r>
        <w:rPr>
          <w:position w:val="-10"/>
          <w:lang w:eastAsia="zh-CN"/>
        </w:rPr>
        <w:object>
          <v:shape id="_x0000_i1030" o:spt="75" type="#_x0000_t75" style="height:17pt;width:16pt;" o:ole="t" filled="f" o:preferrelative="t" stroked="f" coordsize="21600,21600">
            <v:path/>
            <v:fill on="f" focussize="0,0"/>
            <v:stroke on="f"/>
            <v:imagedata r:id="rId32" o:title=""/>
            <o:lock v:ext="edit" aspectratio="t"/>
            <w10:wrap type="none"/>
            <w10:anchorlock/>
          </v:shape>
          <o:OLEObject Type="Embed" ProgID="Equation.KSEE3" ShapeID="_x0000_i1030" DrawAspect="Content" ObjectID="_1468075730" r:id="rId31">
            <o:LockedField>false</o:LockedField>
          </o:OLEObject>
        </w:object>
      </w:r>
      <w:r>
        <w:rPr>
          <w:lang w:eastAsia="zh-CN"/>
        </w:rPr>
        <w:t xml:space="preserve">—— 水平误差最大累积值； </w:t>
      </w:r>
    </w:p>
    <w:p w14:paraId="1F902C0C">
      <w:pPr>
        <w:numPr>
          <w:ilvl w:val="0"/>
          <w:numId w:val="0"/>
        </w:numPr>
        <w:tabs>
          <w:tab w:val="left" w:pos="0"/>
        </w:tabs>
        <w:bidi w:val="0"/>
        <w:ind w:firstLine="960" w:firstLineChars="400"/>
        <w:rPr>
          <w:lang w:eastAsia="zh-CN"/>
        </w:rPr>
      </w:pPr>
      <w:r>
        <w:rPr>
          <w:lang w:eastAsia="zh-CN"/>
        </w:rPr>
        <w:t>n——</w:t>
      </w:r>
      <w:r>
        <w:rPr>
          <w:rFonts w:hint="eastAsia"/>
          <w:lang w:val="en-US" w:eastAsia="zh-CN"/>
        </w:rPr>
        <w:t xml:space="preserve"> </w:t>
      </w:r>
      <w:r>
        <w:rPr>
          <w:lang w:eastAsia="zh-CN"/>
        </w:rPr>
        <w:t>所在层数。</w:t>
      </w:r>
    </w:p>
    <w:p w14:paraId="6EC85E00">
      <w:pPr>
        <w:pStyle w:val="45"/>
        <w:numPr>
          <w:ilvl w:val="0"/>
          <w:numId w:val="0"/>
        </w:numPr>
        <w:bidi w:val="0"/>
        <w:ind w:leftChars="0"/>
        <w:rPr>
          <w:lang w:eastAsia="zh-CN"/>
        </w:rPr>
      </w:pPr>
      <w:r>
        <w:rPr>
          <w:rFonts w:hint="eastAsia"/>
          <w:b/>
          <w:bCs/>
          <w:lang w:eastAsia="zh-CN"/>
        </w:rPr>
        <w:t>【</w:t>
      </w:r>
      <w:r>
        <w:rPr>
          <w:rFonts w:hint="eastAsia"/>
          <w:b/>
          <w:bCs/>
          <w:lang w:val="en-US" w:eastAsia="zh-CN"/>
        </w:rPr>
        <w:t>条文说明</w:t>
      </w:r>
      <w:r>
        <w:rPr>
          <w:rFonts w:hint="eastAsia"/>
          <w:b/>
          <w:bCs/>
          <w:lang w:eastAsia="zh-CN"/>
        </w:rPr>
        <w:t>】</w:t>
      </w:r>
      <w:r>
        <w:rPr>
          <w:lang w:eastAsia="zh-CN"/>
        </w:rPr>
        <w:t>本条假设定位和加工的任何偏差在相同的方向上起作用，从模块的顶部至其下方模块的顶部，允许几何误差为12mm, 对于下一个模块，总的水平误差允许值为17mm, 因此下一对模块的公差增量只有5mm 。这意味着在建筑物高度上更正了安装错 误。另外，更高的模块化建筑需要更严格的安装和加工控制。</w:t>
      </w:r>
    </w:p>
    <w:p w14:paraId="39EFCB80">
      <w:pPr>
        <w:numPr>
          <w:ilvl w:val="0"/>
          <w:numId w:val="26"/>
        </w:numPr>
        <w:bidi w:val="0"/>
        <w:rPr>
          <w:rFonts w:ascii="宋体" w:hAnsi="宋体" w:eastAsia="宋体" w:cs="宋体"/>
          <w:sz w:val="24"/>
          <w:szCs w:val="24"/>
          <w:lang w:eastAsia="zh-CN"/>
        </w:rPr>
      </w:pPr>
      <w:r>
        <w:rPr>
          <w:rFonts w:ascii="宋体" w:hAnsi="宋体" w:eastAsia="宋体" w:cs="宋体"/>
          <w:spacing w:val="4"/>
        </w:rPr>
        <w:t>单柱的水平误差允许值</w:t>
      </w:r>
      <w:r>
        <w:rPr>
          <w:position w:val="-10"/>
          <w:lang w:eastAsia="zh-CN"/>
        </w:rPr>
        <w:object>
          <v:shape id="_x0000_i1031" o:spt="75" type="#_x0000_t75" style="height:17pt;width:16pt;" o:ole="t" filled="f" o:preferrelative="t" stroked="f" coordsize="21600,21600">
            <v:path/>
            <v:fill on="f" focussize="0,0"/>
            <v:stroke on="f"/>
            <v:imagedata r:id="rId32" o:title=""/>
            <o:lock v:ext="edit" aspectratio="t"/>
            <w10:wrap type="none"/>
            <w10:anchorlock/>
          </v:shape>
          <o:OLEObject Type="Embed" ProgID="Equation.KSEE3" ShapeID="_x0000_i1031" DrawAspect="Content" ObjectID="_1468075731" r:id="rId33">
            <o:LockedField>false</o:LockedField>
          </o:OLEObject>
        </w:object>
      </w:r>
      <w:r>
        <w:rPr>
          <w:rFonts w:ascii="宋体" w:hAnsi="宋体" w:eastAsia="宋体" w:cs="宋体"/>
          <w:spacing w:val="4"/>
        </w:rPr>
        <w:t>可取柱高的1/2</w:t>
      </w:r>
      <w:r>
        <w:rPr>
          <w:rFonts w:ascii="宋体" w:hAnsi="宋体" w:eastAsia="宋体" w:cs="宋体"/>
          <w:spacing w:val="3"/>
        </w:rPr>
        <w:t>00,当考虑多</w:t>
      </w:r>
      <w:r>
        <w:rPr>
          <w:rFonts w:ascii="宋体" w:hAnsi="宋体" w:eastAsia="宋体" w:cs="宋体"/>
          <w:spacing w:val="2"/>
        </w:rPr>
        <w:t>层的平均值时，平均</w:t>
      </w:r>
      <w:r>
        <w:rPr>
          <w:rFonts w:ascii="宋体" w:hAnsi="宋体" w:eastAsia="宋体" w:cs="宋体"/>
          <w:spacing w:val="-22"/>
        </w:rPr>
        <w:t xml:space="preserve"> </w:t>
      </w:r>
      <w:r>
        <w:rPr>
          <w:position w:val="-10"/>
          <w:lang w:eastAsia="zh-CN"/>
        </w:rPr>
        <w:object>
          <v:shape id="_x0000_i1032" o:spt="75" type="#_x0000_t75" style="height:17pt;width:16pt;" o:ole="t" filled="f" o:preferrelative="t" stroked="f" coordsize="21600,21600">
            <v:path/>
            <v:fill on="f" focussize="0,0"/>
            <v:stroke on="f"/>
            <v:imagedata r:id="rId32" o:title=""/>
            <o:lock v:ext="edit" aspectratio="t"/>
            <w10:wrap type="none"/>
            <w10:anchorlock/>
          </v:shape>
          <o:OLEObject Type="Embed" ProgID="Equation.KSEE3" ShapeID="_x0000_i1032" DrawAspect="Content" ObjectID="_1468075732" r:id="rId34">
            <o:LockedField>false</o:LockedField>
          </o:OLEObject>
        </w:object>
      </w:r>
      <w:r>
        <w:rPr>
          <w:rFonts w:ascii="宋体" w:hAnsi="宋体" w:eastAsia="宋体" w:cs="宋体"/>
          <w:spacing w:val="2"/>
        </w:rPr>
        <w:t>不应大于柱高的1/300。当水平方向有</w:t>
      </w:r>
      <w:r>
        <w:rPr>
          <w:rFonts w:ascii="宋体" w:hAnsi="宋体" w:eastAsia="宋体" w:cs="宋体"/>
          <w:spacing w:val="-1"/>
        </w:rPr>
        <w:t>多个柱组合时，整个结构水平误差允许值应减小。</w:t>
      </w:r>
    </w:p>
    <w:p w14:paraId="5DB4ED46">
      <w:pPr>
        <w:spacing w:before="47" w:line="216" w:lineRule="auto"/>
        <w:ind w:left="19"/>
        <w:rPr>
          <w:rFonts w:hint="eastAsia" w:ascii="Times New Roman" w:hAnsi="Times New Roman" w:eastAsia="楷体" w:cs="Times New Roman"/>
          <w:kern w:val="2"/>
          <w:sz w:val="24"/>
          <w:u w:val="single"/>
          <w:lang w:val="en-US" w:eastAsia="zh-CN" w:bidi="ar-SA"/>
        </w:rPr>
      </w:pPr>
      <w:r>
        <w:rPr>
          <w:rFonts w:hint="eastAsia"/>
          <w:b/>
          <w:bCs/>
          <w:lang w:eastAsia="zh-CN"/>
        </w:rPr>
        <w:t>【</w:t>
      </w:r>
      <w:r>
        <w:rPr>
          <w:rFonts w:hint="eastAsia"/>
          <w:b/>
          <w:bCs/>
          <w:lang w:val="en-US" w:eastAsia="zh-CN"/>
        </w:rPr>
        <w:t>条文说明</w:t>
      </w:r>
      <w:r>
        <w:rPr>
          <w:rFonts w:hint="eastAsia"/>
          <w:b/>
          <w:bCs/>
          <w:lang w:eastAsia="zh-CN"/>
        </w:rPr>
        <w:t>】</w:t>
      </w:r>
      <w:r>
        <w:rPr>
          <w:rFonts w:hint="eastAsia" w:ascii="Times New Roman" w:hAnsi="Times New Roman" w:eastAsia="楷体" w:cs="Times New Roman"/>
          <w:kern w:val="2"/>
          <w:sz w:val="24"/>
          <w:u w:val="single"/>
          <w:lang w:val="en-US" w:eastAsia="zh-CN" w:bidi="ar-SA"/>
        </w:rPr>
        <w:t>一组柱的结果往往是</w:t>
      </w:r>
      <w:r>
        <w:rPr>
          <w:position w:val="-10"/>
          <w:lang w:eastAsia="zh-CN"/>
        </w:rPr>
        <w:object>
          <v:shape id="_x0000_i1033" o:spt="75" type="#_x0000_t75" style="height:17pt;width:16pt;" o:ole="t" filled="f" o:preferrelative="t" stroked="f" coordsize="21600,21600">
            <v:path/>
            <v:fill on="f" focussize="0,0"/>
            <v:stroke on="f"/>
            <v:imagedata r:id="rId32" o:title=""/>
            <o:lock v:ext="edit" aspectratio="t"/>
            <w10:wrap type="none"/>
            <w10:anchorlock/>
          </v:shape>
          <o:OLEObject Type="Embed" ProgID="Equation.KSEE3" ShapeID="_x0000_i1033" DrawAspect="Content" ObjectID="_1468075733" r:id="rId35">
            <o:LockedField>false</o:LockedField>
          </o:OLEObject>
        </w:object>
      </w:r>
      <w:r>
        <w:rPr>
          <w:rFonts w:hint="eastAsia" w:ascii="Times New Roman" w:hAnsi="Times New Roman" w:eastAsia="楷体" w:cs="Times New Roman"/>
          <w:kern w:val="2"/>
          <w:sz w:val="24"/>
          <w:u w:val="single"/>
          <w:lang w:val="en-US" w:eastAsia="zh-CN" w:bidi="ar-SA"/>
        </w:rPr>
        <w:t>≤ 柱高h/420, 当水平方向有m个柱组合，整个结构水平误差允许值应为单柱的值乘以系数</w:t>
      </w:r>
      <w:r>
        <w:rPr>
          <w:rFonts w:hint="eastAsia" w:ascii="Times New Roman" w:hAnsi="Times New Roman" w:eastAsia="楷体" w:cs="Times New Roman"/>
          <w:kern w:val="2"/>
          <w:position w:val="-28"/>
          <w:sz w:val="24"/>
          <w:u w:val="single"/>
          <w:lang w:val="en-US" w:eastAsia="zh-CN" w:bidi="ar-SA"/>
        </w:rPr>
        <w:object>
          <v:shape id="_x0000_i1034" o:spt="75" type="#_x0000_t75" style="height:37pt;width:73pt;" o:ole="t" filled="f" o:preferrelative="t" stroked="f" coordsize="21600,21600">
            <v:path/>
            <v:fill on="f" focussize="0,0"/>
            <v:stroke on="f"/>
            <v:imagedata r:id="rId37" o:title=""/>
            <o:lock v:ext="edit" aspectratio="t"/>
            <w10:wrap type="none"/>
            <w10:anchorlock/>
          </v:shape>
          <o:OLEObject Type="Embed" ProgID="Equation.KSEE3" ShapeID="_x0000_i1034" DrawAspect="Content" ObjectID="_1468075734" r:id="rId36">
            <o:LockedField>false</o:LockedField>
          </o:OLEObject>
        </w:object>
      </w:r>
      <w:r>
        <w:rPr>
          <w:rFonts w:hint="eastAsia" w:eastAsia="楷体" w:cs="Times New Roman"/>
          <w:kern w:val="2"/>
          <w:sz w:val="24"/>
          <w:u w:val="single"/>
          <w:lang w:val="en-US" w:eastAsia="zh-CN" w:bidi="ar-SA"/>
        </w:rPr>
        <w:t>。</w:t>
      </w:r>
    </w:p>
    <w:p w14:paraId="03E6CD89">
      <w:pPr>
        <w:numPr>
          <w:ilvl w:val="0"/>
          <w:numId w:val="26"/>
        </w:numPr>
        <w:bidi w:val="0"/>
        <w:rPr>
          <w:lang w:eastAsia="zh-CN"/>
        </w:rPr>
      </w:pPr>
      <w:r>
        <w:rPr>
          <w:lang w:eastAsia="zh-CN"/>
        </w:rPr>
        <w:t>由于定位和加工中的水平误差引起的荷载偏心作用应和风荷载同时考虑(图5.</w:t>
      </w:r>
      <w:r>
        <w:rPr>
          <w:rFonts w:hint="eastAsia"/>
          <w:lang w:val="en-US" w:eastAsia="zh-CN"/>
        </w:rPr>
        <w:t>4</w:t>
      </w:r>
      <w:r>
        <w:rPr>
          <w:lang w:eastAsia="zh-CN"/>
        </w:rPr>
        <w:t>.8)。</w:t>
      </w:r>
    </w:p>
    <w:tbl>
      <w:tblPr>
        <w:tblStyle w:val="23"/>
        <w:tblW w:w="0" w:type="auto"/>
        <w:tblInd w:w="6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5"/>
        <w:gridCol w:w="3931"/>
      </w:tblGrid>
      <w:tr w14:paraId="50F6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96" w:type="dxa"/>
            <w:gridSpan w:val="2"/>
          </w:tcPr>
          <w:p w14:paraId="4158E5CC">
            <w:pPr>
              <w:pStyle w:val="43"/>
              <w:keepNext w:val="0"/>
              <w:keepLines w:val="0"/>
              <w:suppressLineNumbers w:val="0"/>
              <w:bidi w:val="0"/>
              <w:spacing w:before="0" w:beforeAutospacing="0" w:after="0" w:afterAutospacing="0"/>
              <w:ind w:left="0" w:right="0"/>
              <w:jc w:val="center"/>
              <w:rPr>
                <w:rFonts w:hint="default"/>
                <w:szCs w:val="20"/>
                <w:lang w:eastAsia="zh-CN"/>
              </w:rPr>
            </w:pPr>
            <w:r>
              <w:rPr>
                <w:rFonts w:hint="default"/>
                <w:szCs w:val="20"/>
              </w:rPr>
              <w:drawing>
                <wp:inline distT="0" distB="0" distL="114300" distR="114300">
                  <wp:extent cx="3669030" cy="1834515"/>
                  <wp:effectExtent l="0" t="0" r="7620" b="13335"/>
                  <wp:docPr id="3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0"/>
                          <pic:cNvPicPr>
                            <a:picLocks noChangeAspect="1"/>
                          </pic:cNvPicPr>
                        </pic:nvPicPr>
                        <pic:blipFill>
                          <a:blip r:embed="rId38"/>
                          <a:stretch>
                            <a:fillRect/>
                          </a:stretch>
                        </pic:blipFill>
                        <pic:spPr>
                          <a:xfrm>
                            <a:off x="0" y="0"/>
                            <a:ext cx="3669030" cy="1834515"/>
                          </a:xfrm>
                          <a:prstGeom prst="rect">
                            <a:avLst/>
                          </a:prstGeom>
                          <a:noFill/>
                          <a:ln>
                            <a:noFill/>
                          </a:ln>
                        </pic:spPr>
                      </pic:pic>
                    </a:graphicData>
                  </a:graphic>
                </wp:inline>
              </w:drawing>
            </w:r>
          </w:p>
        </w:tc>
      </w:tr>
      <w:tr w14:paraId="780F5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5" w:type="dxa"/>
          </w:tcPr>
          <w:p w14:paraId="74748716">
            <w:pPr>
              <w:keepNext w:val="0"/>
              <w:keepLines w:val="0"/>
              <w:suppressLineNumbers w:val="0"/>
              <w:spacing w:before="30" w:beforeAutospacing="0" w:after="0" w:afterAutospacing="0" w:line="212" w:lineRule="auto"/>
              <w:ind w:left="79" w:right="0"/>
              <w:jc w:val="center"/>
              <w:rPr>
                <w:rFonts w:hint="default" w:ascii="宋体" w:hAnsi="宋体" w:eastAsia="宋体" w:cs="宋体"/>
                <w:sz w:val="14"/>
                <w:szCs w:val="14"/>
              </w:rPr>
            </w:pPr>
            <w:r>
              <w:rPr>
                <w:rFonts w:hint="default" w:ascii="Times New Roman" w:hAnsi="Times New Roman" w:eastAsia="Times New Roman" w:cs="Times New Roman"/>
                <w:spacing w:val="9"/>
                <w:sz w:val="14"/>
                <w:szCs w:val="14"/>
              </w:rPr>
              <w:t>(a)</w:t>
            </w:r>
            <w:r>
              <w:rPr>
                <w:rFonts w:hint="default" w:ascii="宋体" w:hAnsi="宋体" w:eastAsia="宋体" w:cs="宋体"/>
                <w:spacing w:val="9"/>
                <w:sz w:val="14"/>
                <w:szCs w:val="14"/>
              </w:rPr>
              <w:t>由于四边形模块的偏心加载，</w:t>
            </w:r>
          </w:p>
          <w:p w14:paraId="07BE4151">
            <w:pPr>
              <w:keepNext w:val="0"/>
              <w:keepLines w:val="0"/>
              <w:suppressLineNumbers w:val="0"/>
              <w:spacing w:before="95" w:beforeAutospacing="0" w:after="0" w:afterAutospacing="0" w:line="184" w:lineRule="auto"/>
              <w:ind w:left="0" w:right="0"/>
              <w:jc w:val="center"/>
              <w:rPr>
                <w:rFonts w:hint="default"/>
                <w:szCs w:val="20"/>
                <w:vertAlign w:val="baseline"/>
                <w:lang w:eastAsia="zh-CN"/>
              </w:rPr>
            </w:pPr>
            <w:r>
              <w:rPr>
                <w:rFonts w:hint="default" w:ascii="宋体" w:hAnsi="宋体" w:eastAsia="宋体" w:cs="宋体"/>
                <w:spacing w:val="9"/>
                <w:sz w:val="14"/>
                <w:szCs w:val="14"/>
              </w:rPr>
              <w:t>在端墙处引起的剪力偏心荷载的传递</w:t>
            </w:r>
          </w:p>
        </w:tc>
        <w:tc>
          <w:tcPr>
            <w:tcW w:w="3931" w:type="dxa"/>
          </w:tcPr>
          <w:p w14:paraId="2DC4A915">
            <w:pPr>
              <w:keepNext w:val="0"/>
              <w:keepLines w:val="0"/>
              <w:suppressLineNumbers w:val="0"/>
              <w:spacing w:before="104" w:beforeAutospacing="0" w:after="0" w:afterAutospacing="0" w:line="219" w:lineRule="auto"/>
              <w:ind w:left="0" w:right="0"/>
              <w:jc w:val="center"/>
              <w:rPr>
                <w:rFonts w:hint="default"/>
                <w:szCs w:val="20"/>
                <w:vertAlign w:val="baseline"/>
                <w:lang w:eastAsia="zh-CN"/>
              </w:rPr>
            </w:pPr>
            <w:r>
              <w:rPr>
                <w:rFonts w:hint="default" w:ascii="宋体" w:hAnsi="宋体" w:eastAsia="宋体" w:cs="宋体"/>
                <w:spacing w:val="7"/>
                <w:sz w:val="14"/>
                <w:szCs w:val="14"/>
              </w:rPr>
              <w:t>(b)</w:t>
            </w:r>
            <w:r>
              <w:rPr>
                <w:rFonts w:hint="default" w:ascii="宋体" w:hAnsi="宋体" w:eastAsia="宋体" w:cs="宋体"/>
                <w:spacing w:val="-11"/>
                <w:sz w:val="14"/>
                <w:szCs w:val="14"/>
              </w:rPr>
              <w:t xml:space="preserve"> </w:t>
            </w:r>
            <w:r>
              <w:rPr>
                <w:rFonts w:hint="default" w:ascii="宋体" w:hAnsi="宋体" w:eastAsia="宋体" w:cs="宋体"/>
                <w:spacing w:val="7"/>
                <w:sz w:val="14"/>
                <w:szCs w:val="14"/>
              </w:rPr>
              <w:t>角部支承模块的稳定体系中</w:t>
            </w:r>
          </w:p>
        </w:tc>
      </w:tr>
      <w:tr w14:paraId="3810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96" w:type="dxa"/>
            <w:gridSpan w:val="2"/>
          </w:tcPr>
          <w:p w14:paraId="40EB8834">
            <w:pPr>
              <w:keepNext w:val="0"/>
              <w:keepLines w:val="0"/>
              <w:suppressLineNumbers w:val="0"/>
              <w:spacing w:before="174" w:beforeAutospacing="0" w:after="0" w:afterAutospacing="0" w:line="219" w:lineRule="auto"/>
              <w:ind w:left="0" w:right="0"/>
              <w:jc w:val="center"/>
              <w:rPr>
                <w:rFonts w:hint="default"/>
                <w:szCs w:val="20"/>
                <w:vertAlign w:val="baseline"/>
                <w:lang w:eastAsia="zh-CN"/>
              </w:rPr>
            </w:pPr>
            <w:r>
              <w:rPr>
                <w:rFonts w:hint="default" w:ascii="宋体" w:hAnsi="宋体" w:eastAsia="宋体" w:cs="宋体"/>
                <w:spacing w:val="-20"/>
                <w:sz w:val="21"/>
                <w:szCs w:val="21"/>
              </w:rPr>
              <w:t>图5.</w:t>
            </w:r>
            <w:r>
              <w:rPr>
                <w:rFonts w:hint="eastAsia" w:ascii="宋体" w:hAnsi="宋体" w:cs="宋体"/>
                <w:spacing w:val="-20"/>
                <w:sz w:val="21"/>
                <w:szCs w:val="21"/>
                <w:lang w:val="en-US" w:eastAsia="zh-CN"/>
              </w:rPr>
              <w:t>4</w:t>
            </w:r>
            <w:r>
              <w:rPr>
                <w:rFonts w:hint="default" w:ascii="宋体" w:hAnsi="宋体" w:eastAsia="宋体" w:cs="宋体"/>
                <w:spacing w:val="-20"/>
                <w:sz w:val="21"/>
                <w:szCs w:val="21"/>
              </w:rPr>
              <w:t>.8</w:t>
            </w:r>
            <w:r>
              <w:rPr>
                <w:rFonts w:hint="default" w:ascii="宋体" w:hAnsi="宋体" w:eastAsia="宋体" w:cs="宋体"/>
                <w:spacing w:val="56"/>
                <w:sz w:val="21"/>
                <w:szCs w:val="21"/>
              </w:rPr>
              <w:t xml:space="preserve"> </w:t>
            </w:r>
            <w:r>
              <w:rPr>
                <w:rFonts w:hint="default" w:ascii="宋体" w:hAnsi="宋体" w:eastAsia="宋体" w:cs="宋体"/>
                <w:spacing w:val="-20"/>
                <w:sz w:val="21"/>
                <w:szCs w:val="21"/>
              </w:rPr>
              <w:t>水平误差引起的偏心作用</w:t>
            </w:r>
          </w:p>
        </w:tc>
      </w:tr>
    </w:tbl>
    <w:p w14:paraId="6388DEF3">
      <w:pPr>
        <w:pStyle w:val="45"/>
        <w:numPr>
          <w:ilvl w:val="-1"/>
          <w:numId w:val="0"/>
        </w:numPr>
        <w:bidi w:val="0"/>
        <w:ind w:leftChars="0"/>
        <w:rPr>
          <w:rFonts w:hint="eastAsia" w:ascii="Times New Roman" w:hAnsi="Times New Roman" w:eastAsia="楷体" w:cs="Times New Roman"/>
          <w:kern w:val="2"/>
          <w:sz w:val="24"/>
          <w:u w:val="single"/>
          <w:lang w:val="en-US" w:eastAsia="zh-CN" w:bidi="ar-SA"/>
        </w:rPr>
      </w:pPr>
      <w:r>
        <w:rPr>
          <w:rFonts w:hint="eastAsia"/>
          <w:b/>
          <w:bCs/>
          <w:lang w:eastAsia="zh-CN"/>
        </w:rPr>
        <w:t>【</w:t>
      </w:r>
      <w:r>
        <w:rPr>
          <w:rFonts w:hint="eastAsia"/>
          <w:b/>
          <w:bCs/>
          <w:lang w:val="en-US" w:eastAsia="zh-CN"/>
        </w:rPr>
        <w:t>条文说明</w:t>
      </w:r>
      <w:r>
        <w:rPr>
          <w:rFonts w:hint="eastAsia"/>
          <w:b/>
          <w:bCs/>
          <w:lang w:eastAsia="zh-CN"/>
        </w:rPr>
        <w:t>】</w:t>
      </w:r>
      <w:r>
        <w:rPr>
          <w:rFonts w:hint="eastAsia" w:ascii="Times New Roman" w:hAnsi="Times New Roman" w:eastAsia="楷体" w:cs="Times New Roman"/>
          <w:kern w:val="2"/>
          <w:sz w:val="24"/>
          <w:u w:val="single"/>
          <w:lang w:val="en-US" w:eastAsia="zh-CN" w:bidi="ar-SA"/>
        </w:rPr>
        <w:t>偏心加载将引起附加弯矩，模块的墙壁不能抵抗较大的弯矩，因此平衡所需的等效水平力作为剪切力在模块的顶棚、地板和端墙中传递。作用在底层模块上的附加力矩可以由有效偏心 △</w:t>
      </w:r>
      <w:r>
        <w:rPr>
          <w:rFonts w:hint="eastAsia" w:ascii="Times New Roman" w:hAnsi="Times New Roman" w:eastAsia="楷体" w:cs="Times New Roman"/>
          <w:kern w:val="2"/>
          <w:sz w:val="24"/>
          <w:u w:val="single"/>
          <w:vertAlign w:val="subscript"/>
          <w:lang w:val="en-US" w:eastAsia="zh-CN" w:bidi="ar-SA"/>
        </w:rPr>
        <w:t>eff</w:t>
      </w:r>
      <w:r>
        <w:rPr>
          <w:rFonts w:hint="eastAsia" w:ascii="Times New Roman" w:hAnsi="Times New Roman" w:eastAsia="楷体" w:cs="Times New Roman"/>
          <w:kern w:val="2"/>
          <w:sz w:val="24"/>
          <w:u w:val="single"/>
          <w:lang w:val="en-US" w:eastAsia="zh-CN" w:bidi="ar-SA"/>
        </w:rPr>
        <w:t xml:space="preserve"> 表示：</w:t>
      </w:r>
    </w:p>
    <w:p w14:paraId="28487111">
      <w:pPr>
        <w:pStyle w:val="45"/>
        <w:numPr>
          <w:ilvl w:val="-1"/>
          <w:numId w:val="0"/>
        </w:numPr>
        <w:bidi w:val="0"/>
        <w:ind w:leftChars="0"/>
        <w:rPr>
          <w:i w:val="0"/>
        </w:rPr>
      </w:pPr>
    </w:p>
    <w:p w14:paraId="5A80707D">
      <w:pPr>
        <w:pStyle w:val="45"/>
        <w:numPr>
          <w:ilvl w:val="-1"/>
          <w:numId w:val="0"/>
        </w:numPr>
        <w:bidi w:val="0"/>
        <w:ind w:leftChars="0"/>
        <w:rPr>
          <w:i w:val="0"/>
        </w:rPr>
      </w:pPr>
    </w:p>
    <w:p w14:paraId="2ACCA2FA">
      <w:pPr>
        <w:pStyle w:val="45"/>
        <w:numPr>
          <w:ilvl w:val="-1"/>
          <w:numId w:val="0"/>
        </w:numPr>
        <w:bidi w:val="0"/>
        <w:ind w:leftChars="0"/>
        <w:rPr>
          <w:rFonts w:hint="eastAsia" w:ascii="Times New Roman" w:hAnsi="Times New Roman" w:eastAsia="楷体" w:cs="Times New Roman"/>
          <w:kern w:val="2"/>
          <w:sz w:val="24"/>
          <w:u w:val="single"/>
          <w:lang w:val="en-US" w:eastAsia="zh-CN" w:bidi="ar-SA"/>
        </w:rPr>
      </w:pPr>
      <m:oMathPara>
        <m:oMathParaPr>
          <m:jc m:val="center"/>
        </m:oMathParaPr>
        <m:oMath>
          <m:m>
            <m:mPr>
              <m:mcs>
                <m:mc>
                  <m:mcPr>
                    <m:count m:val="1"/>
                    <m:mcJc m:val="right"/>
                  </m:mcPr>
                </m:mc>
                <m:mc>
                  <m:mcPr>
                    <m:count m:val="1"/>
                    <m:mcJc m:val="left"/>
                  </m:mcPr>
                </m:mc>
              </m:mcs>
              <m:plcHide m:val="1"/>
            </m:mPr>
            <m:mr>
              <m:e>
                <m:sSub>
                  <m:sSubPr/>
                  <m:e>
                    <m:r>
                      <m:rPr/>
                      <m:t>M</m:t>
                    </m:r>
                  </m:e>
                  <m:sub>
                    <m:r>
                      <m:rPr>
                        <m:sty m:val="p"/>
                      </m:rPr>
                      <m:t>acld</m:t>
                    </m:r>
                  </m:sub>
                </m:sSub>
                <m:r>
                  <m:rPr>
                    <m:sty m:val="p"/>
                  </m:rPr>
                  <m:t>=</m:t>
                </m:r>
              </m:e>
              <m:e>
                <m:sSub>
                  <m:sSubPr/>
                  <m:e>
                    <m:r>
                      <m:rPr/>
                      <m:t>P</m:t>
                    </m:r>
                  </m:e>
                  <m:sub>
                    <m:r>
                      <m:rPr>
                        <m:sty m:val="p"/>
                      </m:rPr>
                      <m:t>wall</m:t>
                    </m:r>
                  </m:sub>
                </m:sSub>
                <m:sSub>
                  <m:sSubPr/>
                  <m:e>
                    <m:r>
                      <m:rPr/>
                      <m:t>Δ</m:t>
                    </m:r>
                  </m:e>
                  <m:sub>
                    <m:r>
                      <m:rPr>
                        <m:sty m:val="p"/>
                      </m:rPr>
                      <m:t>eff</m:t>
                    </m:r>
                  </m:sub>
                </m:sSub>
              </m:e>
            </m:mr>
            <m:mr>
              <m:e>
                <m:r>
                  <m:rPr>
                    <m:sty m:val="p"/>
                  </m:rPr>
                  <m:t>=</m:t>
                </m:r>
              </m:e>
              <m:e>
                <m:sSub>
                  <m:sSubPr/>
                  <m:e>
                    <m:r>
                      <m:rPr/>
                      <m:t>P</m:t>
                    </m:r>
                  </m:e>
                  <m:sub>
                    <m:r>
                      <m:rPr>
                        <m:sty m:val="p"/>
                      </m:rPr>
                      <m:t>wall</m:t>
                    </m:r>
                  </m:sub>
                </m:sSub>
                <m:r>
                  <m:rPr>
                    <m:sty m:val="p"/>
                  </m:rPr>
                  <m:t>[</m:t>
                </m:r>
                <m:f>
                  <m:fPr/>
                  <m:num>
                    <m:d>
                      <m:dPr>
                        <m:sepChr m:val=""/>
                      </m:dPr>
                      <m:e>
                        <m:r>
                          <m:rPr/>
                          <m:t>n</m:t>
                        </m:r>
                        <m:r>
                          <m:rPr>
                            <m:sty m:val="p"/>
                          </m:rPr>
                          <m:t>−</m:t>
                        </m:r>
                        <m:r>
                          <m:rPr/>
                          <m:t>1</m:t>
                        </m:r>
                      </m:e>
                    </m:d>
                  </m:num>
                  <m:den>
                    <m:r>
                      <m:rPr/>
                      <m:t>n</m:t>
                    </m:r>
                  </m:den>
                </m:f>
                <m:r>
                  <m:rPr>
                    <m:sty m:val="p"/>
                  </m:rPr>
                  <m:t>×</m:t>
                </m:r>
                <m:r>
                  <m:rPr/>
                  <m:t>12</m:t>
                </m:r>
                <m:r>
                  <m:rPr>
                    <m:sty m:val="p"/>
                  </m:rPr>
                  <m:t>×</m:t>
                </m:r>
                <m:sSup>
                  <m:sSupPr/>
                  <m:e>
                    <m:r>
                      <m:rPr/>
                      <m:t>1</m:t>
                    </m:r>
                  </m:e>
                  <m:sup>
                    <m:r>
                      <m:rPr/>
                      <m:t>0.5</m:t>
                    </m:r>
                  </m:sup>
                </m:sSup>
                <m:r>
                  <m:rPr>
                    <m:sty m:val="p"/>
                  </m:rPr>
                  <m:t>+</m:t>
                </m:r>
                <m:f>
                  <m:fPr/>
                  <m:num>
                    <m:d>
                      <m:dPr>
                        <m:sepChr m:val=""/>
                      </m:dPr>
                      <m:e>
                        <m:r>
                          <m:rPr/>
                          <m:t>n</m:t>
                        </m:r>
                        <m:r>
                          <m:rPr>
                            <m:sty m:val="p"/>
                          </m:rPr>
                          <m:t>−</m:t>
                        </m:r>
                        <m:r>
                          <m:rPr/>
                          <m:t>2</m:t>
                        </m:r>
                      </m:e>
                    </m:d>
                  </m:num>
                  <m:den>
                    <m:r>
                      <m:rPr/>
                      <m:t>n</m:t>
                    </m:r>
                  </m:den>
                </m:f>
              </m:e>
            </m:mr>
            <m:mr>
              <m:e/>
              <m:e>
                <m:r>
                  <m:rPr>
                    <m:sty m:val="p"/>
                  </m:rPr>
                  <m:t>×</m:t>
                </m:r>
                <m:r>
                  <m:rPr/>
                  <m:t>12</m:t>
                </m:r>
                <m:r>
                  <m:rPr>
                    <m:sty m:val="p"/>
                  </m:rPr>
                  <m:t>×</m:t>
                </m:r>
                <m:sSup>
                  <m:sSupPr/>
                  <m:e>
                    <m:r>
                      <m:rPr/>
                      <m:t>2</m:t>
                    </m:r>
                  </m:e>
                  <m:sup>
                    <m:r>
                      <m:rPr/>
                      <m:t>0.5</m:t>
                    </m:r>
                  </m:sup>
                </m:sSup>
                <m:r>
                  <m:rPr>
                    <m:sty m:val="p"/>
                  </m:rPr>
                  <m:t>+⋯+</m:t>
                </m:r>
                <m:f>
                  <m:fPr/>
                  <m:num>
                    <m:r>
                      <m:rPr/>
                      <m:t>12</m:t>
                    </m:r>
                    <m:sSup>
                      <m:sSupPr/>
                      <m:e>
                        <m:d>
                          <m:dPr>
                            <m:sepChr m:val=""/>
                          </m:dPr>
                          <m:e>
                            <m:r>
                              <m:rPr/>
                              <m:t>n</m:t>
                            </m:r>
                            <m:r>
                              <m:rPr>
                                <m:sty m:val="p"/>
                              </m:rPr>
                              <m:t>−</m:t>
                            </m:r>
                            <m:r>
                              <m:rPr/>
                              <m:t>1</m:t>
                            </m:r>
                          </m:e>
                        </m:d>
                      </m:e>
                      <m:sup>
                        <m:r>
                          <m:rPr/>
                          <m:t>0.5</m:t>
                        </m:r>
                      </m:sup>
                    </m:sSup>
                  </m:num>
                  <m:den>
                    <m:r>
                      <m:rPr/>
                      <m:t>n</m:t>
                    </m:r>
                  </m:den>
                </m:f>
                <m:r>
                  <m:rPr>
                    <m:sty m:val="p"/>
                  </m:rPr>
                  <m:t>]</m:t>
                </m:r>
              </m:e>
            </m:mr>
          </m:m>
        </m:oMath>
      </m:oMathPara>
    </w:p>
    <w:p w14:paraId="40EF45AB">
      <w:pPr>
        <w:pStyle w:val="43"/>
        <w:bidi w:val="0"/>
        <w:ind w:leftChars="0"/>
        <w:jc w:val="center"/>
        <w:rPr>
          <w:rFonts w:hint="eastAsia"/>
          <w:lang w:val="en-US" w:eastAsia="zh-CN"/>
        </w:rPr>
      </w:pPr>
    </w:p>
    <w:p w14:paraId="23DF0876">
      <w:pPr>
        <w:pStyle w:val="45"/>
        <w:keepNext w:val="0"/>
        <w:keepLines w:val="0"/>
        <w:widowControl/>
        <w:numPr>
          <w:ilvl w:val="-1"/>
          <w:numId w:val="0"/>
        </w:numPr>
        <w:suppressLineNumbers w:val="0"/>
        <w:ind w:left="0" w:right="0"/>
        <w:rPr>
          <w:rFonts w:hint="eastAsia"/>
          <w:lang w:val="en-US" w:eastAsia="zh-CN"/>
        </w:rPr>
      </w:pPr>
    </w:p>
    <w:p w14:paraId="16785718">
      <w:pPr>
        <w:pStyle w:val="45"/>
        <w:keepNext w:val="0"/>
        <w:keepLines w:val="0"/>
        <w:widowControl/>
        <w:numPr>
          <w:ilvl w:val="-1"/>
          <w:numId w:val="0"/>
        </w:numPr>
        <w:suppressLineNumbers w:val="0"/>
        <w:ind w:left="0" w:right="0"/>
        <w:rPr>
          <w:rFonts w:hint="eastAsia"/>
        </w:rPr>
      </w:pPr>
      <w:r>
        <w:rPr>
          <w:rFonts w:hint="eastAsia"/>
          <w:lang w:val="en-US" w:eastAsia="zh-CN"/>
        </w:rPr>
        <w:t>式中：</w:t>
      </w:r>
      <m:oMath>
        <m:sSub>
          <m:sSubPr/>
          <m:e>
            <m:r>
              <m:rPr/>
              <m:t>P</m:t>
            </m:r>
          </m:e>
          <m:sub>
            <m:r>
              <m:rPr>
                <m:sty m:val="p"/>
              </m:rPr>
              <m:t>wall</m:t>
            </m:r>
          </m:sub>
        </m:sSub>
      </m:oMath>
      <w:r>
        <w:rPr>
          <w:rFonts w:hint="eastAsia"/>
        </w:rPr>
        <w:t>_</w:t>
      </w:r>
      <w:r>
        <w:rPr>
          <w:rFonts w:hint="eastAsia"/>
          <w:lang w:val="en-US" w:eastAsia="zh-CN"/>
        </w:rPr>
        <w:t>--</w:t>
      </w:r>
      <w:r>
        <w:rPr>
          <w:rFonts w:hint="eastAsia"/>
        </w:rPr>
        <w:t>_底层模块底部的压力；</w:t>
      </w:r>
    </w:p>
    <w:p w14:paraId="251451C9">
      <w:pPr>
        <w:pStyle w:val="45"/>
        <w:keepNext w:val="0"/>
        <w:keepLines w:val="0"/>
        <w:widowControl/>
        <w:numPr>
          <w:ilvl w:val="-1"/>
          <w:numId w:val="0"/>
        </w:numPr>
        <w:suppressLineNumbers w:val="0"/>
        <w:spacing w:before="180" w:beforeAutospacing="0" w:after="180" w:afterAutospacing="0"/>
        <w:ind w:left="0" w:right="0"/>
        <w:jc w:val="left"/>
        <w:rPr>
          <w:rFonts w:hint="eastAsia"/>
        </w:rPr>
      </w:pPr>
      <m:oMath>
        <m:sSub>
          <m:sSubPr/>
          <m:e>
            <m:r>
              <m:rPr/>
              <m:t>Δ</m:t>
            </m:r>
          </m:e>
          <m:sub>
            <m:r>
              <m:rPr>
                <m:sty m:val="p"/>
              </m:rPr>
              <m:t>eff</m:t>
            </m:r>
          </m:sub>
        </m:sSub>
      </m:oMath>
      <w:r>
        <w:rPr>
          <w:rFonts w:hint="eastAsia"/>
          <w:lang w:val="en-US" w:eastAsia="zh-CN"/>
        </w:rPr>
        <w:t>--垂直模块组合的有效偏心距；</w:t>
      </w:r>
    </w:p>
    <w:p w14:paraId="23AE0AF8">
      <w:pPr>
        <w:pStyle w:val="45"/>
        <w:keepNext w:val="0"/>
        <w:keepLines w:val="0"/>
        <w:widowControl/>
        <w:numPr>
          <w:ilvl w:val="-1"/>
          <w:numId w:val="0"/>
        </w:numPr>
        <w:suppressLineNumbers w:val="0"/>
        <w:spacing w:before="180" w:beforeAutospacing="0" w:after="180" w:afterAutospacing="0"/>
        <w:ind w:left="0" w:right="0"/>
        <w:jc w:val="left"/>
        <w:rPr>
          <w:rFonts w:hint="eastAsia"/>
          <w:lang w:val="en-US" w:eastAsia="zh-CN"/>
        </w:rPr>
      </w:pPr>
      <w:r>
        <w:rPr>
          <w:rFonts w:hint="eastAsia"/>
          <w:lang w:val="en-US" w:eastAsia="zh-CN"/>
        </w:rPr>
        <w:t>n--模块的数量，当n</w:t>
      </w:r>
      <w:r>
        <w:rPr>
          <w:rFonts w:hint="eastAsia" w:ascii="微软雅黑" w:hAnsi="微软雅黑" w:eastAsia="微软雅黑" w:cs="微软雅黑"/>
          <w:lang w:val="en-US" w:eastAsia="zh-CN"/>
        </w:rPr>
        <w:t>&lt;</w:t>
      </w:r>
      <w:r>
        <w:rPr>
          <w:rFonts w:hint="eastAsia"/>
          <w:lang w:val="en-US" w:eastAsia="zh-CN"/>
        </w:rPr>
        <w:t>12层时，用于确定建筑物底部的倾覆力矩的有效偏心距</w:t>
      </w:r>
      <m:oMath>
        <m:sSub>
          <m:sSubPr/>
          <m:e>
            <m:r>
              <m:rPr/>
              <m:t>Δ</m:t>
            </m:r>
          </m:e>
          <m:sub>
            <m:r>
              <m:rPr>
                <m:sty m:val="p"/>
              </m:rPr>
              <m:t>eff</m:t>
            </m:r>
          </m:sub>
        </m:sSub>
        <m:r>
          <m:rPr>
            <m:sty m:val="p"/>
          </m:rPr>
          <m:t>=</m:t>
        </m:r>
        <m:r>
          <m:rPr/>
          <m:t>3</m:t>
        </m:r>
      </m:oMath>
      <w:r>
        <w:t xml:space="preserve"> </w:t>
      </w:r>
      <m:oMath>
        <m:sSup>
          <m:sSupPr/>
          <m:e>
            <m:r>
              <m:rPr/>
              <m:t>n</m:t>
            </m:r>
          </m:e>
          <m:sup>
            <m:r>
              <m:rPr/>
              <m:t>1</m:t>
            </m:r>
            <m:r>
              <m:rPr>
                <m:sty m:val="p"/>
              </m:rPr>
              <m:t>.</m:t>
            </m:r>
            <m:r>
              <m:rPr/>
              <m:t>5</m:t>
            </m:r>
          </m:sup>
        </m:sSup>
      </m:oMath>
      <w:r>
        <w:t>mm</w:t>
      </w:r>
      <w:r>
        <w:rPr>
          <w:rFonts w:hint="eastAsia"/>
          <w:lang w:val="en-US" w:eastAsia="zh-CN"/>
        </w:rPr>
        <w:t>。</w:t>
      </w:r>
    </w:p>
    <w:p w14:paraId="45B48055">
      <w:pPr>
        <w:spacing w:before="31" w:line="272" w:lineRule="auto"/>
        <w:ind w:left="19" w:right="107" w:firstLine="420"/>
        <w:rPr>
          <w:lang w:eastAsia="zh-CN"/>
        </w:rPr>
      </w:pPr>
    </w:p>
    <w:p w14:paraId="07061100">
      <w:pPr>
        <w:numPr>
          <w:ilvl w:val="0"/>
          <w:numId w:val="26"/>
        </w:numPr>
        <w:bidi w:val="0"/>
        <w:rPr>
          <w:lang w:eastAsia="zh-CN"/>
        </w:rPr>
      </w:pPr>
      <w:r>
        <w:rPr>
          <w:lang w:eastAsia="zh-CN"/>
        </w:rPr>
        <w:t>偏心距可转换为施加于每个楼层的名义水平力，名义水平力至少应取作用于每个模块的垂直载荷的1%,并用作评估结构的整体稳定性的最小水平载荷。</w:t>
      </w:r>
    </w:p>
    <w:p w14:paraId="28B2A504">
      <w:pPr>
        <w:pStyle w:val="45"/>
        <w:numPr>
          <w:ilvl w:val="0"/>
          <w:numId w:val="0"/>
        </w:numPr>
        <w:bidi w:val="0"/>
        <w:ind w:leftChars="0"/>
        <w:rPr>
          <w:u w:val="single"/>
          <w:lang w:eastAsia="zh-CN"/>
        </w:rPr>
      </w:pPr>
      <w:r>
        <w:rPr>
          <w:rFonts w:hint="eastAsia"/>
          <w:b/>
          <w:bCs/>
          <w:u w:val="single"/>
          <w:lang w:eastAsia="zh-CN"/>
        </w:rPr>
        <w:t>【</w:t>
      </w:r>
      <w:r>
        <w:rPr>
          <w:rFonts w:hint="eastAsia"/>
          <w:b/>
          <w:bCs/>
          <w:u w:val="single"/>
          <w:lang w:val="en-US" w:eastAsia="zh-CN"/>
        </w:rPr>
        <w:t>条文说明</w:t>
      </w:r>
      <w:r>
        <w:rPr>
          <w:rFonts w:hint="eastAsia"/>
          <w:b/>
          <w:bCs/>
          <w:u w:val="single"/>
          <w:lang w:eastAsia="zh-CN"/>
        </w:rPr>
        <w:t>】</w:t>
      </w:r>
      <w:r>
        <w:rPr>
          <w:u w:val="single"/>
          <w:lang w:eastAsia="zh-CN"/>
        </w:rPr>
        <w:t>对于一个楼面面积为25m²</w:t>
      </w:r>
      <w:r>
        <w:rPr>
          <w:rFonts w:hint="eastAsia"/>
          <w:u w:val="single"/>
          <w:lang w:eastAsia="zh-CN"/>
        </w:rPr>
        <w:t>，</w:t>
      </w:r>
      <w:r>
        <w:rPr>
          <w:u w:val="single"/>
          <w:lang w:eastAsia="zh-CN"/>
        </w:rPr>
        <w:t>荷载为 8kN/m²的模块，作用于模块的任一方向的名义水平力为2kN。对于10个模块的垂直组合，每个模块组合的底部剪切力为20kN。该力可以由模块沿力方向上的两个墙壁承担。当水平组合中有7个以上的模块时</w:t>
      </w:r>
      <w:r>
        <w:rPr>
          <w:rFonts w:hint="eastAsia"/>
          <w:u w:val="single"/>
          <w:lang w:eastAsia="zh-CN"/>
        </w:rPr>
        <w:t>，</w:t>
      </w:r>
      <w:r>
        <w:rPr>
          <w:u w:val="single"/>
          <w:lang w:eastAsia="zh-CN"/>
        </w:rPr>
        <w:t>名义水平力的组合效应可能会超过端部山墙上的风力。</w:t>
      </w:r>
    </w:p>
    <w:p w14:paraId="67C36BED">
      <w:pPr>
        <w:pStyle w:val="45"/>
        <w:numPr>
          <w:ilvl w:val="0"/>
          <w:numId w:val="0"/>
        </w:numPr>
        <w:bidi w:val="0"/>
        <w:ind w:leftChars="0"/>
        <w:rPr>
          <w:u w:val="single"/>
          <w:lang w:eastAsia="zh-CN"/>
        </w:rPr>
      </w:pPr>
    </w:p>
    <w:p w14:paraId="5ED3E346">
      <w:pPr>
        <w:numPr>
          <w:ilvl w:val="0"/>
          <w:numId w:val="26"/>
        </w:numPr>
        <w:bidi w:val="0"/>
        <w:rPr>
          <w:lang w:eastAsia="zh-CN"/>
        </w:rPr>
      </w:pPr>
      <w:r>
        <w:rPr>
          <w:lang w:eastAsia="zh-CN"/>
        </w:rPr>
        <w:t>抗震设计应遵循加强空间整体性、强节点区域、强锚固、防止脆性破坏、加强模块间连接的抗震概念设计基本原则。</w:t>
      </w:r>
    </w:p>
    <w:p w14:paraId="09E6ACF3">
      <w:pPr>
        <w:pStyle w:val="45"/>
        <w:numPr>
          <w:ilvl w:val="0"/>
          <w:numId w:val="0"/>
        </w:numPr>
        <w:bidi w:val="0"/>
        <w:ind w:leftChars="0"/>
        <w:rPr>
          <w:lang w:eastAsia="zh-CN"/>
        </w:rPr>
      </w:pPr>
      <w:r>
        <w:rPr>
          <w:rFonts w:hint="eastAsia"/>
          <w:b/>
          <w:bCs/>
          <w:lang w:eastAsia="zh-CN"/>
        </w:rPr>
        <w:t>【</w:t>
      </w:r>
      <w:r>
        <w:rPr>
          <w:rFonts w:hint="eastAsia"/>
          <w:b/>
          <w:bCs/>
          <w:lang w:val="en-US" w:eastAsia="zh-CN"/>
        </w:rPr>
        <w:t>条文说明</w:t>
      </w:r>
      <w:r>
        <w:rPr>
          <w:rFonts w:hint="eastAsia"/>
          <w:b/>
          <w:bCs/>
          <w:lang w:eastAsia="zh-CN"/>
        </w:rPr>
        <w:t>】</w:t>
      </w:r>
      <w:r>
        <w:rPr>
          <w:lang w:eastAsia="zh-CN"/>
        </w:rPr>
        <w:t>本条对模块化钢结构房屋抗震设计的基本要求和设计原则作出了规定。</w:t>
      </w:r>
    </w:p>
    <w:p w14:paraId="05EC0F1F">
      <w:pPr>
        <w:pStyle w:val="45"/>
        <w:numPr>
          <w:ilvl w:val="0"/>
          <w:numId w:val="0"/>
        </w:numPr>
        <w:bidi w:val="0"/>
        <w:ind w:leftChars="0"/>
        <w:rPr>
          <w:lang w:eastAsia="zh-CN"/>
        </w:rPr>
      </w:pPr>
    </w:p>
    <w:p w14:paraId="11129A36">
      <w:pPr>
        <w:numPr>
          <w:ilvl w:val="0"/>
          <w:numId w:val="26"/>
        </w:numPr>
        <w:bidi w:val="0"/>
        <w:ind w:left="0" w:leftChars="0" w:firstLine="0" w:firstLineChars="0"/>
        <w:rPr>
          <w:rFonts w:hint="default" w:ascii="Times New Roman" w:hAnsi="Times New Roman" w:eastAsia="宋体" w:cs="Times New Roman"/>
          <w:kern w:val="2"/>
          <w:sz w:val="24"/>
          <w:u w:val="none"/>
          <w:lang w:val="en-US" w:eastAsia="zh-CN" w:bidi="ar-SA"/>
        </w:rPr>
      </w:pPr>
      <w:r>
        <w:rPr>
          <w:rFonts w:hint="default" w:ascii="Times New Roman" w:hAnsi="Times New Roman" w:eastAsia="宋体" w:cs="Times New Roman"/>
          <w:kern w:val="2"/>
          <w:sz w:val="24"/>
          <w:u w:val="none"/>
          <w:lang w:val="en-US" w:eastAsia="zh-CN" w:bidi="ar-SA"/>
        </w:rPr>
        <w:t>在进行多遇地震作用下的抗震计算时，阻尼比可取0.04</w:t>
      </w:r>
      <w:r>
        <w:rPr>
          <w:rFonts w:hint="eastAsia" w:cs="Times New Roman"/>
          <w:kern w:val="2"/>
          <w:sz w:val="24"/>
          <w:u w:val="none"/>
          <w:lang w:val="en-US" w:eastAsia="zh-CN" w:bidi="ar-SA"/>
        </w:rPr>
        <w:t>。</w:t>
      </w:r>
    </w:p>
    <w:p w14:paraId="0CBC0983">
      <w:pPr>
        <w:pStyle w:val="45"/>
        <w:numPr>
          <w:ilvl w:val="0"/>
          <w:numId w:val="0"/>
        </w:numPr>
        <w:bidi w:val="0"/>
        <w:rPr>
          <w:rFonts w:hint="eastAsia"/>
          <w:lang w:eastAsia="zh-CN"/>
        </w:rPr>
      </w:pPr>
      <w:r>
        <w:rPr>
          <w:rFonts w:hint="eastAsia"/>
          <w:b/>
          <w:bCs/>
          <w:lang w:eastAsia="zh-CN"/>
        </w:rPr>
        <w:t>【</w:t>
      </w:r>
      <w:r>
        <w:rPr>
          <w:rFonts w:hint="eastAsia"/>
          <w:b/>
          <w:bCs/>
          <w:lang w:val="en-US" w:eastAsia="zh-CN"/>
        </w:rPr>
        <w:t>条文说明</w:t>
      </w:r>
      <w:r>
        <w:rPr>
          <w:rFonts w:hint="eastAsia"/>
          <w:b/>
          <w:bCs/>
          <w:lang w:eastAsia="zh-CN"/>
        </w:rPr>
        <w:t>】</w:t>
      </w:r>
      <w:r>
        <w:rPr>
          <w:lang w:eastAsia="zh-CN"/>
        </w:rPr>
        <w:t>《</w:t>
      </w:r>
      <w:r>
        <w:rPr>
          <w:rFonts w:hint="eastAsia"/>
          <w:lang w:eastAsia="zh-CN"/>
        </w:rPr>
        <w:t>建筑抗震设计标准</w:t>
      </w:r>
      <w:r>
        <w:rPr>
          <w:lang w:eastAsia="zh-CN"/>
        </w:rPr>
        <w:t>》GB</w:t>
      </w:r>
      <w:r>
        <w:rPr>
          <w:rFonts w:hint="eastAsia"/>
          <w:lang w:val="en-US" w:eastAsia="zh-CN"/>
        </w:rPr>
        <w:t xml:space="preserve"> </w:t>
      </w:r>
      <w:r>
        <w:rPr>
          <w:lang w:eastAsia="zh-CN"/>
        </w:rPr>
        <w:t>50011-2010(2016 年版)第8.2.2条的规定。由于目前模块化钢结构房屋的高度一般不超过50m,故在多遇地震下的计算，阻尼比可取0.04</w:t>
      </w:r>
      <w:r>
        <w:rPr>
          <w:rFonts w:hint="eastAsia"/>
          <w:lang w:eastAsia="zh-CN"/>
        </w:rPr>
        <w:t>。</w:t>
      </w:r>
    </w:p>
    <w:p w14:paraId="3770C59D">
      <w:pPr>
        <w:pStyle w:val="45"/>
        <w:numPr>
          <w:ilvl w:val="0"/>
          <w:numId w:val="0"/>
        </w:numPr>
        <w:bidi w:val="0"/>
        <w:rPr>
          <w:rFonts w:hint="eastAsia"/>
          <w:lang w:eastAsia="zh-CN"/>
        </w:rPr>
      </w:pPr>
    </w:p>
    <w:p w14:paraId="69D875B3">
      <w:pPr>
        <w:numPr>
          <w:ilvl w:val="0"/>
          <w:numId w:val="26"/>
        </w:numPr>
        <w:bidi w:val="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应</w:t>
      </w:r>
      <w:r>
        <w:rPr>
          <w:rFonts w:hint="eastAsia"/>
          <w:color w:val="000000" w:themeColor="text1"/>
          <w:lang w:val="en-US" w:eastAsia="zh-CN"/>
          <w14:textFill>
            <w14:solidFill>
              <w14:schemeClr w14:val="tx1"/>
            </w14:solidFill>
          </w14:textFill>
        </w:rPr>
        <w:t>按</w:t>
      </w:r>
      <w:bookmarkStart w:id="32" w:name="OLE_LINK18"/>
      <w:r>
        <w:rPr>
          <w:rFonts w:hint="eastAsia"/>
          <w:color w:val="000000" w:themeColor="text1"/>
          <w:lang w:val="en-US" w:eastAsia="zh-CN"/>
          <w14:textFill>
            <w14:solidFill>
              <w14:schemeClr w14:val="tx1"/>
            </w14:solidFill>
          </w14:textFill>
        </w:rPr>
        <w:t>《非结构构件抗震设计规范</w:t>
      </w:r>
      <w:bookmarkEnd w:id="32"/>
      <w:r>
        <w:rPr>
          <w:rFonts w:hint="eastAsia"/>
          <w:color w:val="000000" w:themeColor="text1"/>
          <w:lang w:val="en-US" w:eastAsia="zh-CN"/>
          <w14:textFill>
            <w14:solidFill>
              <w14:schemeClr w14:val="tx1"/>
            </w14:solidFill>
          </w14:textFill>
        </w:rPr>
        <w:t>》JGJ339进行</w:t>
      </w:r>
      <w:r>
        <w:rPr>
          <w:color w:val="000000" w:themeColor="text1"/>
          <w:lang w:eastAsia="zh-CN"/>
          <w14:textFill>
            <w14:solidFill>
              <w14:schemeClr w14:val="tx1"/>
            </w14:solidFill>
          </w14:textFill>
        </w:rPr>
        <w:t>非结构构件抗震</w:t>
      </w:r>
      <w:r>
        <w:rPr>
          <w:rFonts w:hint="eastAsia"/>
          <w:color w:val="000000" w:themeColor="text1"/>
          <w:lang w:val="en-US" w:eastAsia="zh-CN"/>
          <w14:textFill>
            <w14:solidFill>
              <w14:schemeClr w14:val="tx1"/>
            </w14:solidFill>
          </w14:textFill>
        </w:rPr>
        <w:t>设计，</w:t>
      </w:r>
      <w:r>
        <w:rPr>
          <w:color w:val="000000" w:themeColor="text1"/>
          <w:lang w:eastAsia="zh-CN"/>
          <w14:textFill>
            <w14:solidFill>
              <w14:schemeClr w14:val="tx1"/>
            </w14:solidFill>
          </w14:textFill>
        </w:rPr>
        <w:t>并应考虑围护结构对结构抗震的不利影响</w:t>
      </w:r>
      <w:r>
        <w:rPr>
          <w:rFonts w:ascii="宋体" w:hAnsi="宋体" w:eastAsia="宋体" w:cs="宋体"/>
          <w:color w:val="000000" w:themeColor="text1"/>
          <w:spacing w:val="-4"/>
          <w:sz w:val="21"/>
          <w:szCs w:val="21"/>
          <w14:textFill>
            <w14:solidFill>
              <w14:schemeClr w14:val="tx1"/>
            </w14:solidFill>
          </w14:textFill>
        </w:rPr>
        <w:t>。</w:t>
      </w:r>
    </w:p>
    <w:p w14:paraId="5BD170FD">
      <w:pPr>
        <w:pStyle w:val="45"/>
        <w:numPr>
          <w:ilvl w:val="0"/>
          <w:numId w:val="0"/>
        </w:numPr>
        <w:bidi w:val="0"/>
        <w:ind w:leftChars="0"/>
        <w:rPr>
          <w:lang w:eastAsia="zh-CN"/>
        </w:rPr>
      </w:pPr>
      <w:r>
        <w:rPr>
          <w:rFonts w:hint="eastAsia"/>
          <w:b/>
          <w:bCs/>
          <w:lang w:eastAsia="zh-CN"/>
        </w:rPr>
        <w:t>【</w:t>
      </w:r>
      <w:r>
        <w:rPr>
          <w:rFonts w:hint="eastAsia"/>
          <w:b/>
          <w:bCs/>
          <w:lang w:val="en-US" w:eastAsia="zh-CN"/>
        </w:rPr>
        <w:t>条文说明</w:t>
      </w:r>
      <w:r>
        <w:rPr>
          <w:rFonts w:hint="eastAsia"/>
          <w:b/>
          <w:bCs/>
          <w:lang w:eastAsia="zh-CN"/>
        </w:rPr>
        <w:t>】</w:t>
      </w:r>
      <w:r>
        <w:rPr>
          <w:lang w:eastAsia="zh-CN"/>
        </w:rPr>
        <w:t>非结构构件包括建筑非结构构件和建筑附属机电设备，自身及其与结构主体的连接；非结构构件的地震破坏会影响安全和使用功能，需引起重视，应进行抗震设计。考虑围护结构的不利影响，是《</w:t>
      </w:r>
      <w:r>
        <w:rPr>
          <w:rFonts w:hint="eastAsia"/>
          <w:lang w:eastAsia="zh-CN"/>
        </w:rPr>
        <w:t>建筑抗震设计标准</w:t>
      </w:r>
      <w:r>
        <w:rPr>
          <w:lang w:eastAsia="zh-CN"/>
        </w:rPr>
        <w:t>》GB 50011-2010(2016年版) 中的强制性条文要求。强调围护墙、隔墙等非结构构件是否合理设置对主体结构的影响，以加强其抗震安全性。</w:t>
      </w:r>
    </w:p>
    <w:p w14:paraId="522DD997">
      <w:pPr>
        <w:pStyle w:val="45"/>
        <w:numPr>
          <w:ilvl w:val="0"/>
          <w:numId w:val="0"/>
        </w:numPr>
        <w:bidi w:val="0"/>
        <w:ind w:leftChars="0"/>
        <w:rPr>
          <w:lang w:eastAsia="zh-CN"/>
        </w:rPr>
      </w:pPr>
    </w:p>
    <w:p w14:paraId="18B24660">
      <w:pPr>
        <w:numPr>
          <w:ilvl w:val="0"/>
          <w:numId w:val="26"/>
        </w:numPr>
        <w:bidi w:val="0"/>
        <w:rPr>
          <w:lang w:eastAsia="zh-CN"/>
        </w:rPr>
      </w:pPr>
      <w:r>
        <w:rPr>
          <w:rFonts w:ascii="宋体" w:hAnsi="宋体" w:eastAsia="宋体" w:cs="宋体"/>
          <w:spacing w:val="8"/>
        </w:rPr>
        <w:t>应</w:t>
      </w:r>
      <w:r>
        <w:rPr>
          <w:lang w:eastAsia="zh-CN"/>
        </w:rPr>
        <w:t>在结构的某一层和直接相邻的上层进行抗倒塌设计，建筑物有倒塌风险的部分不应超过该层面积的15%且不超过70m²。</w:t>
      </w:r>
    </w:p>
    <w:p w14:paraId="5801D5F8">
      <w:pPr>
        <w:numPr>
          <w:ilvl w:val="0"/>
          <w:numId w:val="26"/>
        </w:numPr>
        <w:bidi w:val="0"/>
        <w:rPr>
          <w:lang w:eastAsia="zh-CN"/>
        </w:rPr>
      </w:pPr>
      <w:r>
        <w:rPr>
          <w:lang w:eastAsia="zh-CN"/>
        </w:rPr>
        <w:t>某个竖向承重构件失效将导致有倒塌风险的面积超过本标准第5.4.</w:t>
      </w:r>
      <w:r>
        <w:rPr>
          <w:rFonts w:hint="eastAsia"/>
          <w:lang w:val="en-US" w:eastAsia="zh-CN"/>
        </w:rPr>
        <w:t>13</w:t>
      </w:r>
      <w:r>
        <w:rPr>
          <w:lang w:eastAsia="zh-CN"/>
        </w:rPr>
        <w:t>条的规定值时，应将该构件设计为关键构件。墙体作为关键构件时，墙体的承载力和刚度应足以水平跨越损坏区域，墙体受拉时，单元间除应竖向连接外，水平向也应进行连接。</w:t>
      </w:r>
    </w:p>
    <w:p w14:paraId="4717D86D">
      <w:pPr>
        <w:pStyle w:val="45"/>
        <w:numPr>
          <w:ilvl w:val="0"/>
          <w:numId w:val="0"/>
        </w:numPr>
        <w:bidi w:val="0"/>
        <w:ind w:leftChars="0"/>
        <w:rPr>
          <w:rFonts w:hint="default"/>
          <w:lang w:val="en-US" w:eastAsia="zh-CN"/>
        </w:rPr>
      </w:pPr>
      <w:r>
        <w:rPr>
          <w:rFonts w:hint="eastAsia"/>
          <w:b/>
          <w:bCs/>
          <w:lang w:eastAsia="zh-CN"/>
        </w:rPr>
        <w:t>【</w:t>
      </w:r>
      <w:r>
        <w:rPr>
          <w:rFonts w:hint="eastAsia"/>
          <w:b/>
          <w:bCs/>
          <w:lang w:val="en-US" w:eastAsia="zh-CN"/>
        </w:rPr>
        <w:t>条文说明</w:t>
      </w:r>
      <w:r>
        <w:rPr>
          <w:rFonts w:hint="eastAsia"/>
          <w:b/>
          <w:bCs/>
          <w:lang w:eastAsia="zh-CN"/>
        </w:rPr>
        <w:t>】</w:t>
      </w:r>
      <w:r>
        <w:rPr>
          <w:lang w:eastAsia="zh-CN"/>
        </w:rPr>
        <w:t>当结构损坏时，应通过结构中的构件之间的充分的连接作用来提供替代的载荷路径。假设移除一个模块某个角部的约束，应确保这种损坏对于此模块的影响是局部的，如图20所示，这种由于约束失效引起的力由模块之间的连接力来抵抗。可以假设每个模块的连接用于抵抗施加到该模块的荷载。就加工而言，模块本身具有鲁棒性，并且由于移除一个支撑而产生的力可以被墙壁中的平面内力所抵抗，这些墙壁含有支撑或者附有各种类型的板</w:t>
      </w:r>
      <w:r>
        <w:rPr>
          <w:rFonts w:hint="eastAsia"/>
          <w:lang w:val="en-US" w:eastAsia="zh-CN"/>
        </w:rPr>
        <w:t>。</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4645"/>
      </w:tblGrid>
      <w:tr w14:paraId="4AB3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14:paraId="7200366A">
            <w:pPr>
              <w:pStyle w:val="43"/>
              <w:keepNext w:val="0"/>
              <w:keepLines w:val="0"/>
              <w:suppressLineNumbers w:val="0"/>
              <w:bidi w:val="0"/>
              <w:spacing w:before="0" w:beforeAutospacing="0" w:after="0" w:afterAutospacing="0"/>
              <w:ind w:left="0" w:right="0"/>
              <w:jc w:val="center"/>
              <w:rPr>
                <w:rFonts w:hint="eastAsia"/>
                <w:szCs w:val="20"/>
                <w:lang w:val="en-US" w:eastAsia="zh-CN"/>
              </w:rPr>
            </w:pPr>
            <w:r>
              <w:rPr>
                <w:rFonts w:hint="default"/>
                <w:szCs w:val="20"/>
              </w:rPr>
              <w:drawing>
                <wp:inline distT="0" distB="0" distL="114300" distR="114300">
                  <wp:extent cx="2193925" cy="1814830"/>
                  <wp:effectExtent l="0" t="0" r="15875" b="13970"/>
                  <wp:docPr id="4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4"/>
                          <pic:cNvPicPr>
                            <a:picLocks noChangeAspect="1"/>
                          </pic:cNvPicPr>
                        </pic:nvPicPr>
                        <pic:blipFill>
                          <a:blip r:embed="rId39"/>
                          <a:stretch>
                            <a:fillRect/>
                          </a:stretch>
                        </pic:blipFill>
                        <pic:spPr>
                          <a:xfrm>
                            <a:off x="0" y="0"/>
                            <a:ext cx="2193925" cy="1814830"/>
                          </a:xfrm>
                          <a:prstGeom prst="rect">
                            <a:avLst/>
                          </a:prstGeom>
                          <a:noFill/>
                          <a:ln>
                            <a:noFill/>
                          </a:ln>
                        </pic:spPr>
                      </pic:pic>
                    </a:graphicData>
                  </a:graphic>
                </wp:inline>
              </w:drawing>
            </w:r>
          </w:p>
        </w:tc>
        <w:tc>
          <w:tcPr>
            <w:tcW w:w="4645" w:type="dxa"/>
          </w:tcPr>
          <w:p w14:paraId="65B3DB35">
            <w:pPr>
              <w:pStyle w:val="43"/>
              <w:keepNext w:val="0"/>
              <w:keepLines w:val="0"/>
              <w:suppressLineNumbers w:val="0"/>
              <w:bidi w:val="0"/>
              <w:spacing w:before="0" w:beforeAutospacing="0" w:after="0" w:afterAutospacing="0"/>
              <w:ind w:left="0" w:right="0"/>
              <w:jc w:val="center"/>
              <w:rPr>
                <w:rFonts w:hint="eastAsia"/>
                <w:szCs w:val="20"/>
                <w:lang w:val="en-US" w:eastAsia="zh-CN"/>
              </w:rPr>
            </w:pPr>
            <w:r>
              <w:rPr>
                <w:rFonts w:hint="default"/>
                <w:szCs w:val="20"/>
              </w:rPr>
              <w:drawing>
                <wp:inline distT="0" distB="0" distL="114300" distR="114300">
                  <wp:extent cx="2085975" cy="1771650"/>
                  <wp:effectExtent l="0" t="0" r="9525" b="0"/>
                  <wp:docPr id="4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5"/>
                          <pic:cNvPicPr>
                            <a:picLocks noChangeAspect="1"/>
                          </pic:cNvPicPr>
                        </pic:nvPicPr>
                        <pic:blipFill>
                          <a:blip r:embed="rId40"/>
                          <a:stretch>
                            <a:fillRect/>
                          </a:stretch>
                        </pic:blipFill>
                        <pic:spPr>
                          <a:xfrm>
                            <a:off x="0" y="0"/>
                            <a:ext cx="2085975" cy="1771650"/>
                          </a:xfrm>
                          <a:prstGeom prst="rect">
                            <a:avLst/>
                          </a:prstGeom>
                          <a:noFill/>
                          <a:ln>
                            <a:noFill/>
                          </a:ln>
                        </pic:spPr>
                      </pic:pic>
                    </a:graphicData>
                  </a:graphic>
                </wp:inline>
              </w:drawing>
            </w:r>
          </w:p>
        </w:tc>
      </w:tr>
      <w:tr w14:paraId="6E7BF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14:paraId="4233561E">
            <w:pPr>
              <w:pStyle w:val="45"/>
              <w:keepNext w:val="0"/>
              <w:keepLines w:val="0"/>
              <w:numPr>
                <w:ilvl w:val="0"/>
                <w:numId w:val="0"/>
              </w:numPr>
              <w:suppressLineNumbers w:val="0"/>
              <w:bidi w:val="0"/>
              <w:spacing w:before="0" w:beforeAutospacing="0" w:after="0" w:afterAutospacing="0"/>
              <w:ind w:left="0" w:right="0"/>
              <w:jc w:val="center"/>
              <w:rPr>
                <w:rFonts w:hint="eastAsia" w:ascii="Times New Roman" w:hAnsi="Times New Roman" w:eastAsia="宋体" w:cs="Times New Roman"/>
                <w:kern w:val="2"/>
                <w:sz w:val="21"/>
                <w:szCs w:val="21"/>
                <w:u w:val="none"/>
                <w:lang w:val="en-US" w:eastAsia="zh-CN" w:bidi="ar-SA"/>
              </w:rPr>
            </w:pPr>
            <w:r>
              <w:rPr>
                <w:rFonts w:hint="eastAsia" w:ascii="Times New Roman" w:hAnsi="Times New Roman" w:eastAsia="宋体" w:cs="Times New Roman"/>
                <w:kern w:val="2"/>
                <w:sz w:val="21"/>
                <w:szCs w:val="21"/>
                <w:u w:val="none"/>
                <w:lang w:val="en-US" w:eastAsia="zh-CN" w:bidi="ar-SA"/>
              </w:rPr>
              <w:t>(a)  移除角部墙板</w:t>
            </w:r>
          </w:p>
        </w:tc>
        <w:tc>
          <w:tcPr>
            <w:tcW w:w="4645" w:type="dxa"/>
          </w:tcPr>
          <w:p w14:paraId="1B667EE9">
            <w:pPr>
              <w:pStyle w:val="45"/>
              <w:keepNext w:val="0"/>
              <w:keepLines w:val="0"/>
              <w:numPr>
                <w:ilvl w:val="0"/>
                <w:numId w:val="0"/>
              </w:numPr>
              <w:suppressLineNumbers w:val="0"/>
              <w:bidi w:val="0"/>
              <w:spacing w:before="0" w:beforeAutospacing="0" w:after="0" w:afterAutospacing="0"/>
              <w:ind w:left="0" w:right="0"/>
              <w:jc w:val="center"/>
              <w:rPr>
                <w:rFonts w:hint="eastAsia" w:ascii="Times New Roman" w:hAnsi="Times New Roman" w:eastAsia="宋体" w:cs="Times New Roman"/>
                <w:kern w:val="2"/>
                <w:sz w:val="21"/>
                <w:szCs w:val="21"/>
                <w:u w:val="none"/>
                <w:lang w:val="en-US" w:eastAsia="zh-CN" w:bidi="ar-SA"/>
              </w:rPr>
            </w:pPr>
            <w:r>
              <w:rPr>
                <w:rFonts w:hint="eastAsia" w:ascii="Times New Roman" w:hAnsi="Times New Roman" w:eastAsia="宋体" w:cs="Times New Roman"/>
                <w:kern w:val="2"/>
                <w:sz w:val="21"/>
                <w:szCs w:val="21"/>
                <w:u w:val="none"/>
                <w:lang w:val="en-US" w:eastAsia="zh-CN" w:bidi="ar-SA"/>
              </w:rPr>
              <w:t>(b) 移除内部墙板</w:t>
            </w:r>
          </w:p>
        </w:tc>
      </w:tr>
      <w:tr w14:paraId="326CA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4644" w:type="dxa"/>
          </w:tcPr>
          <w:p w14:paraId="6BEC58E7">
            <w:pPr>
              <w:pStyle w:val="43"/>
              <w:keepNext w:val="0"/>
              <w:keepLines w:val="0"/>
              <w:suppressLineNumbers w:val="0"/>
              <w:bidi w:val="0"/>
              <w:spacing w:before="0" w:beforeAutospacing="0" w:after="0" w:afterAutospacing="0"/>
              <w:ind w:left="0" w:right="0"/>
              <w:jc w:val="center"/>
              <w:rPr>
                <w:rFonts w:hint="eastAsia"/>
                <w:szCs w:val="20"/>
                <w:lang w:val="en-US" w:eastAsia="zh-CN"/>
              </w:rPr>
            </w:pPr>
            <w:r>
              <w:rPr>
                <w:rFonts w:hint="default"/>
                <w:szCs w:val="20"/>
              </w:rPr>
              <w:drawing>
                <wp:inline distT="0" distB="0" distL="114300" distR="114300">
                  <wp:extent cx="1743075" cy="1495425"/>
                  <wp:effectExtent l="0" t="0" r="0" b="9525"/>
                  <wp:docPr id="4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6"/>
                          <pic:cNvPicPr>
                            <a:picLocks noChangeAspect="1"/>
                          </pic:cNvPicPr>
                        </pic:nvPicPr>
                        <pic:blipFill>
                          <a:blip r:embed="rId41"/>
                          <a:stretch>
                            <a:fillRect/>
                          </a:stretch>
                        </pic:blipFill>
                        <pic:spPr>
                          <a:xfrm>
                            <a:off x="0" y="0"/>
                            <a:ext cx="1743075" cy="1495425"/>
                          </a:xfrm>
                          <a:prstGeom prst="rect">
                            <a:avLst/>
                          </a:prstGeom>
                          <a:noFill/>
                          <a:ln>
                            <a:noFill/>
                          </a:ln>
                        </pic:spPr>
                      </pic:pic>
                    </a:graphicData>
                  </a:graphic>
                </wp:inline>
              </w:drawing>
            </w:r>
          </w:p>
        </w:tc>
        <w:tc>
          <w:tcPr>
            <w:tcW w:w="4645" w:type="dxa"/>
          </w:tcPr>
          <w:p w14:paraId="0683E02A">
            <w:pPr>
              <w:pStyle w:val="43"/>
              <w:keepNext w:val="0"/>
              <w:keepLines w:val="0"/>
              <w:suppressLineNumbers w:val="0"/>
              <w:bidi w:val="0"/>
              <w:spacing w:before="0" w:beforeAutospacing="0" w:after="0" w:afterAutospacing="0"/>
              <w:ind w:left="0" w:right="0"/>
              <w:jc w:val="center"/>
              <w:rPr>
                <w:rFonts w:hint="eastAsia"/>
                <w:szCs w:val="20"/>
                <w:lang w:val="en-US" w:eastAsia="zh-CN"/>
              </w:rPr>
            </w:pPr>
            <w:r>
              <w:rPr>
                <w:rFonts w:hint="default"/>
                <w:szCs w:val="20"/>
              </w:rPr>
              <w:drawing>
                <wp:inline distT="0" distB="0" distL="114300" distR="114300">
                  <wp:extent cx="2580005" cy="1459865"/>
                  <wp:effectExtent l="0" t="0" r="0" b="6985"/>
                  <wp:docPr id="4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7"/>
                          <pic:cNvPicPr>
                            <a:picLocks noChangeAspect="1"/>
                          </pic:cNvPicPr>
                        </pic:nvPicPr>
                        <pic:blipFill>
                          <a:blip r:embed="rId42"/>
                          <a:stretch>
                            <a:fillRect/>
                          </a:stretch>
                        </pic:blipFill>
                        <pic:spPr>
                          <a:xfrm>
                            <a:off x="0" y="0"/>
                            <a:ext cx="2580005" cy="1459865"/>
                          </a:xfrm>
                          <a:prstGeom prst="rect">
                            <a:avLst/>
                          </a:prstGeom>
                          <a:noFill/>
                          <a:ln>
                            <a:noFill/>
                          </a:ln>
                        </pic:spPr>
                      </pic:pic>
                    </a:graphicData>
                  </a:graphic>
                </wp:inline>
              </w:drawing>
            </w:r>
          </w:p>
        </w:tc>
      </w:tr>
      <w:tr w14:paraId="7CF11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14:paraId="5B6BB6FE">
            <w:pPr>
              <w:pStyle w:val="45"/>
              <w:keepNext w:val="0"/>
              <w:keepLines w:val="0"/>
              <w:numPr>
                <w:ilvl w:val="0"/>
                <w:numId w:val="0"/>
              </w:numPr>
              <w:suppressLineNumbers w:val="0"/>
              <w:bidi w:val="0"/>
              <w:spacing w:before="0" w:beforeAutospacing="0" w:after="0" w:afterAutospacing="0"/>
              <w:ind w:left="0" w:right="0"/>
              <w:jc w:val="center"/>
              <w:rPr>
                <w:rFonts w:hint="eastAsia" w:ascii="Times New Roman" w:hAnsi="Times New Roman" w:eastAsia="宋体" w:cs="Times New Roman"/>
                <w:kern w:val="2"/>
                <w:sz w:val="21"/>
                <w:szCs w:val="21"/>
                <w:u w:val="none"/>
                <w:lang w:val="en-US" w:eastAsia="zh-CN" w:bidi="ar-SA"/>
              </w:rPr>
            </w:pPr>
            <w:r>
              <w:rPr>
                <w:rFonts w:hint="eastAsia" w:ascii="Times New Roman" w:hAnsi="Times New Roman" w:eastAsia="宋体" w:cs="Times New Roman"/>
                <w:kern w:val="2"/>
                <w:sz w:val="21"/>
                <w:szCs w:val="21"/>
                <w:u w:val="none"/>
                <w:lang w:val="en-US" w:eastAsia="zh-CN" w:bidi="ar-SA"/>
              </w:rPr>
              <w:t>(c) 相邻墙板间连接的悬臂效应</w:t>
            </w:r>
          </w:p>
        </w:tc>
        <w:tc>
          <w:tcPr>
            <w:tcW w:w="4645" w:type="dxa"/>
          </w:tcPr>
          <w:p w14:paraId="0F84F2FF">
            <w:pPr>
              <w:pStyle w:val="45"/>
              <w:keepNext w:val="0"/>
              <w:keepLines w:val="0"/>
              <w:numPr>
                <w:ilvl w:val="0"/>
                <w:numId w:val="0"/>
              </w:numPr>
              <w:suppressLineNumbers w:val="0"/>
              <w:bidi w:val="0"/>
              <w:spacing w:before="0" w:beforeAutospacing="0" w:after="0" w:afterAutospacing="0"/>
              <w:ind w:left="0" w:right="0"/>
              <w:jc w:val="center"/>
              <w:rPr>
                <w:rFonts w:hint="eastAsia" w:ascii="Times New Roman" w:hAnsi="Times New Roman" w:eastAsia="宋体" w:cs="Times New Roman"/>
                <w:kern w:val="2"/>
                <w:sz w:val="21"/>
                <w:szCs w:val="21"/>
                <w:u w:val="none"/>
                <w:lang w:val="en-US" w:eastAsia="zh-CN" w:bidi="ar-SA"/>
              </w:rPr>
            </w:pPr>
            <w:r>
              <w:rPr>
                <w:rFonts w:hint="eastAsia" w:ascii="Times New Roman" w:hAnsi="Times New Roman" w:eastAsia="宋体" w:cs="Times New Roman"/>
                <w:kern w:val="2"/>
                <w:sz w:val="21"/>
                <w:szCs w:val="21"/>
                <w:u w:val="none"/>
                <w:lang w:val="en-US" w:eastAsia="zh-CN" w:bidi="ar-SA"/>
              </w:rPr>
              <w:t>(d)  上部墙板的悬臂效应</w:t>
            </w:r>
          </w:p>
        </w:tc>
      </w:tr>
      <w:tr w14:paraId="59E15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9" w:type="dxa"/>
            <w:gridSpan w:val="2"/>
          </w:tcPr>
          <w:p w14:paraId="0A335874">
            <w:pPr>
              <w:keepNext w:val="0"/>
              <w:keepLines w:val="0"/>
              <w:suppressLineNumbers w:val="0"/>
              <w:spacing w:before="196" w:beforeAutospacing="0" w:after="0" w:afterAutospacing="0" w:line="219" w:lineRule="auto"/>
              <w:ind w:left="0" w:right="0"/>
              <w:jc w:val="center"/>
              <w:rPr>
                <w:rFonts w:hint="default"/>
                <w:szCs w:val="20"/>
                <w:vertAlign w:val="baseline"/>
                <w:lang w:eastAsia="zh-CN"/>
              </w:rPr>
            </w:pPr>
            <w:r>
              <w:rPr>
                <w:rFonts w:hint="default" w:ascii="Times New Roman" w:hAnsi="Times New Roman" w:eastAsia="宋体" w:cs="Times New Roman"/>
                <w:kern w:val="2"/>
                <w:sz w:val="21"/>
                <w:szCs w:val="21"/>
                <w:u w:val="none"/>
                <w:lang w:val="en-US" w:eastAsia="zh-CN" w:bidi="ar-SA"/>
              </w:rPr>
              <w:t>图20 模块建筑倒塌模式和分析</w:t>
            </w:r>
          </w:p>
        </w:tc>
      </w:tr>
    </w:tbl>
    <w:p w14:paraId="225AEF77">
      <w:pPr>
        <w:numPr>
          <w:ilvl w:val="0"/>
          <w:numId w:val="26"/>
        </w:numPr>
        <w:bidi w:val="0"/>
        <w:rPr>
          <w:lang w:eastAsia="zh-CN"/>
        </w:rPr>
      </w:pPr>
      <w:r>
        <w:rPr>
          <w:lang w:eastAsia="zh-CN"/>
        </w:rPr>
        <w:t>采用砌体外饰墙时，应采取措施确保砌体围护结构不发生连续倒塌。</w:t>
      </w:r>
    </w:p>
    <w:p w14:paraId="3B7A7DC9">
      <w:pPr>
        <w:pStyle w:val="45"/>
        <w:numPr>
          <w:ilvl w:val="0"/>
          <w:numId w:val="0"/>
        </w:numPr>
        <w:bidi w:val="0"/>
        <w:ind w:leftChars="0"/>
        <w:rPr>
          <w:lang w:eastAsia="zh-CN"/>
        </w:rPr>
      </w:pPr>
      <w:r>
        <w:rPr>
          <w:rFonts w:hint="eastAsia"/>
          <w:b/>
          <w:bCs/>
          <w:lang w:eastAsia="zh-CN"/>
        </w:rPr>
        <w:t>【</w:t>
      </w:r>
      <w:r>
        <w:rPr>
          <w:rFonts w:hint="eastAsia"/>
          <w:b/>
          <w:bCs/>
          <w:lang w:val="en-US" w:eastAsia="zh-CN"/>
        </w:rPr>
        <w:t>条文说明</w:t>
      </w:r>
      <w:r>
        <w:rPr>
          <w:rFonts w:hint="eastAsia"/>
          <w:b/>
          <w:bCs/>
          <w:lang w:eastAsia="zh-CN"/>
        </w:rPr>
        <w:t>】</w:t>
      </w:r>
      <w:r>
        <w:rPr>
          <w:lang w:eastAsia="zh-CN"/>
        </w:rPr>
        <w:t>一般来说，模块化结构只提供砌体围护结构的横向支承力，砌体的自重直接传至基础。</w:t>
      </w:r>
    </w:p>
    <w:p w14:paraId="655E8897">
      <w:pPr>
        <w:keepNext/>
        <w:keepLines/>
        <w:widowControl w:val="0"/>
        <w:bidi w:val="0"/>
        <w:spacing w:before="50" w:beforeLines="50" w:after="50" w:afterLines="50" w:line="360" w:lineRule="auto"/>
        <w:jc w:val="center"/>
        <w:outlineLvl w:val="1"/>
        <w:rPr>
          <w:rFonts w:hint="eastAsia" w:ascii="Times New Roman" w:hAnsi="Times New Roman" w:eastAsia="黑体" w:cs="Times New Roman"/>
          <w:bCs/>
          <w:kern w:val="2"/>
          <w:sz w:val="32"/>
          <w:szCs w:val="32"/>
          <w:lang w:val="en-US" w:eastAsia="zh-CN" w:bidi="ar-SA"/>
        </w:rPr>
      </w:pPr>
      <w:bookmarkStart w:id="33" w:name="_Toc12505"/>
      <w:r>
        <w:rPr>
          <w:rFonts w:ascii="Times New Roman" w:hAnsi="Times New Roman" w:eastAsia="黑体" w:cs="Times New Roman"/>
          <w:bCs/>
          <w:kern w:val="2"/>
          <w:sz w:val="32"/>
          <w:szCs w:val="32"/>
          <w:lang w:val="en-US" w:eastAsia="zh-CN" w:bidi="ar-SA"/>
        </w:rPr>
        <w:t>5.</w:t>
      </w:r>
      <w:r>
        <w:rPr>
          <w:rFonts w:hint="eastAsia" w:eastAsia="黑体" w:cs="Times New Roman"/>
          <w:bCs/>
          <w:kern w:val="2"/>
          <w:sz w:val="32"/>
          <w:szCs w:val="32"/>
          <w:lang w:val="en-US" w:eastAsia="zh-CN" w:bidi="ar-SA"/>
        </w:rPr>
        <w:t>5</w:t>
      </w:r>
      <w:r>
        <w:rPr>
          <w:rFonts w:hint="eastAsia" w:ascii="Times New Roman" w:hAnsi="Times New Roman" w:eastAsia="黑体" w:cs="Times New Roman"/>
          <w:bCs/>
          <w:kern w:val="2"/>
          <w:sz w:val="32"/>
          <w:szCs w:val="32"/>
          <w:lang w:val="en-US" w:eastAsia="zh-CN" w:bidi="ar-SA"/>
        </w:rPr>
        <w:t>地基基础</w:t>
      </w:r>
      <w:bookmarkEnd w:id="33"/>
    </w:p>
    <w:p w14:paraId="66A9E045">
      <w:pPr>
        <w:numPr>
          <w:ilvl w:val="0"/>
          <w:numId w:val="27"/>
        </w:numPr>
        <w:bidi w:val="0"/>
        <w:ind w:left="0" w:leftChars="0" w:firstLine="0" w:firstLineChars="0"/>
        <w:rPr>
          <w:rFonts w:hint="default" w:ascii="Times New Roman" w:hAnsi="Times New Roman" w:eastAsia="宋体" w:cs="Times New Roman"/>
          <w:b/>
          <w:color w:val="auto"/>
          <w:kern w:val="2"/>
          <w:sz w:val="24"/>
          <w:szCs w:val="24"/>
          <w:lang w:val="en-US" w:eastAsia="zh-CN" w:bidi="ar-SA"/>
        </w:rPr>
      </w:pPr>
      <w:r>
        <w:rPr>
          <w:lang w:eastAsia="zh-CN"/>
        </w:rPr>
        <w:t>地基基础设计应符合</w:t>
      </w:r>
      <w:r>
        <w:rPr>
          <w:color w:val="auto"/>
          <w:lang w:eastAsia="zh-CN"/>
        </w:rPr>
        <w:t>现行国家标准</w:t>
      </w:r>
      <w:r>
        <w:rPr>
          <w:rFonts w:hint="eastAsia"/>
          <w:color w:val="auto"/>
          <w:lang w:eastAsia="zh-CN"/>
        </w:rPr>
        <w:t>《</w:t>
      </w:r>
      <w:r>
        <w:rPr>
          <w:rFonts w:hint="eastAsia"/>
          <w:color w:val="auto"/>
          <w:lang w:val="en-US" w:eastAsia="zh-CN"/>
        </w:rPr>
        <w:t>建筑与市政地基基础通用规范</w:t>
      </w:r>
      <w:r>
        <w:rPr>
          <w:rFonts w:hint="eastAsia"/>
          <w:color w:val="auto"/>
          <w:lang w:eastAsia="zh-CN"/>
        </w:rPr>
        <w:t>》GB55003、</w:t>
      </w:r>
      <w:r>
        <w:rPr>
          <w:color w:val="auto"/>
          <w:lang w:eastAsia="zh-CN"/>
        </w:rPr>
        <w:t>《建筑地基基础设计规范》GB50007</w:t>
      </w:r>
      <w:r>
        <w:rPr>
          <w:rFonts w:hint="eastAsia"/>
          <w:color w:val="auto"/>
          <w:lang w:val="en-US" w:eastAsia="zh-CN"/>
        </w:rPr>
        <w:t>等国家现行有关标准</w:t>
      </w:r>
      <w:r>
        <w:rPr>
          <w:color w:val="auto"/>
          <w:lang w:eastAsia="zh-CN"/>
        </w:rPr>
        <w:t>的规定。</w:t>
      </w:r>
    </w:p>
    <w:p w14:paraId="34BD35FD">
      <w:pPr>
        <w:numPr>
          <w:ilvl w:val="0"/>
          <w:numId w:val="27"/>
        </w:numPr>
        <w:bidi w:val="0"/>
        <w:ind w:left="0" w:leftChars="0" w:firstLine="0" w:firstLineChars="0"/>
        <w:rPr>
          <w:rFonts w:hint="eastAsia" w:ascii="宋体" w:hAnsi="宋体" w:cs="宋体"/>
          <w:spacing w:val="7"/>
          <w:lang w:eastAsia="zh-CN"/>
        </w:rPr>
      </w:pPr>
      <w:r>
        <w:rPr>
          <w:rFonts w:ascii="Times New Roman" w:hAnsi="Times New Roman" w:eastAsia="宋体" w:cs="Times New Roman"/>
          <w:spacing w:val="0"/>
        </w:rPr>
        <w:t>模块化</w:t>
      </w:r>
      <w:r>
        <w:rPr>
          <w:rFonts w:hint="eastAsia" w:cs="Times New Roman"/>
          <w:spacing w:val="0"/>
          <w:lang w:val="en-US" w:eastAsia="zh-CN"/>
        </w:rPr>
        <w:t>钢结构房</w:t>
      </w:r>
      <w:r>
        <w:rPr>
          <w:rFonts w:ascii="Times New Roman" w:hAnsi="Times New Roman" w:eastAsia="宋体" w:cs="Times New Roman"/>
          <w:spacing w:val="0"/>
        </w:rPr>
        <w:t>屋基础可选条形基础、筏板基础、桩基础和独立基础等形式(图5.</w:t>
      </w:r>
      <w:r>
        <w:rPr>
          <w:rFonts w:hint="eastAsia" w:cs="Times New Roman"/>
          <w:spacing w:val="0"/>
          <w:lang w:val="en-US" w:eastAsia="zh-CN"/>
        </w:rPr>
        <w:t>3</w:t>
      </w:r>
      <w:r>
        <w:rPr>
          <w:rFonts w:ascii="Times New Roman" w:hAnsi="Times New Roman" w:eastAsia="宋体" w:cs="Times New Roman"/>
          <w:spacing w:val="0"/>
        </w:rPr>
        <w:t>.2)。</w:t>
      </w:r>
    </w:p>
    <w:tbl>
      <w:tblPr>
        <w:tblStyle w:val="23"/>
        <w:tblpPr w:leftFromText="180" w:rightFromText="180" w:vertAnchor="text" w:horzAnchor="page" w:tblpX="2066" w:tblpY="289"/>
        <w:tblOverlap w:val="never"/>
        <w:tblW w:w="46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30"/>
        <w:gridCol w:w="4609"/>
      </w:tblGrid>
      <w:tr w14:paraId="78E1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2" w:type="pct"/>
          </w:tcPr>
          <w:p w14:paraId="4A8F8D53">
            <w:pPr>
              <w:pStyle w:val="43"/>
              <w:keepNext w:val="0"/>
              <w:keepLines w:val="0"/>
              <w:suppressLineNumbers w:val="0"/>
              <w:bidi w:val="0"/>
              <w:spacing w:before="0" w:beforeAutospacing="0" w:after="0" w:afterAutospacing="0"/>
              <w:ind w:left="0" w:right="0"/>
              <w:rPr>
                <w:rFonts w:hint="eastAsia"/>
                <w:szCs w:val="20"/>
                <w:lang w:eastAsia="zh-CN"/>
              </w:rPr>
            </w:pPr>
            <w:r>
              <w:rPr>
                <w:rFonts w:hint="default"/>
                <w:szCs w:val="20"/>
              </w:rPr>
              <w:drawing>
                <wp:inline distT="0" distB="0" distL="114300" distR="114300">
                  <wp:extent cx="2353310" cy="2004060"/>
                  <wp:effectExtent l="0" t="0" r="8890" b="15240"/>
                  <wp:docPr id="5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9"/>
                          <pic:cNvPicPr>
                            <a:picLocks noChangeAspect="1"/>
                          </pic:cNvPicPr>
                        </pic:nvPicPr>
                        <pic:blipFill>
                          <a:blip r:embed="rId43"/>
                          <a:stretch>
                            <a:fillRect/>
                          </a:stretch>
                        </pic:blipFill>
                        <pic:spPr>
                          <a:xfrm>
                            <a:off x="0" y="0"/>
                            <a:ext cx="2353310" cy="2004060"/>
                          </a:xfrm>
                          <a:prstGeom prst="rect">
                            <a:avLst/>
                          </a:prstGeom>
                          <a:noFill/>
                          <a:ln>
                            <a:noFill/>
                          </a:ln>
                        </pic:spPr>
                      </pic:pic>
                    </a:graphicData>
                  </a:graphic>
                </wp:inline>
              </w:drawing>
            </w:r>
          </w:p>
        </w:tc>
        <w:tc>
          <w:tcPr>
            <w:tcW w:w="2667" w:type="pct"/>
          </w:tcPr>
          <w:p w14:paraId="45BCFB2D">
            <w:pPr>
              <w:pStyle w:val="43"/>
              <w:keepNext w:val="0"/>
              <w:keepLines w:val="0"/>
              <w:suppressLineNumbers w:val="0"/>
              <w:bidi w:val="0"/>
              <w:spacing w:before="0" w:beforeAutospacing="0" w:after="0" w:afterAutospacing="0"/>
              <w:ind w:left="0" w:right="0"/>
              <w:rPr>
                <w:rFonts w:hint="eastAsia"/>
                <w:szCs w:val="20"/>
                <w:lang w:eastAsia="zh-CN"/>
              </w:rPr>
            </w:pPr>
            <w:r>
              <w:rPr>
                <w:rFonts w:hint="default"/>
                <w:szCs w:val="20"/>
              </w:rPr>
              <w:drawing>
                <wp:inline distT="0" distB="0" distL="114300" distR="114300">
                  <wp:extent cx="2874645" cy="2251075"/>
                  <wp:effectExtent l="0" t="0" r="1905" b="15875"/>
                  <wp:docPr id="5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0"/>
                          <pic:cNvPicPr>
                            <a:picLocks noChangeAspect="1"/>
                          </pic:cNvPicPr>
                        </pic:nvPicPr>
                        <pic:blipFill>
                          <a:blip r:embed="rId44"/>
                          <a:stretch>
                            <a:fillRect/>
                          </a:stretch>
                        </pic:blipFill>
                        <pic:spPr>
                          <a:xfrm>
                            <a:off x="0" y="0"/>
                            <a:ext cx="2874645" cy="2251075"/>
                          </a:xfrm>
                          <a:prstGeom prst="rect">
                            <a:avLst/>
                          </a:prstGeom>
                          <a:noFill/>
                          <a:ln>
                            <a:noFill/>
                          </a:ln>
                        </pic:spPr>
                      </pic:pic>
                    </a:graphicData>
                  </a:graphic>
                </wp:inline>
              </w:drawing>
            </w:r>
          </w:p>
        </w:tc>
      </w:tr>
      <w:tr w14:paraId="214D9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2" w:type="pct"/>
          </w:tcPr>
          <w:p w14:paraId="0B927533">
            <w:pPr>
              <w:keepNext w:val="0"/>
              <w:keepLines w:val="0"/>
              <w:suppressLineNumbers w:val="0"/>
              <w:spacing w:before="196" w:beforeAutospacing="0" w:after="0" w:afterAutospacing="0" w:line="219" w:lineRule="auto"/>
              <w:ind w:left="0" w:right="0"/>
              <w:jc w:val="center"/>
              <w:rPr>
                <w:rFonts w:hint="eastAsia"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kern w:val="2"/>
                <w:sz w:val="21"/>
                <w:szCs w:val="21"/>
                <w:u w:val="none"/>
                <w:lang w:val="en-US" w:eastAsia="zh-CN" w:bidi="ar-SA"/>
              </w:rPr>
              <w:t>(a)条形基础</w:t>
            </w:r>
          </w:p>
        </w:tc>
        <w:tc>
          <w:tcPr>
            <w:tcW w:w="2667" w:type="pct"/>
          </w:tcPr>
          <w:p w14:paraId="2C11BB3D">
            <w:pPr>
              <w:keepNext w:val="0"/>
              <w:keepLines w:val="0"/>
              <w:suppressLineNumbers w:val="0"/>
              <w:spacing w:before="196" w:beforeAutospacing="0" w:after="0" w:afterAutospacing="0" w:line="219" w:lineRule="auto"/>
              <w:ind w:left="0" w:right="0"/>
              <w:jc w:val="center"/>
              <w:rPr>
                <w:rFonts w:hint="eastAsia"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kern w:val="2"/>
                <w:sz w:val="21"/>
                <w:szCs w:val="21"/>
                <w:u w:val="none"/>
                <w:lang w:val="en-US" w:eastAsia="zh-CN" w:bidi="ar-SA"/>
              </w:rPr>
              <w:t>(b) 带十字梁的筏板基础</w:t>
            </w:r>
          </w:p>
        </w:tc>
      </w:tr>
      <w:tr w14:paraId="31E5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tcPr>
          <w:p w14:paraId="0B0D20DC">
            <w:pPr>
              <w:keepNext w:val="0"/>
              <w:keepLines w:val="0"/>
              <w:numPr>
                <w:ilvl w:val="0"/>
                <w:numId w:val="0"/>
              </w:numPr>
              <w:suppressLineNumbers w:val="0"/>
              <w:tabs>
                <w:tab w:val="left" w:pos="0"/>
              </w:tabs>
              <w:bidi w:val="0"/>
              <w:spacing w:before="0" w:beforeAutospacing="0" w:after="0" w:afterAutospacing="0"/>
              <w:ind w:left="0" w:right="0"/>
              <w:jc w:val="center"/>
              <w:rPr>
                <w:rFonts w:hint="eastAsia" w:ascii="宋体" w:hAnsi="宋体" w:cs="宋体"/>
                <w:spacing w:val="7"/>
                <w:szCs w:val="20"/>
                <w:vertAlign w:val="baseline"/>
                <w:lang w:eastAsia="zh-CN"/>
              </w:rPr>
            </w:pPr>
            <w:r>
              <w:rPr>
                <w:rFonts w:hint="default" w:ascii="Times New Roman" w:hAnsi="Times New Roman" w:eastAsia="宋体" w:cs="Times New Roman"/>
                <w:kern w:val="2"/>
                <w:sz w:val="24"/>
                <w:szCs w:val="20"/>
                <w:lang w:val="en-US" w:eastAsia="zh-CN" w:bidi="ar-SA"/>
              </w:rPr>
              <w:t>图5.</w:t>
            </w:r>
            <w:r>
              <w:rPr>
                <w:rFonts w:hint="eastAsia" w:ascii="Times New Roman" w:hAnsi="Times New Roman" w:eastAsia="宋体" w:cs="Times New Roman"/>
                <w:kern w:val="2"/>
                <w:sz w:val="24"/>
                <w:szCs w:val="20"/>
                <w:lang w:val="en-US" w:eastAsia="zh-CN" w:bidi="ar-SA"/>
              </w:rPr>
              <w:t>5</w:t>
            </w:r>
            <w:r>
              <w:rPr>
                <w:rFonts w:hint="default" w:ascii="Times New Roman" w:hAnsi="Times New Roman" w:eastAsia="宋体" w:cs="Times New Roman"/>
                <w:kern w:val="2"/>
                <w:sz w:val="24"/>
                <w:szCs w:val="20"/>
                <w:lang w:val="en-US" w:eastAsia="zh-CN" w:bidi="ar-SA"/>
              </w:rPr>
              <w:t xml:space="preserve">.2 </w:t>
            </w:r>
            <w:r>
              <w:rPr>
                <w:rFonts w:hint="eastAsia" w:ascii="Times New Roman" w:hAnsi="Times New Roman" w:eastAsia="宋体" w:cs="Times New Roman"/>
                <w:kern w:val="2"/>
                <w:sz w:val="24"/>
                <w:szCs w:val="20"/>
                <w:lang w:val="en-US" w:eastAsia="zh-CN" w:bidi="ar-SA"/>
              </w:rPr>
              <w:t>模块化钢结构房屋</w:t>
            </w:r>
            <w:r>
              <w:rPr>
                <w:rFonts w:hint="default" w:ascii="Times New Roman" w:hAnsi="Times New Roman" w:eastAsia="宋体" w:cs="Times New Roman"/>
                <w:kern w:val="2"/>
                <w:sz w:val="24"/>
                <w:szCs w:val="20"/>
                <w:lang w:val="en-US" w:eastAsia="zh-CN" w:bidi="ar-SA"/>
              </w:rPr>
              <w:t>可选择的基础类型(一)</w:t>
            </w:r>
          </w:p>
        </w:tc>
      </w:tr>
      <w:tr w14:paraId="6286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2" w:type="pct"/>
          </w:tcPr>
          <w:p w14:paraId="489F97D1">
            <w:pPr>
              <w:pStyle w:val="43"/>
              <w:keepNext w:val="0"/>
              <w:keepLines w:val="0"/>
              <w:suppressLineNumbers w:val="0"/>
              <w:bidi w:val="0"/>
              <w:spacing w:before="0" w:beforeAutospacing="0" w:after="0" w:afterAutospacing="0"/>
              <w:ind w:left="0" w:right="0"/>
              <w:rPr>
                <w:rFonts w:hint="eastAsia"/>
                <w:szCs w:val="20"/>
                <w:lang w:val="en-US" w:eastAsia="zh-CN"/>
              </w:rPr>
            </w:pPr>
            <w:r>
              <w:rPr>
                <w:rFonts w:hint="default"/>
                <w:szCs w:val="20"/>
              </w:rPr>
              <w:drawing>
                <wp:inline distT="0" distB="0" distL="114300" distR="114300">
                  <wp:extent cx="2473960" cy="2305050"/>
                  <wp:effectExtent l="0" t="0" r="2540" b="0"/>
                  <wp:docPr id="5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pic:cNvPicPr>
                            <a:picLocks noChangeAspect="1"/>
                          </pic:cNvPicPr>
                        </pic:nvPicPr>
                        <pic:blipFill>
                          <a:blip r:embed="rId45"/>
                          <a:stretch>
                            <a:fillRect/>
                          </a:stretch>
                        </pic:blipFill>
                        <pic:spPr>
                          <a:xfrm>
                            <a:off x="0" y="0"/>
                            <a:ext cx="2473960" cy="2305050"/>
                          </a:xfrm>
                          <a:prstGeom prst="rect">
                            <a:avLst/>
                          </a:prstGeom>
                          <a:noFill/>
                          <a:ln>
                            <a:noFill/>
                          </a:ln>
                        </pic:spPr>
                      </pic:pic>
                    </a:graphicData>
                  </a:graphic>
                </wp:inline>
              </w:drawing>
            </w:r>
          </w:p>
        </w:tc>
        <w:tc>
          <w:tcPr>
            <w:tcW w:w="2667" w:type="pct"/>
          </w:tcPr>
          <w:p w14:paraId="6C0D6B4B">
            <w:pPr>
              <w:pStyle w:val="43"/>
              <w:keepNext w:val="0"/>
              <w:keepLines w:val="0"/>
              <w:suppressLineNumbers w:val="0"/>
              <w:bidi w:val="0"/>
              <w:spacing w:before="0" w:beforeAutospacing="0" w:after="0" w:afterAutospacing="0"/>
              <w:ind w:left="0" w:right="0"/>
              <w:rPr>
                <w:rFonts w:hint="default"/>
                <w:szCs w:val="20"/>
                <w:lang w:val="en-US" w:eastAsia="zh-CN"/>
              </w:rPr>
            </w:pPr>
            <w:r>
              <w:rPr>
                <w:rFonts w:hint="default"/>
                <w:szCs w:val="20"/>
              </w:rPr>
              <w:drawing>
                <wp:inline distT="0" distB="0" distL="114300" distR="114300">
                  <wp:extent cx="2796540" cy="2111375"/>
                  <wp:effectExtent l="0" t="0" r="3810" b="3175"/>
                  <wp:docPr id="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2"/>
                          <pic:cNvPicPr>
                            <a:picLocks noChangeAspect="1"/>
                          </pic:cNvPicPr>
                        </pic:nvPicPr>
                        <pic:blipFill>
                          <a:blip r:embed="rId46"/>
                          <a:stretch>
                            <a:fillRect/>
                          </a:stretch>
                        </pic:blipFill>
                        <pic:spPr>
                          <a:xfrm>
                            <a:off x="0" y="0"/>
                            <a:ext cx="2796540" cy="2111375"/>
                          </a:xfrm>
                          <a:prstGeom prst="rect">
                            <a:avLst/>
                          </a:prstGeom>
                          <a:noFill/>
                          <a:ln>
                            <a:noFill/>
                          </a:ln>
                        </pic:spPr>
                      </pic:pic>
                    </a:graphicData>
                  </a:graphic>
                </wp:inline>
              </w:drawing>
            </w:r>
          </w:p>
        </w:tc>
      </w:tr>
      <w:tr w14:paraId="7428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2" w:type="pct"/>
          </w:tcPr>
          <w:p w14:paraId="57F521CD">
            <w:pPr>
              <w:keepNext w:val="0"/>
              <w:keepLines w:val="0"/>
              <w:suppressLineNumbers w:val="0"/>
              <w:spacing w:before="196" w:beforeAutospacing="0" w:after="0" w:afterAutospacing="0" w:line="219" w:lineRule="auto"/>
              <w:ind w:left="0" w:right="0"/>
              <w:jc w:val="center"/>
              <w:rPr>
                <w:rFonts w:hint="eastAsia"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kern w:val="2"/>
                <w:sz w:val="21"/>
                <w:szCs w:val="21"/>
                <w:u w:val="none"/>
                <w:lang w:val="en-US" w:eastAsia="zh-CN" w:bidi="ar-SA"/>
              </w:rPr>
              <w:t>(c)带桩帽、边梁和连系梁的桩基础</w:t>
            </w:r>
          </w:p>
        </w:tc>
        <w:tc>
          <w:tcPr>
            <w:tcW w:w="2667" w:type="pct"/>
          </w:tcPr>
          <w:p w14:paraId="496EFA00">
            <w:pPr>
              <w:keepNext w:val="0"/>
              <w:keepLines w:val="0"/>
              <w:suppressLineNumbers w:val="0"/>
              <w:spacing w:before="196" w:beforeAutospacing="0" w:after="0" w:afterAutospacing="0" w:line="219" w:lineRule="auto"/>
              <w:ind w:left="0" w:right="0"/>
              <w:jc w:val="center"/>
              <w:rPr>
                <w:rFonts w:hint="eastAsia"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kern w:val="2"/>
                <w:sz w:val="21"/>
                <w:szCs w:val="21"/>
                <w:u w:val="none"/>
                <w:lang w:val="en-US" w:eastAsia="zh-CN" w:bidi="ar-SA"/>
              </w:rPr>
              <w:t>(d)独立基础</w:t>
            </w:r>
          </w:p>
        </w:tc>
      </w:tr>
      <w:tr w14:paraId="1086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tcPr>
          <w:p w14:paraId="379E9232">
            <w:pPr>
              <w:pStyle w:val="43"/>
              <w:keepNext w:val="0"/>
              <w:keepLines w:val="0"/>
              <w:suppressLineNumbers w:val="0"/>
              <w:bidi w:val="0"/>
              <w:spacing w:before="0" w:beforeAutospacing="0" w:after="0" w:afterAutospacing="0"/>
              <w:ind w:left="0" w:right="0"/>
              <w:jc w:val="center"/>
              <w:rPr>
                <w:rFonts w:hint="eastAsia" w:ascii="宋体" w:hAnsi="宋体" w:cs="宋体"/>
                <w:spacing w:val="7"/>
                <w:szCs w:val="20"/>
                <w:vertAlign w:val="baseline"/>
                <w:lang w:eastAsia="zh-CN"/>
              </w:rPr>
            </w:pPr>
            <w:r>
              <w:rPr>
                <w:rFonts w:hint="default"/>
                <w:szCs w:val="20"/>
              </w:rPr>
              <w:t>图5</w:t>
            </w:r>
            <w:r>
              <w:rPr>
                <w:rFonts w:hint="eastAsia"/>
                <w:szCs w:val="20"/>
                <w:lang w:val="en-US" w:eastAsia="zh-CN"/>
              </w:rPr>
              <w:t>.5</w:t>
            </w:r>
            <w:r>
              <w:rPr>
                <w:rFonts w:hint="default"/>
                <w:szCs w:val="20"/>
              </w:rPr>
              <w:t>.2 模块化</w:t>
            </w:r>
            <w:r>
              <w:rPr>
                <w:rFonts w:hint="eastAsia"/>
                <w:szCs w:val="20"/>
                <w:lang w:val="en-US" w:eastAsia="zh-CN"/>
              </w:rPr>
              <w:t>钢结构</w:t>
            </w:r>
            <w:r>
              <w:rPr>
                <w:rFonts w:hint="default"/>
                <w:szCs w:val="20"/>
              </w:rPr>
              <w:t>房屋可选择的基础类型(二)</w:t>
            </w:r>
          </w:p>
        </w:tc>
      </w:tr>
    </w:tbl>
    <w:p w14:paraId="6BE067BD">
      <w:pPr>
        <w:numPr>
          <w:ilvl w:val="0"/>
          <w:numId w:val="27"/>
        </w:numPr>
        <w:bidi w:val="0"/>
        <w:ind w:left="0" w:leftChars="0" w:firstLine="0" w:firstLineChars="0"/>
        <w:rPr>
          <w:rFonts w:ascii="Times New Roman" w:hAnsi="Times New Roman" w:eastAsia="宋体" w:cs="Times New Roman"/>
          <w:lang w:eastAsia="zh-CN"/>
        </w:rPr>
      </w:pPr>
      <w:r>
        <w:rPr>
          <w:rFonts w:ascii="宋体" w:hAnsi="宋体" w:eastAsia="宋体" w:cs="宋体"/>
          <w:spacing w:val="4"/>
        </w:rPr>
        <w:t>单层</w:t>
      </w:r>
      <w:r>
        <w:rPr>
          <w:rFonts w:ascii="Times New Roman" w:hAnsi="Times New Roman" w:eastAsia="宋体" w:cs="Times New Roman"/>
          <w:spacing w:val="0"/>
        </w:rPr>
        <w:t>模块化</w:t>
      </w:r>
      <w:r>
        <w:rPr>
          <w:rFonts w:hint="eastAsia" w:cs="Times New Roman"/>
          <w:spacing w:val="0"/>
          <w:lang w:val="en-US" w:eastAsia="zh-CN"/>
        </w:rPr>
        <w:t>钢结构</w:t>
      </w:r>
      <w:r>
        <w:rPr>
          <w:rFonts w:ascii="宋体" w:hAnsi="宋体" w:eastAsia="宋体" w:cs="宋体"/>
          <w:spacing w:val="4"/>
        </w:rPr>
        <w:t>房屋的地基土满足承载力要求且无地表水滞</w:t>
      </w:r>
      <w:r>
        <w:rPr>
          <w:rFonts w:ascii="宋体" w:hAnsi="宋体" w:eastAsia="宋体" w:cs="宋体"/>
          <w:spacing w:val="-1"/>
        </w:rPr>
        <w:t>留时，可将模块底地基土夯实、找平后，以素混凝土基墩支承模块。多个模块叠置荷载较大时，模块底部四角可用角件底座与基</w:t>
      </w:r>
      <w:r>
        <w:rPr>
          <w:rFonts w:ascii="宋体" w:hAnsi="宋体" w:eastAsia="宋体" w:cs="宋体"/>
          <w:spacing w:val="-8"/>
        </w:rPr>
        <w:t>础连接。</w:t>
      </w:r>
    </w:p>
    <w:p w14:paraId="4A94B250">
      <w:pPr>
        <w:widowControl w:val="0"/>
        <w:numPr>
          <w:ilvl w:val="0"/>
          <w:numId w:val="0"/>
        </w:numPr>
        <w:bidi w:val="0"/>
        <w:spacing w:line="400" w:lineRule="exact"/>
        <w:ind w:leftChars="0"/>
        <w:jc w:val="both"/>
        <w:rPr>
          <w:rFonts w:ascii="等线" w:hAnsi="等线" w:eastAsia="等线" w:cs="Times New Roman"/>
          <w:kern w:val="2"/>
          <w:sz w:val="24"/>
          <w:lang w:val="en-US" w:eastAsia="zh-CN" w:bidi="ar-SA"/>
        </w:rPr>
      </w:pPr>
      <w:r>
        <w:rPr>
          <w:rFonts w:hint="eastAsia" w:ascii="Times New Roman" w:hAnsi="Times New Roman" w:eastAsia="楷体" w:cs="Times New Roman"/>
          <w:b/>
          <w:bCs/>
          <w:kern w:val="2"/>
          <w:sz w:val="24"/>
          <w:u w:val="single"/>
          <w:lang w:val="en-US" w:eastAsia="zh-CN" w:bidi="ar-SA"/>
        </w:rPr>
        <w:t>【条文说明】</w:t>
      </w:r>
      <w:r>
        <w:rPr>
          <w:rFonts w:hint="eastAsia" w:ascii="Times New Roman" w:hAnsi="Times New Roman" w:eastAsia="楷体" w:cs="Times New Roman"/>
          <w:kern w:val="2"/>
          <w:sz w:val="24"/>
          <w:u w:val="single"/>
          <w:lang w:val="en-US" w:eastAsia="zh-CN" w:bidi="ar-SA"/>
        </w:rPr>
        <w:t>本条提出了单层模块化</w:t>
      </w:r>
      <w:r>
        <w:rPr>
          <w:rFonts w:hint="eastAsia" w:eastAsia="楷体" w:cs="Times New Roman"/>
          <w:kern w:val="2"/>
          <w:sz w:val="24"/>
          <w:u w:val="single"/>
          <w:lang w:val="en-US" w:eastAsia="zh-CN" w:bidi="ar-SA"/>
        </w:rPr>
        <w:t>钢结构</w:t>
      </w:r>
      <w:r>
        <w:rPr>
          <w:rFonts w:hint="eastAsia" w:ascii="Times New Roman" w:hAnsi="Times New Roman" w:eastAsia="楷体" w:cs="Times New Roman"/>
          <w:kern w:val="2"/>
          <w:sz w:val="24"/>
          <w:u w:val="single"/>
          <w:lang w:val="en-US" w:eastAsia="zh-CN" w:bidi="ar-SA"/>
        </w:rPr>
        <w:t>房屋基础的简便做法，对处理过的固结场地，有可靠经验时，也可用于3层及其以下的模块化钢结构房屋的基础。</w:t>
      </w:r>
    </w:p>
    <w:p w14:paraId="17872BE3">
      <w:pPr>
        <w:numPr>
          <w:ilvl w:val="0"/>
          <w:numId w:val="27"/>
        </w:numPr>
        <w:bidi w:val="0"/>
        <w:ind w:left="0" w:leftChars="0" w:firstLine="0" w:firstLineChars="0"/>
        <w:rPr>
          <w:rFonts w:hint="eastAsia" w:ascii="宋体" w:hAnsi="宋体" w:eastAsia="宋体" w:cs="宋体"/>
          <w:spacing w:val="4"/>
          <w:lang w:eastAsia="zh-CN"/>
        </w:rPr>
      </w:pPr>
      <w:r>
        <w:rPr>
          <w:rFonts w:hint="eastAsia" w:ascii="宋体" w:hAnsi="宋体" w:eastAsia="宋体" w:cs="宋体"/>
          <w:spacing w:val="4"/>
          <w:lang w:eastAsia="zh-CN"/>
        </w:rPr>
        <w:t>首层模块单元底面应高出室外地面，地下室顶板或基础上部应设置预埋件与模块单元可靠连接，预埋件宜用混凝土包裹，包裹层厚度不应小于100mm。无地下室的模块建筑，底层模块单元应架空设置，</w:t>
      </w:r>
      <w:r>
        <w:rPr>
          <w:rFonts w:ascii="宋体" w:hAnsi="宋体" w:eastAsia="宋体" w:cs="宋体"/>
          <w:spacing w:val="4"/>
          <w:lang w:eastAsia="zh-CN"/>
        </w:rPr>
        <w:t>模块以下沿模块周边应</w:t>
      </w:r>
      <w:r>
        <w:rPr>
          <w:rFonts w:hint="eastAsia" w:ascii="宋体" w:hAnsi="宋体" w:eastAsia="宋体" w:cs="宋体"/>
          <w:spacing w:val="4"/>
          <w:lang w:val="en-US" w:eastAsia="zh-CN"/>
        </w:rPr>
        <w:t>用</w:t>
      </w:r>
      <w:r>
        <w:rPr>
          <w:rFonts w:ascii="宋体" w:hAnsi="宋体" w:eastAsia="宋体" w:cs="宋体"/>
          <w:spacing w:val="4"/>
          <w:lang w:eastAsia="zh-CN"/>
        </w:rPr>
        <w:t>砌体封堵</w:t>
      </w:r>
      <w:r>
        <w:rPr>
          <w:rFonts w:hint="eastAsia" w:ascii="宋体" w:hAnsi="宋体" w:eastAsia="宋体" w:cs="宋体"/>
          <w:spacing w:val="4"/>
          <w:lang w:eastAsia="zh-CN"/>
        </w:rPr>
        <w:t>。</w:t>
      </w:r>
    </w:p>
    <w:p w14:paraId="67701DDF">
      <w:pPr>
        <w:widowControl w:val="0"/>
        <w:numPr>
          <w:ilvl w:val="0"/>
          <w:numId w:val="0"/>
        </w:numPr>
        <w:bidi w:val="0"/>
        <w:spacing w:line="400" w:lineRule="exact"/>
        <w:ind w:leftChars="0"/>
        <w:jc w:val="both"/>
        <w:rPr>
          <w:rFonts w:hint="eastAsia" w:ascii="Times New Roman" w:hAnsi="Times New Roman" w:eastAsia="楷体" w:cs="Times New Roman"/>
          <w:kern w:val="2"/>
          <w:sz w:val="24"/>
          <w:u w:val="single"/>
          <w:lang w:val="en-US" w:eastAsia="zh-CN" w:bidi="ar-SA"/>
        </w:rPr>
      </w:pPr>
      <w:r>
        <w:rPr>
          <w:rFonts w:hint="eastAsia" w:ascii="Times New Roman" w:hAnsi="Times New Roman" w:eastAsia="楷体" w:cs="Times New Roman"/>
          <w:b/>
          <w:bCs/>
          <w:kern w:val="2"/>
          <w:sz w:val="24"/>
          <w:u w:val="single"/>
          <w:lang w:val="en-US" w:eastAsia="zh-CN" w:bidi="ar-SA"/>
        </w:rPr>
        <w:t>【条文说明】</w:t>
      </w:r>
      <w:r>
        <w:rPr>
          <w:rFonts w:hint="eastAsia" w:ascii="Times New Roman" w:hAnsi="Times New Roman" w:eastAsia="楷体" w:cs="Times New Roman"/>
          <w:kern w:val="2"/>
          <w:sz w:val="24"/>
          <w:u w:val="single"/>
          <w:lang w:val="en-US" w:eastAsia="zh-CN" w:bidi="ar-SA"/>
        </w:rPr>
        <w:t>由于防腐蚀要求，</w:t>
      </w:r>
      <w:r>
        <w:rPr>
          <w:rFonts w:hint="eastAsia" w:eastAsia="楷体" w:cs="Times New Roman"/>
          <w:kern w:val="2"/>
          <w:sz w:val="24"/>
          <w:u w:val="single"/>
          <w:lang w:val="en-US" w:eastAsia="zh-CN" w:bidi="ar-SA"/>
        </w:rPr>
        <w:t>模块化钢结</w:t>
      </w:r>
      <w:r>
        <w:rPr>
          <w:rFonts w:hint="eastAsia" w:eastAsia="楷体" w:cs="Times New Roman"/>
          <w:color w:val="auto"/>
          <w:kern w:val="2"/>
          <w:sz w:val="24"/>
          <w:u w:val="single"/>
          <w:lang w:val="en-US" w:eastAsia="zh-CN" w:bidi="ar-SA"/>
        </w:rPr>
        <w:t>构</w:t>
      </w:r>
      <w:r>
        <w:rPr>
          <w:rFonts w:hint="eastAsia" w:ascii="Times New Roman" w:hAnsi="Times New Roman" w:eastAsia="楷体" w:cs="Times New Roman"/>
          <w:color w:val="auto"/>
          <w:kern w:val="2"/>
          <w:sz w:val="24"/>
          <w:u w:val="single"/>
          <w:lang w:val="en-US" w:eastAsia="zh-CN" w:bidi="ar-SA"/>
        </w:rPr>
        <w:t>房屋应高出室外地面，建议将底层箱体周边封堵是避免模块底部进杂物或动物集聚，架空模块底部空间的围护构造可参见《集装箱模块化组合房屋技术规程》CECS334:2013第5.4.1条。</w:t>
      </w:r>
    </w:p>
    <w:p w14:paraId="765CF476">
      <w:pPr>
        <w:numPr>
          <w:ilvl w:val="0"/>
          <w:numId w:val="27"/>
        </w:numPr>
        <w:bidi w:val="0"/>
        <w:ind w:left="0" w:leftChars="0" w:firstLine="0" w:firstLineChars="0"/>
        <w:rPr>
          <w:rFonts w:hint="eastAsia"/>
          <w:lang w:eastAsia="zh-CN"/>
        </w:rPr>
      </w:pPr>
      <w:r>
        <w:rPr>
          <w:lang w:eastAsia="zh-CN"/>
        </w:rPr>
        <w:t>当保证基础或者</w:t>
      </w:r>
      <w:r>
        <w:rPr>
          <w:color w:val="auto"/>
          <w:lang w:eastAsia="zh-CN"/>
        </w:rPr>
        <w:t>地梁的水准时，可对基础</w:t>
      </w:r>
      <w:r>
        <w:rPr>
          <w:lang w:eastAsia="zh-CN"/>
        </w:rPr>
        <w:t>或模块单元的底部竖向进行20mm内的调整。</w:t>
      </w:r>
    </w:p>
    <w:p w14:paraId="315771ED">
      <w:pPr>
        <w:pStyle w:val="45"/>
        <w:numPr>
          <w:ilvl w:val="0"/>
          <w:numId w:val="0"/>
        </w:numPr>
        <w:bidi w:val="0"/>
        <w:ind w:leftChars="0"/>
        <w:rPr>
          <w:rFonts w:hint="default"/>
          <w:lang w:eastAsia="zh-CN"/>
        </w:rPr>
      </w:pPr>
    </w:p>
    <w:p w14:paraId="1B60C0DA">
      <w:pPr>
        <w:pStyle w:val="45"/>
        <w:numPr>
          <w:ilvl w:val="0"/>
          <w:numId w:val="0"/>
        </w:numPr>
        <w:bidi w:val="0"/>
        <w:ind w:leftChars="0"/>
        <w:rPr>
          <w:lang w:eastAsia="zh-CN"/>
        </w:rPr>
      </w:pPr>
    </w:p>
    <w:p w14:paraId="6249C358">
      <w:pPr>
        <w:pStyle w:val="3"/>
        <w:bidi w:val="0"/>
        <w:rPr>
          <w:rFonts w:hint="eastAsia"/>
          <w:color w:val="auto"/>
          <w:lang w:val="en-US" w:eastAsia="zh-CN"/>
        </w:rPr>
      </w:pPr>
      <w:bookmarkStart w:id="34" w:name="_Toc24098"/>
      <w:r>
        <w:rPr>
          <w:rFonts w:hint="eastAsia"/>
          <w:color w:val="auto"/>
          <w:lang w:val="en-US" w:eastAsia="zh-CN"/>
        </w:rPr>
        <w:t>5.6连接与构造</w:t>
      </w:r>
      <w:bookmarkEnd w:id="34"/>
    </w:p>
    <w:p w14:paraId="031F9AB9">
      <w:pPr>
        <w:numPr>
          <w:ilvl w:val="0"/>
          <w:numId w:val="28"/>
        </w:numPr>
        <w:bidi w:val="0"/>
        <w:ind w:left="0" w:leftChars="0" w:firstLine="0" w:firstLineChars="0"/>
        <w:rPr>
          <w:color w:val="auto"/>
          <w:lang w:eastAsia="zh-CN"/>
        </w:rPr>
      </w:pPr>
      <w:r>
        <w:rPr>
          <w:lang w:eastAsia="zh-CN"/>
        </w:rPr>
        <w:t>连接可分为三种：模块单元内部构件间连接、模块单元间结构连接、模块单元与外部支承结构的连</w:t>
      </w:r>
      <w:r>
        <w:rPr>
          <w:color w:val="auto"/>
          <w:lang w:eastAsia="zh-CN"/>
        </w:rPr>
        <w:t>接。</w:t>
      </w:r>
      <w:r>
        <w:rPr>
          <w:rFonts w:hint="eastAsia"/>
          <w:color w:val="auto"/>
          <w:lang w:eastAsia="zh-CN"/>
        </w:rPr>
        <w:t>其中，模块单元间的连接可分为竖直方向上相邻模块间的连接和水平方向上相邻模块间的连接。</w:t>
      </w:r>
    </w:p>
    <w:p w14:paraId="3EF7DE71">
      <w:pPr>
        <w:numPr>
          <w:ilvl w:val="0"/>
          <w:numId w:val="28"/>
        </w:numPr>
        <w:bidi w:val="0"/>
        <w:ind w:left="0" w:leftChars="0" w:firstLine="0" w:firstLineChars="0"/>
        <w:rPr>
          <w:color w:val="auto"/>
          <w:lang w:eastAsia="zh-CN"/>
        </w:rPr>
      </w:pPr>
      <w:r>
        <w:rPr>
          <w:color w:val="auto"/>
          <w:lang w:eastAsia="zh-CN"/>
        </w:rPr>
        <w:t>连接</w:t>
      </w:r>
      <w:r>
        <w:rPr>
          <w:rFonts w:hint="eastAsia"/>
          <w:color w:val="auto"/>
          <w:lang w:val="en-US" w:eastAsia="zh-CN"/>
        </w:rPr>
        <w:t>节点</w:t>
      </w:r>
      <w:r>
        <w:rPr>
          <w:color w:val="auto"/>
          <w:lang w:eastAsia="zh-CN"/>
        </w:rPr>
        <w:t>的计算和构造应符合《钢结构设计标准》GB 50017 和《</w:t>
      </w:r>
      <w:r>
        <w:rPr>
          <w:rFonts w:hint="eastAsia"/>
          <w:color w:val="auto"/>
          <w:lang w:eastAsia="zh-CN"/>
        </w:rPr>
        <w:t>建筑抗震设计标准</w:t>
      </w:r>
      <w:r>
        <w:rPr>
          <w:color w:val="auto"/>
          <w:lang w:eastAsia="zh-CN"/>
        </w:rPr>
        <w:t>》GB 50011</w:t>
      </w:r>
      <w:r>
        <w:rPr>
          <w:rFonts w:hint="eastAsia"/>
          <w:color w:val="auto"/>
          <w:lang w:val="en-US" w:eastAsia="zh-CN"/>
        </w:rPr>
        <w:t>等国家现行有关标准</w:t>
      </w:r>
      <w:r>
        <w:rPr>
          <w:color w:val="auto"/>
          <w:lang w:eastAsia="zh-CN"/>
        </w:rPr>
        <w:t>的规定。连接节点应</w:t>
      </w:r>
      <w:r>
        <w:rPr>
          <w:rFonts w:hint="eastAsia"/>
          <w:color w:val="auto"/>
          <w:lang w:val="en-US" w:eastAsia="zh-CN"/>
        </w:rPr>
        <w:t>安全可靠、</w:t>
      </w:r>
      <w:r>
        <w:rPr>
          <w:color w:val="auto"/>
          <w:lang w:eastAsia="zh-CN"/>
        </w:rPr>
        <w:t>构造合理</w:t>
      </w:r>
      <w:r>
        <w:rPr>
          <w:rFonts w:hint="eastAsia"/>
          <w:color w:val="auto"/>
          <w:lang w:eastAsia="zh-CN"/>
        </w:rPr>
        <w:t>、</w:t>
      </w:r>
      <w:r>
        <w:rPr>
          <w:color w:val="auto"/>
          <w:lang w:eastAsia="zh-CN"/>
        </w:rPr>
        <w:t>方便施工</w:t>
      </w:r>
      <w:r>
        <w:rPr>
          <w:rFonts w:hint="eastAsia"/>
          <w:color w:val="auto"/>
          <w:lang w:val="en-US" w:eastAsia="zh-CN"/>
        </w:rPr>
        <w:t>与检测</w:t>
      </w:r>
      <w:r>
        <w:rPr>
          <w:color w:val="auto"/>
          <w:lang w:eastAsia="zh-CN"/>
        </w:rPr>
        <w:t>；同时，</w:t>
      </w:r>
      <w:r>
        <w:rPr>
          <w:rFonts w:hint="eastAsia"/>
          <w:color w:val="auto"/>
          <w:lang w:val="en-US" w:eastAsia="zh-CN"/>
        </w:rPr>
        <w:t>连接</w:t>
      </w:r>
      <w:r>
        <w:rPr>
          <w:color w:val="auto"/>
          <w:lang w:eastAsia="zh-CN"/>
        </w:rPr>
        <w:t>节点应具有必要的延性，不宜产生应力集中和过大的焊接约束应力，并应按</w:t>
      </w:r>
      <w:r>
        <w:rPr>
          <w:rFonts w:hint="eastAsia"/>
          <w:color w:val="auto"/>
          <w:lang w:val="en-US" w:eastAsia="zh-CN"/>
        </w:rPr>
        <w:t>连接</w:t>
      </w:r>
      <w:r>
        <w:rPr>
          <w:color w:val="auto"/>
          <w:lang w:eastAsia="zh-CN"/>
        </w:rPr>
        <w:t>节点强于构件的原则设计</w:t>
      </w:r>
      <w:r>
        <w:rPr>
          <w:rFonts w:hint="eastAsia"/>
          <w:color w:val="auto"/>
          <w:lang w:eastAsia="zh-CN"/>
        </w:rPr>
        <w:t>。</w:t>
      </w:r>
    </w:p>
    <w:p w14:paraId="1F7913E9">
      <w:pPr>
        <w:numPr>
          <w:ilvl w:val="0"/>
          <w:numId w:val="28"/>
        </w:numPr>
        <w:bidi w:val="0"/>
        <w:ind w:left="0" w:leftChars="0" w:firstLine="0" w:firstLineChars="0"/>
        <w:rPr>
          <w:lang w:val="en-US" w:eastAsia="zh-CN"/>
        </w:rPr>
      </w:pPr>
      <w:r>
        <w:rPr>
          <w:lang w:val="en-US" w:eastAsia="zh-CN"/>
        </w:rPr>
        <w:t>重要构件或节点连接的熔透焊缝不应低于</w:t>
      </w:r>
      <w:r>
        <w:rPr>
          <w:rFonts w:hint="eastAsia"/>
          <w:lang w:val="en-US" w:eastAsia="zh-CN"/>
        </w:rPr>
        <w:t>一</w:t>
      </w:r>
      <w:r>
        <w:rPr>
          <w:lang w:val="en-US" w:eastAsia="zh-CN"/>
        </w:rPr>
        <w:t>级质量等级要求；角焊缝质量应符合外观检查二级焊缝的要求。</w:t>
      </w:r>
    </w:p>
    <w:p w14:paraId="23995CA9">
      <w:pPr>
        <w:numPr>
          <w:ilvl w:val="0"/>
          <w:numId w:val="28"/>
        </w:numPr>
        <w:bidi w:val="0"/>
        <w:ind w:left="0" w:leftChars="0" w:firstLine="0" w:firstLineChars="0"/>
        <w:rPr>
          <w:rFonts w:hint="default"/>
          <w:lang w:val="en-US" w:eastAsia="zh-CN"/>
        </w:rPr>
      </w:pPr>
      <w:r>
        <w:rPr>
          <w:rFonts w:hint="default"/>
          <w:lang w:val="en-US" w:eastAsia="zh-CN"/>
        </w:rPr>
        <w:t>模块单元的现场连接构造应有施拧或施焊的作业空间和便于调整的安装定位措施。</w:t>
      </w:r>
    </w:p>
    <w:p w14:paraId="2314497F">
      <w:pPr>
        <w:pStyle w:val="45"/>
        <w:numPr>
          <w:ilvl w:val="0"/>
          <w:numId w:val="0"/>
        </w:numPr>
        <w:tabs>
          <w:tab w:val="clear" w:pos="420"/>
        </w:tabs>
        <w:bidi w:val="0"/>
        <w:ind w:leftChars="0"/>
        <w:rPr>
          <w:rFonts w:hint="default"/>
          <w:lang w:eastAsia="zh-CN"/>
        </w:rPr>
      </w:pPr>
      <w:r>
        <w:rPr>
          <w:rFonts w:hint="eastAsia"/>
          <w:b/>
          <w:bCs/>
          <w:lang w:eastAsia="zh-CN"/>
        </w:rPr>
        <w:t>【</w:t>
      </w:r>
      <w:r>
        <w:rPr>
          <w:rFonts w:hint="eastAsia"/>
          <w:b/>
          <w:bCs/>
          <w:lang w:val="en-US" w:eastAsia="zh-CN"/>
        </w:rPr>
        <w:t>条文说明</w:t>
      </w:r>
      <w:r>
        <w:rPr>
          <w:rFonts w:hint="eastAsia"/>
          <w:b/>
          <w:bCs/>
          <w:lang w:eastAsia="zh-CN"/>
        </w:rPr>
        <w:t>】</w:t>
      </w:r>
      <w:r>
        <w:rPr>
          <w:lang w:eastAsia="zh-CN"/>
        </w:rPr>
        <w:t>根据有关标准的规定，并结合模块化钢结构房屋模块和结构的特点，对节点的基本分类、节点设计构造的原则、连接计算要求和焊缝质量等级要求等作出了规定。模块单元内部构件的节点连接在工厂内完成，要求精度高、强度大、耐久性能好。模块单元之间的节点连接在工地现场完成，要求安全可靠、耐久性能好、有容错空间、便于现场快速可靠地施工。</w:t>
      </w:r>
    </w:p>
    <w:p w14:paraId="540D6E56">
      <w:pPr>
        <w:numPr>
          <w:ilvl w:val="0"/>
          <w:numId w:val="28"/>
        </w:numPr>
        <w:bidi w:val="0"/>
        <w:ind w:left="0" w:leftChars="0" w:firstLine="0" w:firstLineChars="0"/>
        <w:rPr>
          <w:lang w:eastAsia="zh-CN"/>
        </w:rPr>
      </w:pPr>
      <w:r>
        <w:rPr>
          <w:lang w:eastAsia="zh-CN"/>
        </w:rPr>
        <w:t>模块单元内部的边梁和角柱间可采用焊接或螺栓连接，节点宜按现行国家标准《钢结构设计标准》GB 50017和《冷弯薄壁型钢结构技术规范》GB 50018的规定进行加强，应保证模块内梁和柱的刚性连接在受力过程中交角不变。</w:t>
      </w:r>
    </w:p>
    <w:p w14:paraId="73191C62">
      <w:pPr>
        <w:widowControl w:val="0"/>
        <w:spacing w:line="279" w:lineRule="auto"/>
        <w:jc w:val="both"/>
        <w:rPr>
          <w:rFonts w:ascii="Times New Roman" w:hAnsi="Times New Roman" w:eastAsia="等线" w:cs="Times New Roman"/>
          <w:b/>
          <w:bCs/>
          <w:kern w:val="2"/>
          <w:sz w:val="18"/>
          <w:szCs w:val="24"/>
          <w:lang w:val="en-US" w:eastAsia="zh-CN" w:bidi="ar-SA"/>
        </w:rPr>
      </w:pPr>
    </w:p>
    <w:p w14:paraId="4F406827">
      <w:pPr>
        <w:pStyle w:val="45"/>
        <w:numPr>
          <w:ilvl w:val="0"/>
          <w:numId w:val="0"/>
        </w:numPr>
        <w:bidi w:val="0"/>
        <w:ind w:leftChars="0"/>
        <w:rPr>
          <w:lang w:eastAsia="zh-CN"/>
        </w:rPr>
      </w:pPr>
      <w:r>
        <w:rPr>
          <w:rFonts w:hint="eastAsia"/>
          <w:b/>
          <w:bCs/>
          <w:lang w:eastAsia="zh-CN"/>
        </w:rPr>
        <w:t>【</w:t>
      </w:r>
      <w:r>
        <w:rPr>
          <w:rFonts w:hint="eastAsia"/>
          <w:b/>
          <w:bCs/>
          <w:lang w:val="en-US" w:eastAsia="zh-CN"/>
        </w:rPr>
        <w:t>条文说明</w:t>
      </w:r>
      <w:r>
        <w:rPr>
          <w:rFonts w:hint="eastAsia"/>
          <w:b/>
          <w:bCs/>
          <w:lang w:eastAsia="zh-CN"/>
        </w:rPr>
        <w:t>】</w:t>
      </w:r>
      <w:r>
        <w:rPr>
          <w:lang w:eastAsia="zh-CN"/>
        </w:rPr>
        <w:t>当边梁和角柱间的连接，可采用板件焊接在角柱上，然后用螺栓和梁连接。对于更深的边梁，这种连接可提供抗弯强度，并且能在低层建筑的开敞式模块中提供稳定性。模块单元一般为工厂内由型钢焊接而成的空间框架。模块单元内部钢结构构件的 连接应满足交通运输、现场安装以及使用过程中的受力要求。为了防止焊缝和螺栓等连接部位开裂引起节点失效，或节点变形过大造成结构内力重分配，应加强模块内部构件间的连接，并使结构受力符合计算简图中的刚接假定，节点传力应顺畅，尽量做到相邻构件的轴线交汇于一点。</w:t>
      </w:r>
    </w:p>
    <w:p w14:paraId="1F7B7B64">
      <w:pPr>
        <w:numPr>
          <w:ilvl w:val="0"/>
          <w:numId w:val="28"/>
        </w:numPr>
        <w:bidi w:val="0"/>
        <w:ind w:left="0" w:leftChars="0" w:firstLine="0" w:firstLineChars="0"/>
        <w:rPr>
          <w:lang w:eastAsia="zh-CN"/>
        </w:rPr>
      </w:pPr>
      <w:r>
        <w:rPr>
          <w:lang w:eastAsia="zh-CN"/>
        </w:rPr>
        <w:t>梁、柱、支撑的主要节点构造和位置，应与建筑设计相协调。在不影响建筑设计的情况下，可在地板梁顶面或顶棚梁底面的梁端处加腋。</w:t>
      </w:r>
    </w:p>
    <w:p w14:paraId="6E880F26">
      <w:pPr>
        <w:pStyle w:val="45"/>
        <w:numPr>
          <w:ilvl w:val="0"/>
          <w:numId w:val="0"/>
        </w:numPr>
        <w:bidi w:val="0"/>
        <w:ind w:leftChars="0"/>
        <w:rPr>
          <w:lang w:eastAsia="zh-CN"/>
        </w:rPr>
      </w:pPr>
      <w:r>
        <w:rPr>
          <w:rFonts w:hint="eastAsia"/>
          <w:b/>
          <w:bCs/>
          <w:lang w:eastAsia="zh-CN"/>
        </w:rPr>
        <w:t>【</w:t>
      </w:r>
      <w:r>
        <w:rPr>
          <w:rFonts w:hint="eastAsia"/>
          <w:b/>
          <w:bCs/>
          <w:lang w:val="en-US" w:eastAsia="zh-CN"/>
        </w:rPr>
        <w:t>条文说明</w:t>
      </w:r>
      <w:r>
        <w:rPr>
          <w:rFonts w:hint="eastAsia"/>
          <w:b/>
          <w:bCs/>
          <w:lang w:eastAsia="zh-CN"/>
        </w:rPr>
        <w:t>】</w:t>
      </w:r>
      <w:r>
        <w:rPr>
          <w:lang w:eastAsia="zh-CN"/>
        </w:rPr>
        <w:t>本条说明节点构造应与建筑设计相协调，且可通过节点加强措施保证梁端节点不发生破坏。</w:t>
      </w:r>
    </w:p>
    <w:p w14:paraId="5488326B">
      <w:pPr>
        <w:numPr>
          <w:ilvl w:val="0"/>
          <w:numId w:val="28"/>
        </w:numPr>
        <w:bidi w:val="0"/>
        <w:ind w:left="0" w:leftChars="0" w:firstLine="0" w:firstLineChars="0"/>
        <w:rPr>
          <w:lang w:eastAsia="zh-CN"/>
        </w:rPr>
      </w:pPr>
      <w:r>
        <w:rPr>
          <w:lang w:eastAsia="zh-CN"/>
        </w:rPr>
        <w:t>梁、柱、支撑等构件的拼接接头，应与构件等强度设计。</w:t>
      </w:r>
    </w:p>
    <w:p w14:paraId="7F1A8255">
      <w:pPr>
        <w:pStyle w:val="45"/>
        <w:numPr>
          <w:ilvl w:val="0"/>
          <w:numId w:val="0"/>
        </w:numPr>
        <w:bidi w:val="0"/>
        <w:ind w:leftChars="0"/>
        <w:rPr>
          <w:lang w:eastAsia="zh-CN"/>
        </w:rPr>
      </w:pPr>
      <w:r>
        <w:rPr>
          <w:rFonts w:hint="eastAsia"/>
          <w:b/>
          <w:bCs/>
          <w:lang w:eastAsia="zh-CN"/>
        </w:rPr>
        <w:t>【</w:t>
      </w:r>
      <w:r>
        <w:rPr>
          <w:rFonts w:hint="eastAsia"/>
          <w:b/>
          <w:bCs/>
          <w:lang w:val="en-US" w:eastAsia="zh-CN"/>
        </w:rPr>
        <w:t>条文说明</w:t>
      </w:r>
      <w:r>
        <w:rPr>
          <w:rFonts w:hint="eastAsia"/>
          <w:b/>
          <w:bCs/>
          <w:lang w:eastAsia="zh-CN"/>
        </w:rPr>
        <w:t>】</w:t>
      </w:r>
      <w:r>
        <w:rPr>
          <w:lang w:eastAsia="zh-CN"/>
        </w:rPr>
        <w:t>本条基于概念设计原则和节点试验对节点的破坏模式进行了规定，根据“强连接弱构件”的原则，模块单元与模块单元、抗侧力结构以及底部框架之间的连接在罕遇地震作用下应不发生屈服。对于模块单元间、模块单元于底部框架的连接，应避免滑移对结构产生的不利影响，多遇地震下不应产生滑移，设防地震下不宜产生滑移；对于模块单元于抗侧力结构的连接，若采用可滑动连接或者滑移耗能型连接来避免抗侧力结构和模块单元间竖向力的传递，在多遇地震下应确保不发生滑移。</w:t>
      </w:r>
    </w:p>
    <w:p w14:paraId="1CBD8A64">
      <w:pPr>
        <w:numPr>
          <w:ilvl w:val="0"/>
          <w:numId w:val="28"/>
        </w:numPr>
        <w:bidi w:val="0"/>
        <w:ind w:left="0" w:leftChars="0" w:firstLine="0" w:firstLineChars="0"/>
        <w:rPr>
          <w:rFonts w:hint="default"/>
          <w:lang w:val="en-US" w:eastAsia="zh-CN"/>
        </w:rPr>
      </w:pPr>
      <w:r>
        <w:rPr>
          <w:rFonts w:hint="default"/>
          <w:lang w:val="en-US" w:eastAsia="zh-CN"/>
        </w:rPr>
        <w:t>结构构件和节点应做到强节点、强连接和防止脆性破坏。应加强模块整体框架和支撑体系的整体性，并增强相邻模块梁间、柱间的连接。</w:t>
      </w:r>
    </w:p>
    <w:p w14:paraId="7F7758B0">
      <w:pPr>
        <w:pStyle w:val="45"/>
        <w:numPr>
          <w:ilvl w:val="0"/>
          <w:numId w:val="0"/>
        </w:numPr>
        <w:bidi w:val="0"/>
        <w:ind w:leftChars="0"/>
        <w:rPr>
          <w:rFonts w:hint="default" w:ascii="Times New Roman" w:hAnsi="Times New Roman" w:eastAsia="宋体" w:cs="Times New Roman"/>
          <w:kern w:val="2"/>
          <w:sz w:val="24"/>
          <w:u w:val="none"/>
          <w:lang w:val="en-US" w:eastAsia="zh-CN" w:bidi="ar-SA"/>
        </w:rPr>
      </w:pPr>
      <w:r>
        <w:rPr>
          <w:rFonts w:hint="eastAsia"/>
          <w:b/>
          <w:bCs/>
          <w:lang w:eastAsia="zh-CN"/>
        </w:rPr>
        <w:t>【</w:t>
      </w:r>
      <w:r>
        <w:rPr>
          <w:rFonts w:hint="eastAsia"/>
          <w:b/>
          <w:bCs/>
          <w:lang w:val="en-US" w:eastAsia="zh-CN"/>
        </w:rPr>
        <w:t>条文说明</w:t>
      </w:r>
      <w:r>
        <w:rPr>
          <w:rFonts w:hint="eastAsia"/>
          <w:b/>
          <w:bCs/>
          <w:lang w:eastAsia="zh-CN"/>
        </w:rPr>
        <w:t>】</w:t>
      </w:r>
      <w:r>
        <w:rPr>
          <w:lang w:eastAsia="zh-CN"/>
        </w:rPr>
        <w:t>加强模块整体框架和支撑体系的整体性，增加相邻模块梁间、柱间的连接，是为了防止结构失稳和倾覆。</w:t>
      </w:r>
    </w:p>
    <w:p w14:paraId="1A6EF620">
      <w:pPr>
        <w:numPr>
          <w:ilvl w:val="0"/>
          <w:numId w:val="28"/>
        </w:numPr>
        <w:bidi w:val="0"/>
        <w:ind w:left="0" w:leftChars="0" w:firstLine="0" w:firstLineChars="0"/>
        <w:rPr>
          <w:rFonts w:hint="default"/>
          <w:lang w:val="en-US" w:eastAsia="zh-CN"/>
        </w:rPr>
      </w:pPr>
      <w:r>
        <w:rPr>
          <w:rFonts w:hint="default"/>
          <w:lang w:val="en-US" w:eastAsia="zh-CN"/>
        </w:rPr>
        <w:t>模块单元间的连接宜采用角件相互连接的构造，其节点连接应保证有可靠的抗剪、抗压与抗拔承载力。</w:t>
      </w:r>
    </w:p>
    <w:p w14:paraId="032E8F7C">
      <w:pPr>
        <w:numPr>
          <w:ilvl w:val="0"/>
          <w:numId w:val="28"/>
        </w:numPr>
        <w:bidi w:val="0"/>
        <w:ind w:left="0" w:leftChars="0" w:firstLine="0" w:firstLineChars="0"/>
        <w:rPr>
          <w:rFonts w:hint="default"/>
          <w:lang w:val="en-US" w:eastAsia="zh-CN"/>
        </w:rPr>
      </w:pPr>
      <w:r>
        <w:rPr>
          <w:rFonts w:hint="default"/>
          <w:lang w:val="en-US" w:eastAsia="zh-CN"/>
        </w:rPr>
        <w:t>模块</w:t>
      </w:r>
      <w:r>
        <w:rPr>
          <w:rFonts w:hint="eastAsia"/>
          <w:lang w:val="en-US" w:eastAsia="zh-CN"/>
        </w:rPr>
        <w:t>单元</w:t>
      </w:r>
      <w:r>
        <w:rPr>
          <w:rFonts w:hint="default"/>
          <w:lang w:val="en-US" w:eastAsia="zh-CN"/>
        </w:rPr>
        <w:t>与</w:t>
      </w:r>
      <w:r>
        <w:rPr>
          <w:rFonts w:hint="eastAsia"/>
          <w:lang w:val="en-US" w:eastAsia="zh-CN"/>
        </w:rPr>
        <w:t>非</w:t>
      </w:r>
      <w:r>
        <w:rPr>
          <w:rFonts w:hint="default"/>
          <w:lang w:val="en-US" w:eastAsia="zh-CN"/>
        </w:rPr>
        <w:t>模块</w:t>
      </w:r>
      <w:r>
        <w:rPr>
          <w:rFonts w:hint="eastAsia"/>
          <w:lang w:val="en-US" w:eastAsia="zh-CN"/>
        </w:rPr>
        <w:t>单元</w:t>
      </w:r>
      <w:r>
        <w:rPr>
          <w:rFonts w:hint="default"/>
          <w:lang w:val="en-US" w:eastAsia="zh-CN"/>
        </w:rPr>
        <w:t>的水平连接宜采用连接件与模块角件连接的构造，其节点连接应为仅考虑水平力传递的构造。</w:t>
      </w:r>
    </w:p>
    <w:p w14:paraId="1357B103">
      <w:pPr>
        <w:numPr>
          <w:ilvl w:val="0"/>
          <w:numId w:val="28"/>
        </w:numPr>
        <w:bidi w:val="0"/>
        <w:ind w:left="0" w:leftChars="0" w:firstLine="0" w:firstLineChars="0"/>
        <w:rPr>
          <w:rFonts w:hint="default"/>
          <w:lang w:val="en-US" w:eastAsia="zh-CN"/>
        </w:rPr>
      </w:pPr>
      <w:r>
        <w:rPr>
          <w:rFonts w:hint="default"/>
          <w:lang w:val="en-US" w:eastAsia="zh-CN"/>
        </w:rPr>
        <w:t>模块单元间的连接宜考虑下列规定：</w:t>
      </w:r>
    </w:p>
    <w:p w14:paraId="55C12561">
      <w:pPr>
        <w:keepNext w:val="0"/>
        <w:keepLines w:val="0"/>
        <w:pageBreakBefore w:val="0"/>
        <w:widowControl w:val="0"/>
        <w:kinsoku/>
        <w:wordWrap/>
        <w:overflowPunct/>
        <w:topLinePunct w:val="0"/>
        <w:autoSpaceDE/>
        <w:autoSpaceDN/>
        <w:bidi w:val="0"/>
        <w:adjustRightInd/>
        <w:snapToGrid/>
        <w:spacing w:before="59" w:line="219" w:lineRule="auto"/>
        <w:ind w:firstLine="480" w:firstLineChars="200"/>
        <w:textAlignment w:val="auto"/>
        <w:rPr>
          <w:rFonts w:hint="default" w:ascii="Times New Roman" w:hAnsi="Times New Roman" w:eastAsia="宋体" w:cs="Times New Roman"/>
          <w:kern w:val="2"/>
          <w:sz w:val="24"/>
          <w:u w:val="none"/>
          <w:lang w:val="en-US" w:eastAsia="zh-CN" w:bidi="ar-SA"/>
        </w:rPr>
      </w:pPr>
      <w:r>
        <w:rPr>
          <w:rFonts w:hint="default" w:ascii="Times New Roman" w:hAnsi="Times New Roman" w:eastAsia="宋体" w:cs="Times New Roman"/>
          <w:kern w:val="2"/>
          <w:sz w:val="24"/>
          <w:u w:val="none"/>
          <w:lang w:val="en-US" w:eastAsia="zh-CN" w:bidi="ar-SA"/>
        </w:rPr>
        <w:t>1 模块建筑结构、设备、管道线路、保温层、内外装修的完成度，并确保现场为焊接、螺栓连接、铆接施工提供足够的施工空间、安全保护。</w:t>
      </w:r>
    </w:p>
    <w:p w14:paraId="0AC4FCC4">
      <w:pPr>
        <w:keepNext w:val="0"/>
        <w:keepLines w:val="0"/>
        <w:pageBreakBefore w:val="0"/>
        <w:widowControl w:val="0"/>
        <w:kinsoku/>
        <w:wordWrap/>
        <w:overflowPunct/>
        <w:topLinePunct w:val="0"/>
        <w:autoSpaceDE/>
        <w:autoSpaceDN/>
        <w:bidi w:val="0"/>
        <w:adjustRightInd/>
        <w:snapToGrid/>
        <w:spacing w:before="68" w:line="276" w:lineRule="auto"/>
        <w:ind w:firstLine="480" w:firstLineChars="200"/>
        <w:textAlignment w:val="auto"/>
        <w:rPr>
          <w:rFonts w:hint="default" w:ascii="Times New Roman" w:hAnsi="Times New Roman" w:eastAsia="宋体" w:cs="Times New Roman"/>
          <w:kern w:val="2"/>
          <w:sz w:val="24"/>
          <w:u w:val="none"/>
          <w:lang w:val="en-US" w:eastAsia="zh-CN" w:bidi="ar-SA"/>
        </w:rPr>
      </w:pPr>
      <w:r>
        <w:rPr>
          <w:rFonts w:hint="default" w:ascii="Times New Roman" w:hAnsi="Times New Roman" w:eastAsia="宋体" w:cs="Times New Roman"/>
          <w:kern w:val="2"/>
          <w:sz w:val="24"/>
          <w:u w:val="none"/>
          <w:lang w:val="en-US" w:eastAsia="zh-CN" w:bidi="ar-SA"/>
        </w:rPr>
        <w:t>2 连接完成后结构节点的封闭、保护、检修、更换等操作空间 。</w:t>
      </w:r>
    </w:p>
    <w:p w14:paraId="2ADA7CC9">
      <w:pPr>
        <w:pStyle w:val="45"/>
        <w:numPr>
          <w:ilvl w:val="0"/>
          <w:numId w:val="0"/>
        </w:numPr>
        <w:bidi w:val="0"/>
        <w:ind w:leftChars="0"/>
        <w:rPr>
          <w:rFonts w:hint="default" w:ascii="Times New Roman" w:hAnsi="Times New Roman" w:eastAsia="宋体" w:cs="Times New Roman"/>
          <w:kern w:val="2"/>
          <w:sz w:val="24"/>
          <w:u w:val="none"/>
          <w:lang w:val="en-US" w:eastAsia="zh-CN" w:bidi="ar-SA"/>
        </w:rPr>
      </w:pPr>
      <w:r>
        <w:rPr>
          <w:rFonts w:hint="eastAsia"/>
          <w:b/>
          <w:bCs/>
          <w:lang w:eastAsia="zh-CN"/>
        </w:rPr>
        <w:t>【</w:t>
      </w:r>
      <w:r>
        <w:rPr>
          <w:rFonts w:hint="eastAsia"/>
          <w:b/>
          <w:bCs/>
          <w:lang w:val="en-US" w:eastAsia="zh-CN"/>
        </w:rPr>
        <w:t>条文说明</w:t>
      </w:r>
      <w:r>
        <w:rPr>
          <w:rFonts w:hint="eastAsia"/>
          <w:b/>
          <w:bCs/>
          <w:lang w:eastAsia="zh-CN"/>
        </w:rPr>
        <w:t>】</w:t>
      </w:r>
      <w:r>
        <w:rPr>
          <w:lang w:eastAsia="zh-CN"/>
        </w:rPr>
        <w:t>本条说明模块单元间的连接除了满足受力要求以外，还应考虑建筑使用要求，如室内环境、建筑设备、环保与节能、建筑防火与防腐等；以及现场安装和维护检修的简单便捷；防止积水、积尘，采取有效的防腐、防火措施。</w:t>
      </w:r>
    </w:p>
    <w:p w14:paraId="07ED7FDB">
      <w:pPr>
        <w:numPr>
          <w:ilvl w:val="0"/>
          <w:numId w:val="28"/>
        </w:numPr>
        <w:bidi w:val="0"/>
        <w:ind w:left="0" w:leftChars="0" w:firstLine="0" w:firstLineChars="0"/>
        <w:rPr>
          <w:rFonts w:hint="default"/>
          <w:lang w:val="en-US" w:eastAsia="zh-CN"/>
        </w:rPr>
      </w:pPr>
      <w:r>
        <w:rPr>
          <w:rFonts w:hint="default"/>
          <w:lang w:val="en-US" w:eastAsia="zh-CN"/>
        </w:rPr>
        <w:t>模块单元应在其四个角部进行水平和竖直连接，可采用盖板螺栓连接、平板扦销连接、模块预应力连接等三类节点构造，并应根据整体结构抗侧刚度需要选择铰接或刚接节点。</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9"/>
      </w:tblGrid>
      <w:tr w14:paraId="4D85D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9" w:type="dxa"/>
          </w:tcPr>
          <w:p w14:paraId="465D06A4">
            <w:pPr>
              <w:keepNext w:val="0"/>
              <w:keepLines w:val="0"/>
              <w:suppressLineNumbers w:val="0"/>
              <w:spacing w:before="68" w:beforeAutospacing="0" w:after="0" w:afterAutospacing="0" w:line="275" w:lineRule="auto"/>
              <w:ind w:left="0" w:right="0"/>
              <w:jc w:val="center"/>
              <w:rPr>
                <w:rFonts w:hint="eastAsia" w:ascii="Times New Roman" w:hAnsi="Times New Roman" w:eastAsia="楷体" w:cs="Times New Roman"/>
                <w:kern w:val="2"/>
                <w:sz w:val="24"/>
                <w:szCs w:val="20"/>
                <w:u w:val="single"/>
                <w:vertAlign w:val="baseline"/>
                <w:lang w:val="en-US" w:eastAsia="zh-CN" w:bidi="ar-SA"/>
              </w:rPr>
            </w:pPr>
            <w:r>
              <w:rPr>
                <w:rFonts w:hint="default"/>
                <w:szCs w:val="20"/>
              </w:rPr>
              <w:drawing>
                <wp:inline distT="0" distB="0" distL="114300" distR="114300">
                  <wp:extent cx="2652395" cy="2802890"/>
                  <wp:effectExtent l="0" t="0" r="14605" b="1651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47"/>
                          <a:stretch>
                            <a:fillRect/>
                          </a:stretch>
                        </pic:blipFill>
                        <pic:spPr>
                          <a:xfrm>
                            <a:off x="0" y="0"/>
                            <a:ext cx="2652395" cy="2802890"/>
                          </a:xfrm>
                          <a:prstGeom prst="rect">
                            <a:avLst/>
                          </a:prstGeom>
                          <a:noFill/>
                          <a:ln>
                            <a:noFill/>
                          </a:ln>
                        </pic:spPr>
                      </pic:pic>
                    </a:graphicData>
                  </a:graphic>
                </wp:inline>
              </w:drawing>
            </w:r>
          </w:p>
        </w:tc>
      </w:tr>
      <w:tr w14:paraId="08C5C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9" w:type="dxa"/>
          </w:tcPr>
          <w:p w14:paraId="14DB4D2E">
            <w:pPr>
              <w:keepNext w:val="0"/>
              <w:keepLines w:val="0"/>
              <w:suppressLineNumbers w:val="0"/>
              <w:spacing w:before="59" w:beforeAutospacing="0" w:after="0" w:afterAutospacing="0" w:line="212" w:lineRule="auto"/>
              <w:ind w:left="0" w:right="0"/>
              <w:jc w:val="center"/>
              <w:rPr>
                <w:rFonts w:hint="eastAsia" w:ascii="Times New Roman" w:hAnsi="Times New Roman" w:eastAsia="楷体" w:cs="Times New Roman"/>
                <w:kern w:val="2"/>
                <w:sz w:val="24"/>
                <w:szCs w:val="20"/>
                <w:u w:val="single"/>
                <w:vertAlign w:val="baseline"/>
                <w:lang w:val="en-US" w:eastAsia="zh-CN" w:bidi="ar-SA"/>
              </w:rPr>
            </w:pPr>
            <w:r>
              <w:rPr>
                <w:rFonts w:hint="default" w:ascii="Times New Roman" w:hAnsi="Times New Roman" w:eastAsia="宋体" w:cs="Times New Roman"/>
                <w:kern w:val="2"/>
                <w:sz w:val="21"/>
                <w:szCs w:val="21"/>
                <w:u w:val="none"/>
                <w:lang w:val="en-US" w:eastAsia="zh-CN" w:bidi="ar-SA"/>
              </w:rPr>
              <w:t>(a)盖板螺栓连接节点</w:t>
            </w:r>
          </w:p>
        </w:tc>
      </w:tr>
      <w:tr w14:paraId="03B61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9" w:type="dxa"/>
          </w:tcPr>
          <w:p w14:paraId="4C1C17B4">
            <w:pPr>
              <w:keepNext w:val="0"/>
              <w:keepLines w:val="0"/>
              <w:suppressLineNumbers w:val="0"/>
              <w:spacing w:before="59" w:beforeAutospacing="0" w:after="0" w:afterAutospacing="0" w:line="212" w:lineRule="auto"/>
              <w:ind w:left="0" w:right="0"/>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kern w:val="2"/>
                <w:sz w:val="21"/>
                <w:szCs w:val="21"/>
                <w:u w:val="none"/>
                <w:lang w:val="en-US" w:eastAsia="zh-CN" w:bidi="ar-SA"/>
              </w:rPr>
              <w:t>1—上模块柱；</w:t>
            </w:r>
            <w:r>
              <w:rPr>
                <w:rFonts w:hint="eastAsia" w:cs="Times New Roman"/>
                <w:kern w:val="2"/>
                <w:sz w:val="21"/>
                <w:szCs w:val="21"/>
                <w:u w:val="none"/>
                <w:lang w:val="en-US" w:eastAsia="zh-CN" w:bidi="ar-SA"/>
              </w:rPr>
              <w:t>2</w:t>
            </w:r>
            <w:r>
              <w:rPr>
                <w:rFonts w:hint="default" w:ascii="Times New Roman" w:hAnsi="Times New Roman" w:eastAsia="宋体" w:cs="Times New Roman"/>
                <w:kern w:val="2"/>
                <w:sz w:val="21"/>
                <w:szCs w:val="21"/>
                <w:u w:val="none"/>
                <w:lang w:val="en-US" w:eastAsia="zh-CN" w:bidi="ar-SA"/>
              </w:rPr>
              <w:t>—下模块柱；</w:t>
            </w:r>
            <w:r>
              <w:rPr>
                <w:rFonts w:hint="eastAsia" w:cs="Times New Roman"/>
                <w:kern w:val="2"/>
                <w:sz w:val="21"/>
                <w:szCs w:val="21"/>
                <w:u w:val="none"/>
                <w:lang w:val="en-US" w:eastAsia="zh-CN" w:bidi="ar-SA"/>
              </w:rPr>
              <w:t>3</w:t>
            </w:r>
            <w:r>
              <w:rPr>
                <w:rFonts w:hint="default" w:ascii="Times New Roman" w:hAnsi="Times New Roman" w:eastAsia="宋体" w:cs="Times New Roman"/>
                <w:kern w:val="2"/>
                <w:sz w:val="21"/>
                <w:szCs w:val="21"/>
                <w:u w:val="none"/>
                <w:lang w:val="en-US" w:eastAsia="zh-CN" w:bidi="ar-SA"/>
              </w:rPr>
              <w:t>—操作孔；4—角柱端板</w:t>
            </w:r>
            <w:r>
              <w:rPr>
                <w:rFonts w:hint="eastAsia" w:cs="Times New Roman"/>
                <w:kern w:val="2"/>
                <w:sz w:val="21"/>
                <w:szCs w:val="21"/>
                <w:u w:val="none"/>
                <w:lang w:val="en-US" w:eastAsia="zh-CN" w:bidi="ar-SA"/>
              </w:rPr>
              <w:t>;5</w:t>
            </w:r>
            <w:r>
              <w:rPr>
                <w:rFonts w:hint="default" w:ascii="Times New Roman" w:hAnsi="Times New Roman" w:eastAsia="宋体" w:cs="Times New Roman"/>
                <w:kern w:val="2"/>
                <w:sz w:val="21"/>
                <w:szCs w:val="21"/>
                <w:u w:val="none"/>
                <w:lang w:val="en-US" w:eastAsia="zh-CN" w:bidi="ar-SA"/>
              </w:rPr>
              <w:t>—螺栓；</w:t>
            </w:r>
            <w:r>
              <w:rPr>
                <w:rFonts w:hint="eastAsia" w:cs="Times New Roman"/>
                <w:kern w:val="2"/>
                <w:sz w:val="21"/>
                <w:szCs w:val="21"/>
                <w:u w:val="none"/>
                <w:lang w:val="en-US" w:eastAsia="zh-CN" w:bidi="ar-SA"/>
              </w:rPr>
              <w:t>6</w:t>
            </w:r>
            <w:r>
              <w:rPr>
                <w:rFonts w:hint="default" w:ascii="Times New Roman" w:hAnsi="Times New Roman" w:eastAsia="宋体" w:cs="Times New Roman"/>
                <w:kern w:val="2"/>
                <w:sz w:val="21"/>
                <w:szCs w:val="21"/>
                <w:u w:val="none"/>
                <w:lang w:val="en-US" w:eastAsia="zh-CN" w:bidi="ar-SA"/>
              </w:rPr>
              <w:t>—连接板；</w:t>
            </w:r>
          </w:p>
          <w:p w14:paraId="0942DA78">
            <w:pPr>
              <w:keepNext w:val="0"/>
              <w:keepLines w:val="0"/>
              <w:suppressLineNumbers w:val="0"/>
              <w:spacing w:before="59" w:beforeAutospacing="0" w:after="0" w:afterAutospacing="0" w:line="212" w:lineRule="auto"/>
              <w:ind w:left="0" w:right="0"/>
              <w:jc w:val="center"/>
              <w:rPr>
                <w:rFonts w:hint="eastAsia" w:ascii="Times New Roman" w:hAnsi="Times New Roman" w:eastAsia="楷体" w:cs="Times New Roman"/>
                <w:kern w:val="2"/>
                <w:sz w:val="24"/>
                <w:szCs w:val="20"/>
                <w:u w:val="single"/>
                <w:vertAlign w:val="baseline"/>
                <w:lang w:val="en-US" w:eastAsia="zh-CN" w:bidi="ar-SA"/>
              </w:rPr>
            </w:pPr>
            <w:r>
              <w:rPr>
                <w:rFonts w:hint="default" w:ascii="Times New Roman" w:hAnsi="Times New Roman" w:eastAsia="宋体" w:cs="Times New Roman"/>
                <w:kern w:val="2"/>
                <w:sz w:val="21"/>
                <w:szCs w:val="21"/>
                <w:u w:val="none"/>
                <w:lang w:val="en-US" w:eastAsia="zh-CN" w:bidi="ar-SA"/>
              </w:rPr>
              <w:t>7—上模块梁；8—下模块梁</w:t>
            </w:r>
          </w:p>
        </w:tc>
      </w:tr>
      <w:tr w14:paraId="3B80A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9" w:type="dxa"/>
          </w:tcPr>
          <w:p w14:paraId="78D5B964">
            <w:pPr>
              <w:keepNext w:val="0"/>
              <w:keepLines w:val="0"/>
              <w:suppressLineNumbers w:val="0"/>
              <w:spacing w:before="54" w:beforeAutospacing="0" w:after="0" w:afterAutospacing="0" w:line="219" w:lineRule="auto"/>
              <w:ind w:left="0" w:right="0"/>
              <w:jc w:val="center"/>
              <w:rPr>
                <w:rFonts w:hint="eastAsia" w:ascii="Times New Roman" w:hAnsi="Times New Roman" w:eastAsia="楷体" w:cs="Times New Roman"/>
                <w:kern w:val="2"/>
                <w:sz w:val="24"/>
                <w:szCs w:val="20"/>
                <w:u w:val="single"/>
                <w:vertAlign w:val="baseline"/>
                <w:lang w:val="en-US" w:eastAsia="zh-CN" w:bidi="ar-SA"/>
              </w:rPr>
            </w:pPr>
            <w:r>
              <w:rPr>
                <w:rFonts w:hint="default" w:ascii="Times New Roman" w:hAnsi="Times New Roman" w:eastAsia="宋体" w:cs="Times New Roman"/>
                <w:kern w:val="2"/>
                <w:sz w:val="21"/>
                <w:szCs w:val="21"/>
                <w:u w:val="none"/>
                <w:lang w:val="en-US" w:eastAsia="zh-CN" w:bidi="ar-SA"/>
              </w:rPr>
              <w:t>图</w:t>
            </w:r>
            <w:r>
              <w:rPr>
                <w:rFonts w:hint="eastAsia" w:cs="Times New Roman"/>
                <w:kern w:val="2"/>
                <w:sz w:val="21"/>
                <w:szCs w:val="21"/>
                <w:u w:val="none"/>
                <w:lang w:val="en-US" w:eastAsia="zh-CN" w:bidi="ar-SA"/>
              </w:rPr>
              <w:t>5.6.11</w:t>
            </w:r>
            <w:r>
              <w:rPr>
                <w:rFonts w:hint="default" w:ascii="Times New Roman" w:hAnsi="Times New Roman" w:eastAsia="宋体" w:cs="Times New Roman"/>
                <w:kern w:val="2"/>
                <w:sz w:val="21"/>
                <w:szCs w:val="21"/>
                <w:u w:val="none"/>
                <w:lang w:val="en-US" w:eastAsia="zh-CN" w:bidi="ar-SA"/>
              </w:rPr>
              <w:t xml:space="preserve"> 模块单元间的连接构造(一)</w:t>
            </w:r>
          </w:p>
        </w:tc>
      </w:tr>
      <w:tr w14:paraId="3E64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9" w:type="dxa"/>
          </w:tcPr>
          <w:p w14:paraId="48C57332">
            <w:pPr>
              <w:keepNext w:val="0"/>
              <w:keepLines w:val="0"/>
              <w:suppressLineNumbers w:val="0"/>
              <w:spacing w:before="68" w:beforeAutospacing="0" w:after="0" w:afterAutospacing="0" w:line="275" w:lineRule="auto"/>
              <w:ind w:left="0" w:right="0"/>
              <w:jc w:val="center"/>
              <w:rPr>
                <w:rFonts w:hint="eastAsia" w:ascii="Times New Roman" w:hAnsi="Times New Roman" w:eastAsia="楷体" w:cs="Times New Roman"/>
                <w:kern w:val="2"/>
                <w:sz w:val="24"/>
                <w:szCs w:val="20"/>
                <w:u w:val="single"/>
                <w:vertAlign w:val="baseline"/>
                <w:lang w:val="en-US" w:eastAsia="zh-CN" w:bidi="ar-SA"/>
              </w:rPr>
            </w:pPr>
            <w:r>
              <w:rPr>
                <w:rFonts w:hint="default"/>
                <w:szCs w:val="20"/>
              </w:rPr>
              <w:drawing>
                <wp:inline distT="0" distB="0" distL="114300" distR="114300">
                  <wp:extent cx="2998470" cy="2919095"/>
                  <wp:effectExtent l="0" t="0" r="11430" b="14605"/>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pic:cNvPicPr>
                            <a:picLocks noChangeAspect="1"/>
                          </pic:cNvPicPr>
                        </pic:nvPicPr>
                        <pic:blipFill>
                          <a:blip r:embed="rId48"/>
                          <a:stretch>
                            <a:fillRect/>
                          </a:stretch>
                        </pic:blipFill>
                        <pic:spPr>
                          <a:xfrm>
                            <a:off x="0" y="0"/>
                            <a:ext cx="2998470" cy="2919095"/>
                          </a:xfrm>
                          <a:prstGeom prst="rect">
                            <a:avLst/>
                          </a:prstGeom>
                          <a:noFill/>
                          <a:ln>
                            <a:noFill/>
                          </a:ln>
                        </pic:spPr>
                      </pic:pic>
                    </a:graphicData>
                  </a:graphic>
                </wp:inline>
              </w:drawing>
            </w:r>
          </w:p>
        </w:tc>
      </w:tr>
      <w:tr w14:paraId="0FF5F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9" w:type="dxa"/>
          </w:tcPr>
          <w:p w14:paraId="1C3B8CF0">
            <w:pPr>
              <w:keepNext w:val="0"/>
              <w:keepLines w:val="0"/>
              <w:suppressLineNumbers w:val="0"/>
              <w:spacing w:before="59" w:beforeAutospacing="0" w:after="0" w:afterAutospacing="0" w:line="212" w:lineRule="auto"/>
              <w:ind w:left="0" w:right="0"/>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kern w:val="2"/>
                <w:sz w:val="21"/>
                <w:szCs w:val="21"/>
                <w:u w:val="none"/>
                <w:lang w:val="en-US" w:eastAsia="zh-CN" w:bidi="ar-SA"/>
              </w:rPr>
              <w:t>(b)平板扦销连接节点</w:t>
            </w:r>
          </w:p>
          <w:p w14:paraId="327B1CF5">
            <w:pPr>
              <w:keepNext w:val="0"/>
              <w:keepLines w:val="0"/>
              <w:suppressLineNumbers w:val="0"/>
              <w:spacing w:before="59" w:beforeAutospacing="0" w:after="0" w:afterAutospacing="0" w:line="212" w:lineRule="auto"/>
              <w:ind w:left="0" w:right="0"/>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kern w:val="2"/>
                <w:sz w:val="21"/>
                <w:szCs w:val="21"/>
                <w:u w:val="none"/>
                <w:lang w:val="en-US" w:eastAsia="zh-CN" w:bidi="ar-SA"/>
              </w:rPr>
              <w:t>1—上模块柱；2—下模块柱；3—平板扦销连接块；</w:t>
            </w:r>
          </w:p>
          <w:p w14:paraId="3F47941E">
            <w:pPr>
              <w:keepNext w:val="0"/>
              <w:keepLines w:val="0"/>
              <w:suppressLineNumbers w:val="0"/>
              <w:spacing w:before="59" w:beforeAutospacing="0" w:after="0" w:afterAutospacing="0" w:line="212" w:lineRule="auto"/>
              <w:ind w:left="0" w:right="0"/>
              <w:jc w:val="center"/>
              <w:rPr>
                <w:rFonts w:hint="eastAsia" w:ascii="Times New Roman" w:hAnsi="Times New Roman" w:eastAsia="楷体" w:cs="Times New Roman"/>
                <w:kern w:val="2"/>
                <w:sz w:val="24"/>
                <w:szCs w:val="20"/>
                <w:u w:val="single"/>
                <w:vertAlign w:val="baseline"/>
                <w:lang w:val="en-US" w:eastAsia="zh-CN" w:bidi="ar-SA"/>
              </w:rPr>
            </w:pPr>
            <w:r>
              <w:rPr>
                <w:rFonts w:hint="eastAsia" w:cs="Times New Roman"/>
                <w:kern w:val="2"/>
                <w:sz w:val="21"/>
                <w:szCs w:val="21"/>
                <w:u w:val="none"/>
                <w:lang w:val="en-US" w:eastAsia="zh-CN" w:bidi="ar-SA"/>
              </w:rPr>
              <w:t>4</w:t>
            </w:r>
            <w:r>
              <w:rPr>
                <w:rFonts w:hint="default" w:ascii="Times New Roman" w:hAnsi="Times New Roman" w:eastAsia="宋体" w:cs="Times New Roman"/>
                <w:kern w:val="2"/>
                <w:sz w:val="21"/>
                <w:szCs w:val="21"/>
                <w:u w:val="none"/>
                <w:lang w:val="en-US" w:eastAsia="zh-CN" w:bidi="ar-SA"/>
              </w:rPr>
              <w:t>—肋板；</w:t>
            </w:r>
            <w:r>
              <w:rPr>
                <w:rFonts w:hint="eastAsia" w:cs="Times New Roman"/>
                <w:kern w:val="2"/>
                <w:sz w:val="21"/>
                <w:szCs w:val="21"/>
                <w:u w:val="none"/>
                <w:lang w:val="en-US" w:eastAsia="zh-CN" w:bidi="ar-SA"/>
              </w:rPr>
              <w:t>5</w:t>
            </w:r>
            <w:r>
              <w:rPr>
                <w:rFonts w:hint="default" w:ascii="Times New Roman" w:hAnsi="Times New Roman" w:eastAsia="宋体" w:cs="Times New Roman"/>
                <w:kern w:val="2"/>
                <w:sz w:val="21"/>
                <w:szCs w:val="21"/>
                <w:u w:val="none"/>
                <w:lang w:val="en-US" w:eastAsia="zh-CN" w:bidi="ar-SA"/>
              </w:rPr>
              <w:t>—对拉螺栓；6—底梁；7—顶梁；8—盖板</w:t>
            </w:r>
          </w:p>
        </w:tc>
      </w:tr>
      <w:tr w14:paraId="1DF95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9" w:type="dxa"/>
          </w:tcPr>
          <w:p w14:paraId="70CA16BD">
            <w:pPr>
              <w:keepNext w:val="0"/>
              <w:keepLines w:val="0"/>
              <w:suppressLineNumbers w:val="0"/>
              <w:spacing w:before="68" w:beforeAutospacing="0" w:after="0" w:afterAutospacing="0" w:line="275" w:lineRule="auto"/>
              <w:ind w:left="0" w:right="0"/>
              <w:jc w:val="center"/>
              <w:rPr>
                <w:rFonts w:hint="eastAsia" w:ascii="Times New Roman" w:hAnsi="Times New Roman" w:eastAsia="楷体" w:cs="Times New Roman"/>
                <w:kern w:val="2"/>
                <w:sz w:val="24"/>
                <w:szCs w:val="20"/>
                <w:u w:val="single"/>
                <w:vertAlign w:val="baseline"/>
                <w:lang w:val="en-US" w:eastAsia="zh-CN" w:bidi="ar-SA"/>
              </w:rPr>
            </w:pPr>
            <w:r>
              <w:rPr>
                <w:rFonts w:hint="default"/>
                <w:szCs w:val="20"/>
              </w:rPr>
              <w:drawing>
                <wp:inline distT="0" distB="0" distL="114300" distR="114300">
                  <wp:extent cx="1122045" cy="2192020"/>
                  <wp:effectExtent l="0" t="0" r="1905" b="17780"/>
                  <wp:docPr id="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pic:cNvPicPr>
                            <a:picLocks noChangeAspect="1"/>
                          </pic:cNvPicPr>
                        </pic:nvPicPr>
                        <pic:blipFill>
                          <a:blip r:embed="rId49"/>
                          <a:stretch>
                            <a:fillRect/>
                          </a:stretch>
                        </pic:blipFill>
                        <pic:spPr>
                          <a:xfrm>
                            <a:off x="0" y="0"/>
                            <a:ext cx="1122045" cy="2192020"/>
                          </a:xfrm>
                          <a:prstGeom prst="rect">
                            <a:avLst/>
                          </a:prstGeom>
                          <a:noFill/>
                          <a:ln>
                            <a:noFill/>
                          </a:ln>
                        </pic:spPr>
                      </pic:pic>
                    </a:graphicData>
                  </a:graphic>
                </wp:inline>
              </w:drawing>
            </w:r>
          </w:p>
        </w:tc>
      </w:tr>
      <w:tr w14:paraId="4A706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9" w:type="dxa"/>
          </w:tcPr>
          <w:p w14:paraId="7A0CA85F">
            <w:pPr>
              <w:keepNext w:val="0"/>
              <w:keepLines w:val="0"/>
              <w:suppressLineNumbers w:val="0"/>
              <w:spacing w:before="59" w:beforeAutospacing="0" w:after="0" w:afterAutospacing="0" w:line="212" w:lineRule="auto"/>
              <w:ind w:left="0" w:right="0"/>
              <w:jc w:val="center"/>
              <w:rPr>
                <w:rFonts w:hint="eastAsia"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kern w:val="2"/>
                <w:sz w:val="21"/>
                <w:szCs w:val="21"/>
                <w:u w:val="none"/>
                <w:lang w:val="en-US" w:eastAsia="zh-CN" w:bidi="ar-SA"/>
              </w:rPr>
              <w:t>(c)模块预应力连接节点</w:t>
            </w:r>
          </w:p>
        </w:tc>
      </w:tr>
      <w:tr w14:paraId="7FC9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9" w:type="dxa"/>
          </w:tcPr>
          <w:p w14:paraId="79A96669">
            <w:pPr>
              <w:keepNext w:val="0"/>
              <w:keepLines w:val="0"/>
              <w:suppressLineNumbers w:val="0"/>
              <w:spacing w:before="59" w:beforeAutospacing="0" w:after="0" w:afterAutospacing="0" w:line="212" w:lineRule="auto"/>
              <w:ind w:left="0" w:right="0"/>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kern w:val="2"/>
                <w:sz w:val="21"/>
                <w:szCs w:val="21"/>
                <w:u w:val="none"/>
                <w:lang w:val="en-US" w:eastAsia="zh-CN" w:bidi="ar-SA"/>
              </w:rPr>
              <w:t>1—预应力钢绞线；2—上模块柱；3—上模块柱底板；4—连接板；</w:t>
            </w:r>
          </w:p>
          <w:p w14:paraId="6AC14361">
            <w:pPr>
              <w:keepNext w:val="0"/>
              <w:keepLines w:val="0"/>
              <w:suppressLineNumbers w:val="0"/>
              <w:spacing w:before="59" w:beforeAutospacing="0" w:after="0" w:afterAutospacing="0" w:line="212" w:lineRule="auto"/>
              <w:ind w:left="0" w:right="0"/>
              <w:jc w:val="center"/>
              <w:rPr>
                <w:rFonts w:hint="eastAsia"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kern w:val="2"/>
                <w:sz w:val="21"/>
                <w:szCs w:val="21"/>
                <w:u w:val="none"/>
                <w:lang w:val="en-US" w:eastAsia="zh-CN" w:bidi="ar-SA"/>
              </w:rPr>
              <w:t>5—下模块柱顶板；6-下模块柱；7一连接器；8—抗剪键；9—穿筋孔</w:t>
            </w:r>
          </w:p>
        </w:tc>
      </w:tr>
      <w:tr w14:paraId="4D531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9" w:type="dxa"/>
          </w:tcPr>
          <w:p w14:paraId="7B3570B9">
            <w:pPr>
              <w:keepNext w:val="0"/>
              <w:keepLines w:val="0"/>
              <w:suppressLineNumbers w:val="0"/>
              <w:spacing w:before="0" w:beforeAutospacing="0" w:after="0" w:afterAutospacing="0" w:line="219" w:lineRule="auto"/>
              <w:ind w:left="0" w:right="0"/>
              <w:jc w:val="center"/>
              <w:rPr>
                <w:rFonts w:hint="eastAsia" w:ascii="Times New Roman" w:hAnsi="Times New Roman" w:eastAsia="楷体" w:cs="Times New Roman"/>
                <w:kern w:val="2"/>
                <w:sz w:val="24"/>
                <w:szCs w:val="20"/>
                <w:u w:val="single"/>
                <w:vertAlign w:val="baseline"/>
                <w:lang w:val="en-US" w:eastAsia="zh-CN" w:bidi="ar-SA"/>
              </w:rPr>
            </w:pPr>
            <w:r>
              <w:rPr>
                <w:rFonts w:hint="default" w:ascii="Times New Roman" w:hAnsi="Times New Roman" w:eastAsia="宋体" w:cs="Times New Roman"/>
                <w:kern w:val="2"/>
                <w:sz w:val="21"/>
                <w:szCs w:val="21"/>
                <w:u w:val="none"/>
                <w:lang w:val="en-US" w:eastAsia="zh-CN" w:bidi="ar-SA"/>
              </w:rPr>
              <w:t>图</w:t>
            </w:r>
            <w:r>
              <w:rPr>
                <w:rFonts w:hint="eastAsia" w:cs="Times New Roman"/>
                <w:kern w:val="2"/>
                <w:sz w:val="21"/>
                <w:szCs w:val="21"/>
                <w:u w:val="none"/>
                <w:lang w:val="en-US" w:eastAsia="zh-CN" w:bidi="ar-SA"/>
              </w:rPr>
              <w:t>5.6.11</w:t>
            </w:r>
            <w:r>
              <w:rPr>
                <w:rFonts w:hint="default" w:ascii="Times New Roman" w:hAnsi="Times New Roman" w:eastAsia="宋体" w:cs="Times New Roman"/>
                <w:kern w:val="2"/>
                <w:sz w:val="21"/>
                <w:szCs w:val="21"/>
                <w:u w:val="none"/>
                <w:lang w:val="en-US" w:eastAsia="zh-CN" w:bidi="ar-SA"/>
              </w:rPr>
              <w:t>模块单元间的连接构造(二)</w:t>
            </w:r>
          </w:p>
        </w:tc>
      </w:tr>
    </w:tbl>
    <w:p w14:paraId="652B8C07">
      <w:pPr>
        <w:pStyle w:val="30"/>
        <w:rPr>
          <w:rFonts w:hint="default"/>
          <w:lang w:val="en-US" w:eastAsia="zh-CN"/>
        </w:rPr>
      </w:pPr>
    </w:p>
    <w:p w14:paraId="1CCE1778">
      <w:pPr>
        <w:numPr>
          <w:ilvl w:val="0"/>
          <w:numId w:val="28"/>
        </w:numPr>
        <w:bidi w:val="0"/>
        <w:ind w:left="0" w:leftChars="0" w:firstLine="0" w:firstLineChars="0"/>
        <w:rPr>
          <w:rFonts w:hint="default"/>
          <w:lang w:val="en-US" w:eastAsia="zh-CN"/>
        </w:rPr>
      </w:pPr>
      <w:r>
        <w:rPr>
          <w:rFonts w:hint="default"/>
          <w:lang w:val="en-US" w:eastAsia="zh-CN"/>
        </w:rPr>
        <w:t>模块单元角柱为角钢或者其他开口截面时，可通过连接板和单个螺栓在模块顶部和底部进行竖直连接，同时水平连接可采用盖板螺栓连接。模块中的角柱为方钢管时，应在方钢管中预留直径不小于50mm 的检查孔。</w:t>
      </w:r>
    </w:p>
    <w:p w14:paraId="7DE37355">
      <w:pPr>
        <w:spacing w:before="20" w:line="263" w:lineRule="auto"/>
        <w:ind w:left="41"/>
        <w:jc w:val="both"/>
        <w:rPr>
          <w:rFonts w:hint="eastAsia" w:ascii="Times New Roman" w:hAnsi="Times New Roman" w:eastAsia="楷体" w:cs="Times New Roman"/>
          <w:kern w:val="2"/>
          <w:sz w:val="24"/>
          <w:u w:val="single"/>
          <w:lang w:val="en-US" w:eastAsia="zh-CN" w:bidi="ar-SA"/>
        </w:rPr>
      </w:pPr>
      <w:r>
        <w:rPr>
          <w:rFonts w:hint="eastAsia"/>
          <w:b/>
          <w:bCs/>
          <w:lang w:eastAsia="zh-CN"/>
        </w:rPr>
        <w:t>【</w:t>
      </w:r>
      <w:r>
        <w:rPr>
          <w:rFonts w:hint="eastAsia"/>
          <w:b/>
          <w:bCs/>
          <w:lang w:val="en-US" w:eastAsia="zh-CN"/>
        </w:rPr>
        <w:t>条文说明</w:t>
      </w:r>
      <w:r>
        <w:rPr>
          <w:rFonts w:hint="eastAsia"/>
          <w:b/>
          <w:bCs/>
          <w:lang w:eastAsia="zh-CN"/>
        </w:rPr>
        <w:t>】</w:t>
      </w:r>
      <w:r>
        <w:rPr>
          <w:rFonts w:hint="eastAsia" w:ascii="Times New Roman" w:hAnsi="Times New Roman" w:eastAsia="楷体" w:cs="Times New Roman"/>
          <w:kern w:val="2"/>
          <w:sz w:val="24"/>
          <w:u w:val="single"/>
          <w:lang w:val="en-US" w:eastAsia="zh-CN" w:bidi="ar-SA"/>
        </w:rPr>
        <w:t>角钢可采用冷弯型钢或热轧型钢，如100mm×100mm×10mm的厚角钢。一般来说，模块的底部和顶部均有连接，通过连接板和单个螺栓连在一起，如图19 (a)所示。或者，角钢可用侧板连接，如图19 (b)所示，在角钢表面焊接一个螺母，使连接可在一侧进行。若模块中的角柱为方钢管，可将螺栓通过检查孔插入端板进行模块间的连接，如图19 (c) 所示。</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4645"/>
      </w:tblGrid>
      <w:tr w14:paraId="6705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14:paraId="3E3B965A">
            <w:pPr>
              <w:pStyle w:val="43"/>
              <w:keepNext w:val="0"/>
              <w:keepLines w:val="0"/>
              <w:suppressLineNumbers w:val="0"/>
              <w:bidi w:val="0"/>
              <w:spacing w:before="0" w:beforeAutospacing="0" w:after="0" w:afterAutospacing="0"/>
              <w:ind w:left="0" w:right="0"/>
              <w:jc w:val="center"/>
              <w:rPr>
                <w:rFonts w:hint="default"/>
                <w:szCs w:val="20"/>
                <w:lang w:eastAsia="zh-CN"/>
              </w:rPr>
            </w:pPr>
            <w:r>
              <w:rPr>
                <w:rFonts w:hint="default"/>
                <w:szCs w:val="20"/>
              </w:rPr>
              <w:drawing>
                <wp:inline distT="0" distB="0" distL="114300" distR="114300">
                  <wp:extent cx="1990725" cy="1724025"/>
                  <wp:effectExtent l="0" t="0" r="9525" b="9525"/>
                  <wp:docPr id="6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7"/>
                          <pic:cNvPicPr>
                            <a:picLocks noChangeAspect="1"/>
                          </pic:cNvPicPr>
                        </pic:nvPicPr>
                        <pic:blipFill>
                          <a:blip r:embed="rId50"/>
                          <a:stretch>
                            <a:fillRect/>
                          </a:stretch>
                        </pic:blipFill>
                        <pic:spPr>
                          <a:xfrm>
                            <a:off x="0" y="0"/>
                            <a:ext cx="1990725" cy="1724025"/>
                          </a:xfrm>
                          <a:prstGeom prst="rect">
                            <a:avLst/>
                          </a:prstGeom>
                          <a:noFill/>
                          <a:ln>
                            <a:noFill/>
                          </a:ln>
                        </pic:spPr>
                      </pic:pic>
                    </a:graphicData>
                  </a:graphic>
                </wp:inline>
              </w:drawing>
            </w:r>
          </w:p>
        </w:tc>
        <w:tc>
          <w:tcPr>
            <w:tcW w:w="4645" w:type="dxa"/>
          </w:tcPr>
          <w:p w14:paraId="4208C58A">
            <w:pPr>
              <w:pStyle w:val="43"/>
              <w:keepNext w:val="0"/>
              <w:keepLines w:val="0"/>
              <w:suppressLineNumbers w:val="0"/>
              <w:bidi w:val="0"/>
              <w:spacing w:before="0" w:beforeAutospacing="0" w:after="0" w:afterAutospacing="0"/>
              <w:ind w:left="0" w:right="0"/>
              <w:jc w:val="center"/>
              <w:rPr>
                <w:rFonts w:hint="default"/>
                <w:szCs w:val="20"/>
                <w:lang w:eastAsia="zh-CN"/>
              </w:rPr>
            </w:pPr>
            <w:r>
              <w:rPr>
                <w:rFonts w:hint="default"/>
                <w:szCs w:val="20"/>
              </w:rPr>
              <w:drawing>
                <wp:inline distT="0" distB="0" distL="114300" distR="114300">
                  <wp:extent cx="849630" cy="1703070"/>
                  <wp:effectExtent l="0" t="0" r="0" b="11430"/>
                  <wp:docPr id="6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9"/>
                          <pic:cNvPicPr>
                            <a:picLocks noChangeAspect="1"/>
                          </pic:cNvPicPr>
                        </pic:nvPicPr>
                        <pic:blipFill>
                          <a:blip r:embed="rId51"/>
                          <a:stretch>
                            <a:fillRect/>
                          </a:stretch>
                        </pic:blipFill>
                        <pic:spPr>
                          <a:xfrm>
                            <a:off x="0" y="0"/>
                            <a:ext cx="849630" cy="1703070"/>
                          </a:xfrm>
                          <a:prstGeom prst="rect">
                            <a:avLst/>
                          </a:prstGeom>
                          <a:noFill/>
                          <a:ln>
                            <a:noFill/>
                          </a:ln>
                        </pic:spPr>
                      </pic:pic>
                    </a:graphicData>
                  </a:graphic>
                </wp:inline>
              </w:drawing>
            </w:r>
          </w:p>
        </w:tc>
      </w:tr>
      <w:tr w14:paraId="354EC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9" w:type="dxa"/>
            <w:gridSpan w:val="2"/>
          </w:tcPr>
          <w:p w14:paraId="0B4AB945">
            <w:pPr>
              <w:keepNext w:val="0"/>
              <w:keepLines w:val="0"/>
              <w:suppressLineNumbers w:val="0"/>
              <w:spacing w:before="54" w:beforeAutospacing="0" w:after="0" w:afterAutospacing="0" w:line="219" w:lineRule="auto"/>
              <w:ind w:left="0" w:right="0"/>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kern w:val="2"/>
                <w:sz w:val="21"/>
                <w:szCs w:val="21"/>
                <w:u w:val="none"/>
                <w:lang w:val="en-US" w:eastAsia="zh-CN" w:bidi="ar-SA"/>
              </w:rPr>
              <w:t>(a)  端板螺栓角部连接</w:t>
            </w:r>
          </w:p>
        </w:tc>
      </w:tr>
      <w:tr w14:paraId="48FD4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9" w:type="dxa"/>
            <w:gridSpan w:val="2"/>
          </w:tcPr>
          <w:p w14:paraId="1ECDD013">
            <w:pPr>
              <w:keepNext w:val="0"/>
              <w:keepLines w:val="0"/>
              <w:suppressLineNumbers w:val="0"/>
              <w:spacing w:before="54" w:beforeAutospacing="0" w:after="0" w:afterAutospacing="0" w:line="219" w:lineRule="auto"/>
              <w:ind w:left="0" w:right="0"/>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kern w:val="2"/>
                <w:sz w:val="21"/>
                <w:szCs w:val="21"/>
                <w:u w:val="none"/>
                <w:lang w:val="en-US" w:eastAsia="zh-CN" w:bidi="ar-SA"/>
              </w:rPr>
              <w:t>1—角钢100mm×100mm×10mm</w:t>
            </w:r>
            <w:r>
              <w:rPr>
                <w:rFonts w:hint="eastAsia" w:ascii="Times New Roman" w:hAnsi="Times New Roman" w:eastAsia="宋体" w:cs="Times New Roman"/>
                <w:kern w:val="2"/>
                <w:sz w:val="21"/>
                <w:szCs w:val="21"/>
                <w:u w:val="none"/>
                <w:lang w:val="en-US" w:eastAsia="zh-CN" w:bidi="ar-SA"/>
              </w:rPr>
              <w:t xml:space="preserve"> </w:t>
            </w:r>
            <w:r>
              <w:rPr>
                <w:rFonts w:hint="eastAsia" w:cs="Times New Roman"/>
                <w:kern w:val="2"/>
                <w:sz w:val="21"/>
                <w:szCs w:val="21"/>
                <w:u w:val="none"/>
                <w:lang w:val="en-US" w:eastAsia="zh-CN" w:bidi="ar-SA"/>
              </w:rPr>
              <w:t>；</w:t>
            </w:r>
            <w:r>
              <w:rPr>
                <w:rFonts w:hint="default" w:ascii="Times New Roman" w:hAnsi="Times New Roman" w:eastAsia="宋体" w:cs="Times New Roman"/>
                <w:kern w:val="2"/>
                <w:sz w:val="21"/>
                <w:szCs w:val="21"/>
                <w:u w:val="none"/>
                <w:lang w:val="en-US" w:eastAsia="zh-CN" w:bidi="ar-SA"/>
              </w:rPr>
              <w:t>2—螺栓孔；3—螺栓和连接板</w:t>
            </w:r>
          </w:p>
        </w:tc>
      </w:tr>
      <w:tr w14:paraId="0B23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14:paraId="657036E5">
            <w:pPr>
              <w:pStyle w:val="43"/>
              <w:keepNext w:val="0"/>
              <w:keepLines w:val="0"/>
              <w:suppressLineNumbers w:val="0"/>
              <w:bidi w:val="0"/>
              <w:spacing w:before="0" w:beforeAutospacing="0" w:after="0" w:afterAutospacing="0"/>
              <w:ind w:left="0" w:right="0"/>
              <w:jc w:val="center"/>
              <w:rPr>
                <w:rFonts w:hint="default"/>
                <w:szCs w:val="20"/>
                <w:lang w:eastAsia="zh-CN"/>
              </w:rPr>
            </w:pPr>
            <w:r>
              <w:rPr>
                <w:rFonts w:hint="default"/>
                <w:szCs w:val="20"/>
              </w:rPr>
              <w:drawing>
                <wp:inline distT="0" distB="0" distL="114300" distR="114300">
                  <wp:extent cx="2202180" cy="1971675"/>
                  <wp:effectExtent l="0" t="0" r="7620" b="9525"/>
                  <wp:docPr id="6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6"/>
                          <pic:cNvPicPr>
                            <a:picLocks noChangeAspect="1"/>
                          </pic:cNvPicPr>
                        </pic:nvPicPr>
                        <pic:blipFill>
                          <a:blip r:embed="rId52"/>
                          <a:stretch>
                            <a:fillRect/>
                          </a:stretch>
                        </pic:blipFill>
                        <pic:spPr>
                          <a:xfrm>
                            <a:off x="0" y="0"/>
                            <a:ext cx="2202180" cy="1971675"/>
                          </a:xfrm>
                          <a:prstGeom prst="rect">
                            <a:avLst/>
                          </a:prstGeom>
                          <a:noFill/>
                          <a:ln>
                            <a:noFill/>
                          </a:ln>
                        </pic:spPr>
                      </pic:pic>
                    </a:graphicData>
                  </a:graphic>
                </wp:inline>
              </w:drawing>
            </w:r>
          </w:p>
        </w:tc>
        <w:tc>
          <w:tcPr>
            <w:tcW w:w="4645" w:type="dxa"/>
          </w:tcPr>
          <w:p w14:paraId="46C2A109">
            <w:pPr>
              <w:pStyle w:val="43"/>
              <w:keepNext w:val="0"/>
              <w:keepLines w:val="0"/>
              <w:suppressLineNumbers w:val="0"/>
              <w:bidi w:val="0"/>
              <w:spacing w:before="0" w:beforeAutospacing="0" w:after="0" w:afterAutospacing="0"/>
              <w:ind w:left="0" w:right="0"/>
              <w:rPr>
                <w:rFonts w:hint="default"/>
                <w:szCs w:val="20"/>
                <w:lang w:eastAsia="zh-CN"/>
              </w:rPr>
            </w:pPr>
            <w:r>
              <w:rPr>
                <w:rFonts w:hint="default"/>
                <w:szCs w:val="20"/>
              </w:rPr>
              <w:drawing>
                <wp:inline distT="0" distB="0" distL="114300" distR="114300">
                  <wp:extent cx="2676525" cy="1994535"/>
                  <wp:effectExtent l="0" t="0" r="9525" b="5715"/>
                  <wp:docPr id="64"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0"/>
                          <pic:cNvPicPr>
                            <a:picLocks noChangeAspect="1"/>
                          </pic:cNvPicPr>
                        </pic:nvPicPr>
                        <pic:blipFill>
                          <a:blip r:embed="rId53"/>
                          <a:stretch>
                            <a:fillRect/>
                          </a:stretch>
                        </pic:blipFill>
                        <pic:spPr>
                          <a:xfrm>
                            <a:off x="0" y="0"/>
                            <a:ext cx="2676525" cy="1994535"/>
                          </a:xfrm>
                          <a:prstGeom prst="rect">
                            <a:avLst/>
                          </a:prstGeom>
                          <a:noFill/>
                          <a:ln>
                            <a:noFill/>
                          </a:ln>
                        </pic:spPr>
                      </pic:pic>
                    </a:graphicData>
                  </a:graphic>
                </wp:inline>
              </w:drawing>
            </w:r>
          </w:p>
        </w:tc>
      </w:tr>
      <w:tr w14:paraId="68B5E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9" w:type="dxa"/>
            <w:gridSpan w:val="2"/>
          </w:tcPr>
          <w:p w14:paraId="2C1C1720">
            <w:pPr>
              <w:keepNext w:val="0"/>
              <w:keepLines w:val="0"/>
              <w:suppressLineNumbers w:val="0"/>
              <w:spacing w:before="54" w:beforeAutospacing="0" w:after="0" w:afterAutospacing="0" w:line="219" w:lineRule="auto"/>
              <w:ind w:left="0" w:right="0"/>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kern w:val="2"/>
                <w:sz w:val="21"/>
                <w:szCs w:val="21"/>
                <w:u w:val="none"/>
                <w:lang w:val="en-US" w:eastAsia="zh-CN" w:bidi="ar-SA"/>
              </w:rPr>
              <w:t>(b) 带有焊接螺母的角部连接</w:t>
            </w:r>
          </w:p>
        </w:tc>
      </w:tr>
      <w:tr w14:paraId="264D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9" w:type="dxa"/>
            <w:gridSpan w:val="2"/>
          </w:tcPr>
          <w:p w14:paraId="4F3C86B6">
            <w:pPr>
              <w:keepNext w:val="0"/>
              <w:keepLines w:val="0"/>
              <w:suppressLineNumbers w:val="0"/>
              <w:spacing w:before="54" w:beforeAutospacing="0" w:after="0" w:afterAutospacing="0" w:line="219" w:lineRule="auto"/>
              <w:ind w:left="0" w:right="0"/>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kern w:val="2"/>
                <w:sz w:val="21"/>
                <w:szCs w:val="21"/>
                <w:u w:val="none"/>
                <w:lang w:val="en-US" w:eastAsia="zh-CN" w:bidi="ar-SA"/>
              </w:rPr>
              <w:t>1—角钢100mm×100mm×10mm</w:t>
            </w:r>
            <w:r>
              <w:rPr>
                <w:rFonts w:hint="eastAsia" w:cs="Times New Roman"/>
                <w:kern w:val="2"/>
                <w:sz w:val="21"/>
                <w:szCs w:val="21"/>
                <w:u w:val="none"/>
                <w:lang w:val="en-US" w:eastAsia="zh-CN" w:bidi="ar-SA"/>
              </w:rPr>
              <w:t>；</w:t>
            </w:r>
            <w:r>
              <w:rPr>
                <w:rFonts w:hint="default" w:ascii="Times New Roman" w:hAnsi="Times New Roman" w:eastAsia="宋体" w:cs="Times New Roman"/>
                <w:kern w:val="2"/>
                <w:sz w:val="21"/>
                <w:szCs w:val="21"/>
                <w:u w:val="none"/>
                <w:lang w:val="en-US" w:eastAsia="zh-CN" w:bidi="ar-SA"/>
              </w:rPr>
              <w:t>2—连接板；3—提升点</w:t>
            </w:r>
          </w:p>
        </w:tc>
      </w:tr>
      <w:tr w14:paraId="201F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9" w:type="dxa"/>
            <w:gridSpan w:val="2"/>
          </w:tcPr>
          <w:p w14:paraId="06B91014">
            <w:pPr>
              <w:keepNext w:val="0"/>
              <w:keepLines w:val="0"/>
              <w:suppressLineNumbers w:val="0"/>
              <w:spacing w:before="54" w:beforeAutospacing="0" w:after="0" w:afterAutospacing="0" w:line="219" w:lineRule="auto"/>
              <w:ind w:left="0" w:right="0"/>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kern w:val="2"/>
                <w:sz w:val="21"/>
                <w:szCs w:val="21"/>
                <w:u w:val="none"/>
                <w:lang w:val="en-US" w:eastAsia="zh-CN" w:bidi="ar-SA"/>
              </w:rPr>
              <w:t>图19 盖板螺栓连接构造(一)</w:t>
            </w:r>
          </w:p>
        </w:tc>
      </w:tr>
      <w:tr w14:paraId="1150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14:paraId="263384B4">
            <w:pPr>
              <w:pStyle w:val="43"/>
              <w:keepNext w:val="0"/>
              <w:keepLines w:val="0"/>
              <w:suppressLineNumbers w:val="0"/>
              <w:bidi w:val="0"/>
              <w:spacing w:before="0" w:beforeAutospacing="0" w:after="0" w:afterAutospacing="0"/>
              <w:ind w:left="0" w:right="0"/>
              <w:jc w:val="center"/>
              <w:rPr>
                <w:rFonts w:hint="default"/>
                <w:szCs w:val="20"/>
                <w:lang w:eastAsia="zh-CN"/>
              </w:rPr>
            </w:pPr>
            <w:r>
              <w:rPr>
                <w:rFonts w:hint="default"/>
                <w:szCs w:val="20"/>
              </w:rPr>
              <w:drawing>
                <wp:inline distT="0" distB="0" distL="114300" distR="114300">
                  <wp:extent cx="2286000" cy="2190750"/>
                  <wp:effectExtent l="0" t="0" r="0" b="0"/>
                  <wp:docPr id="5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5"/>
                          <pic:cNvPicPr>
                            <a:picLocks noChangeAspect="1"/>
                          </pic:cNvPicPr>
                        </pic:nvPicPr>
                        <pic:blipFill>
                          <a:blip r:embed="rId54"/>
                          <a:stretch>
                            <a:fillRect/>
                          </a:stretch>
                        </pic:blipFill>
                        <pic:spPr>
                          <a:xfrm>
                            <a:off x="0" y="0"/>
                            <a:ext cx="2286000" cy="2190750"/>
                          </a:xfrm>
                          <a:prstGeom prst="rect">
                            <a:avLst/>
                          </a:prstGeom>
                          <a:noFill/>
                          <a:ln>
                            <a:noFill/>
                          </a:ln>
                        </pic:spPr>
                      </pic:pic>
                    </a:graphicData>
                  </a:graphic>
                </wp:inline>
              </w:drawing>
            </w:r>
          </w:p>
        </w:tc>
        <w:tc>
          <w:tcPr>
            <w:tcW w:w="4645" w:type="dxa"/>
          </w:tcPr>
          <w:p w14:paraId="3A018E34">
            <w:pPr>
              <w:pStyle w:val="43"/>
              <w:keepNext w:val="0"/>
              <w:keepLines w:val="0"/>
              <w:suppressLineNumbers w:val="0"/>
              <w:bidi w:val="0"/>
              <w:spacing w:before="0" w:beforeAutospacing="0" w:after="0" w:afterAutospacing="0"/>
              <w:ind w:left="0" w:right="0"/>
              <w:rPr>
                <w:rFonts w:hint="default"/>
                <w:szCs w:val="20"/>
                <w:lang w:eastAsia="zh-CN"/>
              </w:rPr>
            </w:pPr>
            <w:r>
              <w:rPr>
                <w:rFonts w:hint="default"/>
                <w:szCs w:val="20"/>
              </w:rPr>
              <w:drawing>
                <wp:inline distT="0" distB="0" distL="114300" distR="114300">
                  <wp:extent cx="2507615" cy="2152015"/>
                  <wp:effectExtent l="0" t="0" r="6985" b="635"/>
                  <wp:docPr id="6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1"/>
                          <pic:cNvPicPr>
                            <a:picLocks noChangeAspect="1"/>
                          </pic:cNvPicPr>
                        </pic:nvPicPr>
                        <pic:blipFill>
                          <a:blip r:embed="rId55"/>
                          <a:stretch>
                            <a:fillRect/>
                          </a:stretch>
                        </pic:blipFill>
                        <pic:spPr>
                          <a:xfrm>
                            <a:off x="0" y="0"/>
                            <a:ext cx="2507615" cy="2152015"/>
                          </a:xfrm>
                          <a:prstGeom prst="rect">
                            <a:avLst/>
                          </a:prstGeom>
                          <a:noFill/>
                          <a:ln>
                            <a:noFill/>
                          </a:ln>
                        </pic:spPr>
                      </pic:pic>
                    </a:graphicData>
                  </a:graphic>
                </wp:inline>
              </w:drawing>
            </w:r>
          </w:p>
        </w:tc>
      </w:tr>
      <w:tr w14:paraId="5C644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9" w:type="dxa"/>
            <w:gridSpan w:val="2"/>
          </w:tcPr>
          <w:p w14:paraId="5F9B70DC">
            <w:pPr>
              <w:keepNext w:val="0"/>
              <w:keepLines w:val="0"/>
              <w:suppressLineNumbers w:val="0"/>
              <w:spacing w:before="54" w:beforeAutospacing="0" w:after="0" w:afterAutospacing="0" w:line="219" w:lineRule="auto"/>
              <w:ind w:left="0" w:right="0"/>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kern w:val="2"/>
                <w:sz w:val="21"/>
                <w:szCs w:val="21"/>
                <w:u w:val="none"/>
                <w:lang w:val="en-US" w:eastAsia="zh-CN" w:bidi="ar-SA"/>
              </w:rPr>
              <w:t>(c) 采用方钢管截面的角柱</w:t>
            </w:r>
          </w:p>
        </w:tc>
      </w:tr>
      <w:tr w14:paraId="73CA1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9" w:type="dxa"/>
            <w:gridSpan w:val="2"/>
          </w:tcPr>
          <w:p w14:paraId="055D941C">
            <w:pPr>
              <w:keepNext w:val="0"/>
              <w:keepLines w:val="0"/>
              <w:suppressLineNumbers w:val="0"/>
              <w:spacing w:before="54" w:beforeAutospacing="0" w:after="0" w:afterAutospacing="0" w:line="219" w:lineRule="auto"/>
              <w:ind w:left="0" w:right="0"/>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kern w:val="2"/>
                <w:sz w:val="21"/>
                <w:szCs w:val="21"/>
                <w:u w:val="none"/>
                <w:lang w:val="en-US" w:eastAsia="zh-CN" w:bidi="ar-SA"/>
              </w:rPr>
              <w:t>1—方钢管100mm×100mm×10mm</w:t>
            </w:r>
            <w:r>
              <w:rPr>
                <w:rFonts w:hint="eastAsia" w:cs="Times New Roman"/>
                <w:kern w:val="2"/>
                <w:sz w:val="21"/>
                <w:szCs w:val="21"/>
                <w:u w:val="none"/>
                <w:lang w:val="en-US" w:eastAsia="zh-CN" w:bidi="ar-SA"/>
              </w:rPr>
              <w:t>；</w:t>
            </w:r>
            <w:r>
              <w:rPr>
                <w:rFonts w:hint="default" w:ascii="Times New Roman" w:hAnsi="Times New Roman" w:eastAsia="宋体" w:cs="Times New Roman"/>
                <w:kern w:val="2"/>
                <w:sz w:val="21"/>
                <w:szCs w:val="21"/>
                <w:u w:val="none"/>
                <w:lang w:val="en-US" w:eastAsia="zh-CN" w:bidi="ar-SA"/>
              </w:rPr>
              <w:t>2—焊接的端板或角钢；3—C 形钢；</w:t>
            </w:r>
          </w:p>
          <w:p w14:paraId="313EFE9A">
            <w:pPr>
              <w:keepNext w:val="0"/>
              <w:keepLines w:val="0"/>
              <w:suppressLineNumbers w:val="0"/>
              <w:spacing w:before="54" w:beforeAutospacing="0" w:after="0" w:afterAutospacing="0" w:line="219" w:lineRule="auto"/>
              <w:ind w:left="0" w:right="0"/>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kern w:val="2"/>
                <w:sz w:val="21"/>
                <w:szCs w:val="21"/>
                <w:u w:val="none"/>
                <w:lang w:val="en-US" w:eastAsia="zh-CN" w:bidi="ar-SA"/>
              </w:rPr>
              <w:t>4—直径50mm 的检修孔；5—端板；6—连接板；7—连接螺栓</w:t>
            </w:r>
          </w:p>
        </w:tc>
      </w:tr>
      <w:tr w14:paraId="7B740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9" w:type="dxa"/>
            <w:gridSpan w:val="2"/>
          </w:tcPr>
          <w:p w14:paraId="1B594390">
            <w:pPr>
              <w:keepNext w:val="0"/>
              <w:keepLines w:val="0"/>
              <w:suppressLineNumbers w:val="0"/>
              <w:spacing w:before="54" w:beforeAutospacing="0" w:after="0" w:afterAutospacing="0" w:line="219" w:lineRule="auto"/>
              <w:ind w:left="0" w:right="0"/>
              <w:jc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kern w:val="2"/>
                <w:sz w:val="21"/>
                <w:szCs w:val="21"/>
                <w:u w:val="none"/>
                <w:lang w:val="en-US" w:eastAsia="zh-CN" w:bidi="ar-SA"/>
              </w:rPr>
              <w:t>图19 盖板螺栓连接构造(二)</w:t>
            </w:r>
          </w:p>
        </w:tc>
      </w:tr>
    </w:tbl>
    <w:p w14:paraId="70608DBB">
      <w:pPr>
        <w:numPr>
          <w:ilvl w:val="0"/>
          <w:numId w:val="28"/>
        </w:numPr>
        <w:bidi w:val="0"/>
        <w:ind w:left="0" w:leftChars="0" w:firstLine="0" w:firstLineChars="0"/>
        <w:rPr>
          <w:rFonts w:hint="default"/>
          <w:color w:val="auto"/>
          <w:lang w:val="en-US" w:eastAsia="zh-CN"/>
        </w:rPr>
      </w:pPr>
      <w:r>
        <w:rPr>
          <w:rFonts w:hint="default"/>
          <w:color w:val="auto"/>
          <w:lang w:val="en-US" w:eastAsia="zh-CN"/>
        </w:rPr>
        <w:t>建筑底部模块单元与下部基础或地下室混凝土结构的连接可采用地脚螺栓或锚栓连接，也可采用焊接与地脚螺栓或锚栓组合连接</w:t>
      </w:r>
      <w:r>
        <w:rPr>
          <w:rFonts w:hint="eastAsia"/>
          <w:color w:val="auto"/>
          <w:lang w:val="en-US" w:eastAsia="zh-CN"/>
        </w:rPr>
        <w:t>，如图5.6.13</w:t>
      </w:r>
      <w:r>
        <w:rPr>
          <w:rFonts w:hint="default"/>
          <w:color w:val="auto"/>
          <w:lang w:val="en-US" w:eastAsia="zh-CN"/>
        </w:rPr>
        <w:t>。</w:t>
      </w:r>
      <w:r>
        <w:rPr>
          <w:rFonts w:hint="eastAsia"/>
          <w:color w:val="auto"/>
          <w:lang w:val="en-US" w:eastAsia="zh-CN"/>
        </w:rPr>
        <w:t>基础连接节点采用钢结构预埋件时，其在地面以下的部分宜采用C25的混凝土包裹，并宜使包裹的混凝土高出地面不小于150mm。当预埋件底面在地面以上时，预埋件底面宜高出地面不小于l00mm 。</w:t>
      </w:r>
    </w:p>
    <w:p w14:paraId="5770C0D7">
      <w:pPr>
        <w:pStyle w:val="48"/>
        <w:spacing w:line="360" w:lineRule="auto"/>
        <w:ind w:firstLine="0" w:firstLineChars="0"/>
        <w:jc w:val="center"/>
        <w:rPr>
          <w:rFonts w:hint="eastAsia" w:ascii="Times New Roman" w:hAnsi="Times New Roman" w:eastAsia="仿宋_GB2312"/>
          <w:bCs/>
          <w:color w:val="auto"/>
          <w:highlight w:val="none"/>
          <w:lang w:eastAsia="zh-CN"/>
        </w:rPr>
      </w:pPr>
      <w:r>
        <w:rPr>
          <w:rFonts w:ascii="Times New Roman" w:hAnsi="Times New Roman" w:eastAsia="仿宋_GB2312"/>
          <w:color w:val="auto"/>
          <w:highlight w:val="none"/>
        </w:rPr>
        <w:drawing>
          <wp:inline distT="0" distB="0" distL="0" distR="0">
            <wp:extent cx="3176905" cy="1741805"/>
            <wp:effectExtent l="0" t="0" r="4445" b="10795"/>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pic:cNvPicPr>
                      <a:picLocks noChangeAspect="1"/>
                    </pic:cNvPicPr>
                  </pic:nvPicPr>
                  <pic:blipFill>
                    <a:blip r:embed="rId56"/>
                    <a:stretch>
                      <a:fillRect/>
                    </a:stretch>
                  </pic:blipFill>
                  <pic:spPr>
                    <a:xfrm>
                      <a:off x="0" y="0"/>
                      <a:ext cx="3187371" cy="1747889"/>
                    </a:xfrm>
                    <a:prstGeom prst="rect">
                      <a:avLst/>
                    </a:prstGeom>
                  </pic:spPr>
                </pic:pic>
              </a:graphicData>
            </a:graphic>
          </wp:inline>
        </w:drawing>
      </w:r>
    </w:p>
    <w:p w14:paraId="34135013">
      <w:pPr>
        <w:pStyle w:val="43"/>
        <w:bidi w:val="0"/>
        <w:jc w:val="center"/>
        <w:rPr>
          <w:rFonts w:hint="eastAsia"/>
        </w:rPr>
      </w:pPr>
      <w:r>
        <w:rPr>
          <w:rFonts w:hint="eastAsia"/>
        </w:rPr>
        <w:t>图5.</w:t>
      </w:r>
      <w:r>
        <w:rPr>
          <w:rFonts w:hint="eastAsia"/>
          <w:lang w:val="en-US" w:eastAsia="zh-CN"/>
        </w:rPr>
        <w:t>6</w:t>
      </w:r>
      <w:r>
        <w:rPr>
          <w:rFonts w:hint="eastAsia"/>
        </w:rPr>
        <w:t>.</w:t>
      </w:r>
      <w:r>
        <w:rPr>
          <w:rFonts w:hint="eastAsia"/>
          <w:lang w:val="en-US" w:eastAsia="zh-CN"/>
        </w:rPr>
        <w:t>13</w:t>
      </w:r>
      <w:r>
        <w:rPr>
          <w:rFonts w:hint="eastAsia"/>
        </w:rPr>
        <w:t>建筑底部模块单元与下部混凝土结构连接示意</w:t>
      </w:r>
    </w:p>
    <w:p w14:paraId="340D54C6">
      <w:pPr>
        <w:keepNext w:val="0"/>
        <w:keepLines w:val="0"/>
        <w:suppressLineNumbers w:val="0"/>
        <w:spacing w:before="54" w:beforeAutospacing="0" w:after="0" w:afterAutospacing="0" w:line="219" w:lineRule="auto"/>
        <w:ind w:left="0" w:right="0"/>
        <w:jc w:val="center"/>
        <w:rPr>
          <w:rFonts w:hint="eastAsia" w:ascii="Times New Roman" w:hAnsi="Times New Roman" w:eastAsia="宋体" w:cs="Times New Roman"/>
          <w:kern w:val="2"/>
          <w:sz w:val="21"/>
          <w:szCs w:val="21"/>
          <w:u w:val="none"/>
          <w:lang w:val="en-US" w:eastAsia="zh-CN" w:bidi="ar-SA"/>
        </w:rPr>
      </w:pPr>
      <w:r>
        <w:rPr>
          <w:rFonts w:hint="eastAsia" w:ascii="Times New Roman" w:hAnsi="Times New Roman" w:eastAsia="宋体" w:cs="Times New Roman"/>
          <w:kern w:val="2"/>
          <w:sz w:val="21"/>
          <w:szCs w:val="21"/>
          <w:u w:val="none"/>
          <w:lang w:val="en-US" w:eastAsia="zh-CN" w:bidi="ar-SA"/>
        </w:rPr>
        <w:t>1—基础预埋板；2—建筑底部模块单元连接板；3—地脚螺栓或锚栓；4—基础或地下室顶板；</w:t>
      </w:r>
    </w:p>
    <w:p w14:paraId="5F3DC183">
      <w:pPr>
        <w:keepNext w:val="0"/>
        <w:keepLines w:val="0"/>
        <w:suppressLineNumbers w:val="0"/>
        <w:spacing w:before="54" w:beforeAutospacing="0" w:after="0" w:afterAutospacing="0" w:line="219" w:lineRule="auto"/>
        <w:ind w:left="0" w:right="0"/>
        <w:jc w:val="center"/>
        <w:rPr>
          <w:rFonts w:hint="default" w:ascii="Times New Roman" w:hAnsi="Times New Roman" w:eastAsia="宋体" w:cs="Times New Roman"/>
          <w:kern w:val="2"/>
          <w:sz w:val="21"/>
          <w:szCs w:val="21"/>
          <w:u w:val="none"/>
          <w:lang w:val="en-US" w:eastAsia="zh-CN" w:bidi="ar-SA"/>
        </w:rPr>
      </w:pPr>
      <w:r>
        <w:rPr>
          <w:rFonts w:hint="eastAsia" w:ascii="Times New Roman" w:hAnsi="Times New Roman" w:eastAsia="宋体" w:cs="Times New Roman"/>
          <w:kern w:val="2"/>
          <w:sz w:val="21"/>
          <w:szCs w:val="21"/>
          <w:u w:val="none"/>
          <w:lang w:val="en-US" w:eastAsia="zh-CN" w:bidi="ar-SA"/>
        </w:rPr>
        <w:t>5—模块单元底部连接盒；6—底板梁</w:t>
      </w:r>
    </w:p>
    <w:p w14:paraId="2C7DE765">
      <w:pPr>
        <w:pStyle w:val="45"/>
        <w:numPr>
          <w:ilvl w:val="0"/>
          <w:numId w:val="0"/>
        </w:numPr>
        <w:bidi w:val="0"/>
        <w:ind w:leftChars="0"/>
        <w:rPr>
          <w:rFonts w:ascii="宋体" w:hAnsi="宋体" w:eastAsia="宋体" w:cs="宋体"/>
          <w:spacing w:val="-3"/>
          <w:sz w:val="21"/>
          <w:szCs w:val="21"/>
          <w:lang w:eastAsia="zh-CN"/>
        </w:rPr>
      </w:pPr>
    </w:p>
    <w:p w14:paraId="4E34A146">
      <w:pPr>
        <w:pStyle w:val="45"/>
        <w:numPr>
          <w:ilvl w:val="0"/>
          <w:numId w:val="0"/>
        </w:numPr>
        <w:bidi w:val="0"/>
        <w:ind w:leftChars="0"/>
        <w:rPr>
          <w:rFonts w:ascii="宋体" w:hAnsi="宋体" w:eastAsia="宋体" w:cs="宋体"/>
          <w:spacing w:val="-3"/>
          <w:sz w:val="21"/>
          <w:szCs w:val="21"/>
          <w:lang w:eastAsia="zh-CN"/>
        </w:rPr>
        <w:sectPr>
          <w:pgSz w:w="11907" w:h="16839"/>
          <w:pgMar w:top="1134" w:right="1417" w:bottom="1134" w:left="1417" w:header="0" w:footer="989" w:gutter="0"/>
          <w:pgNumType w:fmt="decimal"/>
          <w:cols w:space="720" w:num="1"/>
        </w:sectPr>
      </w:pPr>
    </w:p>
    <w:bookmarkEnd w:id="19"/>
    <w:bookmarkEnd w:id="20"/>
    <w:p w14:paraId="207A12C3">
      <w:pPr>
        <w:pStyle w:val="2"/>
        <w:bidi w:val="0"/>
        <w:rPr>
          <w:lang w:eastAsia="zh-CN"/>
        </w:rPr>
      </w:pPr>
      <w:bookmarkStart w:id="35" w:name="_Toc7952"/>
      <w:bookmarkStart w:id="36" w:name="_Toc186033339"/>
      <w:bookmarkStart w:id="37" w:name="_Toc22490"/>
      <w:bookmarkStart w:id="38" w:name="_Toc186033345"/>
      <w:bookmarkStart w:id="39" w:name="_Toc26974"/>
      <w:r>
        <w:rPr>
          <w:rFonts w:hint="eastAsia"/>
          <w:lang w:val="en-US" w:eastAsia="zh-CN"/>
        </w:rPr>
        <w:t>6</w:t>
      </w:r>
      <w:r>
        <w:rPr>
          <w:lang w:eastAsia="zh-CN"/>
        </w:rPr>
        <w:t>模块</w:t>
      </w:r>
      <w:r>
        <w:rPr>
          <w:rFonts w:hint="eastAsia"/>
          <w:lang w:val="en-US" w:eastAsia="zh-CN"/>
        </w:rPr>
        <w:t>制作</w:t>
      </w:r>
      <w:r>
        <w:rPr>
          <w:lang w:eastAsia="zh-CN"/>
        </w:rPr>
        <w:t>与运输</w:t>
      </w:r>
      <w:bookmarkEnd w:id="35"/>
      <w:bookmarkEnd w:id="36"/>
      <w:bookmarkEnd w:id="37"/>
    </w:p>
    <w:p w14:paraId="351684FC">
      <w:pPr>
        <w:pStyle w:val="3"/>
        <w:bidi w:val="0"/>
        <w:rPr>
          <w:rFonts w:ascii="黑体" w:hAnsi="黑体" w:eastAsia="黑体" w:cs="黑体"/>
          <w:b w:val="0"/>
          <w:bCs w:val="0"/>
          <w:lang w:eastAsia="zh-CN"/>
        </w:rPr>
      </w:pPr>
      <w:bookmarkStart w:id="40" w:name="_Toc7114"/>
      <w:bookmarkStart w:id="41" w:name="_Toc186033340"/>
      <w:bookmarkStart w:id="42" w:name="_Toc15145"/>
      <w:r>
        <w:rPr>
          <w:rFonts w:hint="eastAsia" w:eastAsia="Times New Roman" w:cs="Times New Roman"/>
          <w:b w:val="0"/>
          <w:bCs w:val="0"/>
          <w:spacing w:val="-3"/>
          <w:lang w:val="en-US" w:eastAsia="zh-CN"/>
        </w:rPr>
        <w:t>6</w:t>
      </w:r>
      <w:r>
        <w:rPr>
          <w:rFonts w:ascii="宋体" w:hAnsi="宋体" w:eastAsia="宋体" w:cs="宋体"/>
          <w:b w:val="0"/>
          <w:bCs w:val="0"/>
          <w:spacing w:val="-3"/>
          <w:lang w:eastAsia="zh-CN"/>
        </w:rPr>
        <w:t>.</w:t>
      </w:r>
      <w:r>
        <w:rPr>
          <w:rFonts w:ascii="Times New Roman" w:hAnsi="Times New Roman" w:eastAsia="Times New Roman" w:cs="Times New Roman"/>
          <w:b w:val="0"/>
          <w:bCs w:val="0"/>
          <w:spacing w:val="-3"/>
          <w:lang w:eastAsia="zh-CN"/>
        </w:rPr>
        <w:t>1</w:t>
      </w:r>
      <w:r>
        <w:rPr>
          <w:rFonts w:ascii="黑体" w:hAnsi="黑体" w:eastAsia="黑体" w:cs="黑体"/>
          <w:b w:val="0"/>
          <w:bCs w:val="0"/>
          <w:spacing w:val="-3"/>
          <w:lang w:eastAsia="zh-CN"/>
        </w:rPr>
        <w:t>一般规定</w:t>
      </w:r>
      <w:bookmarkEnd w:id="40"/>
      <w:bookmarkEnd w:id="41"/>
      <w:bookmarkEnd w:id="42"/>
    </w:p>
    <w:p w14:paraId="2F765485">
      <w:pPr>
        <w:numPr>
          <w:ilvl w:val="0"/>
          <w:numId w:val="29"/>
        </w:numPr>
        <w:bidi w:val="0"/>
        <w:ind w:left="0" w:leftChars="0" w:firstLine="0" w:firstLineChars="0"/>
        <w:rPr>
          <w:rFonts w:hint="eastAsia"/>
          <w:lang w:val="en-US" w:eastAsia="zh-CN"/>
        </w:rPr>
      </w:pPr>
      <w:r>
        <w:rPr>
          <w:rFonts w:hint="eastAsia"/>
          <w:lang w:val="en-US" w:eastAsia="zh-CN"/>
        </w:rPr>
        <w:t>不同型号的模块生产前，应由建设、设计、生产、施工单位对其工艺要求和质量标准进行交底与会审，并形成会审记录。</w:t>
      </w:r>
    </w:p>
    <w:p w14:paraId="68EA0600">
      <w:pPr>
        <w:numPr>
          <w:ilvl w:val="0"/>
          <w:numId w:val="29"/>
        </w:numPr>
        <w:bidi w:val="0"/>
        <w:ind w:left="0" w:leftChars="0" w:firstLine="0" w:firstLineChars="0"/>
        <w:rPr>
          <w:rFonts w:hint="default" w:ascii="Times New Roman" w:hAnsi="Times New Roman" w:eastAsia="宋体"/>
          <w:lang w:val="en-US" w:eastAsia="zh-CN"/>
        </w:rPr>
      </w:pPr>
      <w:r>
        <w:rPr>
          <w:rFonts w:hint="eastAsia" w:ascii="Times New Roman" w:hAnsi="Times New Roman" w:eastAsia="宋体"/>
          <w:lang w:val="en-US" w:eastAsia="zh-CN"/>
        </w:rPr>
        <w:t>模块单元及相关产品的制作及加工应</w:t>
      </w:r>
      <w:r>
        <w:rPr>
          <w:rFonts w:hint="eastAsia" w:ascii="Times New Roman" w:hAnsi="Times New Roman" w:eastAsia="宋体"/>
          <w:lang w:eastAsia="zh-CN"/>
        </w:rPr>
        <w:t>符合《钢结构工程施工规范》</w:t>
      </w:r>
      <w:r>
        <w:rPr>
          <w:rFonts w:hint="eastAsia"/>
          <w:lang w:val="en-US" w:eastAsia="zh-CN"/>
        </w:rPr>
        <w:t>等</w:t>
      </w:r>
      <w:r>
        <w:rPr>
          <w:rFonts w:hint="eastAsia" w:ascii="Times New Roman" w:hAnsi="Times New Roman" w:eastAsia="宋体"/>
          <w:lang w:eastAsia="zh-CN"/>
        </w:rPr>
        <w:t>现行国家</w:t>
      </w:r>
      <w:r>
        <w:rPr>
          <w:rFonts w:hint="eastAsia"/>
          <w:lang w:val="en-US" w:eastAsia="zh-CN"/>
        </w:rPr>
        <w:t>相关</w:t>
      </w:r>
      <w:r>
        <w:rPr>
          <w:rFonts w:hint="eastAsia" w:ascii="Times New Roman" w:hAnsi="Times New Roman" w:eastAsia="宋体"/>
          <w:lang w:eastAsia="zh-CN"/>
        </w:rPr>
        <w:t>标准</w:t>
      </w:r>
      <w:r>
        <w:rPr>
          <w:rFonts w:hint="eastAsia"/>
          <w:lang w:val="en-US" w:eastAsia="zh-CN"/>
        </w:rPr>
        <w:t>的要求。</w:t>
      </w:r>
    </w:p>
    <w:p w14:paraId="2330DA0D">
      <w:pPr>
        <w:numPr>
          <w:ilvl w:val="0"/>
          <w:numId w:val="0"/>
        </w:numPr>
        <w:tabs>
          <w:tab w:val="left" w:pos="0"/>
        </w:tabs>
        <w:bidi w:val="0"/>
        <w:ind w:leftChars="0"/>
        <w:rPr>
          <w:rFonts w:hint="eastAsia"/>
          <w:lang w:val="en-US" w:eastAsia="zh-CN"/>
        </w:rPr>
      </w:pPr>
      <w:r>
        <w:rPr>
          <w:rFonts w:hint="eastAsia"/>
          <w:b/>
          <w:bCs/>
          <w:lang w:eastAsia="zh-CN"/>
        </w:rPr>
        <w:t>【</w:t>
      </w:r>
      <w:r>
        <w:rPr>
          <w:rFonts w:hint="eastAsia"/>
          <w:b/>
          <w:bCs/>
          <w:lang w:val="en-US" w:eastAsia="zh-CN"/>
        </w:rPr>
        <w:t>条文说明6.1.1-6.1.2</w:t>
      </w:r>
      <w:r>
        <w:rPr>
          <w:rFonts w:hint="eastAsia"/>
          <w:b/>
          <w:bCs/>
          <w:lang w:eastAsia="zh-CN"/>
        </w:rPr>
        <w:t>】</w:t>
      </w:r>
      <w:r>
        <w:rPr>
          <w:rStyle w:val="46"/>
          <w:rFonts w:hint="eastAsia"/>
          <w:lang w:eastAsia="zh-CN"/>
        </w:rPr>
        <w:t>钢构件的加工工艺和加工质量应符合现行国家标准《钢结构工程施工规范》GB50755和《钢结构工程施工质量验收标准》GB50205的有关规定；</w:t>
      </w:r>
      <w:r>
        <w:rPr>
          <w:rStyle w:val="46"/>
          <w:lang w:eastAsia="zh-CN"/>
        </w:rPr>
        <w:t>焊</w:t>
      </w:r>
      <w:r>
        <w:rPr>
          <w:rStyle w:val="46"/>
          <w:rFonts w:hint="eastAsia"/>
          <w:lang w:val="en-US" w:eastAsia="zh-CN"/>
        </w:rPr>
        <w:t>接工程的检验应符合现行国家标准《钢结构工程施工质量验收标准》GB50205和《钢结构焊接规范》 GB 50661 的有关规定；紧固件连接工程的检验应符合现行国家标准《钢结构工程施工质量验收标准》GB 50205 的有关规定；防火涂料应按现行国家标准《钢结构防火涂料》GB 14907和《钢结构工程施工质量验收标准》GB 50205 的有关规定进行抗压强度、粘接强度、厚度、裂纹的检验；防腐蚀涂装工程的检验应符合国家现行标准《钢结构工程施工质量验收标准》GB 50205 、《建筑防腐蚀工程施工规范》GB 50212、《建筑防腐蚀工程施工质量验收标准》GB/T 50224 和《建筑钢结构防腐蚀技术标准》JGJ/T 251 的有关规定。</w:t>
      </w:r>
    </w:p>
    <w:p w14:paraId="2AC81923">
      <w:pPr>
        <w:numPr>
          <w:ilvl w:val="0"/>
          <w:numId w:val="0"/>
        </w:numPr>
        <w:tabs>
          <w:tab w:val="left" w:pos="0"/>
        </w:tabs>
        <w:bidi w:val="0"/>
        <w:ind w:leftChars="0"/>
        <w:rPr>
          <w:rFonts w:hint="eastAsia"/>
          <w:lang w:val="en-US" w:eastAsia="zh-CN"/>
        </w:rPr>
      </w:pPr>
    </w:p>
    <w:p w14:paraId="7D9BFEDB">
      <w:pPr>
        <w:numPr>
          <w:ilvl w:val="-1"/>
          <w:numId w:val="0"/>
        </w:numPr>
        <w:tabs>
          <w:tab w:val="left" w:pos="0"/>
        </w:tabs>
        <w:bidi w:val="0"/>
        <w:ind w:left="0" w:leftChars="0" w:firstLine="0" w:firstLineChars="0"/>
        <w:rPr>
          <w:rFonts w:hint="eastAsia" w:ascii="Times New Roman" w:hAnsi="Times New Roman" w:eastAsia="宋体"/>
          <w:lang w:eastAsia="zh-CN"/>
        </w:rPr>
      </w:pPr>
    </w:p>
    <w:p w14:paraId="4D514714">
      <w:pPr>
        <w:pStyle w:val="3"/>
        <w:bidi w:val="0"/>
        <w:rPr>
          <w:rFonts w:hint="default"/>
          <w:lang w:val="en-US" w:eastAsia="zh-CN"/>
        </w:rPr>
      </w:pPr>
      <w:bookmarkStart w:id="43" w:name="_Toc31899"/>
      <w:bookmarkStart w:id="44" w:name="_Toc24652"/>
      <w:r>
        <w:rPr>
          <w:rFonts w:hint="eastAsia"/>
          <w:lang w:val="en-US" w:eastAsia="zh-CN"/>
        </w:rPr>
        <w:t>6</w:t>
      </w:r>
      <w:r>
        <w:rPr>
          <w:rFonts w:hint="eastAsia"/>
          <w:lang w:eastAsia="zh-CN"/>
        </w:rPr>
        <w:t>.</w:t>
      </w:r>
      <w:r>
        <w:rPr>
          <w:rFonts w:hint="eastAsia"/>
          <w:lang w:val="en-US" w:eastAsia="zh-CN"/>
        </w:rPr>
        <w:t>2制作</w:t>
      </w:r>
      <w:bookmarkEnd w:id="43"/>
      <w:r>
        <w:rPr>
          <w:rFonts w:hint="eastAsia"/>
          <w:lang w:val="en-US" w:eastAsia="zh-CN"/>
        </w:rPr>
        <w:t>与验收</w:t>
      </w:r>
      <w:bookmarkEnd w:id="44"/>
    </w:p>
    <w:p w14:paraId="0D631962">
      <w:pPr>
        <w:numPr>
          <w:ilvl w:val="0"/>
          <w:numId w:val="30"/>
        </w:numPr>
        <w:bidi w:val="0"/>
        <w:ind w:left="0" w:leftChars="0" w:firstLine="0" w:firstLineChars="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模块化</w:t>
      </w:r>
      <w:r>
        <w:rPr>
          <w:rFonts w:hint="eastAsia"/>
          <w:color w:val="000000" w:themeColor="text1"/>
          <w:lang w:val="en-US" w:eastAsia="zh-CN"/>
          <w14:textFill>
            <w14:solidFill>
              <w14:schemeClr w14:val="tx1"/>
            </w14:solidFill>
          </w14:textFill>
        </w:rPr>
        <w:t>钢结构</w:t>
      </w:r>
      <w:r>
        <w:rPr>
          <w:rFonts w:hint="eastAsia"/>
          <w:color w:val="000000" w:themeColor="text1"/>
          <w:lang w:eastAsia="zh-CN"/>
          <w14:textFill>
            <w14:solidFill>
              <w14:schemeClr w14:val="tx1"/>
            </w14:solidFill>
          </w14:textFill>
        </w:rPr>
        <w:t>房屋原材料应符合《钢结构设计标准》GB 50017 等现行国家</w:t>
      </w:r>
      <w:r>
        <w:rPr>
          <w:rFonts w:hint="eastAsia"/>
          <w:color w:val="000000" w:themeColor="text1"/>
          <w:lang w:val="en-US" w:eastAsia="zh-CN"/>
          <w14:textFill>
            <w14:solidFill>
              <w14:schemeClr w14:val="tx1"/>
            </w14:solidFill>
          </w14:textFill>
        </w:rPr>
        <w:t>相关</w:t>
      </w:r>
      <w:r>
        <w:rPr>
          <w:rFonts w:hint="eastAsia"/>
          <w:color w:val="000000" w:themeColor="text1"/>
          <w:lang w:eastAsia="zh-CN"/>
          <w14:textFill>
            <w14:solidFill>
              <w14:schemeClr w14:val="tx1"/>
            </w14:solidFill>
          </w14:textFill>
        </w:rPr>
        <w:t>标准</w:t>
      </w:r>
      <w:r>
        <w:rPr>
          <w:rFonts w:hint="eastAsia"/>
          <w:color w:val="000000" w:themeColor="text1"/>
          <w:lang w:val="en-US" w:eastAsia="zh-CN"/>
          <w14:textFill>
            <w14:solidFill>
              <w14:schemeClr w14:val="tx1"/>
            </w14:solidFill>
          </w14:textFill>
        </w:rPr>
        <w:t>的</w:t>
      </w:r>
      <w:r>
        <w:rPr>
          <w:rFonts w:hint="eastAsia"/>
          <w:color w:val="000000" w:themeColor="text1"/>
          <w:lang w:eastAsia="zh-CN"/>
          <w14:textFill>
            <w14:solidFill>
              <w14:schemeClr w14:val="tx1"/>
            </w14:solidFill>
          </w14:textFill>
        </w:rPr>
        <w:t>规定。</w:t>
      </w:r>
    </w:p>
    <w:p w14:paraId="3C297E09">
      <w:pPr>
        <w:pStyle w:val="45"/>
        <w:numPr>
          <w:ilvl w:val="0"/>
          <w:numId w:val="0"/>
        </w:numPr>
        <w:bidi w:val="0"/>
        <w:ind w:leftChars="0"/>
        <w:rPr>
          <w:rFonts w:hint="eastAsia"/>
          <w:lang w:eastAsia="zh-CN"/>
        </w:rPr>
      </w:pPr>
      <w:r>
        <w:rPr>
          <w:rFonts w:hint="eastAsia"/>
          <w:b/>
          <w:bCs/>
          <w:lang w:eastAsia="zh-CN"/>
        </w:rPr>
        <w:t>【</w:t>
      </w:r>
      <w:r>
        <w:rPr>
          <w:rFonts w:hint="eastAsia"/>
          <w:b/>
          <w:bCs/>
          <w:lang w:val="en-US" w:eastAsia="zh-CN"/>
        </w:rPr>
        <w:t>条文说明</w:t>
      </w:r>
      <w:r>
        <w:rPr>
          <w:rFonts w:hint="eastAsia"/>
          <w:b/>
          <w:bCs/>
          <w:lang w:eastAsia="zh-CN"/>
        </w:rPr>
        <w:t>】</w:t>
      </w:r>
      <w:r>
        <w:rPr>
          <w:rFonts w:hint="eastAsia"/>
          <w:lang w:val="en-US" w:eastAsia="zh-CN"/>
        </w:rPr>
        <w:t>1.</w:t>
      </w:r>
      <w:r>
        <w:rPr>
          <w:rFonts w:hint="eastAsia"/>
          <w:lang w:eastAsia="zh-CN"/>
        </w:rPr>
        <w:t>所有原材料应具有质量证明书，并应符合设计要求和现行国家标准《钢结构设计标准》GB 50017 的规定；按有关规定需要复验的材料应在抽样复试合格后方可使用；</w:t>
      </w:r>
      <w:r>
        <w:rPr>
          <w:rFonts w:hint="eastAsia"/>
          <w:lang w:val="en-US" w:eastAsia="zh-CN"/>
        </w:rPr>
        <w:t>2.</w:t>
      </w:r>
      <w:r>
        <w:rPr>
          <w:rFonts w:hint="eastAsia"/>
          <w:lang w:eastAsia="zh-CN"/>
        </w:rPr>
        <w:t>模块单元框架主要由矩形方钢管柱和热轧型钢梁组成，其质量标准应分别符合国家现行标准《建筑结构用冷弯矩形铜管》JG/</w:t>
      </w:r>
      <w:r>
        <w:rPr>
          <w:rFonts w:hint="eastAsia"/>
          <w:lang w:val="en-US" w:eastAsia="zh-CN"/>
        </w:rPr>
        <w:t>T</w:t>
      </w:r>
      <w:r>
        <w:rPr>
          <w:rFonts w:hint="eastAsia"/>
          <w:lang w:eastAsia="zh-CN"/>
        </w:rPr>
        <w:t xml:space="preserve"> 178和《热轧型钢和部分型钢》GB/T 11263的规定，同一工程相互接长的方钢管柱截面应一致；</w:t>
      </w:r>
      <w:r>
        <w:rPr>
          <w:rFonts w:hint="eastAsia"/>
          <w:lang w:val="en-US" w:eastAsia="zh-CN"/>
        </w:rPr>
        <w:t>3</w:t>
      </w:r>
      <w:r>
        <w:rPr>
          <w:rFonts w:hint="eastAsia"/>
          <w:lang w:eastAsia="zh-CN"/>
        </w:rPr>
        <w:t>模块单元中带钢或钢板应满足现行国家标准《碳素结构》GB/T 700规定的Q235钢和《低合金高强度结构钢》GB/T 1591规定的Q355钢，当有可靠依据时，可采用其他牌号的钢材；</w:t>
      </w:r>
      <w:r>
        <w:rPr>
          <w:rFonts w:hint="eastAsia"/>
          <w:lang w:val="en-US" w:eastAsia="zh-CN"/>
        </w:rPr>
        <w:t>4</w:t>
      </w:r>
      <w:r>
        <w:rPr>
          <w:rFonts w:hint="eastAsia"/>
          <w:lang w:eastAsia="zh-CN"/>
        </w:rPr>
        <w:t>模块单元中薄壁钢材的性能要求和强度设计值应符合现行国家标准《冷弯薄壁型钢结构技术规范》GB 50018规定；</w:t>
      </w:r>
      <w:r>
        <w:rPr>
          <w:rFonts w:hint="eastAsia"/>
          <w:lang w:val="en-US" w:eastAsia="zh-CN"/>
        </w:rPr>
        <w:t>5</w:t>
      </w:r>
      <w:r>
        <w:rPr>
          <w:rFonts w:hint="eastAsia"/>
          <w:lang w:eastAsia="zh-CN"/>
        </w:rPr>
        <w:t>普通螺栓应符合现行国家标准《六角头螺栓》GB/T 5780的规定，其机械性能应符合现行国家标准《紧固件机械性能螺栓、螺钉和螺柱》GB/T 3098的规定，高强度螺栓应符合现行国家标准《钢结构用高强度大六角头螺栓》GB/T 1228 、《钢结构用高强度大六角螺母》GB/T 1229 、《钢结构用高强度垫圈》GB/T 1230 、《钢结构用高强度大六角头螺栓、大六角螺母、垫圈技术条件》GB/T 1231 和《钢结构用扭剪型高强度螺栓连接副》GB/T 3632 的规定，连接薄钢板或其他金属板采用的自攻螺钉应符合现行国家标准《十字槽盘头自钻自攻螺钉》 GB/T 36 15856. 1的规定；</w:t>
      </w:r>
      <w:r>
        <w:rPr>
          <w:rFonts w:hint="eastAsia"/>
          <w:lang w:val="en-US" w:eastAsia="zh-CN"/>
        </w:rPr>
        <w:t>6</w:t>
      </w:r>
      <w:r>
        <w:rPr>
          <w:rFonts w:hint="eastAsia"/>
          <w:lang w:eastAsia="zh-CN"/>
        </w:rPr>
        <w:t>焊接材料应按现行国家标准《钢结构工程施工质量验收标准》GB 50205的规定进行检查和验收；但采用其他焊接材料替代设计选用的材料时，必须经原设计单位同意。</w:t>
      </w:r>
    </w:p>
    <w:p w14:paraId="58D680F7">
      <w:pPr>
        <w:numPr>
          <w:ilvl w:val="0"/>
          <w:numId w:val="30"/>
        </w:numPr>
        <w:bidi w:val="0"/>
        <w:ind w:left="0" w:leftChars="0" w:firstLine="0" w:firstLineChars="0"/>
        <w:rPr>
          <w:rFonts w:hint="eastAsia"/>
          <w:lang w:eastAsia="zh-CN"/>
        </w:rPr>
      </w:pPr>
      <w:r>
        <w:rPr>
          <w:rFonts w:hint="eastAsia"/>
          <w:lang w:eastAsia="zh-CN"/>
        </w:rPr>
        <w:t>模块单元组成部件、构件及连接件应在工厂制作，模块单元部件、构件制作尺寸偏差应符合表</w:t>
      </w:r>
      <w:r>
        <w:rPr>
          <w:rFonts w:hint="eastAsia"/>
          <w:lang w:val="en-US" w:eastAsia="zh-CN"/>
        </w:rPr>
        <w:t>6</w:t>
      </w:r>
      <w:r>
        <w:rPr>
          <w:rFonts w:hint="eastAsia"/>
          <w:lang w:eastAsia="zh-CN"/>
        </w:rPr>
        <w:t>.</w:t>
      </w:r>
      <w:r>
        <w:rPr>
          <w:rFonts w:hint="eastAsia"/>
          <w:lang w:val="en-US" w:eastAsia="zh-CN"/>
        </w:rPr>
        <w:t>2</w:t>
      </w:r>
      <w:r>
        <w:rPr>
          <w:rFonts w:hint="eastAsia"/>
          <w:lang w:eastAsia="zh-CN"/>
        </w:rPr>
        <w:t>.2的规定。</w:t>
      </w:r>
    </w:p>
    <w:p w14:paraId="42FD4067">
      <w:pPr>
        <w:numPr>
          <w:ilvl w:val="0"/>
          <w:numId w:val="0"/>
        </w:numPr>
        <w:tabs>
          <w:tab w:val="left" w:pos="0"/>
        </w:tabs>
        <w:bidi w:val="0"/>
        <w:ind w:leftChars="0"/>
        <w:jc w:val="center"/>
        <w:rPr>
          <w:rFonts w:hint="eastAsia"/>
          <w:lang w:eastAsia="zh-CN"/>
        </w:rPr>
      </w:pPr>
      <w:r>
        <w:rPr>
          <w:rFonts w:hint="eastAsia"/>
          <w:lang w:eastAsia="zh-CN"/>
        </w:rPr>
        <w:t xml:space="preserve">表 </w:t>
      </w:r>
      <w:r>
        <w:rPr>
          <w:rFonts w:hint="eastAsia"/>
          <w:lang w:val="en-US" w:eastAsia="zh-CN"/>
        </w:rPr>
        <w:t>6</w:t>
      </w:r>
      <w:r>
        <w:rPr>
          <w:rFonts w:hint="eastAsia"/>
          <w:lang w:eastAsia="zh-CN"/>
        </w:rPr>
        <w:t>.</w:t>
      </w:r>
      <w:r>
        <w:rPr>
          <w:rFonts w:hint="eastAsia"/>
          <w:lang w:val="en-US" w:eastAsia="zh-CN"/>
        </w:rPr>
        <w:t>2</w:t>
      </w:r>
      <w:r>
        <w:rPr>
          <w:rFonts w:hint="eastAsia"/>
          <w:lang w:eastAsia="zh-CN"/>
        </w:rPr>
        <w:t>.</w:t>
      </w:r>
      <w:r>
        <w:rPr>
          <w:rFonts w:hint="eastAsia"/>
          <w:lang w:val="en-US" w:eastAsia="zh-CN"/>
        </w:rPr>
        <w:t>2</w:t>
      </w:r>
      <w:r>
        <w:rPr>
          <w:rFonts w:hint="eastAsia"/>
          <w:lang w:eastAsia="zh-CN"/>
        </w:rPr>
        <w:t xml:space="preserve">  模块单元部件、构件制作尺寸偏差</w:t>
      </w:r>
    </w:p>
    <w:p w14:paraId="049357DE">
      <w:pPr>
        <w:spacing w:line="22" w:lineRule="exact"/>
        <w:rPr>
          <w:lang w:eastAsia="zh-CN"/>
        </w:rPr>
      </w:pPr>
    </w:p>
    <w:tbl>
      <w:tblPr>
        <w:tblStyle w:val="2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1495"/>
        <w:gridCol w:w="1497"/>
        <w:gridCol w:w="5319"/>
      </w:tblGrid>
      <w:tr w14:paraId="3858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136" w:type="pct"/>
            <w:gridSpan w:val="3"/>
            <w:tcBorders>
              <w:top w:val="single" w:color="000000" w:sz="4" w:space="0"/>
              <w:left w:val="single" w:color="000000" w:sz="12" w:space="0"/>
              <w:bottom w:val="single" w:color="000000" w:sz="4" w:space="0"/>
              <w:right w:val="single" w:color="000000" w:sz="4" w:space="0"/>
            </w:tcBorders>
            <w:shd w:val="clear" w:color="auto" w:fill="auto"/>
            <w:vAlign w:val="center"/>
          </w:tcPr>
          <w:p w14:paraId="31429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shd w:val="clear" w:color="auto" w:fill="auto"/>
              </w:rPr>
            </w:pPr>
            <w:r>
              <w:rPr>
                <w:rFonts w:hint="eastAsia" w:ascii="宋体" w:hAnsi="宋体" w:eastAsia="宋体" w:cs="宋体"/>
                <w:i w:val="0"/>
                <w:iCs w:val="0"/>
                <w:color w:val="0A0A0A"/>
                <w:kern w:val="0"/>
                <w:sz w:val="20"/>
                <w:szCs w:val="20"/>
                <w:u w:val="none"/>
                <w:shd w:val="clear" w:color="auto" w:fill="auto"/>
                <w:lang w:val="en-US" w:eastAsia="zh-CN" w:bidi="ar"/>
              </w:rPr>
              <w:t>项目</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19C61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shd w:val="clear" w:color="auto" w:fill="auto"/>
              </w:rPr>
            </w:pPr>
            <w:r>
              <w:rPr>
                <w:rFonts w:hint="eastAsia" w:ascii="宋体" w:hAnsi="宋体" w:eastAsia="宋体" w:cs="宋体"/>
                <w:i w:val="0"/>
                <w:iCs w:val="0"/>
                <w:color w:val="0A0A0A"/>
                <w:kern w:val="0"/>
                <w:sz w:val="20"/>
                <w:szCs w:val="20"/>
                <w:u w:val="none"/>
                <w:shd w:val="clear" w:color="auto" w:fill="auto"/>
                <w:lang w:val="en-US" w:eastAsia="zh-CN" w:bidi="ar"/>
              </w:rPr>
              <w:t>允许偏差(mm)</w:t>
            </w:r>
          </w:p>
        </w:tc>
      </w:tr>
      <w:tr w14:paraId="123C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5" w:type="pct"/>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0D961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shd w:val="clear" w:color="auto" w:fill="auto"/>
              </w:rPr>
            </w:pPr>
            <w:r>
              <w:rPr>
                <w:rFonts w:hint="eastAsia" w:ascii="宋体" w:hAnsi="宋体" w:eastAsia="宋体" w:cs="宋体"/>
                <w:i w:val="0"/>
                <w:iCs w:val="0"/>
                <w:color w:val="0A0A0A"/>
                <w:kern w:val="0"/>
                <w:sz w:val="20"/>
                <w:szCs w:val="20"/>
                <w:u w:val="none"/>
                <w:shd w:val="clear" w:color="auto" w:fill="auto"/>
                <w:lang w:val="en-US" w:eastAsia="zh-CN" w:bidi="ar"/>
              </w:rPr>
              <w:t>模块</w:t>
            </w:r>
            <w:r>
              <w:rPr>
                <w:rFonts w:hint="eastAsia" w:ascii="宋体" w:hAnsi="宋体" w:eastAsia="宋体" w:cs="宋体"/>
                <w:i w:val="0"/>
                <w:iCs w:val="0"/>
                <w:color w:val="0A0A0A"/>
                <w:kern w:val="0"/>
                <w:sz w:val="20"/>
                <w:szCs w:val="20"/>
                <w:u w:val="none"/>
                <w:shd w:val="clear" w:color="auto" w:fill="auto"/>
                <w:lang w:val="en-US" w:eastAsia="zh-CN" w:bidi="ar"/>
              </w:rPr>
              <w:br w:type="textWrapping"/>
            </w:r>
            <w:r>
              <w:rPr>
                <w:rFonts w:hint="eastAsia" w:ascii="宋体" w:hAnsi="宋体" w:eastAsia="宋体" w:cs="宋体"/>
                <w:i w:val="0"/>
                <w:iCs w:val="0"/>
                <w:color w:val="0A0A0A"/>
                <w:kern w:val="0"/>
                <w:sz w:val="20"/>
                <w:szCs w:val="20"/>
                <w:u w:val="none"/>
                <w:shd w:val="clear" w:color="auto" w:fill="auto"/>
                <w:lang w:val="en-US" w:eastAsia="zh-CN" w:bidi="ar"/>
              </w:rPr>
              <w:t>地板</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15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shd w:val="clear" w:color="auto" w:fill="auto"/>
              </w:rPr>
            </w:pPr>
            <w:r>
              <w:rPr>
                <w:rFonts w:hint="eastAsia" w:ascii="宋体" w:hAnsi="宋体" w:eastAsia="宋体" w:cs="宋体"/>
                <w:i w:val="0"/>
                <w:iCs w:val="0"/>
                <w:color w:val="0A0A0A"/>
                <w:kern w:val="0"/>
                <w:sz w:val="20"/>
                <w:szCs w:val="20"/>
                <w:u w:val="none"/>
                <w:shd w:val="clear" w:color="auto" w:fill="auto"/>
                <w:lang w:val="en-US" w:eastAsia="zh-CN" w:bidi="ar"/>
              </w:rPr>
              <w:t>外形尺寸偏差</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9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shd w:val="clear" w:color="auto" w:fill="auto"/>
              </w:rPr>
            </w:pPr>
            <w:r>
              <w:rPr>
                <w:rFonts w:hint="eastAsia" w:ascii="宋体" w:hAnsi="宋体" w:eastAsia="宋体" w:cs="宋体"/>
                <w:i w:val="0"/>
                <w:iCs w:val="0"/>
                <w:color w:val="0A0A0A"/>
                <w:kern w:val="0"/>
                <w:sz w:val="20"/>
                <w:szCs w:val="20"/>
                <w:u w:val="none"/>
                <w:shd w:val="clear" w:color="auto" w:fill="auto"/>
                <w:lang w:val="en-US" w:eastAsia="zh-CN" w:bidi="ar"/>
              </w:rPr>
              <w:t>≥3600mm</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0465D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shd w:val="clear" w:color="auto" w:fill="auto"/>
              </w:rPr>
            </w:pPr>
            <w:r>
              <w:rPr>
                <w:rFonts w:hint="eastAsia" w:ascii="宋体" w:hAnsi="宋体" w:eastAsia="宋体" w:cs="宋体"/>
                <w:i w:val="0"/>
                <w:iCs w:val="0"/>
                <w:color w:val="0A0A0A"/>
                <w:kern w:val="0"/>
                <w:sz w:val="20"/>
                <w:szCs w:val="20"/>
                <w:u w:val="none"/>
                <w:shd w:val="clear" w:color="auto" w:fill="auto"/>
                <w:lang w:val="en-US" w:eastAsia="zh-CN" w:bidi="ar"/>
              </w:rPr>
              <w:t>0,-5</w:t>
            </w:r>
          </w:p>
        </w:tc>
      </w:tr>
      <w:tr w14:paraId="5AFB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0D988223">
            <w:pPr>
              <w:keepNext w:val="0"/>
              <w:keepLines w:val="0"/>
              <w:suppressLineNumbers w:val="0"/>
              <w:spacing w:before="0" w:beforeAutospacing="0" w:after="0" w:afterAutospacing="0"/>
              <w:ind w:left="0" w:right="0"/>
              <w:jc w:val="center"/>
              <w:rPr>
                <w:rFonts w:hint="eastAsia" w:ascii="宋体" w:hAnsi="宋体" w:eastAsia="宋体" w:cs="宋体"/>
                <w:i w:val="0"/>
                <w:iCs w:val="0"/>
                <w:color w:val="0A0A0A"/>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24170">
            <w:pPr>
              <w:keepNext w:val="0"/>
              <w:keepLines w:val="0"/>
              <w:suppressLineNumbers w:val="0"/>
              <w:spacing w:before="0" w:beforeAutospacing="0" w:after="0" w:afterAutospacing="0"/>
              <w:ind w:left="0" w:right="0"/>
              <w:jc w:val="center"/>
              <w:rPr>
                <w:rFonts w:hint="eastAsia" w:ascii="宋体" w:hAnsi="宋体" w:eastAsia="宋体" w:cs="宋体"/>
                <w:i w:val="0"/>
                <w:iCs w:val="0"/>
                <w:color w:val="0A0A0A"/>
                <w:sz w:val="20"/>
                <w:szCs w:val="20"/>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6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&lt;3600mm</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1263E8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0,-4</w:t>
            </w:r>
          </w:p>
        </w:tc>
      </w:tr>
      <w:tr w14:paraId="26DC0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1D6100D3">
            <w:pPr>
              <w:keepNext w:val="0"/>
              <w:keepLines w:val="0"/>
              <w:suppressLineNumbers w:val="0"/>
              <w:spacing w:before="0" w:beforeAutospacing="0" w:after="0" w:afterAutospacing="0"/>
              <w:ind w:left="0" w:right="0"/>
              <w:jc w:val="center"/>
              <w:rPr>
                <w:rFonts w:hint="eastAsia" w:ascii="宋体" w:hAnsi="宋体" w:eastAsia="宋体" w:cs="宋体"/>
                <w:i w:val="0"/>
                <w:iCs w:val="0"/>
                <w:color w:val="0A0A0A"/>
                <w:sz w:val="20"/>
                <w:szCs w:val="20"/>
                <w:u w:val="none"/>
              </w:rPr>
            </w:pP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DB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对角线</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20171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≤4</w:t>
            </w:r>
          </w:p>
        </w:tc>
      </w:tr>
      <w:tr w14:paraId="6D481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0EE1EE26">
            <w:pPr>
              <w:keepNext w:val="0"/>
              <w:keepLines w:val="0"/>
              <w:suppressLineNumbers w:val="0"/>
              <w:spacing w:before="0" w:beforeAutospacing="0" w:after="0" w:afterAutospacing="0"/>
              <w:ind w:left="0" w:right="0"/>
              <w:jc w:val="center"/>
              <w:rPr>
                <w:rFonts w:hint="eastAsia" w:ascii="宋体" w:hAnsi="宋体" w:eastAsia="宋体" w:cs="宋体"/>
                <w:i w:val="0"/>
                <w:iCs w:val="0"/>
                <w:color w:val="0A0A0A"/>
                <w:sz w:val="20"/>
                <w:szCs w:val="20"/>
                <w:u w:val="none"/>
              </w:rPr>
            </w:pP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9F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边框梁外腹面平面度</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0F311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≤4,且≤L/1000</w:t>
            </w:r>
          </w:p>
        </w:tc>
      </w:tr>
      <w:tr w14:paraId="7035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232D6013">
            <w:pPr>
              <w:keepNext w:val="0"/>
              <w:keepLines w:val="0"/>
              <w:suppressLineNumbers w:val="0"/>
              <w:spacing w:before="0" w:beforeAutospacing="0" w:after="0" w:afterAutospacing="0"/>
              <w:ind w:left="0" w:right="0"/>
              <w:jc w:val="center"/>
              <w:rPr>
                <w:rFonts w:hint="eastAsia" w:ascii="宋体" w:hAnsi="宋体" w:eastAsia="宋体" w:cs="宋体"/>
                <w:i w:val="0"/>
                <w:iCs w:val="0"/>
                <w:color w:val="0A0A0A"/>
                <w:sz w:val="20"/>
                <w:szCs w:val="20"/>
                <w:u w:val="none"/>
              </w:rPr>
            </w:pP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32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相邻楼板高低差</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1292B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2.0±1</w:t>
            </w:r>
          </w:p>
        </w:tc>
      </w:tr>
      <w:tr w14:paraId="26A5D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377344DB">
            <w:pPr>
              <w:keepNext w:val="0"/>
              <w:keepLines w:val="0"/>
              <w:suppressLineNumbers w:val="0"/>
              <w:spacing w:before="0" w:beforeAutospacing="0" w:after="0" w:afterAutospacing="0"/>
              <w:ind w:left="0" w:right="0"/>
              <w:jc w:val="center"/>
              <w:rPr>
                <w:rFonts w:hint="eastAsia" w:ascii="宋体" w:hAnsi="宋体" w:eastAsia="宋体" w:cs="宋体"/>
                <w:i w:val="0"/>
                <w:iCs w:val="0"/>
                <w:color w:val="0A0A0A"/>
                <w:sz w:val="20"/>
                <w:szCs w:val="20"/>
                <w:u w:val="none"/>
              </w:rPr>
            </w:pP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30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底部六点支撑状态下,楼板平面度</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2F2215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≤3,且≤L/1000</w:t>
            </w:r>
          </w:p>
        </w:tc>
      </w:tr>
      <w:tr w14:paraId="59F38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0B80719D">
            <w:pPr>
              <w:keepNext w:val="0"/>
              <w:keepLines w:val="0"/>
              <w:suppressLineNumbers w:val="0"/>
              <w:spacing w:before="0" w:beforeAutospacing="0" w:after="0" w:afterAutospacing="0"/>
              <w:ind w:left="0" w:right="0"/>
              <w:jc w:val="center"/>
              <w:rPr>
                <w:rFonts w:hint="eastAsia" w:ascii="宋体" w:hAnsi="宋体" w:eastAsia="宋体" w:cs="宋体"/>
                <w:i w:val="0"/>
                <w:iCs w:val="0"/>
                <w:color w:val="0A0A0A"/>
                <w:sz w:val="20"/>
                <w:szCs w:val="20"/>
                <w:u w:val="none"/>
              </w:rPr>
            </w:pP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B9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自由状态下,次梁下表面平面度</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7CD02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≤3,且≤L/1000</w:t>
            </w:r>
          </w:p>
        </w:tc>
      </w:tr>
      <w:tr w14:paraId="6CB5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25" w:type="pct"/>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229EE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模块</w:t>
            </w:r>
            <w:r>
              <w:rPr>
                <w:rFonts w:hint="eastAsia" w:ascii="宋体" w:hAnsi="宋体" w:eastAsia="宋体" w:cs="宋体"/>
                <w:i w:val="0"/>
                <w:iCs w:val="0"/>
                <w:color w:val="0A0A0A"/>
                <w:kern w:val="0"/>
                <w:sz w:val="20"/>
                <w:szCs w:val="20"/>
                <w:u w:val="none"/>
                <w:lang w:val="en-US" w:eastAsia="zh-CN" w:bidi="ar"/>
              </w:rPr>
              <w:br w:type="textWrapping"/>
            </w:r>
            <w:r>
              <w:rPr>
                <w:rFonts w:hint="eastAsia" w:ascii="宋体" w:hAnsi="宋体" w:eastAsia="宋体" w:cs="宋体"/>
                <w:i w:val="0"/>
                <w:iCs w:val="0"/>
                <w:color w:val="0A0A0A"/>
                <w:kern w:val="0"/>
                <w:sz w:val="20"/>
                <w:szCs w:val="20"/>
                <w:u w:val="none"/>
                <w:lang w:val="en-US" w:eastAsia="zh-CN" w:bidi="ar"/>
              </w:rPr>
              <w:t>顶板</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DC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外形尺寸偏差</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D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≥3600mm</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0E64C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0,-5</w:t>
            </w:r>
          </w:p>
        </w:tc>
      </w:tr>
      <w:tr w14:paraId="0756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765FA29E">
            <w:pPr>
              <w:keepNext w:val="0"/>
              <w:keepLines w:val="0"/>
              <w:suppressLineNumbers w:val="0"/>
              <w:spacing w:before="0" w:beforeAutospacing="0" w:after="0" w:afterAutospacing="0"/>
              <w:ind w:left="0" w:right="0"/>
              <w:jc w:val="center"/>
              <w:rPr>
                <w:rFonts w:hint="eastAsia" w:ascii="宋体" w:hAnsi="宋体" w:eastAsia="宋体" w:cs="宋体"/>
                <w:i w:val="0"/>
                <w:iCs w:val="0"/>
                <w:color w:val="0A0A0A"/>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5868D">
            <w:pPr>
              <w:keepNext w:val="0"/>
              <w:keepLines w:val="0"/>
              <w:suppressLineNumbers w:val="0"/>
              <w:spacing w:before="0" w:beforeAutospacing="0" w:after="0" w:afterAutospacing="0"/>
              <w:ind w:left="0" w:right="0"/>
              <w:jc w:val="center"/>
              <w:rPr>
                <w:rFonts w:hint="eastAsia" w:ascii="宋体" w:hAnsi="宋体" w:eastAsia="宋体" w:cs="宋体"/>
                <w:i w:val="0"/>
                <w:iCs w:val="0"/>
                <w:color w:val="0A0A0A"/>
                <w:sz w:val="20"/>
                <w:szCs w:val="20"/>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7A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&lt;3600mm</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52EC98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0,-4</w:t>
            </w:r>
          </w:p>
        </w:tc>
      </w:tr>
      <w:tr w14:paraId="41DD7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105B3143">
            <w:pPr>
              <w:keepNext w:val="0"/>
              <w:keepLines w:val="0"/>
              <w:suppressLineNumbers w:val="0"/>
              <w:spacing w:before="0" w:beforeAutospacing="0" w:after="0" w:afterAutospacing="0"/>
              <w:ind w:left="0" w:right="0"/>
              <w:jc w:val="center"/>
              <w:rPr>
                <w:rFonts w:hint="eastAsia" w:ascii="宋体" w:hAnsi="宋体" w:eastAsia="宋体" w:cs="宋体"/>
                <w:i w:val="0"/>
                <w:iCs w:val="0"/>
                <w:color w:val="0A0A0A"/>
                <w:sz w:val="20"/>
                <w:szCs w:val="20"/>
                <w:u w:val="none"/>
              </w:rPr>
            </w:pP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4D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对角线</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7BCC4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≤4</w:t>
            </w:r>
          </w:p>
        </w:tc>
      </w:tr>
      <w:tr w14:paraId="7A32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1078AEC7">
            <w:pPr>
              <w:keepNext w:val="0"/>
              <w:keepLines w:val="0"/>
              <w:suppressLineNumbers w:val="0"/>
              <w:spacing w:before="0" w:beforeAutospacing="0" w:after="0" w:afterAutospacing="0"/>
              <w:ind w:left="0" w:right="0"/>
              <w:jc w:val="center"/>
              <w:rPr>
                <w:rFonts w:hint="eastAsia" w:ascii="宋体" w:hAnsi="宋体" w:eastAsia="宋体" w:cs="宋体"/>
                <w:i w:val="0"/>
                <w:iCs w:val="0"/>
                <w:color w:val="0A0A0A"/>
                <w:sz w:val="20"/>
                <w:szCs w:val="20"/>
                <w:u w:val="none"/>
              </w:rPr>
            </w:pP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F0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边框梁外腹面平面度</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199E9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≤4,且≤L/1000</w:t>
            </w:r>
          </w:p>
        </w:tc>
      </w:tr>
      <w:tr w14:paraId="4EA8A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185BDE4B">
            <w:pPr>
              <w:keepNext w:val="0"/>
              <w:keepLines w:val="0"/>
              <w:suppressLineNumbers w:val="0"/>
              <w:spacing w:before="0" w:beforeAutospacing="0" w:after="0" w:afterAutospacing="0"/>
              <w:ind w:left="0" w:right="0"/>
              <w:jc w:val="center"/>
              <w:rPr>
                <w:rFonts w:hint="eastAsia" w:ascii="宋体" w:hAnsi="宋体" w:eastAsia="宋体" w:cs="宋体"/>
                <w:i w:val="0"/>
                <w:iCs w:val="0"/>
                <w:color w:val="0A0A0A"/>
                <w:sz w:val="20"/>
                <w:szCs w:val="20"/>
                <w:u w:val="none"/>
              </w:rPr>
            </w:pP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0D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自由状态下,吊顶板平面度</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5B638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≤3,且≤L/1000</w:t>
            </w:r>
          </w:p>
        </w:tc>
      </w:tr>
      <w:tr w14:paraId="6E6F6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3E232919">
            <w:pPr>
              <w:keepNext w:val="0"/>
              <w:keepLines w:val="0"/>
              <w:suppressLineNumbers w:val="0"/>
              <w:spacing w:before="0" w:beforeAutospacing="0" w:after="0" w:afterAutospacing="0"/>
              <w:ind w:left="0" w:right="0"/>
              <w:jc w:val="center"/>
              <w:rPr>
                <w:rFonts w:hint="eastAsia" w:ascii="宋体" w:hAnsi="宋体" w:eastAsia="宋体" w:cs="宋体"/>
                <w:i w:val="0"/>
                <w:iCs w:val="0"/>
                <w:color w:val="0A0A0A"/>
                <w:sz w:val="20"/>
                <w:szCs w:val="20"/>
                <w:u w:val="none"/>
              </w:rPr>
            </w:pP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65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吊顶板差接缝间隙</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6BA88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≤1.5</w:t>
            </w:r>
          </w:p>
        </w:tc>
      </w:tr>
      <w:tr w14:paraId="6F56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4C8D8941">
            <w:pPr>
              <w:keepNext w:val="0"/>
              <w:keepLines w:val="0"/>
              <w:suppressLineNumbers w:val="0"/>
              <w:spacing w:before="0" w:beforeAutospacing="0" w:after="0" w:afterAutospacing="0"/>
              <w:ind w:left="0" w:right="0"/>
              <w:jc w:val="center"/>
              <w:rPr>
                <w:rFonts w:hint="eastAsia" w:ascii="宋体" w:hAnsi="宋体" w:eastAsia="宋体" w:cs="宋体"/>
                <w:i w:val="0"/>
                <w:iCs w:val="0"/>
                <w:color w:val="0A0A0A"/>
                <w:sz w:val="20"/>
                <w:szCs w:val="20"/>
                <w:u w:val="none"/>
              </w:rPr>
            </w:pPr>
          </w:p>
        </w:tc>
        <w:tc>
          <w:tcPr>
            <w:tcW w:w="1610" w:type="pct"/>
            <w:gridSpan w:val="2"/>
            <w:tcBorders>
              <w:top w:val="single" w:color="000000" w:sz="4" w:space="0"/>
              <w:left w:val="single" w:color="000000" w:sz="4" w:space="0"/>
              <w:bottom w:val="single" w:color="000000" w:sz="12" w:space="0"/>
              <w:right w:val="single" w:color="000000" w:sz="4" w:space="0"/>
            </w:tcBorders>
            <w:shd w:val="clear" w:color="auto" w:fill="auto"/>
            <w:vAlign w:val="center"/>
          </w:tcPr>
          <w:p w14:paraId="0977D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装配式吊顶板接缝直线度</w:t>
            </w:r>
          </w:p>
        </w:tc>
        <w:tc>
          <w:tcPr>
            <w:tcW w:w="2863" w:type="pct"/>
            <w:tcBorders>
              <w:top w:val="single" w:color="000000" w:sz="4" w:space="0"/>
              <w:left w:val="single" w:color="000000" w:sz="4" w:space="0"/>
              <w:bottom w:val="single" w:color="000000" w:sz="12" w:space="0"/>
              <w:right w:val="single" w:color="000000" w:sz="12" w:space="0"/>
            </w:tcBorders>
            <w:shd w:val="clear" w:color="auto" w:fill="auto"/>
            <w:vAlign w:val="center"/>
          </w:tcPr>
          <w:p w14:paraId="45F9B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A0A0A"/>
                <w:sz w:val="20"/>
                <w:szCs w:val="20"/>
                <w:u w:val="none"/>
              </w:rPr>
            </w:pPr>
            <w:r>
              <w:rPr>
                <w:rFonts w:hint="eastAsia" w:ascii="宋体" w:hAnsi="宋体" w:eastAsia="宋体" w:cs="宋体"/>
                <w:i w:val="0"/>
                <w:iCs w:val="0"/>
                <w:color w:val="0A0A0A"/>
                <w:kern w:val="0"/>
                <w:sz w:val="20"/>
                <w:szCs w:val="20"/>
                <w:u w:val="none"/>
                <w:lang w:val="en-US" w:eastAsia="zh-CN" w:bidi="ar"/>
              </w:rPr>
              <w:t>≤2</w:t>
            </w:r>
          </w:p>
        </w:tc>
      </w:tr>
      <w:tr w14:paraId="44AF2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25" w:type="pct"/>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5746681C">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模块</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墙板</w:t>
            </w: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4FE00">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长度</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59C43353">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0,-2</w:t>
            </w:r>
          </w:p>
        </w:tc>
      </w:tr>
      <w:tr w14:paraId="0172B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3C8F19C6">
            <w:pPr>
              <w:keepNext w:val="0"/>
              <w:keepLines w:val="0"/>
              <w:suppressLineNumbers w:val="0"/>
              <w:spacing w:before="0" w:beforeAutospacing="0" w:after="0" w:afterAutospacing="0"/>
              <w:ind w:left="0" w:right="0"/>
              <w:jc w:val="center"/>
              <w:rPr>
                <w:rFonts w:hint="default" w:ascii="报宋" w:hAnsi="报宋" w:eastAsia="报宋" w:cs="报宋"/>
                <w:i w:val="0"/>
                <w:iCs w:val="0"/>
                <w:color w:val="0A0A0A"/>
                <w:sz w:val="20"/>
                <w:szCs w:val="20"/>
                <w:u w:val="none"/>
              </w:rPr>
            </w:pP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56B04">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宽度</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12D9142C">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0,-2</w:t>
            </w:r>
          </w:p>
        </w:tc>
      </w:tr>
      <w:tr w14:paraId="7582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020C77F6">
            <w:pPr>
              <w:keepNext w:val="0"/>
              <w:keepLines w:val="0"/>
              <w:suppressLineNumbers w:val="0"/>
              <w:spacing w:before="0" w:beforeAutospacing="0" w:after="0" w:afterAutospacing="0"/>
              <w:ind w:left="0" w:right="0"/>
              <w:jc w:val="center"/>
              <w:rPr>
                <w:rFonts w:hint="default" w:ascii="报宋" w:hAnsi="报宋" w:eastAsia="报宋" w:cs="报宋"/>
                <w:i w:val="0"/>
                <w:iCs w:val="0"/>
                <w:color w:val="0A0A0A"/>
                <w:sz w:val="20"/>
                <w:szCs w:val="20"/>
                <w:u w:val="none"/>
              </w:rPr>
            </w:pP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351F7">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厚度</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446396BD">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士1</w:t>
            </w:r>
          </w:p>
        </w:tc>
      </w:tr>
      <w:tr w14:paraId="63A1E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6877123F">
            <w:pPr>
              <w:keepNext w:val="0"/>
              <w:keepLines w:val="0"/>
              <w:suppressLineNumbers w:val="0"/>
              <w:spacing w:before="0" w:beforeAutospacing="0" w:after="0" w:afterAutospacing="0"/>
              <w:ind w:left="0" w:right="0"/>
              <w:jc w:val="center"/>
              <w:rPr>
                <w:rFonts w:hint="default" w:ascii="报宋" w:hAnsi="报宋" w:eastAsia="报宋" w:cs="报宋"/>
                <w:i w:val="0"/>
                <w:iCs w:val="0"/>
                <w:color w:val="0A0A0A"/>
                <w:sz w:val="20"/>
                <w:szCs w:val="20"/>
                <w:u w:val="none"/>
              </w:rPr>
            </w:pP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B37C7">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对角线</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21BD37C4">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≤3</w:t>
            </w:r>
          </w:p>
        </w:tc>
      </w:tr>
      <w:tr w14:paraId="7439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6D279D21">
            <w:pPr>
              <w:keepNext w:val="0"/>
              <w:keepLines w:val="0"/>
              <w:suppressLineNumbers w:val="0"/>
              <w:spacing w:before="0" w:beforeAutospacing="0" w:after="0" w:afterAutospacing="0"/>
              <w:ind w:left="0" w:right="0"/>
              <w:jc w:val="center"/>
              <w:rPr>
                <w:rFonts w:hint="default" w:ascii="报宋" w:hAnsi="报宋" w:eastAsia="报宋" w:cs="报宋"/>
                <w:i w:val="0"/>
                <w:iCs w:val="0"/>
                <w:color w:val="0A0A0A"/>
                <w:sz w:val="20"/>
                <w:szCs w:val="20"/>
                <w:u w:val="none"/>
              </w:rPr>
            </w:pP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454DE">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表面平整度</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5A9206BC">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≤1</w:t>
            </w:r>
          </w:p>
        </w:tc>
      </w:tr>
      <w:tr w14:paraId="49E4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25" w:type="pct"/>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30C8D70E">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门窗</w:t>
            </w: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CA84F">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门窗框对角线</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265BAD51">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≤3</w:t>
            </w:r>
          </w:p>
        </w:tc>
      </w:tr>
      <w:tr w14:paraId="4DF0E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67F91677">
            <w:pPr>
              <w:keepNext w:val="0"/>
              <w:keepLines w:val="0"/>
              <w:suppressLineNumbers w:val="0"/>
              <w:spacing w:before="0" w:beforeAutospacing="0" w:after="0" w:afterAutospacing="0"/>
              <w:ind w:left="0" w:right="0"/>
              <w:jc w:val="center"/>
              <w:rPr>
                <w:rFonts w:hint="default" w:ascii="报宋" w:hAnsi="报宋" w:eastAsia="报宋" w:cs="报宋"/>
                <w:i w:val="0"/>
                <w:iCs w:val="0"/>
                <w:color w:val="0A0A0A"/>
                <w:sz w:val="20"/>
                <w:szCs w:val="20"/>
                <w:u w:val="none"/>
              </w:rPr>
            </w:pP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649D7">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门窗框正、侧面垂直度</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33A702C1">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≤2</w:t>
            </w:r>
          </w:p>
        </w:tc>
      </w:tr>
      <w:tr w14:paraId="651D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1081AA9B">
            <w:pPr>
              <w:keepNext w:val="0"/>
              <w:keepLines w:val="0"/>
              <w:suppressLineNumbers w:val="0"/>
              <w:spacing w:before="0" w:beforeAutospacing="0" w:after="0" w:afterAutospacing="0"/>
              <w:ind w:left="0" w:right="0"/>
              <w:jc w:val="center"/>
              <w:rPr>
                <w:rFonts w:hint="default" w:ascii="报宋" w:hAnsi="报宋" w:eastAsia="报宋" w:cs="报宋"/>
                <w:i w:val="0"/>
                <w:iCs w:val="0"/>
                <w:color w:val="0A0A0A"/>
                <w:sz w:val="20"/>
                <w:szCs w:val="20"/>
                <w:u w:val="none"/>
              </w:rPr>
            </w:pP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37778">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门窗框水平度</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27F1AC01">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≤3</w:t>
            </w:r>
          </w:p>
        </w:tc>
      </w:tr>
      <w:tr w14:paraId="651CB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25" w:type="pct"/>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53A43FF9">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柱承重单元</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角柱</w:t>
            </w: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846C9">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长度</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28329A2A">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0,-2</w:t>
            </w:r>
          </w:p>
        </w:tc>
      </w:tr>
      <w:tr w14:paraId="2F85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04D91B0F">
            <w:pPr>
              <w:keepNext w:val="0"/>
              <w:keepLines w:val="0"/>
              <w:suppressLineNumbers w:val="0"/>
              <w:spacing w:before="0" w:beforeAutospacing="0" w:after="0" w:afterAutospacing="0"/>
              <w:ind w:left="0" w:right="0"/>
              <w:jc w:val="center"/>
              <w:rPr>
                <w:rFonts w:hint="default" w:ascii="报宋" w:hAnsi="报宋" w:eastAsia="报宋" w:cs="报宋"/>
                <w:i w:val="0"/>
                <w:iCs w:val="0"/>
                <w:color w:val="0A0A0A"/>
                <w:sz w:val="20"/>
                <w:szCs w:val="20"/>
                <w:u w:val="none"/>
              </w:rPr>
            </w:pP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1ADBB">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截面尺寸</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42B2AE26">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士1</w:t>
            </w:r>
          </w:p>
        </w:tc>
      </w:tr>
      <w:tr w14:paraId="1346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59931158">
            <w:pPr>
              <w:keepNext w:val="0"/>
              <w:keepLines w:val="0"/>
              <w:suppressLineNumbers w:val="0"/>
              <w:spacing w:before="0" w:beforeAutospacing="0" w:after="0" w:afterAutospacing="0"/>
              <w:ind w:left="0" w:right="0"/>
              <w:jc w:val="center"/>
              <w:rPr>
                <w:rFonts w:hint="default" w:ascii="报宋" w:hAnsi="报宋" w:eastAsia="报宋" w:cs="报宋"/>
                <w:i w:val="0"/>
                <w:iCs w:val="0"/>
                <w:color w:val="0A0A0A"/>
                <w:sz w:val="20"/>
                <w:szCs w:val="20"/>
                <w:u w:val="none"/>
              </w:rPr>
            </w:pP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C7B7B">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两端板与角柱侧面的垂直度</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18274680">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≤1.5</w:t>
            </w:r>
          </w:p>
        </w:tc>
      </w:tr>
      <w:tr w14:paraId="07E18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6F0CBDED">
            <w:pPr>
              <w:keepNext w:val="0"/>
              <w:keepLines w:val="0"/>
              <w:suppressLineNumbers w:val="0"/>
              <w:spacing w:before="0" w:beforeAutospacing="0" w:after="0" w:afterAutospacing="0"/>
              <w:ind w:left="0" w:right="0"/>
              <w:jc w:val="center"/>
              <w:rPr>
                <w:rFonts w:hint="default" w:ascii="报宋" w:hAnsi="报宋" w:eastAsia="报宋" w:cs="报宋"/>
                <w:i w:val="0"/>
                <w:iCs w:val="0"/>
                <w:color w:val="0A0A0A"/>
                <w:sz w:val="20"/>
                <w:szCs w:val="20"/>
                <w:u w:val="none"/>
              </w:rPr>
            </w:pP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30A38">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两端连接板平行度</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208FD94A">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≤1.5°</w:t>
            </w:r>
          </w:p>
        </w:tc>
      </w:tr>
      <w:tr w14:paraId="3B2E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2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15E604B5">
            <w:pPr>
              <w:keepNext w:val="0"/>
              <w:keepLines w:val="0"/>
              <w:suppressLineNumbers w:val="0"/>
              <w:spacing w:before="0" w:beforeAutospacing="0" w:after="0" w:afterAutospacing="0"/>
              <w:ind w:left="0" w:right="0"/>
              <w:jc w:val="center"/>
              <w:rPr>
                <w:rFonts w:hint="default" w:ascii="报宋" w:hAnsi="报宋" w:eastAsia="报宋" w:cs="报宋"/>
                <w:i w:val="0"/>
                <w:iCs w:val="0"/>
                <w:color w:val="0A0A0A"/>
                <w:sz w:val="20"/>
                <w:szCs w:val="20"/>
                <w:u w:val="none"/>
              </w:rPr>
            </w:pP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1C020">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立柱连接孔间距</w:t>
            </w:r>
          </w:p>
        </w:tc>
        <w:tc>
          <w:tcPr>
            <w:tcW w:w="2863"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2DF721C4">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士1</w:t>
            </w:r>
          </w:p>
        </w:tc>
      </w:tr>
    </w:tbl>
    <w:p w14:paraId="3450BA5D">
      <w:pPr>
        <w:bidi w:val="0"/>
        <w:rPr>
          <w:rFonts w:hint="eastAsia"/>
          <w:lang w:val="en-US" w:eastAsia="zh-CN"/>
        </w:rPr>
      </w:pPr>
      <w:r>
        <w:rPr>
          <w:rFonts w:hint="eastAsia"/>
          <w:lang w:val="en-US" w:eastAsia="zh-CN"/>
        </w:rPr>
        <w:t>注：L为模块单元结构梁长</w:t>
      </w:r>
    </w:p>
    <w:p w14:paraId="42F06DCB">
      <w:pPr>
        <w:numPr>
          <w:ilvl w:val="0"/>
          <w:numId w:val="30"/>
        </w:numPr>
        <w:bidi w:val="0"/>
        <w:ind w:left="0" w:leftChars="0" w:firstLine="0" w:firstLineChars="0"/>
        <w:rPr>
          <w:rFonts w:hint="eastAsia"/>
          <w:lang w:eastAsia="zh-CN"/>
        </w:rPr>
      </w:pPr>
      <w:r>
        <w:rPr>
          <w:rFonts w:hint="eastAsia"/>
          <w:lang w:eastAsia="zh-CN"/>
        </w:rPr>
        <w:t>模块结构制作完成后，模块成品应满足下列规定后方可出厂:</w:t>
      </w:r>
    </w:p>
    <w:p w14:paraId="6580C823">
      <w:pPr>
        <w:numPr>
          <w:ilvl w:val="0"/>
          <w:numId w:val="31"/>
        </w:numPr>
        <w:bidi w:val="0"/>
        <w:ind w:left="0" w:leftChars="0" w:firstLine="420" w:firstLineChars="0"/>
        <w:rPr>
          <w:rFonts w:hint="eastAsia"/>
          <w:lang w:eastAsia="zh-CN"/>
        </w:rPr>
      </w:pPr>
      <w:r>
        <w:rPr>
          <w:rFonts w:hint="eastAsia"/>
          <w:lang w:eastAsia="zh-CN"/>
        </w:rPr>
        <w:t>应对构配件的内在质量、外观质量和尺寸精度进行验收，形成验收记录，出具出厂合格证、质量保证书和检验报告；</w:t>
      </w:r>
    </w:p>
    <w:p w14:paraId="1346953D">
      <w:pPr>
        <w:numPr>
          <w:ilvl w:val="0"/>
          <w:numId w:val="31"/>
        </w:numPr>
        <w:bidi w:val="0"/>
        <w:ind w:left="0" w:leftChars="0" w:firstLine="420" w:firstLineChars="0"/>
        <w:rPr>
          <w:rFonts w:hint="eastAsia"/>
          <w:lang w:eastAsia="zh-CN"/>
        </w:rPr>
      </w:pPr>
      <w:r>
        <w:rPr>
          <w:rFonts w:hint="eastAsia"/>
          <w:lang w:eastAsia="zh-CN"/>
        </w:rPr>
        <w:t>宜根据施工详图进行相邻模块间的预拼装，发现问题及时修改，合格后在角柱分别标记定位轴线及水平标高线作为下道工序制作安装基准线；</w:t>
      </w:r>
    </w:p>
    <w:p w14:paraId="617EE69E">
      <w:pPr>
        <w:numPr>
          <w:ilvl w:val="0"/>
          <w:numId w:val="31"/>
        </w:numPr>
        <w:bidi w:val="0"/>
        <w:ind w:left="0" w:leftChars="0" w:firstLine="420" w:firstLineChars="0"/>
        <w:rPr>
          <w:rFonts w:hint="eastAsia"/>
          <w:lang w:eastAsia="zh-CN"/>
        </w:rPr>
      </w:pPr>
      <w:r>
        <w:rPr>
          <w:rFonts w:hint="eastAsia"/>
          <w:lang w:eastAsia="zh-CN"/>
        </w:rPr>
        <w:t>所有内部可移动部件应有可靠固定和保护措施；</w:t>
      </w:r>
    </w:p>
    <w:p w14:paraId="08E07242">
      <w:pPr>
        <w:numPr>
          <w:ilvl w:val="0"/>
          <w:numId w:val="31"/>
        </w:numPr>
        <w:bidi w:val="0"/>
        <w:ind w:left="0" w:leftChars="0" w:firstLine="420" w:firstLineChars="0"/>
        <w:rPr>
          <w:rFonts w:hint="eastAsia"/>
          <w:lang w:eastAsia="zh-CN"/>
        </w:rPr>
      </w:pPr>
      <w:r>
        <w:rPr>
          <w:rFonts w:hint="eastAsia"/>
          <w:lang w:eastAsia="zh-CN"/>
        </w:rPr>
        <w:t>模块门、窗洞口的位置应有临时密封措施；</w:t>
      </w:r>
    </w:p>
    <w:p w14:paraId="7688AF33">
      <w:pPr>
        <w:numPr>
          <w:ilvl w:val="0"/>
          <w:numId w:val="31"/>
        </w:numPr>
        <w:bidi w:val="0"/>
        <w:ind w:left="0" w:leftChars="0" w:firstLine="420" w:firstLineChars="0"/>
        <w:rPr>
          <w:rFonts w:hint="eastAsia"/>
          <w:lang w:eastAsia="zh-CN"/>
        </w:rPr>
      </w:pPr>
      <w:r>
        <w:rPr>
          <w:rFonts w:hint="eastAsia"/>
          <w:lang w:eastAsia="zh-CN"/>
        </w:rPr>
        <w:t>模块顶部有运输和储存过程中的临时防水措施；</w:t>
      </w:r>
    </w:p>
    <w:p w14:paraId="147C30EC">
      <w:pPr>
        <w:numPr>
          <w:ilvl w:val="0"/>
          <w:numId w:val="31"/>
        </w:numPr>
        <w:bidi w:val="0"/>
        <w:ind w:left="0" w:leftChars="0" w:firstLine="420" w:firstLineChars="0"/>
        <w:rPr>
          <w:rFonts w:hint="eastAsia"/>
          <w:lang w:eastAsia="zh-CN"/>
        </w:rPr>
      </w:pPr>
      <w:r>
        <w:rPr>
          <w:rFonts w:hint="eastAsia"/>
          <w:lang w:eastAsia="zh-CN"/>
        </w:rPr>
        <w:t>模块内部应整洁、干净，装饰装修应无划痕和损坏。</w:t>
      </w:r>
    </w:p>
    <w:p w14:paraId="6BADEA8F">
      <w:pPr>
        <w:numPr>
          <w:ilvl w:val="0"/>
          <w:numId w:val="30"/>
        </w:numPr>
        <w:bidi w:val="0"/>
        <w:ind w:left="0" w:leftChars="0" w:firstLine="0" w:firstLineChars="0"/>
        <w:rPr>
          <w:rFonts w:hint="eastAsia"/>
          <w:lang w:eastAsia="zh-CN"/>
        </w:rPr>
      </w:pPr>
      <w:r>
        <w:rPr>
          <w:rFonts w:hint="eastAsia"/>
          <w:lang w:eastAsia="zh-CN"/>
        </w:rPr>
        <w:t>模块单元的组装宜在工厂进行，考虑到运输因素，可在工地组装，组装场地应达到混凝土地面的硬化要求，模块单元尺寸偏差应符合表</w:t>
      </w:r>
      <w:r>
        <w:rPr>
          <w:rFonts w:hint="eastAsia"/>
          <w:lang w:val="en-US" w:eastAsia="zh-CN"/>
        </w:rPr>
        <w:t>6.2.4</w:t>
      </w:r>
      <w:r>
        <w:rPr>
          <w:rFonts w:hint="eastAsia"/>
          <w:lang w:eastAsia="zh-CN"/>
        </w:rPr>
        <w:t>的规定。</w:t>
      </w:r>
    </w:p>
    <w:p w14:paraId="1CD0735B">
      <w:pPr>
        <w:pStyle w:val="43"/>
        <w:bidi w:val="0"/>
        <w:jc w:val="center"/>
        <w:rPr>
          <w:rFonts w:hint="eastAsia"/>
          <w:lang w:eastAsia="zh-CN"/>
        </w:rPr>
      </w:pPr>
      <w:r>
        <w:rPr>
          <w:rFonts w:hint="eastAsia"/>
          <w:lang w:eastAsia="zh-CN"/>
        </w:rPr>
        <w:t>表</w:t>
      </w:r>
      <w:r>
        <w:rPr>
          <w:rFonts w:hint="eastAsia"/>
          <w:lang w:val="en-US" w:eastAsia="zh-CN"/>
        </w:rPr>
        <w:t>6</w:t>
      </w:r>
      <w:r>
        <w:rPr>
          <w:rFonts w:hint="eastAsia"/>
          <w:lang w:eastAsia="zh-CN"/>
        </w:rPr>
        <w:t>.</w:t>
      </w:r>
      <w:r>
        <w:rPr>
          <w:rFonts w:hint="eastAsia"/>
          <w:lang w:val="en-US" w:eastAsia="zh-CN"/>
        </w:rPr>
        <w:t>2</w:t>
      </w:r>
      <w:r>
        <w:rPr>
          <w:rFonts w:hint="eastAsia"/>
          <w:lang w:eastAsia="zh-CN"/>
        </w:rPr>
        <w:t>.</w:t>
      </w:r>
      <w:r>
        <w:rPr>
          <w:rFonts w:hint="eastAsia"/>
          <w:lang w:val="en-US" w:eastAsia="zh-CN"/>
        </w:rPr>
        <w:t>4</w:t>
      </w:r>
      <w:r>
        <w:rPr>
          <w:rFonts w:hint="eastAsia"/>
          <w:lang w:eastAsia="zh-CN"/>
        </w:rPr>
        <w:t xml:space="preserve"> 模块单元尺寸偏差</w:t>
      </w:r>
    </w:p>
    <w:tbl>
      <w:tblPr>
        <w:tblStyle w:val="2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87"/>
        <w:gridCol w:w="2902"/>
        <w:gridCol w:w="3297"/>
      </w:tblGrid>
      <w:tr w14:paraId="0A3BC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3224" w:type="pct"/>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14:paraId="0F27655D">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项目</w:t>
            </w:r>
          </w:p>
        </w:tc>
        <w:tc>
          <w:tcPr>
            <w:tcW w:w="1775" w:type="pct"/>
            <w:tcBorders>
              <w:top w:val="single" w:color="000000" w:sz="12" w:space="0"/>
              <w:left w:val="single" w:color="000000" w:sz="4" w:space="0"/>
              <w:bottom w:val="single" w:color="000000" w:sz="4" w:space="0"/>
              <w:right w:val="single" w:color="000000" w:sz="12" w:space="0"/>
            </w:tcBorders>
            <w:shd w:val="clear" w:color="auto" w:fill="auto"/>
            <w:vAlign w:val="center"/>
          </w:tcPr>
          <w:p w14:paraId="0531194D">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允许偏差(mm)</w:t>
            </w:r>
          </w:p>
        </w:tc>
      </w:tr>
      <w:tr w14:paraId="2B8D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662" w:type="pct"/>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00F96787">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模块单元(箱体)</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外形尺寸</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0A2CB">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≥3600mm</w:t>
            </w:r>
          </w:p>
        </w:tc>
        <w:tc>
          <w:tcPr>
            <w:tcW w:w="1775"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07C63DAF">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0,-5</w:t>
            </w:r>
          </w:p>
        </w:tc>
      </w:tr>
      <w:tr w14:paraId="3A17B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62"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5DA4B36F">
            <w:pPr>
              <w:keepNext w:val="0"/>
              <w:keepLines w:val="0"/>
              <w:suppressLineNumbers w:val="0"/>
              <w:spacing w:before="0" w:beforeAutospacing="0" w:after="0" w:afterAutospacing="0"/>
              <w:ind w:left="0" w:right="0"/>
              <w:jc w:val="center"/>
              <w:rPr>
                <w:rFonts w:hint="default" w:ascii="报宋" w:hAnsi="报宋" w:eastAsia="报宋" w:cs="报宋"/>
                <w:i w:val="0"/>
                <w:iCs w:val="0"/>
                <w:color w:val="0A0A0A"/>
                <w:sz w:val="20"/>
                <w:szCs w:val="20"/>
                <w:u w:val="none"/>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DFD88">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&lt;3600mm</w:t>
            </w:r>
          </w:p>
        </w:tc>
        <w:tc>
          <w:tcPr>
            <w:tcW w:w="1775"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47D66350">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0,-4</w:t>
            </w:r>
          </w:p>
        </w:tc>
      </w:tr>
      <w:tr w14:paraId="4CAE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662"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0CBE2AF0">
            <w:pPr>
              <w:keepNext w:val="0"/>
              <w:keepLines w:val="0"/>
              <w:suppressLineNumbers w:val="0"/>
              <w:spacing w:before="0" w:beforeAutospacing="0" w:after="0" w:afterAutospacing="0"/>
              <w:ind w:left="0" w:right="0"/>
              <w:jc w:val="center"/>
              <w:rPr>
                <w:rFonts w:hint="default" w:ascii="报宋" w:hAnsi="报宋" w:eastAsia="报宋" w:cs="报宋"/>
                <w:i w:val="0"/>
                <w:iCs w:val="0"/>
                <w:color w:val="0A0A0A"/>
                <w:sz w:val="20"/>
                <w:szCs w:val="20"/>
                <w:u w:val="none"/>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C842B">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端面对角线</w:t>
            </w:r>
          </w:p>
        </w:tc>
        <w:tc>
          <w:tcPr>
            <w:tcW w:w="1775"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07599B93">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≤4</w:t>
            </w:r>
          </w:p>
        </w:tc>
      </w:tr>
      <w:tr w14:paraId="029E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62"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647F68A9">
            <w:pPr>
              <w:keepNext w:val="0"/>
              <w:keepLines w:val="0"/>
              <w:suppressLineNumbers w:val="0"/>
              <w:spacing w:before="0" w:beforeAutospacing="0" w:after="0" w:afterAutospacing="0"/>
              <w:ind w:left="0" w:right="0"/>
              <w:jc w:val="center"/>
              <w:rPr>
                <w:rFonts w:hint="default" w:ascii="报宋" w:hAnsi="报宋" w:eastAsia="报宋" w:cs="报宋"/>
                <w:i w:val="0"/>
                <w:iCs w:val="0"/>
                <w:color w:val="0A0A0A"/>
                <w:sz w:val="20"/>
                <w:szCs w:val="20"/>
                <w:u w:val="none"/>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DF255">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侧面对角线</w:t>
            </w:r>
          </w:p>
        </w:tc>
        <w:tc>
          <w:tcPr>
            <w:tcW w:w="1775"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0717A3B5">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≤5</w:t>
            </w:r>
          </w:p>
        </w:tc>
      </w:tr>
      <w:tr w14:paraId="3B0C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224" w:type="pct"/>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078550F1">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模块单元(箱体) 垂直度</w:t>
            </w:r>
          </w:p>
        </w:tc>
        <w:tc>
          <w:tcPr>
            <w:tcW w:w="1775"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1583F86D">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≤3,且≤H/1000</w:t>
            </w:r>
          </w:p>
        </w:tc>
      </w:tr>
      <w:tr w14:paraId="6B762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662" w:type="pct"/>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44582E96">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模块单元(箱体)</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墙体平面度</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3B748">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表面平整度</w:t>
            </w:r>
          </w:p>
        </w:tc>
        <w:tc>
          <w:tcPr>
            <w:tcW w:w="1775"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0F9A6CB7">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≤2</w:t>
            </w:r>
          </w:p>
        </w:tc>
      </w:tr>
      <w:tr w14:paraId="6EACB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62"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7F3DA9D0">
            <w:pPr>
              <w:keepNext w:val="0"/>
              <w:keepLines w:val="0"/>
              <w:suppressLineNumbers w:val="0"/>
              <w:spacing w:before="0" w:beforeAutospacing="0" w:after="0" w:afterAutospacing="0"/>
              <w:ind w:left="0" w:right="0"/>
              <w:jc w:val="center"/>
              <w:rPr>
                <w:rFonts w:hint="default" w:ascii="报宋" w:hAnsi="报宋" w:eastAsia="报宋" w:cs="报宋"/>
                <w:i w:val="0"/>
                <w:iCs w:val="0"/>
                <w:color w:val="0A0A0A"/>
                <w:sz w:val="20"/>
                <w:szCs w:val="20"/>
                <w:u w:val="none"/>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B31D5">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与 楼面垂直度</w:t>
            </w:r>
          </w:p>
        </w:tc>
        <w:tc>
          <w:tcPr>
            <w:tcW w:w="1775"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2EDB49C4">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≤3</w:t>
            </w:r>
          </w:p>
        </w:tc>
      </w:tr>
      <w:tr w14:paraId="0D811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62"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2B8E9ED2">
            <w:pPr>
              <w:keepNext w:val="0"/>
              <w:keepLines w:val="0"/>
              <w:suppressLineNumbers w:val="0"/>
              <w:spacing w:before="0" w:beforeAutospacing="0" w:after="0" w:afterAutospacing="0"/>
              <w:ind w:left="0" w:right="0"/>
              <w:jc w:val="center"/>
              <w:rPr>
                <w:rFonts w:hint="default" w:ascii="报宋" w:hAnsi="报宋" w:eastAsia="报宋" w:cs="报宋"/>
                <w:i w:val="0"/>
                <w:iCs w:val="0"/>
                <w:color w:val="0A0A0A"/>
                <w:sz w:val="20"/>
                <w:szCs w:val="20"/>
                <w:u w:val="none"/>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5702F">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接缝间隙</w:t>
            </w:r>
          </w:p>
        </w:tc>
        <w:tc>
          <w:tcPr>
            <w:tcW w:w="1775"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7F903104">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≤1.5</w:t>
            </w:r>
          </w:p>
        </w:tc>
      </w:tr>
      <w:tr w14:paraId="6342F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62"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10B578F7">
            <w:pPr>
              <w:keepNext w:val="0"/>
              <w:keepLines w:val="0"/>
              <w:suppressLineNumbers w:val="0"/>
              <w:spacing w:before="0" w:beforeAutospacing="0" w:after="0" w:afterAutospacing="0"/>
              <w:ind w:left="0" w:right="0"/>
              <w:jc w:val="center"/>
              <w:rPr>
                <w:rFonts w:hint="default" w:ascii="报宋" w:hAnsi="报宋" w:eastAsia="报宋" w:cs="报宋"/>
                <w:i w:val="0"/>
                <w:iCs w:val="0"/>
                <w:color w:val="0A0A0A"/>
                <w:sz w:val="20"/>
                <w:szCs w:val="20"/>
                <w:u w:val="none"/>
              </w:rPr>
            </w:pPr>
          </w:p>
        </w:tc>
        <w:tc>
          <w:tcPr>
            <w:tcW w:w="1562" w:type="pct"/>
            <w:tcBorders>
              <w:top w:val="single" w:color="000000" w:sz="4" w:space="0"/>
              <w:left w:val="single" w:color="000000" w:sz="4" w:space="0"/>
              <w:bottom w:val="single" w:color="000000" w:sz="12" w:space="0"/>
              <w:right w:val="single" w:color="000000" w:sz="4" w:space="0"/>
            </w:tcBorders>
            <w:shd w:val="clear" w:color="auto" w:fill="auto"/>
            <w:vAlign w:val="center"/>
          </w:tcPr>
          <w:p w14:paraId="38666430">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接缝直线度</w:t>
            </w:r>
          </w:p>
        </w:tc>
        <w:tc>
          <w:tcPr>
            <w:tcW w:w="1775" w:type="pct"/>
            <w:tcBorders>
              <w:top w:val="single" w:color="000000" w:sz="4" w:space="0"/>
              <w:left w:val="single" w:color="000000" w:sz="4" w:space="0"/>
              <w:bottom w:val="single" w:color="000000" w:sz="12" w:space="0"/>
              <w:right w:val="single" w:color="000000" w:sz="12" w:space="0"/>
            </w:tcBorders>
            <w:shd w:val="clear" w:color="auto" w:fill="auto"/>
            <w:vAlign w:val="center"/>
          </w:tcPr>
          <w:p w14:paraId="55DB38AE">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≤2</w:t>
            </w:r>
          </w:p>
        </w:tc>
      </w:tr>
      <w:tr w14:paraId="41E73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3224" w:type="pct"/>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552F24B0">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模块单元顶板(顶棚)挠度</w:t>
            </w:r>
          </w:p>
        </w:tc>
        <w:tc>
          <w:tcPr>
            <w:tcW w:w="1775"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60EF6B0F">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≤10,且≤L/1500</w:t>
            </w:r>
          </w:p>
        </w:tc>
      </w:tr>
      <w:tr w14:paraId="036E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3224" w:type="pct"/>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0E809571">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模块单元地板(楼板)挠度</w:t>
            </w:r>
          </w:p>
        </w:tc>
        <w:tc>
          <w:tcPr>
            <w:tcW w:w="1775"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7EF0C53C">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≤10,且≤L/1500</w:t>
            </w:r>
          </w:p>
        </w:tc>
      </w:tr>
      <w:tr w14:paraId="0D776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3224" w:type="pct"/>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33F1D97E">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梁、柱截面扭曲</w:t>
            </w:r>
          </w:p>
        </w:tc>
        <w:tc>
          <w:tcPr>
            <w:tcW w:w="1775"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10426CC2">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±2</w:t>
            </w:r>
          </w:p>
        </w:tc>
      </w:tr>
      <w:tr w14:paraId="1C820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62" w:type="pct"/>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51AEF129">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门窗</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AE4E">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长度</w:t>
            </w:r>
          </w:p>
        </w:tc>
        <w:tc>
          <w:tcPr>
            <w:tcW w:w="1775"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459919B3">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≤1.5</w:t>
            </w:r>
          </w:p>
        </w:tc>
      </w:tr>
      <w:tr w14:paraId="4570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662"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1DAACE0F">
            <w:pPr>
              <w:keepNext w:val="0"/>
              <w:keepLines w:val="0"/>
              <w:suppressLineNumbers w:val="0"/>
              <w:spacing w:before="0" w:beforeAutospacing="0" w:after="0" w:afterAutospacing="0"/>
              <w:ind w:left="0" w:right="0"/>
              <w:jc w:val="center"/>
              <w:rPr>
                <w:rFonts w:hint="default" w:ascii="报宋" w:hAnsi="报宋" w:eastAsia="报宋" w:cs="报宋"/>
                <w:i w:val="0"/>
                <w:iCs w:val="0"/>
                <w:color w:val="0A0A0A"/>
                <w:sz w:val="20"/>
                <w:szCs w:val="20"/>
                <w:u w:val="none"/>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27867">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宽度</w:t>
            </w:r>
          </w:p>
        </w:tc>
        <w:tc>
          <w:tcPr>
            <w:tcW w:w="1775"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0EA6FA77">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≤1.5</w:t>
            </w:r>
          </w:p>
        </w:tc>
      </w:tr>
      <w:tr w14:paraId="68BE1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662"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30B88F1C">
            <w:pPr>
              <w:keepNext w:val="0"/>
              <w:keepLines w:val="0"/>
              <w:suppressLineNumbers w:val="0"/>
              <w:spacing w:before="0" w:beforeAutospacing="0" w:after="0" w:afterAutospacing="0"/>
              <w:ind w:left="0" w:right="0"/>
              <w:jc w:val="center"/>
              <w:rPr>
                <w:rFonts w:hint="default" w:ascii="报宋" w:hAnsi="报宋" w:eastAsia="报宋" w:cs="报宋"/>
                <w:i w:val="0"/>
                <w:iCs w:val="0"/>
                <w:color w:val="0A0A0A"/>
                <w:sz w:val="20"/>
                <w:szCs w:val="20"/>
                <w:u w:val="none"/>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66949">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对角线</w:t>
            </w:r>
          </w:p>
        </w:tc>
        <w:tc>
          <w:tcPr>
            <w:tcW w:w="1775"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470EB0DA">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≤3</w:t>
            </w:r>
          </w:p>
        </w:tc>
      </w:tr>
      <w:tr w14:paraId="66FC1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662" w:type="pct"/>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5AFEFF70">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踢脚线、阴角线、</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顶角线</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78D3F">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拼缝间隙</w:t>
            </w:r>
          </w:p>
        </w:tc>
        <w:tc>
          <w:tcPr>
            <w:tcW w:w="1775"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625C802D">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≤1</w:t>
            </w:r>
          </w:p>
        </w:tc>
      </w:tr>
      <w:tr w14:paraId="01C3C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662"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408E7704">
            <w:pPr>
              <w:keepNext w:val="0"/>
              <w:keepLines w:val="0"/>
              <w:suppressLineNumbers w:val="0"/>
              <w:spacing w:before="0" w:beforeAutospacing="0" w:after="0" w:afterAutospacing="0"/>
              <w:ind w:left="0" w:right="0"/>
              <w:jc w:val="center"/>
              <w:rPr>
                <w:rFonts w:hint="default" w:ascii="报宋" w:hAnsi="报宋" w:eastAsia="报宋" w:cs="报宋"/>
                <w:i w:val="0"/>
                <w:iCs w:val="0"/>
                <w:color w:val="0A0A0A"/>
                <w:sz w:val="20"/>
                <w:szCs w:val="20"/>
                <w:u w:val="none"/>
              </w:rPr>
            </w:pPr>
          </w:p>
        </w:tc>
        <w:tc>
          <w:tcPr>
            <w:tcW w:w="1562" w:type="pct"/>
            <w:tcBorders>
              <w:top w:val="single" w:color="000000" w:sz="4" w:space="0"/>
              <w:left w:val="single" w:color="000000" w:sz="4" w:space="0"/>
              <w:bottom w:val="single" w:color="000000" w:sz="12" w:space="0"/>
              <w:right w:val="single" w:color="000000" w:sz="4" w:space="0"/>
            </w:tcBorders>
            <w:shd w:val="clear" w:color="auto" w:fill="auto"/>
            <w:vAlign w:val="center"/>
          </w:tcPr>
          <w:p w14:paraId="4D9E93C2">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与墙板和顶棚的贴合度</w:t>
            </w:r>
          </w:p>
        </w:tc>
        <w:tc>
          <w:tcPr>
            <w:tcW w:w="1775" w:type="pct"/>
            <w:tcBorders>
              <w:top w:val="single" w:color="000000" w:sz="4" w:space="0"/>
              <w:left w:val="single" w:color="000000" w:sz="4" w:space="0"/>
              <w:bottom w:val="single" w:color="000000" w:sz="12" w:space="0"/>
              <w:right w:val="single" w:color="000000" w:sz="12" w:space="0"/>
            </w:tcBorders>
            <w:shd w:val="clear" w:color="auto" w:fill="auto"/>
            <w:vAlign w:val="center"/>
          </w:tcPr>
          <w:p w14:paraId="7B9333A3">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良好</w:t>
            </w:r>
          </w:p>
        </w:tc>
      </w:tr>
    </w:tbl>
    <w:p w14:paraId="3FBA0A05">
      <w:pPr>
        <w:pStyle w:val="45"/>
        <w:numPr>
          <w:ilvl w:val="0"/>
          <w:numId w:val="0"/>
        </w:numPr>
        <w:bidi w:val="0"/>
        <w:ind w:leftChars="0"/>
        <w:rPr>
          <w:rFonts w:hint="eastAsia"/>
          <w:lang w:eastAsia="zh-CN"/>
        </w:rPr>
      </w:pPr>
    </w:p>
    <w:p w14:paraId="17154E07">
      <w:pPr>
        <w:numPr>
          <w:ilvl w:val="0"/>
          <w:numId w:val="30"/>
        </w:numPr>
        <w:bidi w:val="0"/>
        <w:ind w:left="0" w:leftChars="0" w:firstLine="0" w:firstLineChars="0"/>
        <w:rPr>
          <w:rFonts w:hint="eastAsia" w:ascii="Times New Roman" w:hAnsi="Times New Roman" w:eastAsia="宋体"/>
          <w:lang w:val="en-US" w:eastAsia="zh-CN"/>
        </w:rPr>
      </w:pPr>
      <w:r>
        <w:rPr>
          <w:rFonts w:ascii="Times New Roman" w:hAnsi="Times New Roman" w:eastAsia="宋体"/>
          <w:lang w:eastAsia="zh-CN"/>
        </w:rPr>
        <w:t>采用轻钢龙骨复合墙体时，墙体安装尺寸偏差应符合表</w:t>
      </w:r>
      <w:r>
        <w:rPr>
          <w:rFonts w:hint="eastAsia"/>
          <w:lang w:val="en-US" w:eastAsia="zh-CN"/>
        </w:rPr>
        <w:t>6.2.5</w:t>
      </w:r>
      <w:r>
        <w:rPr>
          <w:rFonts w:ascii="Times New Roman" w:hAnsi="Times New Roman" w:eastAsia="宋体"/>
          <w:lang w:eastAsia="zh-CN"/>
        </w:rPr>
        <w:t>的规定。</w:t>
      </w:r>
    </w:p>
    <w:p w14:paraId="046BCC71">
      <w:pPr>
        <w:numPr>
          <w:ilvl w:val="0"/>
          <w:numId w:val="0"/>
        </w:numPr>
        <w:tabs>
          <w:tab w:val="left" w:pos="0"/>
        </w:tabs>
        <w:bidi w:val="0"/>
        <w:ind w:leftChars="0" w:firstLine="480" w:firstLineChars="200"/>
        <w:rPr>
          <w:rFonts w:ascii="Times New Roman" w:hAnsi="Times New Roman" w:eastAsia="宋体"/>
          <w:lang w:eastAsia="zh-CN"/>
        </w:rPr>
      </w:pPr>
      <w:r>
        <w:rPr>
          <w:rFonts w:ascii="Times New Roman" w:hAnsi="Times New Roman" w:eastAsia="宋体"/>
          <w:lang w:eastAsia="zh-CN"/>
        </w:rPr>
        <w:t>检查数量：全数检验。</w:t>
      </w:r>
    </w:p>
    <w:p w14:paraId="2C0BD53F">
      <w:pPr>
        <w:numPr>
          <w:ilvl w:val="0"/>
          <w:numId w:val="0"/>
        </w:numPr>
        <w:tabs>
          <w:tab w:val="left" w:pos="0"/>
        </w:tabs>
        <w:bidi w:val="0"/>
        <w:ind w:leftChars="0" w:firstLine="480" w:firstLineChars="200"/>
        <w:rPr>
          <w:rFonts w:hint="eastAsia" w:ascii="Times New Roman" w:hAnsi="Times New Roman" w:eastAsia="宋体"/>
          <w:lang w:val="en-US" w:eastAsia="zh-CN"/>
        </w:rPr>
      </w:pPr>
      <w:r>
        <w:rPr>
          <w:rFonts w:ascii="Times New Roman" w:hAnsi="Times New Roman" w:eastAsia="宋体"/>
          <w:lang w:eastAsia="zh-CN"/>
        </w:rPr>
        <w:t>检查方法：应符合表</w:t>
      </w:r>
      <w:r>
        <w:rPr>
          <w:rFonts w:hint="eastAsia"/>
          <w:lang w:val="en-US" w:eastAsia="zh-CN"/>
        </w:rPr>
        <w:t>6</w:t>
      </w:r>
      <w:r>
        <w:rPr>
          <w:rFonts w:ascii="Times New Roman" w:hAnsi="Times New Roman" w:eastAsia="宋体"/>
          <w:lang w:eastAsia="zh-CN"/>
        </w:rPr>
        <w:t>.</w:t>
      </w:r>
      <w:r>
        <w:rPr>
          <w:rFonts w:hint="eastAsia"/>
          <w:lang w:val="en-US" w:eastAsia="zh-CN"/>
        </w:rPr>
        <w:t>2</w:t>
      </w:r>
      <w:r>
        <w:rPr>
          <w:rFonts w:ascii="Times New Roman" w:hAnsi="Times New Roman" w:eastAsia="宋体"/>
          <w:lang w:eastAsia="zh-CN"/>
        </w:rPr>
        <w:t>.</w:t>
      </w:r>
      <w:r>
        <w:rPr>
          <w:rFonts w:hint="eastAsia"/>
          <w:lang w:val="en-US" w:eastAsia="zh-CN"/>
        </w:rPr>
        <w:t>5</w:t>
      </w:r>
      <w:r>
        <w:rPr>
          <w:rFonts w:ascii="Times New Roman" w:hAnsi="Times New Roman" w:eastAsia="宋体"/>
          <w:lang w:eastAsia="zh-CN"/>
        </w:rPr>
        <w:t xml:space="preserve"> 的规定。</w:t>
      </w:r>
    </w:p>
    <w:p w14:paraId="1EB64A10">
      <w:pPr>
        <w:spacing w:before="109" w:line="195" w:lineRule="auto"/>
        <w:ind w:left="2645"/>
        <w:rPr>
          <w:rFonts w:ascii="黑体" w:hAnsi="黑体" w:eastAsia="黑体" w:cs="黑体"/>
          <w:sz w:val="18"/>
          <w:szCs w:val="18"/>
          <w:lang w:eastAsia="zh-CN"/>
        </w:rPr>
      </w:pPr>
      <w:r>
        <w:rPr>
          <w:rFonts w:ascii="黑体" w:hAnsi="黑体" w:eastAsia="黑体" w:cs="黑体"/>
          <w:spacing w:val="6"/>
          <w:sz w:val="18"/>
          <w:szCs w:val="18"/>
          <w:lang w:eastAsia="zh-CN"/>
        </w:rPr>
        <w:t>表</w:t>
      </w:r>
      <w:r>
        <w:rPr>
          <w:rFonts w:ascii="黑体" w:hAnsi="黑体" w:eastAsia="黑体" w:cs="黑体"/>
          <w:spacing w:val="-10"/>
          <w:sz w:val="18"/>
          <w:szCs w:val="18"/>
          <w:lang w:eastAsia="zh-CN"/>
        </w:rPr>
        <w:t xml:space="preserve"> </w:t>
      </w:r>
      <w:r>
        <w:rPr>
          <w:rFonts w:hint="eastAsia" w:eastAsia="Times New Roman" w:cs="Times New Roman"/>
          <w:b/>
          <w:bCs/>
          <w:spacing w:val="6"/>
          <w:sz w:val="18"/>
          <w:szCs w:val="18"/>
          <w:lang w:val="en-US" w:eastAsia="zh-CN"/>
        </w:rPr>
        <w:t>6.2.5</w:t>
      </w:r>
      <w:r>
        <w:rPr>
          <w:rFonts w:ascii="Times New Roman" w:hAnsi="Times New Roman" w:eastAsia="Times New Roman" w:cs="Times New Roman"/>
          <w:b/>
          <w:bCs/>
          <w:spacing w:val="6"/>
          <w:sz w:val="18"/>
          <w:szCs w:val="18"/>
          <w:lang w:eastAsia="zh-CN"/>
        </w:rPr>
        <w:t xml:space="preserve">    </w:t>
      </w:r>
      <w:r>
        <w:rPr>
          <w:rFonts w:ascii="黑体" w:hAnsi="黑体" w:eastAsia="黑体" w:cs="黑体"/>
          <w:spacing w:val="6"/>
          <w:sz w:val="18"/>
          <w:szCs w:val="18"/>
          <w:lang w:eastAsia="zh-CN"/>
        </w:rPr>
        <w:t>轻钢龙骨复合墙体安装尺寸允许偏差</w:t>
      </w:r>
    </w:p>
    <w:p w14:paraId="77B30369">
      <w:pPr>
        <w:spacing w:line="22" w:lineRule="exact"/>
        <w:rPr>
          <w:lang w:eastAsia="zh-CN"/>
        </w:rPr>
      </w:pPr>
    </w:p>
    <w:tbl>
      <w:tblPr>
        <w:tblStyle w:val="41"/>
        <w:tblW w:w="924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7"/>
        <w:gridCol w:w="2303"/>
        <w:gridCol w:w="2303"/>
        <w:gridCol w:w="2317"/>
      </w:tblGrid>
      <w:tr w14:paraId="19495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2317" w:type="dxa"/>
            <w:vMerge w:val="restart"/>
            <w:tcBorders>
              <w:top w:val="single" w:color="000000" w:sz="10" w:space="0"/>
              <w:left w:val="single" w:color="000000" w:sz="10" w:space="0"/>
              <w:bottom w:val="nil"/>
            </w:tcBorders>
          </w:tcPr>
          <w:p w14:paraId="54C50CC6">
            <w:pPr>
              <w:pStyle w:val="44"/>
              <w:spacing w:before="267" w:line="221" w:lineRule="auto"/>
              <w:ind w:left="828"/>
              <w:rPr>
                <w:sz w:val="20"/>
                <w:szCs w:val="20"/>
              </w:rPr>
            </w:pPr>
            <w:r>
              <w:rPr>
                <w:spacing w:val="6"/>
                <w:sz w:val="20"/>
                <w:szCs w:val="20"/>
              </w:rPr>
              <w:t>检查项目</w:t>
            </w:r>
          </w:p>
        </w:tc>
        <w:tc>
          <w:tcPr>
            <w:tcW w:w="6923" w:type="dxa"/>
            <w:gridSpan w:val="3"/>
            <w:tcBorders>
              <w:top w:val="single" w:color="000000" w:sz="10" w:space="0"/>
              <w:right w:val="single" w:color="000000" w:sz="10" w:space="0"/>
            </w:tcBorders>
          </w:tcPr>
          <w:p w14:paraId="2F254BD5">
            <w:pPr>
              <w:pStyle w:val="44"/>
              <w:spacing w:before="97" w:line="235" w:lineRule="auto"/>
              <w:ind w:left="2861"/>
              <w:rPr>
                <w:sz w:val="20"/>
                <w:szCs w:val="20"/>
              </w:rPr>
            </w:pPr>
            <w:r>
              <w:rPr>
                <w:spacing w:val="8"/>
                <w:sz w:val="20"/>
                <w:szCs w:val="20"/>
              </w:rPr>
              <w:t>允许偏差（</w:t>
            </w:r>
            <w:r>
              <w:rPr>
                <w:rFonts w:ascii="Times New Roman" w:hAnsi="Times New Roman" w:eastAsia="Times New Roman" w:cs="Times New Roman"/>
                <w:sz w:val="20"/>
                <w:szCs w:val="20"/>
              </w:rPr>
              <w:t>mm</w:t>
            </w:r>
            <w:r>
              <w:rPr>
                <w:spacing w:val="8"/>
                <w:sz w:val="20"/>
                <w:szCs w:val="20"/>
              </w:rPr>
              <w:t>）</w:t>
            </w:r>
          </w:p>
        </w:tc>
      </w:tr>
      <w:tr w14:paraId="35FC8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2317" w:type="dxa"/>
            <w:vMerge w:val="continue"/>
            <w:tcBorders>
              <w:top w:val="nil"/>
              <w:left w:val="single" w:color="000000" w:sz="10" w:space="0"/>
            </w:tcBorders>
          </w:tcPr>
          <w:p w14:paraId="42C5418F">
            <w:pPr>
              <w:rPr>
                <w:sz w:val="20"/>
                <w:szCs w:val="20"/>
              </w:rPr>
            </w:pPr>
          </w:p>
        </w:tc>
        <w:tc>
          <w:tcPr>
            <w:tcW w:w="2303" w:type="dxa"/>
          </w:tcPr>
          <w:p w14:paraId="164C8E4E">
            <w:pPr>
              <w:pStyle w:val="44"/>
              <w:spacing w:before="93" w:line="220" w:lineRule="auto"/>
              <w:ind w:left="990"/>
              <w:rPr>
                <w:sz w:val="20"/>
                <w:szCs w:val="20"/>
              </w:rPr>
            </w:pPr>
            <w:r>
              <w:rPr>
                <w:spacing w:val="3"/>
                <w:sz w:val="20"/>
                <w:szCs w:val="20"/>
              </w:rPr>
              <w:t>钢板</w:t>
            </w:r>
          </w:p>
        </w:tc>
        <w:tc>
          <w:tcPr>
            <w:tcW w:w="2303" w:type="dxa"/>
          </w:tcPr>
          <w:p w14:paraId="4F62B65F">
            <w:pPr>
              <w:pStyle w:val="44"/>
              <w:spacing w:before="93" w:line="220" w:lineRule="auto"/>
              <w:ind w:left="753"/>
              <w:rPr>
                <w:sz w:val="20"/>
                <w:szCs w:val="20"/>
              </w:rPr>
            </w:pPr>
            <w:r>
              <w:rPr>
                <w:spacing w:val="7"/>
                <w:sz w:val="20"/>
                <w:szCs w:val="20"/>
              </w:rPr>
              <w:t>纸面石膏板</w:t>
            </w:r>
          </w:p>
        </w:tc>
        <w:tc>
          <w:tcPr>
            <w:tcW w:w="2317" w:type="dxa"/>
            <w:tcBorders>
              <w:right w:val="single" w:color="000000" w:sz="10" w:space="0"/>
            </w:tcBorders>
          </w:tcPr>
          <w:p w14:paraId="10B5DFF2">
            <w:pPr>
              <w:pStyle w:val="44"/>
              <w:spacing w:before="93" w:line="222" w:lineRule="auto"/>
              <w:ind w:left="1002"/>
              <w:rPr>
                <w:sz w:val="20"/>
                <w:szCs w:val="20"/>
              </w:rPr>
            </w:pPr>
            <w:r>
              <w:rPr>
                <w:spacing w:val="2"/>
                <w:sz w:val="20"/>
                <w:szCs w:val="20"/>
              </w:rPr>
              <w:t>其它</w:t>
            </w:r>
          </w:p>
        </w:tc>
      </w:tr>
      <w:tr w14:paraId="30B26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317" w:type="dxa"/>
            <w:tcBorders>
              <w:left w:val="single" w:color="000000" w:sz="10" w:space="0"/>
            </w:tcBorders>
          </w:tcPr>
          <w:p w14:paraId="32A16715">
            <w:pPr>
              <w:pStyle w:val="44"/>
              <w:spacing w:before="98" w:line="222" w:lineRule="auto"/>
              <w:ind w:left="746"/>
              <w:rPr>
                <w:sz w:val="20"/>
                <w:szCs w:val="20"/>
              </w:rPr>
            </w:pPr>
            <w:r>
              <w:rPr>
                <w:spacing w:val="7"/>
                <w:sz w:val="20"/>
                <w:szCs w:val="20"/>
              </w:rPr>
              <w:t>立面垂直度</w:t>
            </w:r>
          </w:p>
        </w:tc>
        <w:tc>
          <w:tcPr>
            <w:tcW w:w="2303" w:type="dxa"/>
          </w:tcPr>
          <w:p w14:paraId="7335921F">
            <w:pPr>
              <w:spacing w:before="125" w:line="189" w:lineRule="auto"/>
              <w:ind w:left="110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03" w:type="dxa"/>
          </w:tcPr>
          <w:p w14:paraId="782D94E1">
            <w:pPr>
              <w:spacing w:before="124" w:line="189" w:lineRule="auto"/>
              <w:ind w:left="111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17" w:type="dxa"/>
            <w:tcBorders>
              <w:right w:val="single" w:color="000000" w:sz="10" w:space="0"/>
            </w:tcBorders>
          </w:tcPr>
          <w:p w14:paraId="684A914C">
            <w:pPr>
              <w:spacing w:before="125" w:line="189" w:lineRule="auto"/>
              <w:ind w:left="1117"/>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r>
      <w:tr w14:paraId="53C71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317" w:type="dxa"/>
            <w:tcBorders>
              <w:left w:val="single" w:color="000000" w:sz="10" w:space="0"/>
            </w:tcBorders>
          </w:tcPr>
          <w:p w14:paraId="452BFFA9">
            <w:pPr>
              <w:pStyle w:val="44"/>
              <w:spacing w:before="101" w:line="222" w:lineRule="auto"/>
              <w:ind w:left="745"/>
              <w:rPr>
                <w:sz w:val="20"/>
                <w:szCs w:val="20"/>
              </w:rPr>
            </w:pPr>
            <w:r>
              <w:rPr>
                <w:spacing w:val="7"/>
                <w:sz w:val="20"/>
                <w:szCs w:val="20"/>
              </w:rPr>
              <w:t>表面平整度</w:t>
            </w:r>
          </w:p>
        </w:tc>
        <w:tc>
          <w:tcPr>
            <w:tcW w:w="2303" w:type="dxa"/>
          </w:tcPr>
          <w:p w14:paraId="619C8340">
            <w:pPr>
              <w:spacing w:before="128" w:line="189" w:lineRule="auto"/>
              <w:ind w:left="111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03" w:type="dxa"/>
          </w:tcPr>
          <w:p w14:paraId="047961E4">
            <w:pPr>
              <w:spacing w:before="128" w:line="189" w:lineRule="auto"/>
              <w:ind w:left="111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17" w:type="dxa"/>
            <w:tcBorders>
              <w:right w:val="single" w:color="000000" w:sz="10" w:space="0"/>
            </w:tcBorders>
          </w:tcPr>
          <w:p w14:paraId="0B64A773">
            <w:pPr>
              <w:spacing w:before="128" w:line="189" w:lineRule="auto"/>
              <w:ind w:left="112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14:paraId="6B791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317" w:type="dxa"/>
            <w:tcBorders>
              <w:left w:val="single" w:color="000000" w:sz="10" w:space="0"/>
            </w:tcBorders>
          </w:tcPr>
          <w:p w14:paraId="29F91BC0">
            <w:pPr>
              <w:pStyle w:val="44"/>
              <w:spacing w:before="101" w:line="220" w:lineRule="auto"/>
              <w:ind w:left="758"/>
              <w:rPr>
                <w:sz w:val="20"/>
                <w:szCs w:val="20"/>
              </w:rPr>
            </w:pPr>
            <w:r>
              <w:rPr>
                <w:spacing w:val="5"/>
                <w:sz w:val="20"/>
                <w:szCs w:val="20"/>
              </w:rPr>
              <w:t>阴阳角方正</w:t>
            </w:r>
          </w:p>
        </w:tc>
        <w:tc>
          <w:tcPr>
            <w:tcW w:w="2303" w:type="dxa"/>
          </w:tcPr>
          <w:p w14:paraId="372E0606">
            <w:pPr>
              <w:spacing w:before="127" w:line="189" w:lineRule="auto"/>
              <w:ind w:left="111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03" w:type="dxa"/>
          </w:tcPr>
          <w:p w14:paraId="470AE027">
            <w:pPr>
              <w:spacing w:before="127" w:line="189" w:lineRule="auto"/>
              <w:ind w:left="111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17" w:type="dxa"/>
            <w:tcBorders>
              <w:right w:val="single" w:color="000000" w:sz="10" w:space="0"/>
            </w:tcBorders>
          </w:tcPr>
          <w:p w14:paraId="700D84BB">
            <w:pPr>
              <w:spacing w:before="127" w:line="189" w:lineRule="auto"/>
              <w:ind w:left="112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14:paraId="1ECB9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317" w:type="dxa"/>
            <w:tcBorders>
              <w:left w:val="single" w:color="000000" w:sz="10" w:space="0"/>
            </w:tcBorders>
          </w:tcPr>
          <w:p w14:paraId="40C99D95">
            <w:pPr>
              <w:pStyle w:val="44"/>
              <w:spacing w:before="103" w:line="222" w:lineRule="auto"/>
              <w:ind w:left="745"/>
              <w:rPr>
                <w:sz w:val="20"/>
                <w:szCs w:val="20"/>
              </w:rPr>
            </w:pPr>
            <w:r>
              <w:rPr>
                <w:spacing w:val="7"/>
                <w:sz w:val="20"/>
                <w:szCs w:val="20"/>
              </w:rPr>
              <w:t>接缝直线度</w:t>
            </w:r>
          </w:p>
        </w:tc>
        <w:tc>
          <w:tcPr>
            <w:tcW w:w="2303" w:type="dxa"/>
          </w:tcPr>
          <w:p w14:paraId="7AA1DA02">
            <w:pPr>
              <w:spacing w:before="130" w:line="189" w:lineRule="auto"/>
              <w:ind w:left="112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03" w:type="dxa"/>
          </w:tcPr>
          <w:p w14:paraId="74351207">
            <w:pPr>
              <w:spacing w:before="130" w:line="189" w:lineRule="auto"/>
              <w:ind w:left="111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17" w:type="dxa"/>
            <w:tcBorders>
              <w:right w:val="single" w:color="000000" w:sz="10" w:space="0"/>
            </w:tcBorders>
          </w:tcPr>
          <w:p w14:paraId="2E41C010">
            <w:pPr>
              <w:spacing w:before="130" w:line="189" w:lineRule="auto"/>
              <w:ind w:left="112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14:paraId="63E4C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317" w:type="dxa"/>
            <w:vMerge w:val="restart"/>
            <w:tcBorders>
              <w:left w:val="single" w:color="000000" w:sz="10" w:space="0"/>
              <w:bottom w:val="nil"/>
            </w:tcBorders>
          </w:tcPr>
          <w:p w14:paraId="52F78475">
            <w:pPr>
              <w:pStyle w:val="44"/>
              <w:spacing w:before="278" w:line="221" w:lineRule="auto"/>
              <w:ind w:left="828"/>
              <w:rPr>
                <w:sz w:val="20"/>
                <w:szCs w:val="20"/>
              </w:rPr>
            </w:pPr>
            <w:r>
              <w:rPr>
                <w:spacing w:val="6"/>
                <w:sz w:val="20"/>
                <w:szCs w:val="20"/>
              </w:rPr>
              <w:t>检查项目</w:t>
            </w:r>
          </w:p>
        </w:tc>
        <w:tc>
          <w:tcPr>
            <w:tcW w:w="6923" w:type="dxa"/>
            <w:gridSpan w:val="3"/>
            <w:tcBorders>
              <w:right w:val="single" w:color="000000" w:sz="10" w:space="0"/>
            </w:tcBorders>
          </w:tcPr>
          <w:p w14:paraId="614F19FE">
            <w:pPr>
              <w:pStyle w:val="44"/>
              <w:spacing w:before="105" w:line="235" w:lineRule="auto"/>
              <w:ind w:left="2861"/>
              <w:rPr>
                <w:sz w:val="20"/>
                <w:szCs w:val="20"/>
              </w:rPr>
            </w:pPr>
            <w:r>
              <w:rPr>
                <w:spacing w:val="8"/>
                <w:sz w:val="20"/>
                <w:szCs w:val="20"/>
              </w:rPr>
              <w:t>允许偏差（</w:t>
            </w:r>
            <w:r>
              <w:rPr>
                <w:rFonts w:ascii="Times New Roman" w:hAnsi="Times New Roman" w:eastAsia="Times New Roman" w:cs="Times New Roman"/>
                <w:sz w:val="20"/>
                <w:szCs w:val="20"/>
              </w:rPr>
              <w:t>mm</w:t>
            </w:r>
            <w:r>
              <w:rPr>
                <w:spacing w:val="8"/>
                <w:sz w:val="20"/>
                <w:szCs w:val="20"/>
              </w:rPr>
              <w:t>）</w:t>
            </w:r>
          </w:p>
        </w:tc>
      </w:tr>
      <w:tr w14:paraId="23866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317" w:type="dxa"/>
            <w:vMerge w:val="continue"/>
            <w:tcBorders>
              <w:top w:val="nil"/>
              <w:left w:val="single" w:color="000000" w:sz="10" w:space="0"/>
            </w:tcBorders>
          </w:tcPr>
          <w:p w14:paraId="6043A816">
            <w:pPr>
              <w:rPr>
                <w:sz w:val="20"/>
                <w:szCs w:val="20"/>
              </w:rPr>
            </w:pPr>
          </w:p>
        </w:tc>
        <w:tc>
          <w:tcPr>
            <w:tcW w:w="2303" w:type="dxa"/>
          </w:tcPr>
          <w:p w14:paraId="54BC6FE7">
            <w:pPr>
              <w:pStyle w:val="44"/>
              <w:spacing w:before="108" w:line="220" w:lineRule="auto"/>
              <w:ind w:left="990"/>
              <w:rPr>
                <w:sz w:val="20"/>
                <w:szCs w:val="20"/>
              </w:rPr>
            </w:pPr>
            <w:r>
              <w:rPr>
                <w:spacing w:val="3"/>
                <w:sz w:val="20"/>
                <w:szCs w:val="20"/>
              </w:rPr>
              <w:t>钢板</w:t>
            </w:r>
          </w:p>
        </w:tc>
        <w:tc>
          <w:tcPr>
            <w:tcW w:w="2303" w:type="dxa"/>
          </w:tcPr>
          <w:p w14:paraId="42D8A73D">
            <w:pPr>
              <w:pStyle w:val="44"/>
              <w:spacing w:before="108" w:line="220" w:lineRule="auto"/>
              <w:ind w:left="753"/>
              <w:rPr>
                <w:sz w:val="20"/>
                <w:szCs w:val="20"/>
              </w:rPr>
            </w:pPr>
            <w:r>
              <w:rPr>
                <w:spacing w:val="7"/>
                <w:sz w:val="20"/>
                <w:szCs w:val="20"/>
              </w:rPr>
              <w:t>纸面石膏板</w:t>
            </w:r>
          </w:p>
        </w:tc>
        <w:tc>
          <w:tcPr>
            <w:tcW w:w="2317" w:type="dxa"/>
            <w:tcBorders>
              <w:right w:val="single" w:color="000000" w:sz="10" w:space="0"/>
            </w:tcBorders>
          </w:tcPr>
          <w:p w14:paraId="2C487970">
            <w:pPr>
              <w:pStyle w:val="44"/>
              <w:spacing w:before="108" w:line="222" w:lineRule="auto"/>
              <w:ind w:left="1002"/>
              <w:rPr>
                <w:sz w:val="20"/>
                <w:szCs w:val="20"/>
              </w:rPr>
            </w:pPr>
            <w:r>
              <w:rPr>
                <w:spacing w:val="2"/>
                <w:sz w:val="20"/>
                <w:szCs w:val="20"/>
              </w:rPr>
              <w:t>其它</w:t>
            </w:r>
          </w:p>
        </w:tc>
      </w:tr>
      <w:tr w14:paraId="1118B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317" w:type="dxa"/>
            <w:tcBorders>
              <w:left w:val="single" w:color="000000" w:sz="10" w:space="0"/>
            </w:tcBorders>
          </w:tcPr>
          <w:p w14:paraId="24F19862">
            <w:pPr>
              <w:pStyle w:val="44"/>
              <w:spacing w:before="110" w:line="221" w:lineRule="auto"/>
              <w:ind w:left="745"/>
              <w:rPr>
                <w:sz w:val="20"/>
                <w:szCs w:val="20"/>
              </w:rPr>
            </w:pPr>
            <w:r>
              <w:rPr>
                <w:spacing w:val="7"/>
                <w:sz w:val="20"/>
                <w:szCs w:val="20"/>
              </w:rPr>
              <w:t>接缝高低差</w:t>
            </w:r>
          </w:p>
        </w:tc>
        <w:tc>
          <w:tcPr>
            <w:tcW w:w="2303" w:type="dxa"/>
          </w:tcPr>
          <w:p w14:paraId="75D81F83">
            <w:pPr>
              <w:spacing w:before="137" w:line="189" w:lineRule="auto"/>
              <w:ind w:left="112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03" w:type="dxa"/>
          </w:tcPr>
          <w:p w14:paraId="2B6EF6E0">
            <w:pPr>
              <w:spacing w:before="137" w:line="189" w:lineRule="auto"/>
              <w:ind w:left="112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17" w:type="dxa"/>
            <w:tcBorders>
              <w:right w:val="single" w:color="000000" w:sz="10" w:space="0"/>
            </w:tcBorders>
          </w:tcPr>
          <w:p w14:paraId="58A7C800">
            <w:pPr>
              <w:spacing w:before="137" w:line="189" w:lineRule="auto"/>
              <w:ind w:left="113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14:paraId="57A4D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2317" w:type="dxa"/>
            <w:tcBorders>
              <w:left w:val="single" w:color="000000" w:sz="10" w:space="0"/>
              <w:bottom w:val="single" w:color="000000" w:sz="10" w:space="0"/>
            </w:tcBorders>
          </w:tcPr>
          <w:p w14:paraId="56A8C704">
            <w:pPr>
              <w:pStyle w:val="44"/>
              <w:spacing w:before="112" w:line="222" w:lineRule="auto"/>
              <w:ind w:left="827"/>
              <w:rPr>
                <w:sz w:val="20"/>
                <w:szCs w:val="20"/>
              </w:rPr>
            </w:pPr>
            <w:r>
              <w:rPr>
                <w:spacing w:val="7"/>
                <w:sz w:val="20"/>
                <w:szCs w:val="20"/>
              </w:rPr>
              <w:t>接缝宽度</w:t>
            </w:r>
          </w:p>
        </w:tc>
        <w:tc>
          <w:tcPr>
            <w:tcW w:w="2303" w:type="dxa"/>
            <w:tcBorders>
              <w:bottom w:val="single" w:color="000000" w:sz="10" w:space="0"/>
            </w:tcBorders>
          </w:tcPr>
          <w:p w14:paraId="4368688B">
            <w:pPr>
              <w:spacing w:before="139" w:line="189" w:lineRule="auto"/>
              <w:ind w:left="112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03" w:type="dxa"/>
            <w:tcBorders>
              <w:bottom w:val="single" w:color="000000" w:sz="10" w:space="0"/>
            </w:tcBorders>
          </w:tcPr>
          <w:p w14:paraId="7B588EC2">
            <w:pPr>
              <w:spacing w:before="139" w:line="189" w:lineRule="auto"/>
              <w:ind w:left="11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17" w:type="dxa"/>
            <w:tcBorders>
              <w:bottom w:val="single" w:color="000000" w:sz="10" w:space="0"/>
              <w:right w:val="single" w:color="000000" w:sz="10" w:space="0"/>
            </w:tcBorders>
          </w:tcPr>
          <w:p w14:paraId="33CBA5F5">
            <w:pPr>
              <w:spacing w:before="139" w:line="189" w:lineRule="auto"/>
              <w:ind w:left="111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bl>
    <w:p w14:paraId="593AC558">
      <w:pPr>
        <w:pStyle w:val="30"/>
        <w:rPr>
          <w:rFonts w:hint="eastAsia"/>
          <w:lang w:eastAsia="zh-CN"/>
        </w:rPr>
      </w:pPr>
    </w:p>
    <w:p w14:paraId="73FBC2A4">
      <w:pPr>
        <w:numPr>
          <w:ilvl w:val="0"/>
          <w:numId w:val="30"/>
        </w:numPr>
        <w:bidi w:val="0"/>
        <w:ind w:left="0" w:leftChars="0" w:firstLine="0" w:firstLineChars="0"/>
        <w:rPr>
          <w:rFonts w:ascii="Times New Roman" w:hAnsi="Times New Roman" w:eastAsia="宋体"/>
          <w:lang w:eastAsia="zh-CN"/>
        </w:rPr>
      </w:pPr>
      <w:r>
        <w:rPr>
          <w:rFonts w:ascii="Times New Roman" w:hAnsi="Times New Roman" w:eastAsia="宋体"/>
          <w:lang w:eastAsia="zh-CN"/>
        </w:rPr>
        <w:t>卫生间及厨房模块单元应进行蓄水试验，其排水坡度、通风装置、安装及检修用管道空间、地面防水层均应符合设计要求和本</w:t>
      </w:r>
      <w:r>
        <w:rPr>
          <w:rFonts w:hint="eastAsia"/>
          <w:lang w:eastAsia="zh-CN"/>
        </w:rPr>
        <w:t>标准</w:t>
      </w:r>
      <w:r>
        <w:rPr>
          <w:rFonts w:ascii="Times New Roman" w:hAnsi="Times New Roman" w:eastAsia="宋体"/>
          <w:lang w:eastAsia="zh-CN"/>
        </w:rPr>
        <w:t>的有关规定。</w:t>
      </w:r>
    </w:p>
    <w:p w14:paraId="692C9422">
      <w:pPr>
        <w:bidi w:val="0"/>
        <w:ind w:firstLine="480" w:firstLineChars="200"/>
        <w:rPr>
          <w:lang w:eastAsia="zh-CN"/>
        </w:rPr>
      </w:pPr>
      <w:r>
        <w:rPr>
          <w:lang w:eastAsia="zh-CN"/>
        </w:rPr>
        <w:t>检查数量：同种类型的模块单元每次抽检数量不应少于该品种数量的10％且不少于5件。</w:t>
      </w:r>
    </w:p>
    <w:p w14:paraId="4A035348">
      <w:pPr>
        <w:bidi w:val="0"/>
        <w:ind w:firstLine="480" w:firstLineChars="200"/>
        <w:rPr>
          <w:rFonts w:ascii="宋体" w:hAnsi="宋体" w:eastAsia="宋体" w:cs="宋体"/>
          <w:color w:val="000000" w:themeColor="text1"/>
          <w:spacing w:val="6"/>
          <w:sz w:val="24"/>
          <w:szCs w:val="24"/>
          <w:lang w:eastAsia="zh-CN"/>
          <w14:textFill>
            <w14:solidFill>
              <w14:schemeClr w14:val="tx1"/>
            </w14:solidFill>
          </w14:textFill>
        </w:rPr>
      </w:pPr>
      <w:r>
        <w:rPr>
          <w:lang w:eastAsia="zh-CN"/>
        </w:rPr>
        <w:t>检查方法：蓄水试验前，应封堵试验区域内的排水口，蓄水时间不应小于24h</w:t>
      </w:r>
      <w:r>
        <w:rPr>
          <w:rFonts w:ascii="宋体" w:hAnsi="宋体" w:eastAsia="宋体" w:cs="宋体"/>
          <w:color w:val="000000" w:themeColor="text1"/>
          <w:spacing w:val="6"/>
          <w:szCs w:val="24"/>
          <w:lang w:eastAsia="zh-CN"/>
          <w14:textFill>
            <w14:solidFill>
              <w14:schemeClr w14:val="tx1"/>
            </w14:solidFill>
          </w14:textFill>
        </w:rPr>
        <w:t>，</w:t>
      </w:r>
      <w:r>
        <w:rPr>
          <w:rFonts w:ascii="宋体" w:hAnsi="宋体" w:eastAsia="宋体" w:cs="宋体"/>
          <w:color w:val="000000" w:themeColor="text1"/>
          <w:spacing w:val="6"/>
          <w:sz w:val="24"/>
          <w:szCs w:val="24"/>
          <w:lang w:eastAsia="zh-CN"/>
          <w14:textFill>
            <w14:solidFill>
              <w14:schemeClr w14:val="tx1"/>
            </w14:solidFill>
          </w14:textFill>
        </w:rPr>
        <w:t>蓄水深度最浅处不应小于</w:t>
      </w:r>
      <w:r>
        <w:rPr>
          <w:rFonts w:ascii="Times New Roman" w:hAnsi="Times New Roman" w:eastAsia="Times New Roman" w:cs="Times New Roman"/>
          <w:color w:val="000000" w:themeColor="text1"/>
          <w:spacing w:val="6"/>
          <w:sz w:val="24"/>
          <w:szCs w:val="24"/>
          <w:lang w:eastAsia="zh-CN"/>
          <w14:textFill>
            <w14:solidFill>
              <w14:schemeClr w14:val="tx1"/>
            </w14:solidFill>
          </w14:textFill>
        </w:rPr>
        <w:t>25</w:t>
      </w:r>
      <w:r>
        <w:rPr>
          <w:rFonts w:ascii="Times New Roman" w:hAnsi="Times New Roman" w:eastAsia="Times New Roman" w:cs="Times New Roman"/>
          <w:color w:val="000000" w:themeColor="text1"/>
          <w:sz w:val="24"/>
          <w:szCs w:val="24"/>
          <w:lang w:eastAsia="zh-CN"/>
          <w14:textFill>
            <w14:solidFill>
              <w14:schemeClr w14:val="tx1"/>
            </w14:solidFill>
          </w14:textFill>
        </w:rPr>
        <w:t>mm</w:t>
      </w:r>
      <w:r>
        <w:rPr>
          <w:rFonts w:ascii="宋体" w:hAnsi="宋体" w:eastAsia="宋体" w:cs="宋体"/>
          <w:color w:val="000000" w:themeColor="text1"/>
          <w:spacing w:val="6"/>
          <w:sz w:val="24"/>
          <w:szCs w:val="24"/>
          <w:lang w:eastAsia="zh-CN"/>
          <w14:textFill>
            <w14:solidFill>
              <w14:schemeClr w14:val="tx1"/>
            </w14:solidFill>
          </w14:textFill>
        </w:rPr>
        <w:t>。</w:t>
      </w:r>
    </w:p>
    <w:p w14:paraId="6AD4B3A7">
      <w:pPr>
        <w:numPr>
          <w:ilvl w:val="0"/>
          <w:numId w:val="30"/>
        </w:numPr>
        <w:bidi w:val="0"/>
        <w:ind w:left="0" w:leftChars="0" w:firstLine="0" w:firstLineChars="0"/>
        <w:rPr>
          <w:rFonts w:ascii="Times New Roman" w:hAnsi="Times New Roman" w:eastAsia="宋体"/>
          <w:lang w:eastAsia="zh-CN"/>
        </w:rPr>
      </w:pPr>
      <w:r>
        <w:rPr>
          <w:rFonts w:ascii="Times New Roman" w:hAnsi="Times New Roman" w:eastAsia="宋体"/>
          <w:lang w:eastAsia="zh-CN"/>
        </w:rPr>
        <w:t>模块单元出厂前应对有防水要求的外墙、外窗、门进行淋水</w:t>
      </w:r>
      <w:r>
        <w:rPr>
          <w:rFonts w:hint="eastAsia"/>
          <w:lang w:val="en-US" w:eastAsia="zh-CN"/>
        </w:rPr>
        <w:t>试验</w:t>
      </w:r>
      <w:r>
        <w:rPr>
          <w:rFonts w:hint="eastAsia" w:ascii="Times New Roman" w:hAnsi="Times New Roman" w:eastAsia="宋体"/>
          <w:lang w:eastAsia="zh-CN"/>
        </w:rPr>
        <w:t>。</w:t>
      </w:r>
    </w:p>
    <w:p w14:paraId="39F65B20">
      <w:pPr>
        <w:bidi w:val="0"/>
        <w:ind w:firstLine="480" w:firstLineChars="200"/>
        <w:rPr>
          <w:lang w:eastAsia="zh-CN"/>
        </w:rPr>
      </w:pPr>
      <w:r>
        <w:rPr>
          <w:lang w:eastAsia="zh-CN"/>
        </w:rPr>
        <w:t>检查数量：全数检查。</w:t>
      </w:r>
    </w:p>
    <w:p w14:paraId="6F3981C3">
      <w:pPr>
        <w:bidi w:val="0"/>
        <w:ind w:firstLine="480" w:firstLineChars="200"/>
        <w:rPr>
          <w:lang w:eastAsia="zh-CN"/>
        </w:rPr>
      </w:pPr>
      <w:r>
        <w:rPr>
          <w:lang w:eastAsia="zh-CN"/>
        </w:rPr>
        <w:t>检查方法：试验前应关闭窗户，封闭各种预留洞口，采用淋水管线对模块单元自上而下淋水，淋水水压不应低于 0.3MPa，并应能在待测区域表面形成均匀水幕，检查背水面的渗漏情况。</w:t>
      </w:r>
    </w:p>
    <w:p w14:paraId="1DBB0226">
      <w:pPr>
        <w:pStyle w:val="45"/>
        <w:numPr>
          <w:ilvl w:val="0"/>
          <w:numId w:val="0"/>
        </w:numPr>
        <w:bidi w:val="0"/>
        <w:ind w:leftChars="0"/>
        <w:rPr>
          <w:rFonts w:hint="eastAsia"/>
          <w:lang w:eastAsia="zh-CN"/>
        </w:rPr>
      </w:pPr>
      <w:r>
        <w:rPr>
          <w:rFonts w:hint="eastAsia"/>
          <w:b/>
          <w:bCs/>
          <w:lang w:eastAsia="zh-CN"/>
        </w:rPr>
        <w:t>【</w:t>
      </w:r>
      <w:r>
        <w:rPr>
          <w:rFonts w:hint="eastAsia"/>
          <w:b/>
          <w:bCs/>
          <w:lang w:val="en-US" w:eastAsia="zh-CN"/>
        </w:rPr>
        <w:t>条文说明</w:t>
      </w:r>
      <w:r>
        <w:rPr>
          <w:rFonts w:hint="eastAsia"/>
          <w:b/>
          <w:bCs/>
          <w:lang w:eastAsia="zh-CN"/>
        </w:rPr>
        <w:t>】</w:t>
      </w:r>
      <w:r>
        <w:rPr>
          <w:rFonts w:hint="eastAsia"/>
          <w:lang w:eastAsia="zh-CN"/>
        </w:rPr>
        <w:t>模块单元的淋水试验宜在模块装修前完成，确保模块单元具有一定的防水能力，在工厂装修过程或现场施工过程中遇雨水天气不对模块内部装修造成损害。</w:t>
      </w:r>
    </w:p>
    <w:p w14:paraId="31DC0BF2">
      <w:pPr>
        <w:numPr>
          <w:ilvl w:val="0"/>
          <w:numId w:val="30"/>
        </w:numPr>
        <w:bidi w:val="0"/>
        <w:ind w:left="0" w:leftChars="0" w:firstLine="0" w:firstLineChars="0"/>
        <w:rPr>
          <w:rFonts w:hint="eastAsia" w:ascii="Times New Roman" w:hAnsi="Times New Roman" w:eastAsia="宋体"/>
          <w:lang w:val="en-US" w:eastAsia="zh-CN"/>
        </w:rPr>
      </w:pPr>
      <w:r>
        <w:rPr>
          <w:rFonts w:hint="eastAsia" w:ascii="Times New Roman" w:hAnsi="Times New Roman" w:eastAsia="宋体"/>
          <w:lang w:val="en-US" w:eastAsia="zh-CN"/>
        </w:rPr>
        <w:t>模块</w:t>
      </w:r>
      <w:r>
        <w:rPr>
          <w:rFonts w:hint="default" w:ascii="Times New Roman" w:hAnsi="Times New Roman" w:eastAsia="宋体"/>
          <w:lang w:val="en-US" w:eastAsia="zh-CN"/>
        </w:rPr>
        <w:t>单元</w:t>
      </w:r>
      <w:r>
        <w:rPr>
          <w:rFonts w:hint="eastAsia" w:ascii="Times New Roman" w:hAnsi="Times New Roman" w:eastAsia="宋体"/>
          <w:lang w:val="en-US" w:eastAsia="zh-CN"/>
        </w:rPr>
        <w:t>交付的文件资料应包括下列内容：</w:t>
      </w:r>
    </w:p>
    <w:p w14:paraId="65A89609">
      <w:pPr>
        <w:numPr>
          <w:ilvl w:val="0"/>
          <w:numId w:val="32"/>
        </w:numPr>
        <w:bidi w:val="0"/>
        <w:ind w:left="0" w:leftChars="0" w:firstLine="420" w:firstLineChars="0"/>
        <w:rPr>
          <w:rFonts w:hint="eastAsia"/>
          <w:lang w:val="en-US" w:eastAsia="zh-CN"/>
        </w:rPr>
      </w:pPr>
      <w:r>
        <w:rPr>
          <w:rFonts w:hint="eastAsia"/>
          <w:lang w:val="en-US" w:eastAsia="zh-CN"/>
        </w:rPr>
        <w:t>出厂合格证；</w:t>
      </w:r>
    </w:p>
    <w:p w14:paraId="23450DC9">
      <w:pPr>
        <w:numPr>
          <w:ilvl w:val="0"/>
          <w:numId w:val="32"/>
        </w:numPr>
        <w:bidi w:val="0"/>
        <w:ind w:left="0" w:leftChars="0" w:firstLine="420" w:firstLineChars="0"/>
        <w:rPr>
          <w:rFonts w:hint="eastAsia"/>
          <w:lang w:val="en-US" w:eastAsia="zh-CN"/>
        </w:rPr>
      </w:pPr>
      <w:r>
        <w:rPr>
          <w:rFonts w:hint="eastAsia"/>
          <w:lang w:val="en-US" w:eastAsia="zh-CN"/>
        </w:rPr>
        <w:t>产品质量证明文件；</w:t>
      </w:r>
    </w:p>
    <w:p w14:paraId="13452397">
      <w:pPr>
        <w:numPr>
          <w:ilvl w:val="0"/>
          <w:numId w:val="32"/>
        </w:numPr>
        <w:bidi w:val="0"/>
        <w:ind w:left="0" w:leftChars="0" w:firstLine="420" w:firstLineChars="0"/>
        <w:rPr>
          <w:rFonts w:hint="eastAsia"/>
          <w:lang w:val="en-US" w:eastAsia="zh-CN"/>
        </w:rPr>
      </w:pPr>
      <w:r>
        <w:rPr>
          <w:rFonts w:hint="eastAsia"/>
          <w:lang w:val="en-US" w:eastAsia="zh-CN"/>
        </w:rPr>
        <w:t>使用说明书。</w:t>
      </w:r>
    </w:p>
    <w:p w14:paraId="2B43C118">
      <w:pPr>
        <w:pStyle w:val="30"/>
        <w:rPr>
          <w:rFonts w:hint="eastAsia"/>
          <w:lang w:val="en-US" w:eastAsia="zh-CN"/>
        </w:rPr>
      </w:pPr>
    </w:p>
    <w:p w14:paraId="7A5065CF">
      <w:pPr>
        <w:pStyle w:val="3"/>
        <w:bidi w:val="0"/>
        <w:rPr>
          <w:lang w:eastAsia="zh-CN"/>
        </w:rPr>
      </w:pPr>
      <w:bookmarkStart w:id="45" w:name="_Toc186033344"/>
      <w:bookmarkStart w:id="46" w:name="_Toc17649"/>
      <w:bookmarkStart w:id="47" w:name="_Toc610"/>
      <w:r>
        <w:rPr>
          <w:rFonts w:hint="eastAsia"/>
          <w:lang w:val="en-US" w:eastAsia="zh-CN"/>
        </w:rPr>
        <w:t>6</w:t>
      </w:r>
      <w:r>
        <w:rPr>
          <w:lang w:eastAsia="zh-CN"/>
        </w:rPr>
        <w:t>.</w:t>
      </w:r>
      <w:bookmarkEnd w:id="45"/>
      <w:r>
        <w:rPr>
          <w:rFonts w:hint="eastAsia"/>
          <w:lang w:val="en-US" w:eastAsia="zh-CN"/>
        </w:rPr>
        <w:t>3</w:t>
      </w:r>
      <w:r>
        <w:rPr>
          <w:rFonts w:hint="eastAsia"/>
          <w:lang w:eastAsia="zh-CN"/>
        </w:rPr>
        <w:t>运输与堆放</w:t>
      </w:r>
      <w:bookmarkEnd w:id="46"/>
      <w:bookmarkEnd w:id="47"/>
    </w:p>
    <w:p w14:paraId="468C737A">
      <w:pPr>
        <w:numPr>
          <w:ilvl w:val="0"/>
          <w:numId w:val="33"/>
        </w:numPr>
        <w:bidi w:val="0"/>
        <w:ind w:left="0" w:leftChars="0" w:firstLine="0" w:firstLineChars="0"/>
        <w:rPr>
          <w:rFonts w:hint="eastAsia" w:ascii="Times New Roman" w:hAnsi="Times New Roman" w:eastAsia="宋体"/>
          <w:lang w:eastAsia="zh-CN"/>
        </w:rPr>
      </w:pPr>
      <w:r>
        <w:rPr>
          <w:rFonts w:hint="eastAsia" w:ascii="Times New Roman" w:hAnsi="Times New Roman" w:eastAsia="宋体"/>
          <w:lang w:eastAsia="zh-CN"/>
        </w:rPr>
        <w:t>模块</w:t>
      </w:r>
      <w:r>
        <w:rPr>
          <w:rFonts w:hint="eastAsia"/>
          <w:lang w:eastAsia="zh-CN"/>
        </w:rPr>
        <w:t>单元</w:t>
      </w:r>
      <w:r>
        <w:rPr>
          <w:rFonts w:hint="eastAsia" w:ascii="Times New Roman" w:hAnsi="Times New Roman" w:eastAsia="宋体"/>
          <w:lang w:eastAsia="zh-CN"/>
        </w:rPr>
        <w:t>的运输不得违反当地交通管理部门的规定</w:t>
      </w:r>
      <w:r>
        <w:rPr>
          <w:rFonts w:hint="eastAsia"/>
          <w:lang w:eastAsia="zh-CN"/>
        </w:rPr>
        <w:t>。</w:t>
      </w:r>
    </w:p>
    <w:p w14:paraId="17DA43DC">
      <w:pPr>
        <w:numPr>
          <w:ilvl w:val="0"/>
          <w:numId w:val="33"/>
        </w:numPr>
        <w:bidi w:val="0"/>
        <w:ind w:left="0" w:leftChars="0" w:firstLine="0" w:firstLineChars="0"/>
        <w:rPr>
          <w:rFonts w:hint="eastAsia" w:ascii="Times New Roman" w:hAnsi="Times New Roman" w:eastAsia="宋体"/>
          <w:lang w:eastAsia="zh-CN"/>
        </w:rPr>
      </w:pPr>
      <w:r>
        <w:rPr>
          <w:rFonts w:hint="eastAsia" w:ascii="Times New Roman" w:hAnsi="Times New Roman" w:eastAsia="宋体"/>
          <w:lang w:eastAsia="zh-CN"/>
        </w:rPr>
        <w:t>运输应</w:t>
      </w:r>
      <w:r>
        <w:rPr>
          <w:rFonts w:hint="eastAsia"/>
          <w:lang w:eastAsia="zh-CN"/>
        </w:rPr>
        <w:t>考虑</w:t>
      </w:r>
      <w:r>
        <w:rPr>
          <w:rFonts w:hint="eastAsia" w:ascii="Times New Roman" w:hAnsi="Times New Roman" w:eastAsia="宋体"/>
          <w:lang w:eastAsia="zh-CN"/>
        </w:rPr>
        <w:t>道路沿线路况和限制条件。模块单元的宽度及高度宜符合大件运输的限值规定</w:t>
      </w:r>
      <w:r>
        <w:rPr>
          <w:rFonts w:hint="eastAsia"/>
          <w:lang w:eastAsia="zh-CN"/>
        </w:rPr>
        <w:t>。</w:t>
      </w:r>
    </w:p>
    <w:p w14:paraId="50BDE4CF">
      <w:pPr>
        <w:numPr>
          <w:ilvl w:val="0"/>
          <w:numId w:val="33"/>
        </w:numPr>
        <w:bidi w:val="0"/>
        <w:ind w:left="0" w:leftChars="0" w:firstLine="0" w:firstLineChars="0"/>
        <w:rPr>
          <w:rFonts w:hint="eastAsia" w:ascii="Times New Roman" w:hAnsi="Times New Roman" w:eastAsia="宋体"/>
          <w:lang w:eastAsia="zh-CN"/>
        </w:rPr>
      </w:pPr>
      <w:r>
        <w:rPr>
          <w:rFonts w:hint="eastAsia" w:ascii="Times New Roman" w:hAnsi="Times New Roman" w:eastAsia="宋体"/>
          <w:lang w:eastAsia="zh-CN"/>
        </w:rPr>
        <w:t>模块</w:t>
      </w:r>
      <w:r>
        <w:rPr>
          <w:rFonts w:hint="eastAsia"/>
          <w:lang w:eastAsia="zh-CN"/>
        </w:rPr>
        <w:t>单元</w:t>
      </w:r>
      <w:r>
        <w:rPr>
          <w:rFonts w:hint="eastAsia" w:ascii="Times New Roman" w:hAnsi="Times New Roman" w:eastAsia="宋体"/>
          <w:lang w:eastAsia="zh-CN"/>
        </w:rPr>
        <w:t>在运输过程中应固定牢固，设置必要的垫木防止运输过程中造成模块单元损坏。必要时，模块单元应进行运输过程中的强度和刚度验算，设置专门的防振措施</w:t>
      </w:r>
      <w:r>
        <w:rPr>
          <w:rFonts w:hint="eastAsia"/>
          <w:lang w:eastAsia="zh-CN"/>
        </w:rPr>
        <w:t>。</w:t>
      </w:r>
    </w:p>
    <w:p w14:paraId="0F614747">
      <w:pPr>
        <w:numPr>
          <w:ilvl w:val="0"/>
          <w:numId w:val="33"/>
        </w:numPr>
        <w:bidi w:val="0"/>
        <w:ind w:left="0" w:leftChars="0" w:firstLine="0" w:firstLineChars="0"/>
        <w:rPr>
          <w:rFonts w:ascii="Times New Roman" w:hAnsi="Times New Roman" w:eastAsia="宋体"/>
          <w:lang w:eastAsia="zh-CN"/>
        </w:rPr>
      </w:pPr>
      <w:r>
        <w:rPr>
          <w:rFonts w:ascii="Times New Roman" w:hAnsi="Times New Roman" w:eastAsia="宋体"/>
          <w:lang w:eastAsia="zh-CN"/>
        </w:rPr>
        <w:t>模块单元的存放应符合下列规定：</w:t>
      </w:r>
    </w:p>
    <w:p w14:paraId="6090A874">
      <w:pPr>
        <w:numPr>
          <w:ilvl w:val="0"/>
          <w:numId w:val="34"/>
        </w:numPr>
        <w:bidi w:val="0"/>
        <w:ind w:left="0" w:leftChars="0" w:firstLine="420" w:firstLineChars="0"/>
        <w:rPr>
          <w:lang w:eastAsia="zh-CN"/>
        </w:rPr>
      </w:pPr>
      <w:r>
        <w:rPr>
          <w:lang w:eastAsia="zh-CN"/>
        </w:rPr>
        <w:t>存放场地应平整、坚实，并应有排水措施；</w:t>
      </w:r>
    </w:p>
    <w:p w14:paraId="611FDCD2">
      <w:pPr>
        <w:numPr>
          <w:ilvl w:val="0"/>
          <w:numId w:val="34"/>
        </w:numPr>
        <w:bidi w:val="0"/>
        <w:ind w:left="0" w:leftChars="0" w:firstLine="420" w:firstLineChars="0"/>
        <w:rPr>
          <w:lang w:eastAsia="zh-CN"/>
        </w:rPr>
      </w:pPr>
      <w:r>
        <w:rPr>
          <w:lang w:eastAsia="zh-CN"/>
        </w:rPr>
        <w:t>存放库区宜实行分区管理和信息化台账管理；</w:t>
      </w:r>
    </w:p>
    <w:p w14:paraId="5EA1329D">
      <w:pPr>
        <w:numPr>
          <w:ilvl w:val="0"/>
          <w:numId w:val="34"/>
        </w:numPr>
        <w:bidi w:val="0"/>
        <w:ind w:left="0" w:leftChars="0" w:firstLine="420" w:firstLineChars="0"/>
        <w:rPr>
          <w:lang w:eastAsia="zh-CN"/>
        </w:rPr>
      </w:pPr>
      <w:r>
        <w:rPr>
          <w:lang w:eastAsia="zh-CN"/>
        </w:rPr>
        <w:t>模块单元应按照一定产品品种、规格型号、检验状态分类存放， 产品标识应准确、清晰、明显。</w:t>
      </w:r>
    </w:p>
    <w:p w14:paraId="5913D9E6">
      <w:pPr>
        <w:pStyle w:val="45"/>
        <w:numPr>
          <w:ilvl w:val="0"/>
          <w:numId w:val="0"/>
        </w:numPr>
        <w:bidi w:val="0"/>
        <w:ind w:leftChars="0"/>
        <w:rPr>
          <w:rFonts w:hint="eastAsia"/>
          <w:lang w:eastAsia="zh-CN"/>
        </w:rPr>
      </w:pPr>
      <w:r>
        <w:rPr>
          <w:rFonts w:hint="eastAsia"/>
          <w:b/>
          <w:bCs/>
          <w:lang w:eastAsia="zh-CN"/>
        </w:rPr>
        <w:t>【</w:t>
      </w:r>
      <w:r>
        <w:rPr>
          <w:rFonts w:hint="eastAsia"/>
          <w:b/>
          <w:bCs/>
          <w:lang w:val="en-US" w:eastAsia="zh-CN"/>
        </w:rPr>
        <w:t>条文说明</w:t>
      </w:r>
      <w:r>
        <w:rPr>
          <w:rFonts w:hint="eastAsia"/>
          <w:b/>
          <w:bCs/>
          <w:lang w:eastAsia="zh-CN"/>
        </w:rPr>
        <w:t>】</w:t>
      </w:r>
      <w:r>
        <w:rPr>
          <w:rFonts w:hint="eastAsia"/>
          <w:lang w:eastAsia="zh-CN"/>
        </w:rPr>
        <w:t>为保证模块单元在场地临时堆放期间的安全，对堆放场地提出要求:一是场地应为平整的地面，若为软土地面，应提前进行硬化处理；二是场地承载力较差时，应进行受力复核，必要时应进行地基加固处理或堆放高度限制。</w:t>
      </w:r>
    </w:p>
    <w:p w14:paraId="0B79C46E">
      <w:pPr>
        <w:pStyle w:val="45"/>
        <w:numPr>
          <w:ilvl w:val="0"/>
          <w:numId w:val="0"/>
        </w:numPr>
        <w:bidi w:val="0"/>
        <w:ind w:leftChars="0"/>
        <w:rPr>
          <w:rFonts w:hint="eastAsia"/>
          <w:lang w:eastAsia="zh-CN"/>
        </w:rPr>
      </w:pPr>
    </w:p>
    <w:p w14:paraId="78D464E7">
      <w:pPr>
        <w:numPr>
          <w:ilvl w:val="0"/>
          <w:numId w:val="33"/>
        </w:numPr>
        <w:bidi w:val="0"/>
        <w:ind w:left="0" w:leftChars="0" w:firstLine="0" w:firstLineChars="0"/>
        <w:rPr>
          <w:rFonts w:hint="eastAsia" w:ascii="Times New Roman" w:hAnsi="Times New Roman" w:eastAsia="宋体"/>
          <w:lang w:eastAsia="zh-CN"/>
        </w:rPr>
      </w:pPr>
      <w:r>
        <w:rPr>
          <w:rFonts w:hint="eastAsia" w:ascii="Times New Roman" w:hAnsi="Times New Roman" w:eastAsia="宋体"/>
          <w:lang w:eastAsia="zh-CN"/>
        </w:rPr>
        <w:t>模块</w:t>
      </w:r>
      <w:r>
        <w:rPr>
          <w:rFonts w:hint="eastAsia"/>
          <w:lang w:eastAsia="zh-CN"/>
        </w:rPr>
        <w:t>单元</w:t>
      </w:r>
      <w:r>
        <w:rPr>
          <w:rFonts w:hint="eastAsia" w:ascii="Times New Roman" w:hAnsi="Times New Roman" w:eastAsia="宋体"/>
          <w:lang w:eastAsia="zh-CN"/>
        </w:rPr>
        <w:t>应按组装顺序有序堆放，相互之间留有一定的间隙，当为多层模块堆放时，应加设临时固定的安全措施</w:t>
      </w:r>
      <w:r>
        <w:rPr>
          <w:rFonts w:hint="eastAsia"/>
          <w:lang w:eastAsia="zh-CN"/>
        </w:rPr>
        <w:t>，</w:t>
      </w:r>
      <w:r>
        <w:rPr>
          <w:rFonts w:ascii="Times New Roman" w:hAnsi="Times New Roman" w:eastAsia="宋体"/>
          <w:lang w:eastAsia="zh-CN"/>
        </w:rPr>
        <w:t>竖向堆放不宜超过3层</w:t>
      </w:r>
      <w:r>
        <w:rPr>
          <w:rFonts w:hint="eastAsia" w:ascii="Times New Roman" w:hAnsi="Times New Roman" w:eastAsia="宋体"/>
          <w:lang w:eastAsia="zh-CN"/>
        </w:rPr>
        <w:t>。</w:t>
      </w:r>
    </w:p>
    <w:p w14:paraId="4A031B04">
      <w:pPr>
        <w:pStyle w:val="45"/>
        <w:numPr>
          <w:ilvl w:val="0"/>
          <w:numId w:val="0"/>
        </w:numPr>
        <w:bidi w:val="0"/>
        <w:ind w:leftChars="0"/>
        <w:rPr>
          <w:rFonts w:hint="eastAsia"/>
          <w:lang w:eastAsia="zh-CN"/>
        </w:rPr>
      </w:pPr>
      <w:r>
        <w:rPr>
          <w:rFonts w:hint="eastAsia"/>
          <w:b/>
          <w:bCs/>
          <w:lang w:eastAsia="zh-CN"/>
        </w:rPr>
        <w:t>【</w:t>
      </w:r>
      <w:r>
        <w:rPr>
          <w:rFonts w:hint="eastAsia"/>
          <w:b/>
          <w:bCs/>
          <w:lang w:val="en-US" w:eastAsia="zh-CN"/>
        </w:rPr>
        <w:t>条文说明</w:t>
      </w:r>
      <w:r>
        <w:rPr>
          <w:rFonts w:hint="eastAsia"/>
          <w:b/>
          <w:bCs/>
          <w:lang w:eastAsia="zh-CN"/>
        </w:rPr>
        <w:t>】</w:t>
      </w:r>
      <w:r>
        <w:rPr>
          <w:rFonts w:hint="eastAsia"/>
          <w:lang w:eastAsia="zh-CN"/>
        </w:rPr>
        <w:t>模块单元应按组装顺序进行有序堆放，尽可能减少一个模块需多次起吊转运的现象发生。</w:t>
      </w:r>
    </w:p>
    <w:p w14:paraId="15CCE771">
      <w:pPr>
        <w:numPr>
          <w:ilvl w:val="0"/>
          <w:numId w:val="33"/>
        </w:numPr>
        <w:bidi w:val="0"/>
        <w:ind w:left="0" w:leftChars="0" w:firstLine="0" w:firstLineChars="0"/>
        <w:rPr>
          <w:rFonts w:hint="eastAsia" w:ascii="Times New Roman" w:hAnsi="Times New Roman" w:eastAsia="宋体"/>
          <w:lang w:eastAsia="zh-CN"/>
        </w:rPr>
      </w:pPr>
      <w:r>
        <w:rPr>
          <w:rFonts w:hint="eastAsia" w:ascii="Times New Roman" w:hAnsi="Times New Roman" w:eastAsia="宋体"/>
          <w:lang w:eastAsia="zh-CN"/>
        </w:rPr>
        <w:t>对开洞口后刚度削弱的模块单元，应在运输、吊装中采取临时加固与防护措施，防止模块、门窗和外设零部件碰撞损伤。</w:t>
      </w:r>
    </w:p>
    <w:p w14:paraId="2944A56D">
      <w:pPr>
        <w:numPr>
          <w:ilvl w:val="0"/>
          <w:numId w:val="33"/>
        </w:numPr>
        <w:bidi w:val="0"/>
        <w:ind w:left="0" w:leftChars="0" w:firstLine="0" w:firstLineChars="0"/>
        <w:rPr>
          <w:rFonts w:hint="eastAsia" w:ascii="Times New Roman" w:hAnsi="Times New Roman" w:eastAsia="宋体"/>
          <w:lang w:eastAsia="zh-CN"/>
        </w:rPr>
      </w:pPr>
      <w:r>
        <w:rPr>
          <w:rFonts w:hint="eastAsia" w:ascii="Times New Roman" w:hAnsi="Times New Roman" w:eastAsia="宋体"/>
          <w:lang w:eastAsia="zh-CN"/>
        </w:rPr>
        <w:t>模块单元的起吊点严禁随意更改。确需变动时，必须经设计单位复核通过并出具书面变更手续。</w:t>
      </w:r>
    </w:p>
    <w:p w14:paraId="151B8320">
      <w:pPr>
        <w:numPr>
          <w:ilvl w:val="0"/>
          <w:numId w:val="33"/>
        </w:numPr>
        <w:bidi w:val="0"/>
        <w:ind w:left="0" w:leftChars="0" w:firstLine="0" w:firstLineChars="0"/>
        <w:rPr>
          <w:rFonts w:ascii="Times New Roman" w:hAnsi="Times New Roman" w:eastAsia="宋体"/>
          <w:lang w:eastAsia="zh-CN"/>
        </w:rPr>
      </w:pPr>
      <w:r>
        <w:rPr>
          <w:rFonts w:ascii="Times New Roman" w:hAnsi="Times New Roman" w:eastAsia="宋体"/>
          <w:lang w:eastAsia="zh-CN"/>
        </w:rPr>
        <w:t>模块单元的成品保护应符合下列规定：</w:t>
      </w:r>
    </w:p>
    <w:p w14:paraId="71186ABB">
      <w:pPr>
        <w:numPr>
          <w:ilvl w:val="0"/>
          <w:numId w:val="35"/>
        </w:numPr>
        <w:bidi w:val="0"/>
        <w:ind w:left="0" w:leftChars="0" w:firstLine="420" w:firstLineChars="0"/>
        <w:rPr>
          <w:lang w:eastAsia="zh-CN"/>
        </w:rPr>
      </w:pPr>
      <w:r>
        <w:rPr>
          <w:lang w:eastAsia="zh-CN"/>
        </w:rPr>
        <w:t>模块成品外露保温板应采取防止开裂措施， 外露钢筋应采取防弯折、防碰伤措施，外露预埋件和连接件等外露金属件应按不同环境类别进行防护或防腐、防锈；</w:t>
      </w:r>
    </w:p>
    <w:p w14:paraId="49247F87">
      <w:pPr>
        <w:numPr>
          <w:ilvl w:val="0"/>
          <w:numId w:val="35"/>
        </w:numPr>
        <w:bidi w:val="0"/>
        <w:ind w:left="0" w:leftChars="0" w:firstLine="420" w:firstLineChars="0"/>
        <w:rPr>
          <w:lang w:eastAsia="zh-CN"/>
        </w:rPr>
      </w:pPr>
      <w:r>
        <w:rPr>
          <w:lang w:eastAsia="zh-CN"/>
        </w:rPr>
        <w:t>预埋孔洞应临时封堵，防止堵塞；</w:t>
      </w:r>
    </w:p>
    <w:p w14:paraId="31625A7E">
      <w:pPr>
        <w:numPr>
          <w:ilvl w:val="0"/>
          <w:numId w:val="35"/>
        </w:numPr>
        <w:bidi w:val="0"/>
        <w:rPr>
          <w:lang w:eastAsia="zh-CN"/>
        </w:rPr>
      </w:pPr>
      <w:r>
        <w:rPr>
          <w:lang w:eastAsia="zh-CN"/>
        </w:rPr>
        <w:t>模块应在外侧设置防水罩等防水措施，防水罩宜设有可开启入口</w:t>
      </w:r>
      <w:r>
        <w:rPr>
          <w:rFonts w:hint="eastAsia"/>
          <w:lang w:eastAsia="zh-CN"/>
        </w:rPr>
        <w:t>，</w:t>
      </w:r>
      <w:r>
        <w:rPr>
          <w:lang w:eastAsia="zh-CN"/>
        </w:rPr>
        <w:t>防水措施应满足绿色可回收、不影响装修和吊装、包装便于装卸等要求；</w:t>
      </w:r>
    </w:p>
    <w:p w14:paraId="16F5F5E7">
      <w:pPr>
        <w:numPr>
          <w:ilvl w:val="0"/>
          <w:numId w:val="35"/>
        </w:numPr>
        <w:bidi w:val="0"/>
        <w:ind w:left="0" w:leftChars="0" w:firstLine="420" w:firstLineChars="0"/>
        <w:rPr>
          <w:rFonts w:hint="eastAsia"/>
          <w:lang w:val="en-US" w:eastAsia="zh-CN"/>
        </w:rPr>
      </w:pPr>
      <w:r>
        <w:rPr>
          <w:lang w:eastAsia="zh-CN"/>
        </w:rPr>
        <w:t>玻璃、瓷砖、木柜等装修宜用胶纸、泡沫等措施进行保护。</w:t>
      </w:r>
    </w:p>
    <w:p w14:paraId="5D09A47D">
      <w:pPr>
        <w:pStyle w:val="30"/>
        <w:rPr>
          <w:rFonts w:hint="eastAsia"/>
          <w:lang w:val="en-US" w:eastAsia="zh-CN"/>
        </w:rPr>
        <w:sectPr>
          <w:footerReference r:id="rId9" w:type="default"/>
          <w:pgSz w:w="11906" w:h="16838"/>
          <w:pgMar w:top="1134" w:right="1417" w:bottom="1134" w:left="1417" w:header="851" w:footer="992" w:gutter="0"/>
          <w:pgNumType w:fmt="decimal"/>
          <w:cols w:space="425" w:num="1"/>
          <w:docGrid w:type="lines" w:linePitch="312" w:charSpace="0"/>
        </w:sectPr>
      </w:pPr>
    </w:p>
    <w:p w14:paraId="05456AC0">
      <w:pPr>
        <w:pStyle w:val="2"/>
        <w:bidi w:val="0"/>
        <w:rPr>
          <w:lang w:eastAsia="zh-CN"/>
        </w:rPr>
      </w:pPr>
      <w:bookmarkStart w:id="48" w:name="_Toc11152"/>
      <w:r>
        <w:rPr>
          <w:rFonts w:hint="eastAsia"/>
          <w:lang w:val="en-US" w:eastAsia="zh-CN"/>
        </w:rPr>
        <w:t>7</w:t>
      </w:r>
      <w:r>
        <w:rPr>
          <w:lang w:eastAsia="zh-CN"/>
        </w:rPr>
        <w:t>施工</w:t>
      </w:r>
      <w:bookmarkEnd w:id="38"/>
      <w:bookmarkEnd w:id="39"/>
      <w:bookmarkEnd w:id="48"/>
    </w:p>
    <w:p w14:paraId="6EA359AF">
      <w:pPr>
        <w:pStyle w:val="3"/>
        <w:bidi w:val="0"/>
        <w:rPr>
          <w:lang w:eastAsia="zh-CN"/>
        </w:rPr>
      </w:pPr>
      <w:bookmarkStart w:id="49" w:name="_Toc30183"/>
      <w:bookmarkStart w:id="50" w:name="_Toc16512"/>
      <w:r>
        <w:rPr>
          <w:rFonts w:hint="eastAsia"/>
          <w:lang w:val="en-US" w:eastAsia="zh-CN"/>
        </w:rPr>
        <w:t>7</w:t>
      </w:r>
      <w:r>
        <w:rPr>
          <w:rFonts w:hint="eastAsia"/>
          <w:lang w:eastAsia="zh-CN"/>
        </w:rPr>
        <w:t>.1一般规定</w:t>
      </w:r>
      <w:bookmarkEnd w:id="49"/>
      <w:bookmarkEnd w:id="50"/>
    </w:p>
    <w:p w14:paraId="492D3402">
      <w:pPr>
        <w:numPr>
          <w:ilvl w:val="0"/>
          <w:numId w:val="36"/>
        </w:numPr>
        <w:bidi w:val="0"/>
        <w:ind w:left="0" w:leftChars="0" w:firstLine="0" w:firstLineChars="0"/>
        <w:rPr>
          <w:rFonts w:hint="eastAsia"/>
          <w:lang w:val="en-US" w:eastAsia="zh-CN"/>
        </w:rPr>
      </w:pPr>
      <w:r>
        <w:rPr>
          <w:rFonts w:hint="eastAsia"/>
          <w:lang w:val="en-US" w:eastAsia="zh-CN"/>
        </w:rPr>
        <w:t>安装施工前，应针对模块化钢结构房屋的施工要点和难点制定施工组织设计和专项施工方案，并应组织专家论证。</w:t>
      </w:r>
    </w:p>
    <w:p w14:paraId="785A5B73">
      <w:pPr>
        <w:pStyle w:val="45"/>
        <w:numPr>
          <w:ilvl w:val="0"/>
          <w:numId w:val="0"/>
        </w:numPr>
        <w:bidi w:val="0"/>
        <w:ind w:leftChars="0"/>
        <w:rPr>
          <w:rFonts w:hint="eastAsia"/>
          <w:lang w:val="en-US" w:eastAsia="zh-CN"/>
        </w:rPr>
      </w:pPr>
      <w:r>
        <w:rPr>
          <w:rFonts w:hint="eastAsia"/>
          <w:b/>
          <w:bCs/>
          <w:lang w:val="en-US" w:eastAsia="zh-CN"/>
        </w:rPr>
        <w:t>【条文说明</w:t>
      </w:r>
      <w:r>
        <w:rPr>
          <w:rFonts w:hint="eastAsia"/>
          <w:b/>
          <w:bCs/>
          <w:lang w:eastAsia="zh-CN"/>
        </w:rPr>
        <w:t>】</w:t>
      </w:r>
      <w:r>
        <w:rPr>
          <w:rFonts w:hint="eastAsia"/>
          <w:lang w:val="en-US" w:eastAsia="zh-CN"/>
        </w:rPr>
        <w:t>模块化钢结构房屋的安装施工所涉及的工序复杂、工艺工法新颖，为确保安装施工安全有序地开展，应结合模块化结构施工的特点和工艺流程的特殊要求，制定施工组织设计和专项施工方案。</w:t>
      </w:r>
    </w:p>
    <w:p w14:paraId="11E8292A">
      <w:pPr>
        <w:pStyle w:val="11"/>
        <w:rPr>
          <w:rFonts w:hint="eastAsia"/>
          <w:lang w:val="en-US" w:eastAsia="zh-CN"/>
        </w:rPr>
      </w:pPr>
    </w:p>
    <w:p w14:paraId="77E8A218">
      <w:pPr>
        <w:numPr>
          <w:ilvl w:val="0"/>
          <w:numId w:val="36"/>
        </w:numPr>
        <w:bidi w:val="0"/>
        <w:ind w:left="0" w:leftChars="0" w:firstLine="0" w:firstLineChars="0"/>
        <w:rPr>
          <w:rFonts w:hint="eastAsia"/>
          <w:lang w:val="en-US" w:eastAsia="zh-CN"/>
        </w:rPr>
      </w:pPr>
      <w:r>
        <w:rPr>
          <w:rFonts w:hint="eastAsia"/>
          <w:lang w:val="en-US" w:eastAsia="zh-CN"/>
        </w:rPr>
        <w:t>安装施工前，应选择有代表性的模块进行样板间试安装，并根据试安装结果及时调整完善施工方案和施工工艺，经检验符合设计要求和本标准相关要求后方可进行正式的组合安装工作。</w:t>
      </w:r>
    </w:p>
    <w:p w14:paraId="6DFD75F0">
      <w:pPr>
        <w:numPr>
          <w:ilvl w:val="0"/>
          <w:numId w:val="36"/>
        </w:numPr>
        <w:bidi w:val="0"/>
        <w:ind w:left="0" w:leftChars="0" w:firstLine="0" w:firstLineChars="0"/>
        <w:rPr>
          <w:rFonts w:hint="eastAsia"/>
          <w:lang w:val="en-US" w:eastAsia="zh-CN"/>
        </w:rPr>
      </w:pPr>
      <w:r>
        <w:rPr>
          <w:rFonts w:hint="eastAsia"/>
          <w:lang w:val="en-US" w:eastAsia="zh-CN"/>
        </w:rPr>
        <w:t>安装作业人员在上岗前应进行技术培训，并宜具备相关从业资格证明，特种设备操作人员应持证上岗。</w:t>
      </w:r>
    </w:p>
    <w:p w14:paraId="4F02BDCB">
      <w:pPr>
        <w:pStyle w:val="45"/>
        <w:numPr>
          <w:ilvl w:val="0"/>
          <w:numId w:val="0"/>
        </w:numPr>
        <w:bidi w:val="0"/>
        <w:ind w:leftChars="0"/>
        <w:rPr>
          <w:rFonts w:hint="eastAsia"/>
          <w:lang w:val="en-US" w:eastAsia="zh-CN"/>
        </w:rPr>
      </w:pPr>
      <w:r>
        <w:rPr>
          <w:rFonts w:hint="eastAsia"/>
          <w:b/>
          <w:bCs/>
          <w:lang w:val="en-US" w:eastAsia="zh-CN"/>
        </w:rPr>
        <w:t>【条文说明</w:t>
      </w:r>
      <w:r>
        <w:rPr>
          <w:rFonts w:hint="eastAsia"/>
          <w:b/>
          <w:bCs/>
          <w:lang w:eastAsia="zh-CN"/>
        </w:rPr>
        <w:t>】</w:t>
      </w:r>
      <w:r>
        <w:rPr>
          <w:lang w:eastAsia="zh-CN"/>
        </w:rPr>
        <w:t>为防止在模块吊装过程中发生模块损伤、破坏、坠落、吊车倾覆等危险性事件，应重视安装施工的安全要求，严格遵守施工安全的有关规定。</w:t>
      </w:r>
    </w:p>
    <w:p w14:paraId="2BAAD16A">
      <w:pPr>
        <w:pStyle w:val="11"/>
        <w:rPr>
          <w:rFonts w:hint="eastAsia"/>
          <w:lang w:val="en-US" w:eastAsia="zh-CN"/>
        </w:rPr>
      </w:pPr>
    </w:p>
    <w:p w14:paraId="74A24C43">
      <w:pPr>
        <w:numPr>
          <w:ilvl w:val="0"/>
          <w:numId w:val="36"/>
        </w:numPr>
        <w:bidi w:val="0"/>
        <w:ind w:left="0" w:leftChars="0" w:firstLine="0" w:firstLineChars="0"/>
        <w:rPr>
          <w:rFonts w:hint="eastAsia"/>
          <w:lang w:val="en-US" w:eastAsia="zh-CN"/>
        </w:rPr>
      </w:pPr>
      <w:r>
        <w:rPr>
          <w:rFonts w:hint="eastAsia"/>
          <w:lang w:val="en-US" w:eastAsia="zh-CN"/>
        </w:rPr>
        <w:t>安装施工过程中应确保施工安全。安全措施应符合现行行业标准《建筑施工高处作业安全技术规范》JGJ80、《建筑机械使用安全技术规程》JGJ33、《建筑与市政工程施工现场临时用电安全技术标准》JGJ46、《建筑施工起重吊装工程安全技术规范》JGJ276等有关规定。</w:t>
      </w:r>
    </w:p>
    <w:p w14:paraId="643104EC">
      <w:pPr>
        <w:pStyle w:val="45"/>
        <w:numPr>
          <w:ilvl w:val="0"/>
          <w:numId w:val="0"/>
        </w:numPr>
        <w:bidi w:val="0"/>
        <w:ind w:leftChars="0"/>
        <w:rPr>
          <w:rFonts w:hint="eastAsia"/>
          <w:lang w:val="en-US" w:eastAsia="zh-CN"/>
        </w:rPr>
      </w:pPr>
      <w:r>
        <w:rPr>
          <w:rFonts w:hint="eastAsia"/>
          <w:b/>
          <w:bCs/>
          <w:lang w:val="en-US" w:eastAsia="zh-CN"/>
        </w:rPr>
        <w:t>【条文说明</w:t>
      </w:r>
      <w:r>
        <w:rPr>
          <w:rFonts w:hint="eastAsia"/>
          <w:b/>
          <w:bCs/>
          <w:lang w:eastAsia="zh-CN"/>
        </w:rPr>
        <w:t>】</w:t>
      </w:r>
      <w:r>
        <w:rPr>
          <w:rFonts w:hint="eastAsia"/>
          <w:lang w:val="en-US" w:eastAsia="zh-CN"/>
        </w:rPr>
        <w:t>工程施工应严格落实政府部门关于环境保护的相关要求，在施工过程中采取必要的环保措施。</w:t>
      </w:r>
    </w:p>
    <w:p w14:paraId="4F714977">
      <w:pPr>
        <w:pStyle w:val="11"/>
        <w:rPr>
          <w:rFonts w:hint="eastAsia"/>
          <w:lang w:val="en-US" w:eastAsia="zh-CN"/>
        </w:rPr>
      </w:pPr>
    </w:p>
    <w:p w14:paraId="0FCEA82F">
      <w:pPr>
        <w:numPr>
          <w:ilvl w:val="0"/>
          <w:numId w:val="36"/>
        </w:numPr>
        <w:bidi w:val="0"/>
        <w:ind w:left="0" w:leftChars="0" w:firstLine="0" w:firstLineChars="0"/>
        <w:rPr>
          <w:rFonts w:hint="eastAsia"/>
          <w:lang w:val="en-US" w:eastAsia="zh-CN"/>
        </w:rPr>
      </w:pPr>
      <w:r>
        <w:rPr>
          <w:rFonts w:hint="eastAsia"/>
          <w:lang w:val="en-US" w:eastAsia="zh-CN"/>
        </w:rPr>
        <w:t>安装施工应落实环保施工、绿色施工的相关要求，采取环境保护措施。环保措施应符合现行国家标准《建筑工程绿色施工规范》GB/T50905的有关规定。</w:t>
      </w:r>
    </w:p>
    <w:p w14:paraId="3A6CC932">
      <w:pPr>
        <w:pStyle w:val="3"/>
        <w:bidi w:val="0"/>
        <w:rPr>
          <w:rFonts w:hint="default" w:ascii="黑体" w:hAnsi="黑体" w:eastAsia="黑体" w:cs="黑体"/>
          <w:b w:val="0"/>
          <w:bCs w:val="0"/>
          <w:lang w:val="en-US" w:eastAsia="zh-CN"/>
        </w:rPr>
      </w:pPr>
      <w:bookmarkStart w:id="51" w:name="_Toc186033347"/>
      <w:bookmarkStart w:id="52" w:name="_Toc10412"/>
      <w:bookmarkStart w:id="53" w:name="_Toc16271"/>
      <w:r>
        <w:rPr>
          <w:rFonts w:hint="eastAsia" w:eastAsia="Times New Roman" w:cs="Times New Roman"/>
          <w:b w:val="0"/>
          <w:bCs w:val="0"/>
          <w:spacing w:val="-3"/>
          <w:lang w:val="en-US" w:eastAsia="zh-CN"/>
        </w:rPr>
        <w:t>7</w:t>
      </w:r>
      <w:r>
        <w:rPr>
          <w:rFonts w:ascii="宋体" w:hAnsi="宋体" w:eastAsia="宋体" w:cs="宋体"/>
          <w:b w:val="0"/>
          <w:bCs w:val="0"/>
          <w:spacing w:val="-3"/>
          <w:lang w:eastAsia="zh-CN"/>
        </w:rPr>
        <w:t>.</w:t>
      </w:r>
      <w:r>
        <w:rPr>
          <w:rFonts w:ascii="Times New Roman" w:hAnsi="Times New Roman" w:eastAsia="Times New Roman" w:cs="Times New Roman"/>
          <w:b w:val="0"/>
          <w:bCs w:val="0"/>
          <w:spacing w:val="-3"/>
          <w:lang w:eastAsia="zh-CN"/>
        </w:rPr>
        <w:t>2</w:t>
      </w:r>
      <w:bookmarkEnd w:id="51"/>
      <w:r>
        <w:rPr>
          <w:rFonts w:hint="eastAsia" w:ascii="黑体" w:hAnsi="黑体" w:cs="黑体"/>
          <w:b w:val="0"/>
          <w:bCs w:val="0"/>
          <w:spacing w:val="-3"/>
          <w:lang w:val="en-US" w:eastAsia="zh-CN"/>
        </w:rPr>
        <w:t>安装与连接</w:t>
      </w:r>
      <w:bookmarkEnd w:id="52"/>
      <w:bookmarkEnd w:id="53"/>
    </w:p>
    <w:p w14:paraId="1EFE6181">
      <w:pPr>
        <w:numPr>
          <w:ilvl w:val="0"/>
          <w:numId w:val="37"/>
        </w:numPr>
        <w:bidi w:val="0"/>
        <w:ind w:left="0" w:leftChars="0" w:firstLine="0" w:firstLineChars="0"/>
        <w:rPr>
          <w:lang w:eastAsia="zh-CN"/>
        </w:rPr>
      </w:pPr>
      <w:r>
        <w:rPr>
          <w:lang w:eastAsia="zh-CN"/>
        </w:rPr>
        <w:t>安装施工现场设置的运输通道和预制品存放场地，应符合下列规定：</w:t>
      </w:r>
    </w:p>
    <w:p w14:paraId="46ED2CAA">
      <w:pPr>
        <w:numPr>
          <w:ilvl w:val="0"/>
          <w:numId w:val="38"/>
        </w:numPr>
        <w:bidi w:val="0"/>
        <w:ind w:left="0" w:leftChars="0" w:firstLine="420" w:firstLineChars="0"/>
        <w:rPr>
          <w:lang w:eastAsia="zh-CN"/>
        </w:rPr>
      </w:pPr>
      <w:r>
        <w:rPr>
          <w:lang w:eastAsia="zh-CN"/>
        </w:rPr>
        <w:t>现场运输道路和存放场地应坚实平整，并设置排水措施；</w:t>
      </w:r>
    </w:p>
    <w:p w14:paraId="6260B8C4">
      <w:pPr>
        <w:numPr>
          <w:ilvl w:val="0"/>
          <w:numId w:val="38"/>
        </w:numPr>
        <w:bidi w:val="0"/>
        <w:ind w:left="0" w:leftChars="0" w:firstLine="420" w:firstLineChars="0"/>
        <w:rPr>
          <w:lang w:eastAsia="zh-CN"/>
        </w:rPr>
      </w:pPr>
      <w:r>
        <w:rPr>
          <w:lang w:eastAsia="zh-CN"/>
        </w:rPr>
        <w:t>应合理规划模块运输通道和临时堆放场地，并应采取成品堆放保护措施；</w:t>
      </w:r>
    </w:p>
    <w:p w14:paraId="1DCA4C63">
      <w:pPr>
        <w:numPr>
          <w:ilvl w:val="0"/>
          <w:numId w:val="38"/>
        </w:numPr>
        <w:bidi w:val="0"/>
        <w:ind w:left="0" w:leftChars="0" w:firstLine="420" w:firstLineChars="0"/>
        <w:rPr>
          <w:lang w:eastAsia="zh-CN"/>
        </w:rPr>
      </w:pPr>
      <w:r>
        <w:rPr>
          <w:lang w:eastAsia="zh-CN"/>
        </w:rPr>
        <w:t>安装施工现场内部道路应按照预制品运输车辆的要求合理设置转弯半径及道路坡度。</w:t>
      </w:r>
    </w:p>
    <w:p w14:paraId="2B6CBAFC">
      <w:pPr>
        <w:numPr>
          <w:ilvl w:val="0"/>
          <w:numId w:val="37"/>
        </w:numPr>
        <w:bidi w:val="0"/>
        <w:ind w:left="0" w:leftChars="0" w:firstLine="0" w:firstLineChars="0"/>
        <w:rPr>
          <w:rFonts w:ascii="Times New Roman" w:hAnsi="Times New Roman" w:eastAsia="宋体"/>
          <w:lang w:eastAsia="zh-CN"/>
        </w:rPr>
      </w:pPr>
      <w:r>
        <w:rPr>
          <w:rFonts w:ascii="Times New Roman" w:hAnsi="Times New Roman" w:eastAsia="宋体"/>
          <w:lang w:eastAsia="zh-CN"/>
        </w:rPr>
        <w:t>模块单元吊装起重机械的选用和操作应符合现行行业标准《建筑机械使用安全技术</w:t>
      </w:r>
      <w:r>
        <w:rPr>
          <w:rFonts w:hint="eastAsia"/>
          <w:lang w:val="en-US" w:eastAsia="zh-CN"/>
        </w:rPr>
        <w:t>规程</w:t>
      </w:r>
      <w:r>
        <w:rPr>
          <w:rFonts w:ascii="Times New Roman" w:hAnsi="Times New Roman" w:eastAsia="宋体"/>
          <w:lang w:eastAsia="zh-CN"/>
        </w:rPr>
        <w:t>》JGJ33的有关规定。起重机械的吨位和型号可根据吊装方案和模块重量选择。</w:t>
      </w:r>
    </w:p>
    <w:p w14:paraId="39F71AAB">
      <w:pPr>
        <w:numPr>
          <w:ilvl w:val="0"/>
          <w:numId w:val="37"/>
        </w:numPr>
        <w:bidi w:val="0"/>
        <w:ind w:left="0" w:leftChars="0" w:firstLine="0" w:firstLineChars="0"/>
        <w:rPr>
          <w:rFonts w:ascii="Times New Roman" w:hAnsi="Times New Roman" w:eastAsia="宋体"/>
          <w:lang w:eastAsia="zh-CN"/>
        </w:rPr>
      </w:pPr>
      <w:r>
        <w:rPr>
          <w:rFonts w:ascii="Times New Roman" w:hAnsi="Times New Roman" w:eastAsia="宋体"/>
          <w:lang w:eastAsia="zh-CN"/>
        </w:rPr>
        <w:t>模块单元吊装应根据模块单元重量和吊点分布设计专用吊架，吊架应保证模块单元在吊装过程保持平稳，吊架下方与模块吊点相连的吊链与水平方向的夹角不应小于75度，不宜小于80度。</w:t>
      </w:r>
    </w:p>
    <w:p w14:paraId="304F63E8">
      <w:pPr>
        <w:pStyle w:val="45"/>
        <w:numPr>
          <w:ilvl w:val="0"/>
          <w:numId w:val="0"/>
        </w:numPr>
        <w:bidi w:val="0"/>
        <w:ind w:leftChars="0"/>
        <w:rPr>
          <w:lang w:eastAsia="zh-CN"/>
        </w:rPr>
      </w:pPr>
      <w:r>
        <w:rPr>
          <w:rFonts w:hint="eastAsia"/>
          <w:b/>
          <w:bCs/>
          <w:lang w:val="en-US" w:eastAsia="zh-CN"/>
        </w:rPr>
        <w:t>【条文说明</w:t>
      </w:r>
      <w:r>
        <w:rPr>
          <w:rFonts w:hint="eastAsia"/>
          <w:b/>
          <w:bCs/>
          <w:lang w:eastAsia="zh-CN"/>
        </w:rPr>
        <w:t>】</w:t>
      </w:r>
      <w:r>
        <w:rPr>
          <w:lang w:eastAsia="zh-CN"/>
        </w:rPr>
        <w:t>吊架应由专业设计人员设计，应满足承载力、稳定性及变形要求。为了防止吊装过程中，吊链产生的水平拉力对模块单元造成不利影响，需要严格控制吊链的竖向倾角。</w:t>
      </w:r>
    </w:p>
    <w:p w14:paraId="04130C47">
      <w:pPr>
        <w:pStyle w:val="11"/>
        <w:ind w:left="0" w:leftChars="0"/>
        <w:rPr>
          <w:rFonts w:hint="default"/>
          <w:b/>
          <w:bCs/>
          <w:lang w:val="en-US" w:eastAsia="zh-CN"/>
        </w:rPr>
      </w:pPr>
    </w:p>
    <w:p w14:paraId="409BC7B6">
      <w:pPr>
        <w:numPr>
          <w:ilvl w:val="0"/>
          <w:numId w:val="37"/>
        </w:numPr>
        <w:bidi w:val="0"/>
        <w:ind w:left="0" w:leftChars="0" w:firstLine="0" w:firstLineChars="0"/>
        <w:rPr>
          <w:rFonts w:ascii="Times New Roman" w:hAnsi="Times New Roman" w:eastAsia="宋体"/>
          <w:lang w:eastAsia="zh-CN"/>
        </w:rPr>
      </w:pPr>
      <w:r>
        <w:rPr>
          <w:rFonts w:hint="eastAsia" w:ascii="Times New Roman" w:hAnsi="Times New Roman" w:eastAsia="宋体"/>
          <w:lang w:val="en-US" w:eastAsia="zh-CN"/>
        </w:rPr>
        <w:t>模块单元吊装</w:t>
      </w:r>
      <w:r>
        <w:rPr>
          <w:rFonts w:ascii="Times New Roman" w:hAnsi="Times New Roman" w:eastAsia="宋体"/>
          <w:lang w:eastAsia="zh-CN"/>
        </w:rPr>
        <w:t>施工前，应确保吊装条件和施工作业面满足要求，并应进行下列工作：</w:t>
      </w:r>
    </w:p>
    <w:p w14:paraId="189E2330">
      <w:pPr>
        <w:numPr>
          <w:ilvl w:val="0"/>
          <w:numId w:val="39"/>
        </w:numPr>
        <w:bidi w:val="0"/>
        <w:ind w:left="0" w:leftChars="0" w:firstLine="420" w:firstLineChars="0"/>
        <w:rPr>
          <w:lang w:eastAsia="zh-CN"/>
        </w:rPr>
      </w:pPr>
      <w:r>
        <w:rPr>
          <w:lang w:eastAsia="zh-CN"/>
        </w:rPr>
        <w:t>应核实现场环境、天气、道路状况等是否满足吊装施工要求；</w:t>
      </w:r>
    </w:p>
    <w:p w14:paraId="1D37A209">
      <w:pPr>
        <w:numPr>
          <w:ilvl w:val="0"/>
          <w:numId w:val="39"/>
        </w:numPr>
        <w:bidi w:val="0"/>
        <w:ind w:left="0" w:leftChars="0" w:firstLine="420" w:firstLineChars="0"/>
        <w:rPr>
          <w:lang w:eastAsia="zh-CN"/>
        </w:rPr>
      </w:pPr>
      <w:r>
        <w:rPr>
          <w:lang w:eastAsia="zh-CN"/>
        </w:rPr>
        <w:t>应复核吊装设备及吊具是否处于安全操作状态，并应严格按照吊装方案选择吊具挂点；</w:t>
      </w:r>
    </w:p>
    <w:p w14:paraId="7B9BE438">
      <w:pPr>
        <w:numPr>
          <w:ilvl w:val="0"/>
          <w:numId w:val="39"/>
        </w:numPr>
        <w:bidi w:val="0"/>
        <w:ind w:left="0" w:leftChars="0" w:firstLine="420" w:firstLineChars="0"/>
        <w:rPr>
          <w:lang w:eastAsia="zh-CN"/>
        </w:rPr>
      </w:pPr>
      <w:r>
        <w:rPr>
          <w:lang w:eastAsia="zh-CN"/>
        </w:rPr>
        <w:t>应核对已施工完成结构、基础的外观质量和尺寸偏差；</w:t>
      </w:r>
    </w:p>
    <w:p w14:paraId="6BED4FBA">
      <w:pPr>
        <w:numPr>
          <w:ilvl w:val="0"/>
          <w:numId w:val="39"/>
        </w:numPr>
        <w:bidi w:val="0"/>
        <w:ind w:left="0" w:leftChars="0" w:firstLine="420" w:firstLineChars="0"/>
        <w:rPr>
          <w:lang w:eastAsia="zh-CN"/>
        </w:rPr>
      </w:pPr>
      <w:r>
        <w:rPr>
          <w:lang w:eastAsia="zh-CN"/>
        </w:rPr>
        <w:t>应对安装工作面进行测量放线、设置模块单元安装定位标识，测量放线应符合现行国家标准《工程测量标准》GB50026有关规定。</w:t>
      </w:r>
    </w:p>
    <w:p w14:paraId="305D7F79">
      <w:pPr>
        <w:numPr>
          <w:ilvl w:val="0"/>
          <w:numId w:val="39"/>
        </w:numPr>
        <w:bidi w:val="0"/>
        <w:ind w:firstLine="420"/>
        <w:rPr>
          <w:lang w:eastAsia="zh-CN"/>
        </w:rPr>
      </w:pPr>
      <w:r>
        <w:rPr>
          <w:lang w:eastAsia="zh-CN"/>
        </w:rPr>
        <w:t>应按设计图纸核对设备及管线参数、预埋件及预留孔洞位置和尺寸。</w:t>
      </w:r>
    </w:p>
    <w:p w14:paraId="2DCC9BF7">
      <w:pPr>
        <w:pStyle w:val="30"/>
        <w:rPr>
          <w:lang w:eastAsia="zh-CN"/>
        </w:rPr>
      </w:pPr>
    </w:p>
    <w:p w14:paraId="40E2E1C2">
      <w:pPr>
        <w:numPr>
          <w:ilvl w:val="0"/>
          <w:numId w:val="37"/>
        </w:numPr>
        <w:bidi w:val="0"/>
        <w:ind w:left="0" w:leftChars="0" w:firstLine="0" w:firstLineChars="0"/>
        <w:rPr>
          <w:lang w:eastAsia="zh-CN"/>
        </w:rPr>
      </w:pPr>
      <w:r>
        <w:rPr>
          <w:lang w:eastAsia="zh-CN"/>
        </w:rPr>
        <w:t>模块单元安装前应对建筑物的轴线、底部基础预埋板的位置和标高、地脚螺栓位置等内容进行复核。</w:t>
      </w:r>
    </w:p>
    <w:p w14:paraId="3B90B920">
      <w:pPr>
        <w:numPr>
          <w:ilvl w:val="0"/>
          <w:numId w:val="37"/>
        </w:numPr>
        <w:bidi w:val="0"/>
        <w:ind w:left="0" w:leftChars="0" w:firstLine="0" w:firstLineChars="0"/>
        <w:rPr>
          <w:rFonts w:ascii="Times New Roman" w:hAnsi="Times New Roman" w:eastAsia="宋体"/>
          <w:lang w:eastAsia="zh-CN"/>
        </w:rPr>
      </w:pPr>
      <w:r>
        <w:rPr>
          <w:rFonts w:ascii="Times New Roman" w:hAnsi="Times New Roman" w:eastAsia="宋体"/>
          <w:lang w:eastAsia="zh-CN"/>
        </w:rPr>
        <w:t>模块单元的安装应符合下列规定：</w:t>
      </w:r>
    </w:p>
    <w:p w14:paraId="0B3F351A">
      <w:pPr>
        <w:numPr>
          <w:ilvl w:val="0"/>
          <w:numId w:val="40"/>
        </w:numPr>
        <w:bidi w:val="0"/>
        <w:ind w:left="0" w:leftChars="0" w:firstLine="420" w:firstLineChars="0"/>
        <w:rPr>
          <w:lang w:eastAsia="zh-CN"/>
        </w:rPr>
      </w:pPr>
      <w:r>
        <w:rPr>
          <w:lang w:eastAsia="zh-CN"/>
        </w:rPr>
        <w:t>宜根据建筑物的平面形状、结构形式安装机械的规格、数量、现场施工条件等因素， 划分吊装流水段，确定安装顺序，并按拟定的吊装顺序进行吊装；</w:t>
      </w:r>
    </w:p>
    <w:p w14:paraId="25236A1E">
      <w:pPr>
        <w:numPr>
          <w:ilvl w:val="0"/>
          <w:numId w:val="40"/>
        </w:numPr>
        <w:bidi w:val="0"/>
        <w:ind w:left="0" w:leftChars="0" w:firstLine="420" w:firstLineChars="0"/>
        <w:rPr>
          <w:lang w:eastAsia="zh-CN"/>
        </w:rPr>
      </w:pPr>
      <w:r>
        <w:rPr>
          <w:lang w:eastAsia="zh-CN"/>
        </w:rPr>
        <w:t>模块单元安装时，应先调整标高，再调整中心水平位移，最后调整垂直偏差；</w:t>
      </w:r>
    </w:p>
    <w:p w14:paraId="5F03AD90">
      <w:pPr>
        <w:numPr>
          <w:ilvl w:val="0"/>
          <w:numId w:val="40"/>
        </w:numPr>
        <w:bidi w:val="0"/>
        <w:ind w:left="0" w:leftChars="0" w:firstLine="420" w:firstLineChars="0"/>
        <w:rPr>
          <w:lang w:eastAsia="zh-CN"/>
        </w:rPr>
      </w:pPr>
      <w:r>
        <w:rPr>
          <w:lang w:eastAsia="zh-CN"/>
        </w:rPr>
        <w:t>模块单元在吊装过程中，应设置缆风绳控制模块转动；</w:t>
      </w:r>
    </w:p>
    <w:p w14:paraId="6C2C5E11">
      <w:pPr>
        <w:numPr>
          <w:ilvl w:val="0"/>
          <w:numId w:val="40"/>
        </w:numPr>
        <w:bidi w:val="0"/>
        <w:ind w:left="0" w:leftChars="0" w:firstLine="420" w:firstLineChars="0"/>
        <w:rPr>
          <w:lang w:eastAsia="zh-CN"/>
        </w:rPr>
      </w:pPr>
      <w:r>
        <w:rPr>
          <w:lang w:eastAsia="zh-CN"/>
        </w:rPr>
        <w:t>模块单元临时安装时应进行风荷载抗倾覆验算，对于抗倾覆验算不满足要求的，应增加临时支撑；</w:t>
      </w:r>
    </w:p>
    <w:p w14:paraId="3413C23A">
      <w:pPr>
        <w:numPr>
          <w:ilvl w:val="0"/>
          <w:numId w:val="40"/>
        </w:numPr>
        <w:bidi w:val="0"/>
        <w:ind w:left="0" w:leftChars="0" w:firstLine="420" w:firstLineChars="0"/>
        <w:rPr>
          <w:lang w:eastAsia="zh-CN"/>
        </w:rPr>
      </w:pPr>
      <w:r>
        <w:rPr>
          <w:lang w:eastAsia="zh-CN"/>
        </w:rPr>
        <w:t>模块单元在安装过程中损坏的涂层应及时进行修补。</w:t>
      </w:r>
    </w:p>
    <w:p w14:paraId="6F571CAD">
      <w:pPr>
        <w:pStyle w:val="45"/>
        <w:numPr>
          <w:ilvl w:val="0"/>
          <w:numId w:val="0"/>
        </w:numPr>
        <w:bidi w:val="0"/>
        <w:ind w:leftChars="0"/>
        <w:rPr>
          <w:lang w:eastAsia="zh-CN"/>
        </w:rPr>
      </w:pPr>
      <w:r>
        <w:rPr>
          <w:rFonts w:hint="eastAsia"/>
          <w:b/>
          <w:bCs/>
          <w:lang w:val="en-US" w:eastAsia="zh-CN"/>
        </w:rPr>
        <w:t>【条文说明</w:t>
      </w:r>
      <w:r>
        <w:rPr>
          <w:rFonts w:hint="eastAsia"/>
          <w:b/>
          <w:bCs/>
          <w:lang w:eastAsia="zh-CN"/>
        </w:rPr>
        <w:t>】</w:t>
      </w:r>
      <w:r>
        <w:rPr>
          <w:lang w:eastAsia="zh-CN"/>
        </w:rPr>
        <w:t>模块单元的安装顺序、校准定位是模块化结构施工的关键，应该施工方案中明确规定并付诸实施。</w:t>
      </w:r>
    </w:p>
    <w:p w14:paraId="3C4B0A61">
      <w:pPr>
        <w:numPr>
          <w:ilvl w:val="0"/>
          <w:numId w:val="37"/>
        </w:numPr>
        <w:bidi w:val="0"/>
        <w:ind w:left="0" w:leftChars="0" w:firstLine="0" w:firstLineChars="0"/>
        <w:rPr>
          <w:rFonts w:ascii="Times New Roman" w:hAnsi="Times New Roman" w:eastAsia="宋体"/>
          <w:lang w:eastAsia="zh-CN"/>
        </w:rPr>
      </w:pPr>
      <w:r>
        <w:rPr>
          <w:rFonts w:ascii="Times New Roman" w:hAnsi="Times New Roman" w:eastAsia="宋体"/>
          <w:lang w:eastAsia="zh-CN"/>
        </w:rPr>
        <w:t>多个模块单元拼接的区域，对于楼面装饰层的现场施工与接驳处理应预留相应的工作面，并应符合下列规定：</w:t>
      </w:r>
    </w:p>
    <w:p w14:paraId="1414B498">
      <w:pPr>
        <w:numPr>
          <w:ilvl w:val="0"/>
          <w:numId w:val="41"/>
        </w:numPr>
        <w:bidi w:val="0"/>
        <w:ind w:left="0" w:leftChars="0" w:firstLine="420" w:firstLineChars="0"/>
        <w:rPr>
          <w:lang w:eastAsia="zh-CN"/>
        </w:rPr>
      </w:pPr>
      <w:r>
        <w:rPr>
          <w:lang w:eastAsia="zh-CN"/>
        </w:rPr>
        <w:t>使用地胶作为地面饰面时，宜在现场进行地面找平后铺贴；</w:t>
      </w:r>
    </w:p>
    <w:p w14:paraId="21F343CA">
      <w:pPr>
        <w:numPr>
          <w:ilvl w:val="0"/>
          <w:numId w:val="41"/>
        </w:numPr>
        <w:bidi w:val="0"/>
        <w:ind w:left="0" w:leftChars="0" w:firstLine="420" w:firstLineChars="0"/>
        <w:rPr>
          <w:lang w:eastAsia="zh-CN"/>
        </w:rPr>
      </w:pPr>
      <w:r>
        <w:rPr>
          <w:lang w:eastAsia="zh-CN"/>
        </w:rPr>
        <w:t>使用瓷砖作为地面饰面时，可采用错缝对齐的铺贴形式；</w:t>
      </w:r>
    </w:p>
    <w:p w14:paraId="4D6E4728">
      <w:pPr>
        <w:numPr>
          <w:ilvl w:val="0"/>
          <w:numId w:val="41"/>
        </w:numPr>
        <w:bidi w:val="0"/>
        <w:ind w:left="0" w:leftChars="0" w:firstLine="420" w:firstLineChars="0"/>
        <w:rPr>
          <w:lang w:eastAsia="zh-CN"/>
        </w:rPr>
      </w:pPr>
      <w:r>
        <w:rPr>
          <w:lang w:eastAsia="zh-CN"/>
        </w:rPr>
        <w:t>多个模块单元的饰面材料拼接处宜设置门槛石、门套线；</w:t>
      </w:r>
    </w:p>
    <w:p w14:paraId="591234F1">
      <w:pPr>
        <w:numPr>
          <w:ilvl w:val="0"/>
          <w:numId w:val="41"/>
        </w:numPr>
        <w:bidi w:val="0"/>
        <w:ind w:left="0" w:leftChars="0" w:firstLine="420" w:firstLineChars="0"/>
        <w:rPr>
          <w:lang w:eastAsia="zh-CN"/>
        </w:rPr>
      </w:pPr>
      <w:r>
        <w:rPr>
          <w:lang w:eastAsia="zh-CN"/>
        </w:rPr>
        <w:t>多个模块单元的饰面材料拼接处应进行防水防溢防渗措施处理；</w:t>
      </w:r>
    </w:p>
    <w:p w14:paraId="44B61E6D">
      <w:pPr>
        <w:numPr>
          <w:ilvl w:val="0"/>
          <w:numId w:val="41"/>
        </w:numPr>
        <w:bidi w:val="0"/>
        <w:ind w:left="0" w:leftChars="0" w:firstLine="420" w:firstLineChars="0"/>
        <w:rPr>
          <w:lang w:eastAsia="zh-CN"/>
        </w:rPr>
      </w:pPr>
      <w:r>
        <w:rPr>
          <w:lang w:eastAsia="zh-CN"/>
        </w:rPr>
        <w:t>装修施工宜采用具备一定容错的调平工艺。</w:t>
      </w:r>
    </w:p>
    <w:p w14:paraId="17C3BBAF">
      <w:pPr>
        <w:numPr>
          <w:ilvl w:val="0"/>
          <w:numId w:val="0"/>
        </w:numPr>
        <w:tabs>
          <w:tab w:val="left" w:pos="0"/>
        </w:tabs>
        <w:bidi w:val="0"/>
        <w:ind w:left="420" w:leftChars="0"/>
        <w:rPr>
          <w:lang w:eastAsia="zh-CN"/>
        </w:rPr>
      </w:pPr>
    </w:p>
    <w:p w14:paraId="2FD455DC">
      <w:pPr>
        <w:numPr>
          <w:ilvl w:val="0"/>
          <w:numId w:val="37"/>
        </w:numPr>
        <w:bidi w:val="0"/>
        <w:ind w:left="0" w:leftChars="0" w:firstLine="0" w:firstLineChars="0"/>
        <w:rPr>
          <w:rFonts w:ascii="Times New Roman" w:hAnsi="Times New Roman" w:eastAsia="宋体"/>
          <w:lang w:eastAsia="zh-CN"/>
        </w:rPr>
      </w:pPr>
      <w:r>
        <w:rPr>
          <w:rFonts w:ascii="Times New Roman" w:hAnsi="Times New Roman" w:eastAsia="宋体"/>
          <w:lang w:eastAsia="zh-CN"/>
        </w:rPr>
        <w:t>对于多个模块拼接的潮湿区域，宜在现场进行施工，并应进行整体的防水处理。</w:t>
      </w:r>
    </w:p>
    <w:p w14:paraId="6FCC003A">
      <w:pPr>
        <w:pStyle w:val="9"/>
        <w:rPr>
          <w:lang w:eastAsia="zh-CN"/>
        </w:rPr>
      </w:pPr>
    </w:p>
    <w:p w14:paraId="4DB2E6EC">
      <w:pPr>
        <w:numPr>
          <w:ilvl w:val="0"/>
          <w:numId w:val="37"/>
        </w:numPr>
        <w:bidi w:val="0"/>
        <w:ind w:left="0" w:leftChars="0" w:firstLine="0" w:firstLineChars="0"/>
        <w:rPr>
          <w:rFonts w:ascii="Times New Roman" w:hAnsi="Times New Roman" w:eastAsia="宋体"/>
          <w:lang w:eastAsia="zh-CN"/>
        </w:rPr>
      </w:pPr>
      <w:r>
        <w:rPr>
          <w:rFonts w:hint="eastAsia" w:ascii="Times New Roman" w:hAnsi="Times New Roman" w:eastAsia="宋体"/>
          <w:lang w:eastAsia="zh-CN"/>
        </w:rPr>
        <w:t>钢结构施工质量控制应按现行国家标准《钢结构工程施工质量验收标准</w:t>
      </w:r>
      <w:r>
        <w:rPr>
          <w:rFonts w:hint="default"/>
          <w:lang w:eastAsia="zh-CN"/>
        </w:rPr>
        <w:t>》</w:t>
      </w:r>
      <w:r>
        <w:rPr>
          <w:rFonts w:hint="eastAsia" w:ascii="Times New Roman" w:hAnsi="Times New Roman" w:eastAsia="宋体"/>
          <w:lang w:eastAsia="zh-CN"/>
        </w:rPr>
        <w:t>GB 50205 的规定执行；模块化</w:t>
      </w:r>
      <w:r>
        <w:rPr>
          <w:rFonts w:hint="eastAsia"/>
          <w:lang w:val="en-US" w:eastAsia="zh-CN"/>
        </w:rPr>
        <w:t>钢结构</w:t>
      </w:r>
      <w:r>
        <w:rPr>
          <w:rFonts w:hint="eastAsia" w:ascii="Times New Roman" w:hAnsi="Times New Roman" w:eastAsia="宋体"/>
          <w:lang w:eastAsia="zh-CN"/>
        </w:rPr>
        <w:t>房屋叠箱结构安装的允许偏差应符合表 7.</w:t>
      </w:r>
      <w:r>
        <w:rPr>
          <w:rFonts w:hint="eastAsia"/>
          <w:lang w:val="en-US" w:eastAsia="zh-CN"/>
        </w:rPr>
        <w:t>2</w:t>
      </w:r>
      <w:r>
        <w:rPr>
          <w:rFonts w:hint="eastAsia" w:ascii="Times New Roman" w:hAnsi="Times New Roman" w:eastAsia="宋体"/>
          <w:lang w:eastAsia="zh-CN"/>
        </w:rPr>
        <w:t>.</w:t>
      </w:r>
      <w:r>
        <w:rPr>
          <w:rFonts w:hint="eastAsia"/>
          <w:lang w:val="en-US" w:eastAsia="zh-CN"/>
        </w:rPr>
        <w:t>9</w:t>
      </w:r>
      <w:r>
        <w:rPr>
          <w:rFonts w:hint="eastAsia" w:ascii="Times New Roman" w:hAnsi="Times New Roman" w:eastAsia="宋体"/>
          <w:lang w:eastAsia="zh-CN"/>
        </w:rPr>
        <w:t xml:space="preserve"> 的规定。</w:t>
      </w:r>
    </w:p>
    <w:p w14:paraId="7E27B82E">
      <w:pPr>
        <w:pStyle w:val="30"/>
        <w:jc w:val="center"/>
        <w:rPr>
          <w:rFonts w:hint="default"/>
          <w:lang w:val="en-US" w:eastAsia="zh-CN"/>
        </w:rPr>
      </w:pPr>
      <w:r>
        <w:rPr>
          <w:rFonts w:hint="eastAsia"/>
          <w:lang w:val="en-US" w:eastAsia="zh-CN"/>
        </w:rPr>
        <w:t>表7.2.9  模块化钢结构房屋叠箱结构安装的允许偏差</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69"/>
        <w:gridCol w:w="3549"/>
        <w:gridCol w:w="2466"/>
      </w:tblGrid>
      <w:tr w14:paraId="74C1A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805" w:type="pct"/>
            <w:tcBorders>
              <w:top w:val="single" w:color="000000" w:sz="12" w:space="0"/>
              <w:left w:val="single" w:color="000000" w:sz="12" w:space="0"/>
              <w:bottom w:val="single" w:color="000000" w:sz="4" w:space="0"/>
              <w:right w:val="single" w:color="000000" w:sz="4" w:space="0"/>
            </w:tcBorders>
            <w:shd w:val="clear" w:color="auto" w:fill="auto"/>
            <w:vAlign w:val="center"/>
          </w:tcPr>
          <w:p w14:paraId="0A2D755E">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项目</w:t>
            </w:r>
          </w:p>
        </w:tc>
        <w:tc>
          <w:tcPr>
            <w:tcW w:w="1955" w:type="pct"/>
            <w:tcBorders>
              <w:top w:val="single" w:color="000000" w:sz="12" w:space="0"/>
              <w:left w:val="single" w:color="000000" w:sz="4" w:space="0"/>
              <w:bottom w:val="single" w:color="000000" w:sz="4" w:space="0"/>
              <w:right w:val="single" w:color="000000" w:sz="4" w:space="0"/>
            </w:tcBorders>
            <w:shd w:val="clear" w:color="auto" w:fill="auto"/>
            <w:vAlign w:val="center"/>
          </w:tcPr>
          <w:p w14:paraId="78DE1B68">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允许偏差(mm)</w:t>
            </w:r>
          </w:p>
        </w:tc>
        <w:tc>
          <w:tcPr>
            <w:tcW w:w="1238" w:type="pct"/>
            <w:tcBorders>
              <w:top w:val="single" w:color="000000" w:sz="12" w:space="0"/>
              <w:left w:val="single" w:color="000000" w:sz="4" w:space="0"/>
              <w:bottom w:val="single" w:color="000000" w:sz="4" w:space="0"/>
              <w:right w:val="single" w:color="000000" w:sz="4" w:space="0"/>
            </w:tcBorders>
            <w:shd w:val="clear" w:color="auto" w:fill="auto"/>
            <w:vAlign w:val="center"/>
          </w:tcPr>
          <w:p w14:paraId="4560EC3A">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图例</w:t>
            </w:r>
          </w:p>
        </w:tc>
      </w:tr>
      <w:tr w14:paraId="2B2BC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2" w:hRule="atLeast"/>
        </w:trPr>
        <w:tc>
          <w:tcPr>
            <w:tcW w:w="1805" w:type="pct"/>
            <w:tcBorders>
              <w:top w:val="single" w:color="000000" w:sz="4" w:space="0"/>
              <w:left w:val="single" w:color="000000" w:sz="12" w:space="0"/>
              <w:bottom w:val="single" w:color="000000" w:sz="4" w:space="0"/>
              <w:right w:val="single" w:color="000000" w:sz="4" w:space="0"/>
            </w:tcBorders>
            <w:shd w:val="clear" w:color="auto" w:fill="auto"/>
            <w:vAlign w:val="center"/>
          </w:tcPr>
          <w:p w14:paraId="282D5F76">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地板中心线对定位</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轴线的偏移△</w:t>
            </w:r>
          </w:p>
        </w:tc>
        <w:tc>
          <w:tcPr>
            <w:tcW w:w="1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2F723">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eastAsia" w:ascii="微软雅黑" w:hAnsi="微软雅黑" w:eastAsia="微软雅黑" w:cs="微软雅黑"/>
                <w:i w:val="0"/>
                <w:iCs w:val="0"/>
                <w:color w:val="0A0A0A"/>
                <w:kern w:val="0"/>
                <w:sz w:val="20"/>
                <w:szCs w:val="20"/>
                <w:u w:val="none"/>
                <w:lang w:val="en-US" w:eastAsia="zh-CN" w:bidi="ar"/>
              </w:rPr>
              <w:t>±</w:t>
            </w:r>
            <w:r>
              <w:rPr>
                <w:rFonts w:hint="default" w:ascii="报宋" w:hAnsi="报宋" w:eastAsia="报宋" w:cs="报宋"/>
                <w:i w:val="0"/>
                <w:iCs w:val="0"/>
                <w:color w:val="0A0A0A"/>
                <w:kern w:val="0"/>
                <w:sz w:val="20"/>
                <w:szCs w:val="20"/>
                <w:u w:val="none"/>
                <w:lang w:val="en-US" w:eastAsia="zh-CN" w:bidi="ar"/>
              </w:rPr>
              <w:t>5.0</w:t>
            </w:r>
          </w:p>
        </w:tc>
        <w:tc>
          <w:tcPr>
            <w:tcW w:w="1238" w:type="pct"/>
            <w:tcBorders>
              <w:top w:val="single" w:color="000000" w:sz="4" w:space="0"/>
              <w:left w:val="single" w:color="000000" w:sz="4" w:space="0"/>
              <w:bottom w:val="single" w:color="000000" w:sz="4" w:space="0"/>
              <w:right w:val="single" w:color="000000" w:sz="12" w:space="0"/>
            </w:tcBorders>
            <w:shd w:val="clear" w:color="auto" w:fill="auto"/>
            <w:vAlign w:val="center"/>
          </w:tcPr>
          <w:p w14:paraId="427FE4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default"/>
                <w:szCs w:val="20"/>
              </w:rPr>
              <w:drawing>
                <wp:inline distT="0" distB="0" distL="114300" distR="114300">
                  <wp:extent cx="1088390" cy="653415"/>
                  <wp:effectExtent l="0" t="0" r="16510" b="133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57"/>
                          <a:stretch>
                            <a:fillRect/>
                          </a:stretch>
                        </pic:blipFill>
                        <pic:spPr>
                          <a:xfrm>
                            <a:off x="0" y="0"/>
                            <a:ext cx="1088390" cy="653415"/>
                          </a:xfrm>
                          <a:prstGeom prst="rect">
                            <a:avLst/>
                          </a:prstGeom>
                          <a:noFill/>
                          <a:ln>
                            <a:noFill/>
                          </a:ln>
                        </pic:spPr>
                      </pic:pic>
                    </a:graphicData>
                  </a:graphic>
                </wp:inline>
              </w:drawing>
            </w:r>
          </w:p>
        </w:tc>
      </w:tr>
      <w:tr w14:paraId="3520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1805" w:type="pct"/>
            <w:tcBorders>
              <w:top w:val="single" w:color="000000" w:sz="4" w:space="0"/>
              <w:left w:val="single" w:color="000000" w:sz="12" w:space="0"/>
              <w:bottom w:val="single" w:color="000000" w:sz="4" w:space="0"/>
              <w:right w:val="single" w:color="000000" w:sz="4" w:space="0"/>
            </w:tcBorders>
            <w:shd w:val="clear" w:color="auto" w:fill="auto"/>
            <w:vAlign w:val="center"/>
          </w:tcPr>
          <w:p w14:paraId="1C308726">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整体垂直度△</w:t>
            </w:r>
          </w:p>
        </w:tc>
        <w:tc>
          <w:tcPr>
            <w:tcW w:w="1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75A01">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≤30.0,</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且≤H/1000+10</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EA6FC">
            <w:pPr>
              <w:pStyle w:val="43"/>
              <w:keepNext w:val="0"/>
              <w:keepLines w:val="0"/>
              <w:suppressLineNumbers w:val="0"/>
              <w:bidi w:val="0"/>
              <w:spacing w:before="0" w:beforeAutospacing="0" w:after="0" w:afterAutospacing="0"/>
              <w:ind w:left="0" w:right="0"/>
              <w:jc w:val="center"/>
              <w:rPr>
                <w:rFonts w:hint="default"/>
                <w:szCs w:val="20"/>
              </w:rPr>
            </w:pPr>
            <w:r>
              <w:rPr>
                <w:rFonts w:hint="default"/>
                <w:szCs w:val="20"/>
              </w:rPr>
              <w:drawing>
                <wp:inline distT="0" distB="0" distL="114300" distR="114300">
                  <wp:extent cx="716915" cy="1199515"/>
                  <wp:effectExtent l="0" t="0" r="6985"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58"/>
                          <a:stretch>
                            <a:fillRect/>
                          </a:stretch>
                        </pic:blipFill>
                        <pic:spPr>
                          <a:xfrm>
                            <a:off x="0" y="0"/>
                            <a:ext cx="716915" cy="1199515"/>
                          </a:xfrm>
                          <a:prstGeom prst="rect">
                            <a:avLst/>
                          </a:prstGeom>
                          <a:noFill/>
                          <a:ln>
                            <a:noFill/>
                          </a:ln>
                        </pic:spPr>
                      </pic:pic>
                    </a:graphicData>
                  </a:graphic>
                </wp:inline>
              </w:drawing>
            </w:r>
          </w:p>
        </w:tc>
      </w:tr>
      <w:tr w14:paraId="18A13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30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A88DEAF">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kern w:val="0"/>
                <w:sz w:val="20"/>
                <w:szCs w:val="20"/>
                <w:u w:val="none"/>
                <w:lang w:val="en-US" w:eastAsia="zh-CN" w:bidi="ar"/>
              </w:rPr>
            </w:pPr>
            <w:r>
              <w:rPr>
                <w:rFonts w:hint="default" w:ascii="报宋" w:hAnsi="报宋" w:eastAsia="报宋" w:cs="报宋"/>
                <w:i w:val="0"/>
                <w:iCs w:val="0"/>
                <w:color w:val="0A0A0A"/>
                <w:kern w:val="0"/>
                <w:sz w:val="20"/>
                <w:szCs w:val="20"/>
                <w:u w:val="none"/>
                <w:lang w:val="en-US" w:eastAsia="zh-CN" w:bidi="ar"/>
              </w:rPr>
              <w:t>单层箱体垂直度△</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F176">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kern w:val="0"/>
                <w:sz w:val="20"/>
                <w:szCs w:val="20"/>
                <w:u w:val="none"/>
                <w:lang w:val="en-US" w:eastAsia="zh-CN" w:bidi="ar"/>
              </w:rPr>
            </w:pPr>
            <w:r>
              <w:rPr>
                <w:rFonts w:hint="default" w:ascii="报宋" w:hAnsi="报宋" w:eastAsia="报宋" w:cs="报宋"/>
                <w:i w:val="0"/>
                <w:iCs w:val="0"/>
                <w:color w:val="0A0A0A"/>
                <w:kern w:val="0"/>
                <w:sz w:val="20"/>
                <w:szCs w:val="20"/>
                <w:u w:val="none"/>
                <w:lang w:val="en-US" w:eastAsia="zh-CN" w:bidi="ar"/>
              </w:rPr>
              <w:t>±5.0</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B02AB">
            <w:pPr>
              <w:pStyle w:val="43"/>
              <w:keepNext w:val="0"/>
              <w:keepLines w:val="0"/>
              <w:suppressLineNumbers w:val="0"/>
              <w:bidi w:val="0"/>
              <w:spacing w:before="0" w:beforeAutospacing="0" w:after="0" w:afterAutospacing="0"/>
              <w:ind w:left="0" w:right="0"/>
              <w:jc w:val="center"/>
              <w:rPr>
                <w:rFonts w:hint="default"/>
                <w:szCs w:val="20"/>
              </w:rPr>
            </w:pPr>
            <w:r>
              <w:rPr>
                <w:rFonts w:hint="default"/>
                <w:szCs w:val="20"/>
              </w:rPr>
              <w:drawing>
                <wp:inline distT="0" distB="0" distL="114300" distR="114300">
                  <wp:extent cx="1010920" cy="1125220"/>
                  <wp:effectExtent l="0" t="0" r="17780" b="1778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59"/>
                          <a:stretch>
                            <a:fillRect/>
                          </a:stretch>
                        </pic:blipFill>
                        <pic:spPr>
                          <a:xfrm>
                            <a:off x="0" y="0"/>
                            <a:ext cx="1010920" cy="1125220"/>
                          </a:xfrm>
                          <a:prstGeom prst="rect">
                            <a:avLst/>
                          </a:prstGeom>
                          <a:noFill/>
                          <a:ln>
                            <a:noFill/>
                          </a:ln>
                        </pic:spPr>
                      </pic:pic>
                    </a:graphicData>
                  </a:graphic>
                </wp:inline>
              </w:drawing>
            </w:r>
          </w:p>
        </w:tc>
      </w:tr>
      <w:tr w14:paraId="0CC6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30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085DA4D">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kern w:val="0"/>
                <w:sz w:val="20"/>
                <w:szCs w:val="20"/>
                <w:u w:val="none"/>
                <w:lang w:val="en-US" w:eastAsia="zh-CN" w:bidi="ar"/>
              </w:rPr>
            </w:pPr>
            <w:r>
              <w:rPr>
                <w:rFonts w:hint="default" w:ascii="报宋" w:hAnsi="报宋" w:eastAsia="报宋" w:cs="报宋"/>
                <w:i w:val="0"/>
                <w:iCs w:val="0"/>
                <w:color w:val="0A0A0A"/>
                <w:kern w:val="0"/>
                <w:sz w:val="20"/>
                <w:szCs w:val="20"/>
                <w:u w:val="none"/>
                <w:lang w:val="en-US" w:eastAsia="zh-CN" w:bidi="ar"/>
              </w:rPr>
              <w:t>箱体顶部标高△</w:t>
            </w: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4CD2">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kern w:val="0"/>
                <w:sz w:val="20"/>
                <w:szCs w:val="20"/>
                <w:u w:val="none"/>
                <w:lang w:val="en-US" w:eastAsia="zh-CN" w:bidi="ar"/>
              </w:rPr>
            </w:pPr>
            <w:r>
              <w:rPr>
                <w:rFonts w:hint="default" w:ascii="报宋" w:hAnsi="报宋" w:eastAsia="报宋" w:cs="报宋"/>
                <w:i w:val="0"/>
                <w:iCs w:val="0"/>
                <w:color w:val="0A0A0A"/>
                <w:kern w:val="0"/>
                <w:sz w:val="20"/>
                <w:szCs w:val="20"/>
                <w:u w:val="none"/>
                <w:lang w:val="en-US" w:eastAsia="zh-CN" w:bidi="ar"/>
              </w:rPr>
              <w:t>±5.0</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C417A">
            <w:pPr>
              <w:pStyle w:val="43"/>
              <w:keepNext w:val="0"/>
              <w:keepLines w:val="0"/>
              <w:suppressLineNumbers w:val="0"/>
              <w:bidi w:val="0"/>
              <w:spacing w:before="0" w:beforeAutospacing="0" w:after="0" w:afterAutospacing="0"/>
              <w:ind w:left="0" w:right="0"/>
              <w:jc w:val="center"/>
              <w:rPr>
                <w:rFonts w:hint="default"/>
                <w:szCs w:val="20"/>
              </w:rPr>
            </w:pPr>
            <w:r>
              <w:rPr>
                <w:rFonts w:hint="default"/>
                <w:szCs w:val="20"/>
              </w:rPr>
              <w:drawing>
                <wp:inline distT="0" distB="0" distL="114300" distR="114300">
                  <wp:extent cx="1418590" cy="616585"/>
                  <wp:effectExtent l="0" t="0" r="10160" b="1206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60"/>
                          <a:stretch>
                            <a:fillRect/>
                          </a:stretch>
                        </pic:blipFill>
                        <pic:spPr>
                          <a:xfrm>
                            <a:off x="0" y="0"/>
                            <a:ext cx="1418590" cy="616585"/>
                          </a:xfrm>
                          <a:prstGeom prst="rect">
                            <a:avLst/>
                          </a:prstGeom>
                          <a:noFill/>
                          <a:ln>
                            <a:noFill/>
                          </a:ln>
                        </pic:spPr>
                      </pic:pic>
                    </a:graphicData>
                  </a:graphic>
                </wp:inline>
              </w:drawing>
            </w:r>
          </w:p>
        </w:tc>
      </w:tr>
      <w:tr w14:paraId="5DBA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3076" w:type="dxa"/>
            <w:tcBorders>
              <w:top w:val="single" w:color="000000" w:sz="4" w:space="0"/>
              <w:left w:val="single" w:color="000000" w:sz="12" w:space="0"/>
              <w:bottom w:val="single" w:color="000000" w:sz="12" w:space="0"/>
              <w:right w:val="single" w:color="000000" w:sz="4" w:space="0"/>
            </w:tcBorders>
            <w:shd w:val="clear" w:color="auto" w:fill="auto"/>
            <w:vAlign w:val="center"/>
          </w:tcPr>
          <w:p w14:paraId="34EFBB6C">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kern w:val="0"/>
                <w:sz w:val="20"/>
                <w:szCs w:val="20"/>
                <w:u w:val="none"/>
                <w:lang w:val="en-US" w:eastAsia="zh-CN" w:bidi="ar"/>
              </w:rPr>
            </w:pPr>
            <w:r>
              <w:rPr>
                <w:rFonts w:hint="default" w:ascii="报宋" w:hAnsi="报宋" w:eastAsia="报宋" w:cs="报宋"/>
                <w:i w:val="0"/>
                <w:iCs w:val="0"/>
                <w:color w:val="0A0A0A"/>
                <w:kern w:val="0"/>
                <w:sz w:val="20"/>
                <w:szCs w:val="20"/>
                <w:u w:val="none"/>
                <w:lang w:val="en-US" w:eastAsia="zh-CN" w:bidi="ar"/>
              </w:rPr>
              <w:t>房屋的平面弯曲</w:t>
            </w:r>
          </w:p>
        </w:tc>
        <w:tc>
          <w:tcPr>
            <w:tcW w:w="333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7D089443">
            <w:pPr>
              <w:keepNext w:val="0"/>
              <w:keepLines w:val="0"/>
              <w:widowControl/>
              <w:suppressLineNumbers w:val="0"/>
              <w:spacing w:before="0" w:beforeAutospacing="0" w:after="0" w:afterAutospacing="0"/>
              <w:ind w:left="0" w:right="0"/>
              <w:jc w:val="center"/>
              <w:textAlignment w:val="center"/>
              <w:rPr>
                <w:rFonts w:hint="default" w:ascii="报宋" w:hAnsi="报宋" w:eastAsia="报宋" w:cs="报宋"/>
                <w:i w:val="0"/>
                <w:iCs w:val="0"/>
                <w:color w:val="0A0A0A"/>
                <w:kern w:val="0"/>
                <w:sz w:val="20"/>
                <w:szCs w:val="20"/>
                <w:u w:val="none"/>
                <w:lang w:val="en-US" w:eastAsia="zh-CN" w:bidi="ar"/>
              </w:rPr>
            </w:pPr>
            <w:r>
              <w:rPr>
                <w:rFonts w:hint="default" w:ascii="报宋" w:hAnsi="报宋" w:eastAsia="报宋" w:cs="报宋"/>
                <w:i w:val="0"/>
                <w:iCs w:val="0"/>
                <w:color w:val="0A0A0A"/>
                <w:kern w:val="0"/>
                <w:sz w:val="20"/>
                <w:szCs w:val="20"/>
                <w:u w:val="none"/>
                <w:lang w:val="en-US" w:eastAsia="zh-CN" w:bidi="ar"/>
              </w:rPr>
              <w:t>≤20.0,</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且 ≤L/1200</w:t>
            </w:r>
          </w:p>
        </w:tc>
        <w:tc>
          <w:tcPr>
            <w:tcW w:w="1238" w:type="pct"/>
            <w:tcBorders>
              <w:top w:val="single" w:color="000000" w:sz="4" w:space="0"/>
              <w:left w:val="single" w:color="000000" w:sz="4" w:space="0"/>
              <w:bottom w:val="single" w:color="000000" w:sz="12" w:space="0"/>
              <w:right w:val="single" w:color="000000" w:sz="4" w:space="0"/>
            </w:tcBorders>
            <w:shd w:val="clear" w:color="auto" w:fill="auto"/>
            <w:vAlign w:val="center"/>
          </w:tcPr>
          <w:p w14:paraId="5EA74475">
            <w:pPr>
              <w:pStyle w:val="43"/>
              <w:keepNext w:val="0"/>
              <w:keepLines w:val="0"/>
              <w:suppressLineNumbers w:val="0"/>
              <w:bidi w:val="0"/>
              <w:spacing w:before="0" w:beforeAutospacing="0" w:after="0" w:afterAutospacing="0"/>
              <w:ind w:left="0" w:right="0"/>
              <w:jc w:val="center"/>
              <w:rPr>
                <w:rFonts w:hint="default"/>
                <w:szCs w:val="20"/>
              </w:rPr>
            </w:pPr>
            <w:r>
              <w:rPr>
                <w:rFonts w:hint="default"/>
                <w:szCs w:val="20"/>
              </w:rPr>
              <w:drawing>
                <wp:inline distT="0" distB="0" distL="114300" distR="114300">
                  <wp:extent cx="1230630" cy="899160"/>
                  <wp:effectExtent l="0" t="0" r="7620" b="1524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61"/>
                          <a:stretch>
                            <a:fillRect/>
                          </a:stretch>
                        </pic:blipFill>
                        <pic:spPr>
                          <a:xfrm>
                            <a:off x="0" y="0"/>
                            <a:ext cx="1230630" cy="899160"/>
                          </a:xfrm>
                          <a:prstGeom prst="rect">
                            <a:avLst/>
                          </a:prstGeom>
                          <a:noFill/>
                          <a:ln>
                            <a:noFill/>
                          </a:ln>
                        </pic:spPr>
                      </pic:pic>
                    </a:graphicData>
                  </a:graphic>
                </wp:inline>
              </w:drawing>
            </w:r>
          </w:p>
        </w:tc>
      </w:tr>
    </w:tbl>
    <w:p w14:paraId="06C6A91A">
      <w:pPr>
        <w:pStyle w:val="30"/>
        <w:rPr>
          <w:rFonts w:hint="eastAsia" w:ascii="黑体" w:hAnsi="黑体" w:eastAsia="黑体" w:cs="黑体"/>
          <w:spacing w:val="7"/>
          <w:sz w:val="18"/>
          <w:szCs w:val="18"/>
          <w:lang w:eastAsia="zh-CN"/>
        </w:rPr>
      </w:pPr>
    </w:p>
    <w:p w14:paraId="0D37C451">
      <w:pPr>
        <w:numPr>
          <w:ilvl w:val="0"/>
          <w:numId w:val="37"/>
        </w:numPr>
        <w:bidi w:val="0"/>
        <w:ind w:left="0" w:leftChars="0" w:firstLine="0" w:firstLineChars="0"/>
        <w:rPr>
          <w:rFonts w:ascii="Times New Roman" w:hAnsi="Times New Roman" w:eastAsia="宋体"/>
          <w:lang w:eastAsia="zh-CN"/>
        </w:rPr>
      </w:pPr>
      <w:r>
        <w:rPr>
          <w:rFonts w:ascii="Times New Roman" w:hAnsi="Times New Roman" w:eastAsia="宋体"/>
          <w:lang w:eastAsia="zh-CN"/>
        </w:rPr>
        <w:t>在施工安装时应避免对模块单元主体钢结构进行焊接或切割，不应在任何表面上拖拉模块单元，模块单元因搬运或吊装发生变形损坏时应返厂。</w:t>
      </w:r>
    </w:p>
    <w:p w14:paraId="3ABCA5E9">
      <w:pPr>
        <w:pStyle w:val="45"/>
        <w:numPr>
          <w:ilvl w:val="0"/>
          <w:numId w:val="0"/>
        </w:numPr>
        <w:bidi w:val="0"/>
        <w:ind w:leftChars="0"/>
        <w:rPr>
          <w:lang w:eastAsia="zh-CN"/>
        </w:rPr>
      </w:pPr>
      <w:r>
        <w:rPr>
          <w:rFonts w:hint="eastAsia"/>
          <w:b/>
          <w:bCs/>
          <w:lang w:val="en-US" w:eastAsia="zh-CN"/>
        </w:rPr>
        <w:t>【条文说明</w:t>
      </w:r>
      <w:r>
        <w:rPr>
          <w:rFonts w:hint="eastAsia"/>
          <w:b/>
          <w:bCs/>
          <w:lang w:eastAsia="zh-CN"/>
        </w:rPr>
        <w:t>】</w:t>
      </w:r>
      <w:r>
        <w:rPr>
          <w:rFonts w:hint="eastAsia"/>
          <w:lang w:eastAsia="zh-CN"/>
        </w:rPr>
        <w:t>模块化钢结构房屋</w:t>
      </w:r>
      <w:r>
        <w:rPr>
          <w:lang w:eastAsia="zh-CN"/>
        </w:rPr>
        <w:t>的建造特点是模块单元工厂预制、现场拼装，工业化生产、产品化质量控制。模块单元的焊接、切割工作应预先规划，尽量在工厂完成，以保证加工质量，提高现场施工效率。</w:t>
      </w:r>
    </w:p>
    <w:p w14:paraId="4F5AE318">
      <w:pPr>
        <w:pStyle w:val="9"/>
        <w:rPr>
          <w:rFonts w:ascii="Times New Roman" w:hAnsi="Times New Roman" w:eastAsia="宋体"/>
          <w:lang w:eastAsia="zh-CN"/>
        </w:rPr>
      </w:pPr>
    </w:p>
    <w:p w14:paraId="0B33FA03">
      <w:pPr>
        <w:numPr>
          <w:ilvl w:val="0"/>
          <w:numId w:val="37"/>
        </w:numPr>
        <w:bidi w:val="0"/>
        <w:ind w:left="0" w:leftChars="0" w:firstLine="0" w:firstLineChars="0"/>
        <w:rPr>
          <w:rFonts w:ascii="Times New Roman" w:hAnsi="Times New Roman" w:eastAsia="宋体"/>
          <w:lang w:eastAsia="zh-CN"/>
        </w:rPr>
      </w:pPr>
      <w:r>
        <w:rPr>
          <w:rFonts w:ascii="Times New Roman" w:hAnsi="Times New Roman" w:eastAsia="宋体"/>
          <w:lang w:eastAsia="zh-CN"/>
        </w:rPr>
        <w:t>模块单元之间通过高强螺栓或拉杆连接时，应采用扭力扳手确保紧固力符合设计要求。采用灌浆连接节点时，应确保灌浆密实和饱满。</w:t>
      </w:r>
    </w:p>
    <w:p w14:paraId="056741C3">
      <w:pPr>
        <w:numPr>
          <w:ilvl w:val="0"/>
          <w:numId w:val="37"/>
        </w:numPr>
        <w:bidi w:val="0"/>
        <w:ind w:left="0" w:leftChars="0" w:firstLine="0" w:firstLineChars="0"/>
        <w:rPr>
          <w:rFonts w:ascii="Times New Roman" w:hAnsi="Times New Roman" w:eastAsia="宋体"/>
          <w:lang w:eastAsia="zh-CN"/>
        </w:rPr>
      </w:pPr>
      <w:r>
        <w:rPr>
          <w:rFonts w:ascii="Times New Roman" w:hAnsi="Times New Roman" w:eastAsia="宋体"/>
          <w:lang w:eastAsia="zh-CN"/>
        </w:rPr>
        <w:t>模块单元安装过程中，应对模块单元进行临时防水处理，并应符合下列规定：</w:t>
      </w:r>
    </w:p>
    <w:p w14:paraId="5B8F1A69">
      <w:pPr>
        <w:numPr>
          <w:ilvl w:val="0"/>
          <w:numId w:val="42"/>
        </w:numPr>
        <w:bidi w:val="0"/>
        <w:ind w:left="0" w:leftChars="0" w:firstLine="420" w:firstLineChars="0"/>
        <w:rPr>
          <w:lang w:eastAsia="zh-CN"/>
        </w:rPr>
      </w:pPr>
      <w:r>
        <w:rPr>
          <w:lang w:eastAsia="zh-CN"/>
        </w:rPr>
        <w:t>应对预留管线的孔洞进行临时封堵；</w:t>
      </w:r>
    </w:p>
    <w:p w14:paraId="5DD808C3">
      <w:pPr>
        <w:numPr>
          <w:ilvl w:val="0"/>
          <w:numId w:val="42"/>
        </w:numPr>
        <w:bidi w:val="0"/>
        <w:ind w:left="0" w:leftChars="0" w:firstLine="420" w:firstLineChars="0"/>
        <w:rPr>
          <w:lang w:eastAsia="zh-CN"/>
        </w:rPr>
      </w:pPr>
      <w:r>
        <w:rPr>
          <w:lang w:eastAsia="zh-CN"/>
        </w:rPr>
        <w:t>应及时完成接缝等位置的防水处理；</w:t>
      </w:r>
    </w:p>
    <w:p w14:paraId="6DBE8CA5">
      <w:pPr>
        <w:numPr>
          <w:ilvl w:val="0"/>
          <w:numId w:val="42"/>
        </w:numPr>
        <w:bidi w:val="0"/>
        <w:ind w:left="0" w:leftChars="0" w:firstLine="420" w:firstLineChars="0"/>
        <w:rPr>
          <w:lang w:eastAsia="zh-CN"/>
        </w:rPr>
      </w:pPr>
      <w:r>
        <w:rPr>
          <w:lang w:eastAsia="zh-CN"/>
        </w:rPr>
        <w:t>模块单元顶部、门窗、洞口处宜设置防雨布。</w:t>
      </w:r>
    </w:p>
    <w:p w14:paraId="019855C5">
      <w:pPr>
        <w:numPr>
          <w:ilvl w:val="0"/>
          <w:numId w:val="37"/>
        </w:numPr>
        <w:bidi w:val="0"/>
        <w:ind w:left="0" w:leftChars="0" w:firstLine="0" w:firstLineChars="0"/>
        <w:rPr>
          <w:rFonts w:ascii="Times New Roman" w:hAnsi="Times New Roman" w:eastAsia="宋体"/>
          <w:lang w:eastAsia="zh-CN"/>
        </w:rPr>
      </w:pPr>
      <w:r>
        <w:rPr>
          <w:rFonts w:ascii="Times New Roman" w:hAnsi="Times New Roman" w:eastAsia="宋体"/>
          <w:lang w:eastAsia="zh-CN"/>
        </w:rPr>
        <w:t>给排水系统和通风与空调系统的现场连接安装应符合现行国家标准《建筑给水排水及采暖工程施工质量验收规范》GB 50242、《通风与空调工程施工质量验收规范》GB50243和《建筑设计防火规范》GB50016的有关规定，并应符合下列规定：</w:t>
      </w:r>
    </w:p>
    <w:p w14:paraId="43314E64">
      <w:pPr>
        <w:numPr>
          <w:ilvl w:val="0"/>
          <w:numId w:val="43"/>
        </w:numPr>
        <w:bidi w:val="0"/>
        <w:ind w:left="0" w:leftChars="0" w:firstLine="420" w:firstLineChars="0"/>
        <w:rPr>
          <w:lang w:eastAsia="zh-CN"/>
        </w:rPr>
      </w:pPr>
      <w:r>
        <w:rPr>
          <w:lang w:eastAsia="zh-CN"/>
        </w:rPr>
        <w:t>模块单元间水管的安装和连接应在模块单元拼装完成后实施，并应进行试压、通水测试；</w:t>
      </w:r>
    </w:p>
    <w:p w14:paraId="2B0B4C37">
      <w:pPr>
        <w:numPr>
          <w:ilvl w:val="0"/>
          <w:numId w:val="43"/>
        </w:numPr>
        <w:bidi w:val="0"/>
        <w:ind w:left="0" w:leftChars="0" w:firstLine="420" w:firstLineChars="0"/>
        <w:rPr>
          <w:lang w:eastAsia="zh-CN"/>
        </w:rPr>
      </w:pPr>
      <w:r>
        <w:rPr>
          <w:lang w:eastAsia="zh-CN"/>
        </w:rPr>
        <w:t>模块单元间风管的现场连接宜采用法兰连接。如果采用软管连接，软管长度不应超过2m；</w:t>
      </w:r>
    </w:p>
    <w:p w14:paraId="4B63BF6A">
      <w:pPr>
        <w:numPr>
          <w:ilvl w:val="0"/>
          <w:numId w:val="43"/>
        </w:numPr>
        <w:bidi w:val="0"/>
        <w:ind w:left="0" w:leftChars="0" w:firstLine="420" w:firstLineChars="0"/>
        <w:rPr>
          <w:lang w:eastAsia="zh-CN"/>
        </w:rPr>
      </w:pPr>
      <w:r>
        <w:rPr>
          <w:lang w:eastAsia="zh-CN"/>
        </w:rPr>
        <w:t>模块单元间的管线洞口应进行防火封堵。</w:t>
      </w:r>
    </w:p>
    <w:p w14:paraId="2A4B3ADD">
      <w:pPr>
        <w:numPr>
          <w:ilvl w:val="0"/>
          <w:numId w:val="37"/>
        </w:numPr>
        <w:bidi w:val="0"/>
        <w:ind w:left="0" w:leftChars="0" w:firstLine="0" w:firstLineChars="0"/>
        <w:rPr>
          <w:lang w:eastAsia="zh-CN"/>
        </w:rPr>
      </w:pPr>
      <w:r>
        <w:rPr>
          <w:rFonts w:hint="eastAsia" w:ascii="Times New Roman" w:hAnsi="Times New Roman" w:eastAsia="宋体"/>
          <w:lang w:val="en-US" w:eastAsia="zh-CN"/>
        </w:rPr>
        <w:t xml:space="preserve">电气设备管线的现场连接安装应符合现行国家标准《建筑电气工程施工质量验收规范》 </w:t>
      </w:r>
      <w:r>
        <w:rPr>
          <w:lang w:eastAsia="zh-CN"/>
        </w:rPr>
        <w:t>GB 50303 和《建筑设计防火规范》GB50016的有关规定，并应符合下列规定：</w:t>
      </w:r>
    </w:p>
    <w:p w14:paraId="52FA79CC">
      <w:pPr>
        <w:numPr>
          <w:ilvl w:val="0"/>
          <w:numId w:val="44"/>
        </w:numPr>
        <w:bidi w:val="0"/>
        <w:ind w:left="0" w:leftChars="0" w:firstLine="420" w:firstLineChars="0"/>
        <w:rPr>
          <w:lang w:eastAsia="zh-CN"/>
        </w:rPr>
      </w:pPr>
      <w:r>
        <w:rPr>
          <w:lang w:eastAsia="zh-CN"/>
        </w:rPr>
        <w:t>模块单元间导线连接不应采用易松动型接口；</w:t>
      </w:r>
    </w:p>
    <w:p w14:paraId="0DA5131D">
      <w:pPr>
        <w:numPr>
          <w:ilvl w:val="0"/>
          <w:numId w:val="44"/>
        </w:numPr>
        <w:bidi w:val="0"/>
        <w:ind w:left="0" w:leftChars="0" w:firstLine="420" w:firstLineChars="0"/>
        <w:rPr>
          <w:lang w:eastAsia="zh-CN"/>
        </w:rPr>
      </w:pPr>
      <w:r>
        <w:rPr>
          <w:lang w:eastAsia="zh-CN"/>
        </w:rPr>
        <w:t>模块单元拼装后，所有的模块单元应进行等电位连接，模块单元外侧预留的螺栓应采用铜芯导线相互连接，导线截面面积不应小于16mm</w:t>
      </w:r>
      <w:r>
        <w:rPr>
          <w:vertAlign w:val="superscript"/>
          <w:lang w:eastAsia="zh-CN"/>
        </w:rPr>
        <w:t>2</w:t>
      </w:r>
      <w:r>
        <w:rPr>
          <w:lang w:eastAsia="zh-CN"/>
        </w:rPr>
        <w:t>。</w:t>
      </w:r>
    </w:p>
    <w:p w14:paraId="2E0A1AF9">
      <w:pPr>
        <w:pStyle w:val="45"/>
        <w:numPr>
          <w:ilvl w:val="0"/>
          <w:numId w:val="0"/>
        </w:numPr>
        <w:bidi w:val="0"/>
        <w:ind w:leftChars="0"/>
        <w:rPr>
          <w:rFonts w:hint="eastAsia"/>
          <w:lang w:eastAsia="zh-CN"/>
        </w:rPr>
      </w:pPr>
      <w:r>
        <w:rPr>
          <w:rFonts w:hint="eastAsia"/>
          <w:b/>
          <w:bCs/>
          <w:lang w:val="en-US" w:eastAsia="zh-CN"/>
        </w:rPr>
        <w:t>【条文说明</w:t>
      </w:r>
      <w:r>
        <w:rPr>
          <w:rFonts w:hint="eastAsia"/>
          <w:b/>
          <w:bCs/>
          <w:lang w:eastAsia="zh-CN"/>
        </w:rPr>
        <w:t>】</w:t>
      </w:r>
      <w:r>
        <w:rPr>
          <w:rFonts w:hint="eastAsia"/>
          <w:lang w:eastAsia="zh-CN"/>
        </w:rPr>
        <w:t>模块单元间的导线连接一般采用压接或焊接型式，常规的有接口器件有接线盒、配电箱等，此类连接型式相对成熟稳定，故障率低，安全隐患小。严禁采用插头与插座作为导线的接口器件，</w:t>
      </w:r>
    </w:p>
    <w:p w14:paraId="57A49471">
      <w:pPr>
        <w:pStyle w:val="45"/>
        <w:numPr>
          <w:ilvl w:val="0"/>
          <w:numId w:val="0"/>
        </w:numPr>
        <w:bidi w:val="0"/>
        <w:ind w:leftChars="0"/>
        <w:rPr>
          <w:rFonts w:hint="eastAsia"/>
          <w:lang w:eastAsia="zh-CN"/>
        </w:rPr>
      </w:pPr>
      <w:r>
        <w:rPr>
          <w:rFonts w:hint="eastAsia"/>
          <w:lang w:eastAsia="zh-CN"/>
        </w:rPr>
        <w:t>因为建筑物在风和地震下的振动容易造成插头与插座的连接松动，从而引起电弧。多起火灾事故调查表明，插头与插座的连接松动是造成火灾的主要原因之一。</w:t>
      </w:r>
    </w:p>
    <w:p w14:paraId="0160BCC8">
      <w:pPr>
        <w:pStyle w:val="45"/>
        <w:numPr>
          <w:ilvl w:val="0"/>
          <w:numId w:val="0"/>
        </w:numPr>
        <w:bidi w:val="0"/>
        <w:ind w:leftChars="0"/>
        <w:rPr>
          <w:rFonts w:hint="eastAsia"/>
          <w:lang w:eastAsia="zh-CN"/>
        </w:rPr>
      </w:pPr>
    </w:p>
    <w:p w14:paraId="34CBC2EF">
      <w:pPr>
        <w:numPr>
          <w:ilvl w:val="0"/>
          <w:numId w:val="37"/>
        </w:numPr>
        <w:bidi w:val="0"/>
        <w:ind w:left="0" w:leftChars="0" w:firstLine="0" w:firstLineChars="0"/>
        <w:rPr>
          <w:lang w:eastAsia="zh-CN"/>
        </w:rPr>
      </w:pPr>
      <w:r>
        <w:rPr>
          <w:lang w:eastAsia="zh-CN"/>
        </w:rPr>
        <w:t>电气调试和防雷接地应符合下列规定：</w:t>
      </w:r>
    </w:p>
    <w:p w14:paraId="42128BCE">
      <w:pPr>
        <w:numPr>
          <w:ilvl w:val="0"/>
          <w:numId w:val="45"/>
        </w:numPr>
        <w:bidi w:val="0"/>
        <w:ind w:left="0" w:leftChars="0" w:firstLine="420" w:firstLineChars="0"/>
        <w:rPr>
          <w:lang w:eastAsia="zh-CN"/>
        </w:rPr>
      </w:pPr>
      <w:r>
        <w:rPr>
          <w:lang w:eastAsia="zh-CN"/>
        </w:rPr>
        <w:t>电气调试时应测试所有电气回路及电气设备的绝缘情况。调试过程中应做好调试记录，调试完成后应清除临时短接线和各种障碍物；</w:t>
      </w:r>
    </w:p>
    <w:p w14:paraId="58F2A9C8">
      <w:pPr>
        <w:numPr>
          <w:ilvl w:val="0"/>
          <w:numId w:val="45"/>
        </w:numPr>
        <w:bidi w:val="0"/>
        <w:ind w:left="0" w:leftChars="0" w:firstLine="420" w:firstLineChars="0"/>
        <w:rPr>
          <w:lang w:eastAsia="zh-CN"/>
        </w:rPr>
      </w:pPr>
      <w:r>
        <w:rPr>
          <w:lang w:eastAsia="zh-CN"/>
        </w:rPr>
        <w:t>防雷接地电阻应使用接地电阻测试仪进行测试，接地电阻值应符合设计要求。当钢结构接地体无法满足接地电阻要求时，应增加人工接地极；</w:t>
      </w:r>
    </w:p>
    <w:p w14:paraId="1E18B949">
      <w:pPr>
        <w:numPr>
          <w:ilvl w:val="0"/>
          <w:numId w:val="45"/>
        </w:numPr>
        <w:bidi w:val="0"/>
        <w:ind w:left="0" w:leftChars="0" w:firstLine="420" w:firstLineChars="0"/>
        <w:rPr>
          <w:lang w:eastAsia="zh-CN"/>
        </w:rPr>
      </w:pPr>
      <w:r>
        <w:rPr>
          <w:lang w:eastAsia="zh-CN"/>
        </w:rPr>
        <w:t>现场应先完成防雷接地体的安装，并预留出模块单元的连接器件， 待模块单元安装完成后，再将连接器件与模块单元进行连接；</w:t>
      </w:r>
    </w:p>
    <w:p w14:paraId="1A743AD5">
      <w:pPr>
        <w:numPr>
          <w:ilvl w:val="0"/>
          <w:numId w:val="45"/>
        </w:numPr>
        <w:bidi w:val="0"/>
        <w:ind w:left="0" w:leftChars="0" w:firstLine="420" w:firstLineChars="0"/>
        <w:rPr>
          <w:lang w:eastAsia="zh-CN"/>
        </w:rPr>
      </w:pPr>
      <w:r>
        <w:rPr>
          <w:lang w:eastAsia="zh-CN"/>
        </w:rPr>
        <w:t>利用顶层模块单元的屋面金属压顶做接闪带时，宜将同一模块单元内的金属压顶预先连接。</w:t>
      </w:r>
    </w:p>
    <w:p w14:paraId="4C563F8A">
      <w:pPr>
        <w:pStyle w:val="3"/>
        <w:bidi w:val="0"/>
        <w:rPr>
          <w:lang w:eastAsia="zh-CN"/>
        </w:rPr>
      </w:pPr>
      <w:bookmarkStart w:id="54" w:name="_Toc32752"/>
      <w:bookmarkStart w:id="55" w:name="_Toc28847"/>
      <w:bookmarkStart w:id="56" w:name="_Toc186033350"/>
      <w:r>
        <w:rPr>
          <w:rFonts w:hint="eastAsia"/>
          <w:lang w:val="en-US" w:eastAsia="zh-CN"/>
        </w:rPr>
        <w:t>7</w:t>
      </w:r>
      <w:r>
        <w:rPr>
          <w:lang w:eastAsia="zh-CN"/>
        </w:rPr>
        <w:t>.</w:t>
      </w:r>
      <w:r>
        <w:rPr>
          <w:rFonts w:hint="eastAsia"/>
          <w:lang w:val="en-US" w:eastAsia="zh-CN"/>
        </w:rPr>
        <w:t>3</w:t>
      </w:r>
      <w:r>
        <w:rPr>
          <w:lang w:eastAsia="zh-CN"/>
        </w:rPr>
        <w:t>接缝处理</w:t>
      </w:r>
      <w:bookmarkEnd w:id="54"/>
      <w:bookmarkEnd w:id="55"/>
      <w:bookmarkEnd w:id="56"/>
    </w:p>
    <w:p w14:paraId="35F2CA8F">
      <w:pPr>
        <w:numPr>
          <w:ilvl w:val="0"/>
          <w:numId w:val="46"/>
        </w:numPr>
        <w:bidi w:val="0"/>
        <w:ind w:left="0" w:leftChars="0" w:firstLine="0" w:firstLineChars="0"/>
        <w:rPr>
          <w:lang w:eastAsia="zh-CN"/>
        </w:rPr>
      </w:pPr>
      <w:r>
        <w:rPr>
          <w:rFonts w:hint="eastAsia"/>
          <w:lang w:eastAsia="zh-CN"/>
        </w:rPr>
        <w:t>模块化钢结构房屋</w:t>
      </w:r>
      <w:r>
        <w:rPr>
          <w:lang w:eastAsia="zh-CN"/>
        </w:rPr>
        <w:t>的接缝防火封堵处理措施，应符合现行国家标准《建筑设计防火规范》GB 50016和《建筑防火封堵应用技术标准》GB/T51410的有关规定。</w:t>
      </w:r>
    </w:p>
    <w:p w14:paraId="0A7C367E">
      <w:pPr>
        <w:numPr>
          <w:ilvl w:val="0"/>
          <w:numId w:val="46"/>
        </w:numPr>
        <w:bidi w:val="0"/>
        <w:ind w:left="0" w:leftChars="0" w:firstLine="0" w:firstLineChars="0"/>
        <w:rPr>
          <w:lang w:eastAsia="zh-CN"/>
        </w:rPr>
      </w:pPr>
      <w:r>
        <w:rPr>
          <w:lang w:eastAsia="zh-CN"/>
        </w:rPr>
        <w:t>相邻模块单元、模块单元和非模块单元部分以及底层模块单元与支座连接处等部位的水平缝和竖缝的防火封堵措施，应按设计文件和有关产品的技术说明执行，并应符合下列规定：</w:t>
      </w:r>
    </w:p>
    <w:p w14:paraId="218C5D90">
      <w:pPr>
        <w:numPr>
          <w:ilvl w:val="0"/>
          <w:numId w:val="47"/>
        </w:numPr>
        <w:bidi w:val="0"/>
        <w:ind w:left="0" w:leftChars="0" w:firstLine="420" w:firstLineChars="0"/>
        <w:rPr>
          <w:lang w:eastAsia="zh-CN"/>
        </w:rPr>
      </w:pPr>
      <w:r>
        <w:rPr>
          <w:lang w:eastAsia="zh-CN"/>
        </w:rPr>
        <w:t>建筑接缝封堵隐蔽前应进行隐蔽工程验收，并形成隐蔽工程验收记录；</w:t>
      </w:r>
    </w:p>
    <w:p w14:paraId="24562E72">
      <w:pPr>
        <w:numPr>
          <w:ilvl w:val="0"/>
          <w:numId w:val="47"/>
        </w:numPr>
        <w:bidi w:val="0"/>
        <w:ind w:left="0" w:leftChars="0" w:firstLine="420" w:firstLineChars="0"/>
        <w:rPr>
          <w:lang w:eastAsia="zh-CN"/>
        </w:rPr>
      </w:pPr>
      <w:r>
        <w:rPr>
          <w:lang w:eastAsia="zh-CN"/>
        </w:rPr>
        <w:t>建筑接缝封堵材料应紧密贴实。</w:t>
      </w:r>
    </w:p>
    <w:p w14:paraId="494ED2ED">
      <w:pPr>
        <w:pStyle w:val="45"/>
        <w:numPr>
          <w:ilvl w:val="0"/>
          <w:numId w:val="0"/>
        </w:numPr>
        <w:bidi w:val="0"/>
        <w:ind w:leftChars="0"/>
        <w:rPr>
          <w:lang w:eastAsia="zh-CN"/>
        </w:rPr>
      </w:pPr>
      <w:r>
        <w:rPr>
          <w:rFonts w:hint="eastAsia"/>
          <w:b/>
          <w:bCs/>
          <w:lang w:val="en-US" w:eastAsia="zh-CN"/>
        </w:rPr>
        <w:t>【条文说明</w:t>
      </w:r>
      <w:r>
        <w:rPr>
          <w:rFonts w:hint="eastAsia"/>
          <w:b/>
          <w:bCs/>
          <w:lang w:eastAsia="zh-CN"/>
        </w:rPr>
        <w:t>】</w:t>
      </w:r>
      <w:r>
        <w:rPr>
          <w:rFonts w:hint="eastAsia"/>
          <w:lang w:eastAsia="zh-CN"/>
        </w:rPr>
        <w:t>模块化钢结构房屋由模块单元拼装而成，建筑接缝相比于一般建筑更多，建筑接缝的防火 封堵处理对于建筑防火性能的实现非常关键，封堵隐蔽前应进行验收并做好记录。</w:t>
      </w:r>
    </w:p>
    <w:p w14:paraId="759E07C0">
      <w:pPr>
        <w:pStyle w:val="11"/>
        <w:rPr>
          <w:lang w:eastAsia="zh-CN"/>
        </w:rPr>
      </w:pPr>
    </w:p>
    <w:p w14:paraId="68C6A4C7">
      <w:pPr>
        <w:numPr>
          <w:ilvl w:val="0"/>
          <w:numId w:val="46"/>
        </w:numPr>
        <w:bidi w:val="0"/>
        <w:ind w:left="0" w:leftChars="0" w:firstLine="0" w:firstLineChars="0"/>
        <w:rPr>
          <w:lang w:eastAsia="zh-CN"/>
        </w:rPr>
      </w:pPr>
      <w:r>
        <w:rPr>
          <w:lang w:eastAsia="zh-CN"/>
        </w:rPr>
        <w:t>建筑接缝的防水构造措施应符合现行</w:t>
      </w:r>
      <w:r>
        <w:rPr>
          <w:rFonts w:hint="eastAsia"/>
          <w:lang w:eastAsia="zh-CN"/>
        </w:rPr>
        <w:t>《四川省建设工程防水技术标准》DBJ51/T255</w:t>
      </w:r>
      <w:r>
        <w:rPr>
          <w:lang w:eastAsia="zh-CN"/>
        </w:rPr>
        <w:t>的规定，在雨期施工或施工中断时，未经处理的建筑接缝应采取临时防水措施。</w:t>
      </w:r>
    </w:p>
    <w:p w14:paraId="0137136D">
      <w:pPr>
        <w:numPr>
          <w:ilvl w:val="0"/>
          <w:numId w:val="46"/>
        </w:numPr>
        <w:bidi w:val="0"/>
        <w:ind w:left="0" w:leftChars="0" w:firstLine="0" w:firstLineChars="0"/>
        <w:rPr>
          <w:lang w:eastAsia="zh-CN"/>
        </w:rPr>
      </w:pPr>
      <w:r>
        <w:rPr>
          <w:lang w:eastAsia="zh-CN"/>
        </w:rPr>
        <w:t>多个模块单元组合时，内装修进行现场作业前，应根据工厂施工预留尺寸进行拼缝接口处基层封板和调平。</w:t>
      </w:r>
    </w:p>
    <w:p w14:paraId="1C6478E1">
      <w:pPr>
        <w:numPr>
          <w:ilvl w:val="0"/>
          <w:numId w:val="46"/>
        </w:numPr>
        <w:ind w:firstLine="0" w:firstLineChars="0"/>
        <w:rPr>
          <w:rFonts w:hint="default"/>
          <w:lang w:eastAsia="zh-CN"/>
        </w:rPr>
      </w:pPr>
      <w:r>
        <w:rPr>
          <w:rFonts w:hint="default"/>
          <w:lang w:eastAsia="zh-CN"/>
        </w:rPr>
        <w:t>外墙的接缝应符合下列规定：</w:t>
      </w:r>
    </w:p>
    <w:p w14:paraId="2DF0E416">
      <w:pPr>
        <w:numPr>
          <w:ilvl w:val="0"/>
          <w:numId w:val="48"/>
        </w:numPr>
        <w:ind w:firstLine="420" w:firstLineChars="0"/>
        <w:rPr>
          <w:rFonts w:hint="default"/>
          <w:lang w:eastAsia="zh-CN"/>
        </w:rPr>
      </w:pPr>
      <w:r>
        <w:rPr>
          <w:rFonts w:hint="default"/>
          <w:lang w:eastAsia="zh-CN"/>
        </w:rPr>
        <w:t>接缝处应根据当地气候条件合理进行构造防水、材料防水相结合的防排水设计；</w:t>
      </w:r>
    </w:p>
    <w:p w14:paraId="5C9E8C3A">
      <w:pPr>
        <w:numPr>
          <w:ilvl w:val="0"/>
          <w:numId w:val="48"/>
        </w:numPr>
        <w:ind w:firstLine="420" w:firstLineChars="0"/>
        <w:rPr>
          <w:rFonts w:hint="default"/>
          <w:lang w:eastAsia="zh-CN"/>
        </w:rPr>
      </w:pPr>
      <w:r>
        <w:rPr>
          <w:rFonts w:hint="default"/>
          <w:lang w:eastAsia="zh-CN"/>
        </w:rPr>
        <w:t>接缝宽度及接缝材料应根据外墙材料、立面分格、结构层间位移、温度变形等因素综合确定；</w:t>
      </w:r>
    </w:p>
    <w:p w14:paraId="666CEF94">
      <w:pPr>
        <w:numPr>
          <w:ilvl w:val="0"/>
          <w:numId w:val="48"/>
        </w:numPr>
        <w:ind w:firstLine="420" w:firstLineChars="0"/>
        <w:rPr>
          <w:rFonts w:hint="default"/>
          <w:lang w:eastAsia="zh-CN"/>
        </w:rPr>
      </w:pPr>
      <w:r>
        <w:rPr>
          <w:rFonts w:hint="default"/>
          <w:lang w:eastAsia="zh-CN"/>
        </w:rPr>
        <w:t>接缝材料及构造应满足防水、防渗、抗裂、耐久等要求；</w:t>
      </w:r>
    </w:p>
    <w:p w14:paraId="62918B6C">
      <w:pPr>
        <w:numPr>
          <w:ilvl w:val="0"/>
          <w:numId w:val="48"/>
        </w:numPr>
        <w:ind w:firstLine="420" w:firstLineChars="0"/>
        <w:rPr>
          <w:rFonts w:hint="default"/>
          <w:lang w:eastAsia="zh-CN"/>
        </w:rPr>
      </w:pPr>
      <w:r>
        <w:rPr>
          <w:rFonts w:hint="default"/>
          <w:lang w:eastAsia="zh-CN"/>
        </w:rPr>
        <w:t>接缝材料应与外墙材料具有相容性，在正常使用情况下，接缝处的弹性密封材料不应发生破坏；</w:t>
      </w:r>
    </w:p>
    <w:p w14:paraId="1ADD3ADA">
      <w:pPr>
        <w:numPr>
          <w:ilvl w:val="0"/>
          <w:numId w:val="48"/>
        </w:numPr>
        <w:ind w:firstLine="420" w:firstLineChars="0"/>
        <w:rPr>
          <w:rFonts w:hint="default"/>
          <w:lang w:eastAsia="zh-CN"/>
        </w:rPr>
      </w:pPr>
      <w:r>
        <w:rPr>
          <w:rFonts w:hint="default"/>
          <w:lang w:eastAsia="zh-CN"/>
        </w:rPr>
        <w:t>接缝处以及与主体结构的连接处应采取防止热桥形成的构造措施。</w:t>
      </w:r>
    </w:p>
    <w:p w14:paraId="6218F8E3">
      <w:pPr>
        <w:pStyle w:val="45"/>
        <w:numPr>
          <w:ilvl w:val="0"/>
          <w:numId w:val="0"/>
        </w:numPr>
        <w:bidi w:val="0"/>
        <w:ind w:leftChars="0"/>
        <w:rPr>
          <w:lang w:eastAsia="zh-CN"/>
        </w:rPr>
      </w:pPr>
    </w:p>
    <w:p w14:paraId="5A410B02">
      <w:pPr>
        <w:pStyle w:val="30"/>
        <w:rPr>
          <w:lang w:eastAsia="zh-CN"/>
        </w:rPr>
      </w:pPr>
    </w:p>
    <w:p w14:paraId="5F940F01">
      <w:pPr>
        <w:pStyle w:val="3"/>
        <w:bidi w:val="0"/>
        <w:rPr>
          <w:rFonts w:hint="eastAsia"/>
          <w:lang w:val="en-US" w:eastAsia="zh-CN"/>
        </w:rPr>
      </w:pPr>
      <w:bookmarkStart w:id="57" w:name="_Toc186033351"/>
      <w:bookmarkStart w:id="58" w:name="_Toc25939"/>
      <w:bookmarkStart w:id="59" w:name="_Toc30367"/>
      <w:r>
        <w:rPr>
          <w:rFonts w:hint="eastAsia"/>
          <w:lang w:val="en-US" w:eastAsia="zh-CN"/>
        </w:rPr>
        <w:t>7</w:t>
      </w:r>
      <w:r>
        <w:rPr>
          <w:lang w:eastAsia="zh-CN"/>
        </w:rPr>
        <w:t>.</w:t>
      </w:r>
      <w:r>
        <w:rPr>
          <w:rFonts w:hint="eastAsia"/>
          <w:lang w:val="en-US" w:eastAsia="zh-CN"/>
        </w:rPr>
        <w:t>4</w:t>
      </w:r>
      <w:r>
        <w:rPr>
          <w:lang w:eastAsia="zh-CN"/>
        </w:rPr>
        <w:t>安全与</w:t>
      </w:r>
      <w:bookmarkEnd w:id="57"/>
      <w:bookmarkEnd w:id="58"/>
      <w:r>
        <w:rPr>
          <w:rFonts w:hint="eastAsia"/>
          <w:lang w:val="en-US" w:eastAsia="zh-CN"/>
        </w:rPr>
        <w:t>绿色施工</w:t>
      </w:r>
      <w:bookmarkEnd w:id="59"/>
    </w:p>
    <w:p w14:paraId="37D244B9">
      <w:pPr>
        <w:numPr>
          <w:ilvl w:val="0"/>
          <w:numId w:val="49"/>
        </w:numPr>
        <w:bidi w:val="0"/>
        <w:ind w:left="0" w:leftChars="0" w:firstLine="0" w:firstLineChars="0"/>
        <w:rPr>
          <w:lang w:eastAsia="zh-CN"/>
        </w:rPr>
      </w:pPr>
      <w:r>
        <w:rPr>
          <w:rFonts w:hint="eastAsia"/>
          <w:lang w:eastAsia="zh-CN"/>
        </w:rPr>
        <w:t>模块化钢结构房屋</w:t>
      </w:r>
      <w:r>
        <w:rPr>
          <w:lang w:eastAsia="zh-CN"/>
        </w:rPr>
        <w:t>安装施工应执行国家、地方、行业和企业的安全生产法规和规章制度， 落实各级各类人员的安全生产职责。</w:t>
      </w:r>
    </w:p>
    <w:p w14:paraId="1974960A">
      <w:pPr>
        <w:numPr>
          <w:ilvl w:val="0"/>
          <w:numId w:val="49"/>
        </w:numPr>
        <w:bidi w:val="0"/>
        <w:ind w:left="0" w:leftChars="0" w:firstLine="0" w:firstLineChars="0"/>
        <w:rPr>
          <w:lang w:eastAsia="zh-CN"/>
        </w:rPr>
      </w:pPr>
      <w:r>
        <w:rPr>
          <w:lang w:eastAsia="zh-CN"/>
        </w:rPr>
        <w:t>施工单位应根据工程施工特点对重大危险源进行识别并予以公示，并制定相对应的安全生产应急预案。</w:t>
      </w:r>
    </w:p>
    <w:p w14:paraId="66F499C9">
      <w:pPr>
        <w:numPr>
          <w:ilvl w:val="0"/>
          <w:numId w:val="49"/>
        </w:numPr>
        <w:bidi w:val="0"/>
        <w:ind w:left="0" w:leftChars="0" w:firstLine="0" w:firstLineChars="0"/>
        <w:rPr>
          <w:lang w:eastAsia="zh-CN"/>
        </w:rPr>
      </w:pPr>
      <w:r>
        <w:rPr>
          <w:lang w:eastAsia="zh-CN"/>
        </w:rPr>
        <w:t>施工单位应对从事模块吊装作业及相关人员进行安全培训与交底，培训与交底内容应包含模块进场、卸车、存放、吊装、就位等环节，并应制定防控措施和应急预案。</w:t>
      </w:r>
    </w:p>
    <w:p w14:paraId="434327CF">
      <w:pPr>
        <w:numPr>
          <w:ilvl w:val="0"/>
          <w:numId w:val="49"/>
        </w:numPr>
        <w:bidi w:val="0"/>
        <w:ind w:left="0" w:leftChars="0" w:firstLine="0" w:firstLineChars="0"/>
        <w:rPr>
          <w:lang w:eastAsia="zh-CN"/>
        </w:rPr>
      </w:pPr>
      <w:r>
        <w:rPr>
          <w:lang w:eastAsia="zh-CN"/>
        </w:rPr>
        <w:t>安装施工作业使用的专用吊具、吊索、定型工具式支撑、支架等，应进行安全验算，使用中进行定期、不定期检查，确保其安全状态。</w:t>
      </w:r>
    </w:p>
    <w:p w14:paraId="351C669D">
      <w:pPr>
        <w:numPr>
          <w:ilvl w:val="0"/>
          <w:numId w:val="49"/>
        </w:numPr>
        <w:bidi w:val="0"/>
        <w:ind w:left="0" w:leftChars="0" w:firstLine="0" w:firstLineChars="0"/>
        <w:rPr>
          <w:lang w:eastAsia="zh-CN"/>
        </w:rPr>
      </w:pPr>
      <w:r>
        <w:rPr>
          <w:lang w:eastAsia="zh-CN"/>
        </w:rPr>
        <w:t>安装作业开始前，应对安装作业区进行围护并做出明显的标识、拉警戒线，应根据危险源级别安排旁站，严禁与安装作业无关的人员进入。</w:t>
      </w:r>
    </w:p>
    <w:p w14:paraId="06650576">
      <w:pPr>
        <w:numPr>
          <w:ilvl w:val="0"/>
          <w:numId w:val="49"/>
        </w:numPr>
        <w:bidi w:val="0"/>
        <w:ind w:left="0" w:leftChars="0" w:firstLine="0" w:firstLineChars="0"/>
        <w:rPr>
          <w:lang w:eastAsia="zh-CN"/>
        </w:rPr>
      </w:pPr>
      <w:r>
        <w:rPr>
          <w:lang w:eastAsia="zh-CN"/>
        </w:rPr>
        <w:t>吊装作业安全应符合下列规定：</w:t>
      </w:r>
    </w:p>
    <w:p w14:paraId="612AC2C8">
      <w:pPr>
        <w:numPr>
          <w:ilvl w:val="0"/>
          <w:numId w:val="50"/>
        </w:numPr>
        <w:bidi w:val="0"/>
        <w:ind w:left="0" w:leftChars="0" w:firstLine="420" w:firstLineChars="0"/>
        <w:rPr>
          <w:lang w:eastAsia="zh-CN"/>
        </w:rPr>
      </w:pPr>
      <w:r>
        <w:rPr>
          <w:lang w:eastAsia="zh-CN"/>
        </w:rPr>
        <w:t>遇到大雨、大雾、大雪天及 5 级以上大风天等恶劣天气时，不得进行吊装作业；</w:t>
      </w:r>
    </w:p>
    <w:p w14:paraId="00D8FB92">
      <w:pPr>
        <w:numPr>
          <w:ilvl w:val="0"/>
          <w:numId w:val="50"/>
        </w:numPr>
        <w:bidi w:val="0"/>
        <w:ind w:left="0" w:leftChars="0" w:firstLine="420" w:firstLineChars="0"/>
        <w:rPr>
          <w:lang w:eastAsia="zh-CN"/>
        </w:rPr>
      </w:pPr>
      <w:r>
        <w:rPr>
          <w:rFonts w:hint="eastAsia"/>
          <w:lang w:val="en-US" w:eastAsia="zh-CN"/>
        </w:rPr>
        <w:t>开始起吊时，应先将模块单元吊离地面200mm~300mm后暂停，检查起重机的稳定性、制动装置的可靠性、模块单元的平衡性和绑扎的牢固性等，确认无误后，方可继续起吊；</w:t>
      </w:r>
    </w:p>
    <w:p w14:paraId="34805317">
      <w:pPr>
        <w:numPr>
          <w:ilvl w:val="0"/>
          <w:numId w:val="50"/>
        </w:numPr>
        <w:bidi w:val="0"/>
        <w:ind w:left="0" w:leftChars="0" w:firstLine="420" w:firstLineChars="0"/>
        <w:rPr>
          <w:lang w:eastAsia="zh-CN"/>
        </w:rPr>
      </w:pPr>
      <w:r>
        <w:rPr>
          <w:lang w:eastAsia="zh-CN"/>
        </w:rPr>
        <w:t>吊装时，模块单元吊运路径下方严禁站人；</w:t>
      </w:r>
    </w:p>
    <w:p w14:paraId="113E6FFD">
      <w:pPr>
        <w:numPr>
          <w:ilvl w:val="0"/>
          <w:numId w:val="50"/>
        </w:numPr>
        <w:bidi w:val="0"/>
        <w:ind w:left="0" w:leftChars="0" w:firstLine="420" w:firstLineChars="0"/>
        <w:rPr>
          <w:lang w:eastAsia="zh-CN"/>
        </w:rPr>
      </w:pPr>
      <w:r>
        <w:rPr>
          <w:lang w:eastAsia="zh-CN"/>
        </w:rPr>
        <w:t>高空作业时，可通过</w:t>
      </w:r>
      <w:r>
        <w:rPr>
          <w:rFonts w:hint="eastAsia"/>
          <w:lang w:eastAsia="zh-CN"/>
        </w:rPr>
        <w:t>溜绳</w:t>
      </w:r>
      <w:r>
        <w:rPr>
          <w:lang w:eastAsia="zh-CN"/>
        </w:rPr>
        <w:t>调整模块方向，严禁直接手扶模块单元；</w:t>
      </w:r>
    </w:p>
    <w:p w14:paraId="601FAB1A">
      <w:pPr>
        <w:numPr>
          <w:ilvl w:val="0"/>
          <w:numId w:val="50"/>
        </w:numPr>
        <w:bidi w:val="0"/>
        <w:ind w:left="0" w:leftChars="0" w:firstLine="420" w:firstLineChars="0"/>
        <w:rPr>
          <w:lang w:eastAsia="zh-CN"/>
        </w:rPr>
      </w:pPr>
      <w:r>
        <w:rPr>
          <w:lang w:eastAsia="zh-CN"/>
        </w:rPr>
        <w:t>就位时，应待模块单元降落至距地面 1m 以内作业人员才可靠近，并应待模块单元就位固定后进行脱钩；</w:t>
      </w:r>
    </w:p>
    <w:p w14:paraId="2EA0F0AD">
      <w:pPr>
        <w:numPr>
          <w:ilvl w:val="0"/>
          <w:numId w:val="50"/>
        </w:numPr>
        <w:bidi w:val="0"/>
        <w:ind w:left="0" w:leftChars="0" w:firstLine="420" w:firstLineChars="0"/>
        <w:rPr>
          <w:lang w:eastAsia="zh-CN"/>
        </w:rPr>
      </w:pPr>
      <w:r>
        <w:rPr>
          <w:lang w:eastAsia="zh-CN"/>
        </w:rPr>
        <w:t>模块单元吊装时应设置有效的防护系统，防护系统应经计算确定。</w:t>
      </w:r>
    </w:p>
    <w:p w14:paraId="07CF0C42">
      <w:pPr>
        <w:numPr>
          <w:ilvl w:val="0"/>
          <w:numId w:val="49"/>
        </w:numPr>
        <w:bidi w:val="0"/>
        <w:ind w:left="0" w:leftChars="0" w:firstLine="0" w:firstLineChars="0"/>
        <w:rPr>
          <w:lang w:eastAsia="zh-CN"/>
        </w:rPr>
      </w:pPr>
      <w:r>
        <w:rPr>
          <w:lang w:eastAsia="zh-CN"/>
        </w:rPr>
        <w:t>施工过程中，凡涉及临边与洞口作业、攀登与悬空作业、操作平台、交叉作业及安全网搭设的，应采取有效的高处作业安全技术措施。</w:t>
      </w:r>
    </w:p>
    <w:p w14:paraId="5FD990AB">
      <w:pPr>
        <w:numPr>
          <w:ilvl w:val="0"/>
          <w:numId w:val="49"/>
        </w:numPr>
        <w:bidi w:val="0"/>
        <w:ind w:left="0" w:leftChars="0" w:firstLine="0" w:firstLineChars="0"/>
        <w:rPr>
          <w:lang w:eastAsia="zh-CN"/>
        </w:rPr>
      </w:pPr>
      <w:r>
        <w:rPr>
          <w:lang w:eastAsia="zh-CN"/>
        </w:rPr>
        <w:t>模块单元吊装就位后，应根据设计要求采取可靠的临时固定措施。</w:t>
      </w:r>
    </w:p>
    <w:p w14:paraId="65F4C7DD">
      <w:pPr>
        <w:pStyle w:val="45"/>
        <w:numPr>
          <w:ilvl w:val="0"/>
          <w:numId w:val="0"/>
        </w:numPr>
        <w:bidi w:val="0"/>
        <w:ind w:leftChars="0"/>
        <w:rPr>
          <w:lang w:eastAsia="zh-CN"/>
        </w:rPr>
      </w:pPr>
      <w:r>
        <w:rPr>
          <w:rFonts w:hint="eastAsia"/>
          <w:b/>
          <w:bCs/>
          <w:lang w:val="en-US" w:eastAsia="zh-CN"/>
        </w:rPr>
        <w:t>【条文说明</w:t>
      </w:r>
      <w:r>
        <w:rPr>
          <w:rFonts w:hint="eastAsia"/>
          <w:b/>
          <w:bCs/>
          <w:lang w:eastAsia="zh-CN"/>
        </w:rPr>
        <w:t>】</w:t>
      </w:r>
      <w:r>
        <w:rPr>
          <w:lang w:eastAsia="zh-CN"/>
        </w:rPr>
        <w:t>模块单元在安装就位后、与相邻模块单元相互连接之前，并未与建筑结构实现稳固连接，因此需要设置临时固定措施，防止模块单元在风力作用下产生倾覆和滑移。</w:t>
      </w:r>
    </w:p>
    <w:p w14:paraId="015CCA4A">
      <w:pPr>
        <w:rPr>
          <w:lang w:eastAsia="zh-CN"/>
        </w:rPr>
      </w:pPr>
    </w:p>
    <w:p w14:paraId="16B1DA70">
      <w:pPr>
        <w:numPr>
          <w:ilvl w:val="0"/>
          <w:numId w:val="49"/>
        </w:numPr>
        <w:bidi w:val="0"/>
        <w:ind w:left="0" w:leftChars="0" w:firstLine="0" w:firstLineChars="0"/>
        <w:rPr>
          <w:lang w:eastAsia="zh-CN"/>
        </w:rPr>
      </w:pPr>
      <w:r>
        <w:rPr>
          <w:rFonts w:hint="eastAsia"/>
          <w:lang w:val="en-US" w:eastAsia="zh-CN"/>
        </w:rPr>
        <w:t xml:space="preserve"> </w:t>
      </w:r>
      <w:r>
        <w:rPr>
          <w:lang w:eastAsia="zh-CN"/>
        </w:rPr>
        <w:t>施工现场应加强对废水、污水的管理，现场应设置污水池和排水沟。废水、废弃涂料、胶料应统一处理，严禁未经处理直接排入下水管道。</w:t>
      </w:r>
    </w:p>
    <w:p w14:paraId="31159E08">
      <w:pPr>
        <w:numPr>
          <w:ilvl w:val="0"/>
          <w:numId w:val="49"/>
        </w:numPr>
        <w:bidi w:val="0"/>
        <w:ind w:left="0" w:leftChars="0" w:firstLine="0" w:firstLineChars="0"/>
        <w:rPr>
          <w:lang w:eastAsia="zh-CN"/>
        </w:rPr>
      </w:pPr>
      <w:r>
        <w:rPr>
          <w:lang w:eastAsia="zh-CN"/>
        </w:rPr>
        <w:t>模块单元安装过程中废弃物等应进行分类回收。施工中产生的胶粘剂、稀释剂等易燃易爆废弃物应及时收集送至指定储存器内并按规定回收，严禁丢弃未经处理的废弃物。</w:t>
      </w:r>
    </w:p>
    <w:p w14:paraId="22890C9B">
      <w:pPr>
        <w:bidi w:val="0"/>
        <w:rPr>
          <w:rFonts w:hint="eastAsia"/>
          <w:lang w:val="en-US" w:eastAsia="zh-CN"/>
        </w:rPr>
        <w:sectPr>
          <w:pgSz w:w="11906" w:h="16838"/>
          <w:pgMar w:top="1134" w:right="1417" w:bottom="1134" w:left="1417" w:header="851" w:footer="992" w:gutter="0"/>
          <w:pgNumType w:fmt="decimal"/>
          <w:cols w:space="425" w:num="1"/>
          <w:docGrid w:type="lines" w:linePitch="312" w:charSpace="0"/>
        </w:sectPr>
      </w:pPr>
    </w:p>
    <w:p w14:paraId="07FB0B2C">
      <w:pPr>
        <w:pStyle w:val="2"/>
        <w:bidi w:val="0"/>
        <w:rPr>
          <w:lang w:eastAsia="zh-CN"/>
        </w:rPr>
      </w:pPr>
      <w:bookmarkStart w:id="60" w:name="_Toc186033352"/>
      <w:bookmarkStart w:id="61" w:name="_Toc25607"/>
      <w:bookmarkStart w:id="62" w:name="_Toc3608"/>
      <w:r>
        <w:rPr>
          <w:rFonts w:hint="eastAsia"/>
          <w:lang w:val="en-US" w:eastAsia="zh-CN"/>
        </w:rPr>
        <w:t>8</w:t>
      </w:r>
      <w:r>
        <w:rPr>
          <w:lang w:eastAsia="zh-CN"/>
        </w:rPr>
        <w:t>质量验收</w:t>
      </w:r>
      <w:bookmarkEnd w:id="60"/>
      <w:bookmarkEnd w:id="61"/>
      <w:bookmarkEnd w:id="62"/>
    </w:p>
    <w:p w14:paraId="32558262">
      <w:pPr>
        <w:pStyle w:val="3"/>
        <w:bidi w:val="0"/>
        <w:rPr>
          <w:rFonts w:hint="eastAsia"/>
          <w:lang w:val="en-US" w:eastAsia="zh-CN"/>
        </w:rPr>
      </w:pPr>
      <w:bookmarkStart w:id="63" w:name="bookmark85"/>
      <w:bookmarkEnd w:id="63"/>
      <w:bookmarkStart w:id="64" w:name="_Toc186033353"/>
      <w:bookmarkStart w:id="65" w:name="_Toc13312"/>
      <w:bookmarkStart w:id="66" w:name="_Toc16957"/>
      <w:r>
        <w:rPr>
          <w:rFonts w:hint="eastAsia"/>
          <w:lang w:val="en-US" w:eastAsia="zh-CN"/>
        </w:rPr>
        <w:t>8</w:t>
      </w:r>
      <w:r>
        <w:rPr>
          <w:lang w:eastAsia="zh-CN"/>
        </w:rPr>
        <w:t>.1一般规定</w:t>
      </w:r>
      <w:bookmarkEnd w:id="64"/>
      <w:bookmarkEnd w:id="65"/>
      <w:bookmarkEnd w:id="66"/>
    </w:p>
    <w:p w14:paraId="6E0221D2">
      <w:pPr>
        <w:numPr>
          <w:ilvl w:val="0"/>
          <w:numId w:val="51"/>
        </w:numPr>
        <w:bidi w:val="0"/>
        <w:ind w:left="0" w:leftChars="0" w:firstLine="0" w:firstLineChars="0"/>
        <w:rPr>
          <w:rFonts w:hint="eastAsia"/>
          <w:lang w:val="en-US" w:eastAsia="zh-CN"/>
        </w:rPr>
      </w:pPr>
      <w:r>
        <w:rPr>
          <w:rFonts w:hint="eastAsia"/>
          <w:lang w:val="en-US" w:eastAsia="zh-CN"/>
        </w:rPr>
        <w:t>模块化钢结构结构建筑质量验收应符合现行国家标准《钢结构工程施工质量验收标准》GB50205的规定，可划分为单位(子单位)工程、分部(子分部)工程、分项工程和检验批，其划分原则应根据现行国家标准《建筑工程施工质量验收统一标准》GB50300的规定执行。</w:t>
      </w:r>
    </w:p>
    <w:p w14:paraId="11BAB279">
      <w:pPr>
        <w:numPr>
          <w:ilvl w:val="0"/>
          <w:numId w:val="51"/>
        </w:numPr>
        <w:bidi w:val="0"/>
        <w:ind w:left="0" w:leftChars="0" w:firstLine="0" w:firstLineChars="0"/>
        <w:rPr>
          <w:rFonts w:hint="eastAsia"/>
          <w:lang w:eastAsia="zh-CN"/>
        </w:rPr>
      </w:pPr>
      <w:r>
        <w:rPr>
          <w:rFonts w:hint="eastAsia"/>
          <w:lang w:eastAsia="zh-CN"/>
        </w:rPr>
        <w:t>焊接工程验收应符合现行国家标准《钢结构工程施工质量验收标准》GB50205的有关规定，焊前检查、焊中检验和焊后检验应符合设计文件和现行国家标准《钢结构焊接规范》GB50661的规定。</w:t>
      </w:r>
    </w:p>
    <w:p w14:paraId="011AEC8A">
      <w:pPr>
        <w:numPr>
          <w:ilvl w:val="0"/>
          <w:numId w:val="52"/>
        </w:numPr>
        <w:bidi w:val="0"/>
        <w:ind w:left="0" w:leftChars="0" w:firstLine="0" w:firstLineChars="0"/>
        <w:rPr>
          <w:lang w:eastAsia="zh-CN"/>
        </w:rPr>
      </w:pPr>
      <w:r>
        <w:rPr>
          <w:lang w:eastAsia="zh-CN"/>
        </w:rPr>
        <w:t>紧固件连接工程的质量验收方法和质量验收项目应符合国家现行标准《钢结构工程施工质量验收标准》GB50205和《钢结构高强度螺栓连接技术</w:t>
      </w:r>
      <w:r>
        <w:rPr>
          <w:rFonts w:hint="eastAsia"/>
          <w:lang w:eastAsia="zh-CN"/>
        </w:rPr>
        <w:t>标准</w:t>
      </w:r>
      <w:r>
        <w:rPr>
          <w:lang w:eastAsia="zh-CN"/>
        </w:rPr>
        <w:t>》JGJ82的有关规定。</w:t>
      </w:r>
    </w:p>
    <w:p w14:paraId="35892EAF">
      <w:pPr>
        <w:numPr>
          <w:ilvl w:val="0"/>
          <w:numId w:val="51"/>
        </w:numPr>
        <w:rPr>
          <w:rFonts w:hint="eastAsia"/>
          <w:lang w:val="en-US" w:eastAsia="zh-CN"/>
        </w:rPr>
      </w:pPr>
      <w:r>
        <w:rPr>
          <w:rFonts w:hint="eastAsia"/>
          <w:lang w:val="en-US" w:eastAsia="zh-CN"/>
        </w:rPr>
        <w:t>排水管道安装完成后，应检测立管的垂直度及水平管的坡度，并应符合现行国家标准《建筑给水排水及采暖工程施工质量验收规范》GB50242的有关规定。</w:t>
      </w:r>
    </w:p>
    <w:p w14:paraId="03EB312D">
      <w:pPr>
        <w:numPr>
          <w:ilvl w:val="0"/>
          <w:numId w:val="51"/>
        </w:numPr>
        <w:rPr>
          <w:rFonts w:hint="eastAsia"/>
          <w:lang w:val="en-US" w:eastAsia="zh-CN"/>
        </w:rPr>
      </w:pPr>
      <w:r>
        <w:rPr>
          <w:rFonts w:hint="eastAsia"/>
          <w:lang w:val="en-US" w:eastAsia="zh-CN"/>
        </w:rPr>
        <w:t>原材料及成品应执行进场验收制度，应核对材料的牌号、规格、批号、质量证明文件、中文标识和型式检验报告，并检查外观质量、包装等；对涉及安全与功能的原材料或半成品，应进行复验，并应经监理工程师(建设单位技术负责人)见证取样送样。</w:t>
      </w:r>
    </w:p>
    <w:p w14:paraId="5AE8C0E3">
      <w:pPr>
        <w:numPr>
          <w:ilvl w:val="0"/>
          <w:numId w:val="51"/>
        </w:numPr>
        <w:ind w:firstLine="0" w:firstLineChars="0"/>
        <w:rPr>
          <w:rFonts w:hint="eastAsia"/>
          <w:lang w:eastAsia="zh-CN"/>
        </w:rPr>
      </w:pPr>
      <w:r>
        <w:rPr>
          <w:rFonts w:hint="eastAsia"/>
          <w:lang w:eastAsia="zh-CN"/>
        </w:rPr>
        <w:t>模块单元的结构、机电、给水排水、供暖中的隐蔽工程，在吊装前应进行质量验收。</w:t>
      </w:r>
    </w:p>
    <w:p w14:paraId="06147FCD">
      <w:pPr>
        <w:numPr>
          <w:ilvl w:val="0"/>
          <w:numId w:val="51"/>
        </w:numPr>
        <w:ind w:firstLine="0" w:firstLineChars="0"/>
        <w:rPr>
          <w:rFonts w:hint="eastAsia"/>
          <w:lang w:eastAsia="zh-CN"/>
        </w:rPr>
      </w:pPr>
      <w:r>
        <w:rPr>
          <w:rFonts w:hint="eastAsia"/>
          <w:lang w:eastAsia="zh-CN"/>
        </w:rPr>
        <w:t>模块单元的顶板底部与立柱之间应连接紧密，所有紧固件都应连接到位，不得有遗漏或松动。</w:t>
      </w:r>
    </w:p>
    <w:p w14:paraId="38827D47">
      <w:pPr>
        <w:numPr>
          <w:ilvl w:val="0"/>
          <w:numId w:val="51"/>
        </w:numPr>
        <w:ind w:firstLine="0" w:firstLineChars="0"/>
        <w:rPr>
          <w:rFonts w:hint="eastAsia"/>
          <w:lang w:val="en-US" w:eastAsia="zh-CN"/>
        </w:rPr>
      </w:pPr>
      <w:r>
        <w:rPr>
          <w:rFonts w:hint="eastAsia"/>
          <w:lang w:val="en-US" w:eastAsia="zh-CN"/>
        </w:rPr>
        <w:t>模块单元部件、构件及模块单元的质量验收记录可采用本标准附录A的格式。</w:t>
      </w:r>
    </w:p>
    <w:p w14:paraId="77639A59">
      <w:pPr>
        <w:numPr>
          <w:ilvl w:val="0"/>
          <w:numId w:val="51"/>
        </w:numPr>
        <w:bidi w:val="0"/>
        <w:ind w:left="0" w:leftChars="0" w:firstLine="0" w:firstLineChars="0"/>
        <w:rPr>
          <w:rFonts w:hint="eastAsia"/>
          <w:lang w:val="en-US" w:eastAsia="zh-CN"/>
        </w:rPr>
      </w:pPr>
      <w:r>
        <w:rPr>
          <w:rFonts w:hint="eastAsia"/>
          <w:lang w:val="en-US" w:eastAsia="zh-CN"/>
        </w:rPr>
        <w:t>模块化钢结构房屋主体结构验收时，应提供下列文件和记录：</w:t>
      </w:r>
    </w:p>
    <w:p w14:paraId="6C84C006">
      <w:pPr>
        <w:numPr>
          <w:ilvl w:val="0"/>
          <w:numId w:val="53"/>
        </w:numPr>
        <w:bidi w:val="0"/>
        <w:ind w:left="0" w:leftChars="0" w:firstLine="420" w:firstLineChars="0"/>
        <w:rPr>
          <w:rFonts w:hint="eastAsia"/>
          <w:lang w:val="en-US" w:eastAsia="zh-CN"/>
        </w:rPr>
      </w:pPr>
      <w:r>
        <w:rPr>
          <w:rFonts w:hint="eastAsia"/>
          <w:lang w:val="en-US" w:eastAsia="zh-CN"/>
        </w:rPr>
        <w:t>工程设计文件、模块单元制作和安装的深化设计图；</w:t>
      </w:r>
    </w:p>
    <w:p w14:paraId="6BEE2AE5">
      <w:pPr>
        <w:numPr>
          <w:ilvl w:val="0"/>
          <w:numId w:val="53"/>
        </w:numPr>
        <w:bidi w:val="0"/>
        <w:ind w:left="0" w:leftChars="0" w:firstLine="420" w:firstLineChars="0"/>
        <w:rPr>
          <w:rFonts w:hint="eastAsia"/>
          <w:lang w:val="en-US" w:eastAsia="zh-CN"/>
        </w:rPr>
      </w:pPr>
      <w:r>
        <w:rPr>
          <w:rFonts w:hint="eastAsia"/>
          <w:lang w:val="en-US" w:eastAsia="zh-CN"/>
        </w:rPr>
        <w:t>模块单元、主要材料及配件的产品合格证、质量证明文件、进场验收记录、抽样复验报告；</w:t>
      </w:r>
    </w:p>
    <w:p w14:paraId="7B14AB48">
      <w:pPr>
        <w:numPr>
          <w:ilvl w:val="0"/>
          <w:numId w:val="53"/>
        </w:numPr>
        <w:bidi w:val="0"/>
        <w:ind w:left="0" w:leftChars="0" w:firstLine="420" w:firstLineChars="0"/>
        <w:rPr>
          <w:rFonts w:hint="eastAsia"/>
          <w:lang w:val="en-US" w:eastAsia="zh-CN"/>
        </w:rPr>
      </w:pPr>
      <w:r>
        <w:rPr>
          <w:rFonts w:hint="eastAsia"/>
          <w:lang w:val="en-US" w:eastAsia="zh-CN"/>
        </w:rPr>
        <w:t>模块单元安装施工记录；</w:t>
      </w:r>
    </w:p>
    <w:p w14:paraId="6CFB0142">
      <w:pPr>
        <w:numPr>
          <w:ilvl w:val="0"/>
          <w:numId w:val="53"/>
        </w:numPr>
        <w:bidi w:val="0"/>
        <w:ind w:left="0" w:leftChars="0" w:firstLine="420" w:firstLineChars="0"/>
        <w:rPr>
          <w:rFonts w:hint="eastAsia"/>
          <w:lang w:val="en-US" w:eastAsia="zh-CN"/>
        </w:rPr>
      </w:pPr>
      <w:r>
        <w:rPr>
          <w:rFonts w:hint="eastAsia"/>
          <w:lang w:val="en-US" w:eastAsia="zh-CN"/>
        </w:rPr>
        <w:t>隐蔽工程检查验收文件；</w:t>
      </w:r>
    </w:p>
    <w:p w14:paraId="356715EC">
      <w:pPr>
        <w:numPr>
          <w:ilvl w:val="0"/>
          <w:numId w:val="53"/>
        </w:numPr>
        <w:bidi w:val="0"/>
        <w:ind w:left="0" w:leftChars="0" w:firstLine="420" w:firstLineChars="0"/>
        <w:rPr>
          <w:rFonts w:hint="eastAsia"/>
          <w:lang w:val="en-US" w:eastAsia="zh-CN"/>
        </w:rPr>
      </w:pPr>
      <w:r>
        <w:rPr>
          <w:rFonts w:hint="eastAsia"/>
          <w:lang w:val="en-US" w:eastAsia="zh-CN"/>
        </w:rPr>
        <w:t>现浇混凝土、灌浆料强度检测报告；</w:t>
      </w:r>
    </w:p>
    <w:p w14:paraId="05D113FB">
      <w:pPr>
        <w:numPr>
          <w:ilvl w:val="0"/>
          <w:numId w:val="53"/>
        </w:numPr>
        <w:bidi w:val="0"/>
        <w:ind w:left="0" w:leftChars="0" w:firstLine="420" w:firstLineChars="0"/>
        <w:rPr>
          <w:rFonts w:hint="eastAsia"/>
          <w:lang w:val="en-US" w:eastAsia="zh-CN"/>
        </w:rPr>
      </w:pPr>
      <w:r>
        <w:rPr>
          <w:rFonts w:hint="eastAsia"/>
          <w:lang w:val="en-US" w:eastAsia="zh-CN"/>
        </w:rPr>
        <w:t>外墙防水施工质量检验记录；</w:t>
      </w:r>
    </w:p>
    <w:p w14:paraId="6D14FC4B">
      <w:pPr>
        <w:numPr>
          <w:ilvl w:val="0"/>
          <w:numId w:val="53"/>
        </w:numPr>
        <w:bidi w:val="0"/>
        <w:ind w:left="0" w:leftChars="0" w:firstLine="420" w:firstLineChars="0"/>
        <w:rPr>
          <w:rFonts w:hint="eastAsia"/>
          <w:lang w:val="en-US" w:eastAsia="zh-CN"/>
        </w:rPr>
      </w:pPr>
      <w:r>
        <w:rPr>
          <w:rFonts w:hint="eastAsia"/>
          <w:lang w:val="en-US" w:eastAsia="zh-CN"/>
        </w:rPr>
        <w:t>模块化钢结构房屋工程的重大质量问题的处理方案和验收记录；</w:t>
      </w:r>
    </w:p>
    <w:p w14:paraId="3EA4FE44">
      <w:pPr>
        <w:numPr>
          <w:ilvl w:val="0"/>
          <w:numId w:val="53"/>
        </w:numPr>
        <w:bidi w:val="0"/>
        <w:ind w:left="0" w:leftChars="0" w:firstLine="420" w:firstLineChars="0"/>
        <w:rPr>
          <w:rFonts w:hint="eastAsia"/>
          <w:lang w:val="en-US" w:eastAsia="zh-CN"/>
        </w:rPr>
      </w:pPr>
      <w:r>
        <w:rPr>
          <w:rFonts w:hint="eastAsia"/>
          <w:lang w:val="en-US" w:eastAsia="zh-CN"/>
        </w:rPr>
        <w:t>模块化钢结构房屋工程的其他文件和记录。</w:t>
      </w:r>
    </w:p>
    <w:p w14:paraId="6B1C575E">
      <w:pPr>
        <w:pStyle w:val="45"/>
        <w:numPr>
          <w:ilvl w:val="0"/>
          <w:numId w:val="0"/>
        </w:numPr>
        <w:bidi w:val="0"/>
        <w:ind w:leftChars="0"/>
        <w:rPr>
          <w:rFonts w:hint="eastAsia"/>
          <w:lang w:val="en-US" w:eastAsia="zh-CN"/>
        </w:rPr>
      </w:pPr>
      <w:r>
        <w:rPr>
          <w:rFonts w:hint="eastAsia"/>
          <w:b/>
          <w:bCs/>
          <w:lang w:val="en-US" w:eastAsia="zh-CN"/>
        </w:rPr>
        <w:t>【条文说明</w:t>
      </w:r>
      <w:r>
        <w:rPr>
          <w:rFonts w:hint="eastAsia"/>
          <w:b/>
          <w:bCs/>
          <w:lang w:eastAsia="zh-CN"/>
        </w:rPr>
        <w:t>】</w:t>
      </w:r>
      <w:r>
        <w:rPr>
          <w:lang w:eastAsia="zh-CN"/>
        </w:rPr>
        <w:t>在模块化</w:t>
      </w:r>
      <w:r>
        <w:rPr>
          <w:rFonts w:hint="eastAsia"/>
          <w:lang w:val="en-US" w:eastAsia="zh-CN"/>
        </w:rPr>
        <w:t>钢结构房屋</w:t>
      </w:r>
      <w:r>
        <w:rPr>
          <w:lang w:eastAsia="zh-CN"/>
        </w:rPr>
        <w:t>施工质量验收过程中，应增加需提交的主要文件和记录，这是实现工程质量可追溯性的基本保障。</w:t>
      </w:r>
    </w:p>
    <w:p w14:paraId="0B9163AD">
      <w:pPr>
        <w:pStyle w:val="11"/>
        <w:rPr>
          <w:rFonts w:hint="eastAsia"/>
          <w:lang w:val="en-US" w:eastAsia="zh-CN"/>
        </w:rPr>
      </w:pPr>
    </w:p>
    <w:p w14:paraId="18988CAB">
      <w:pPr>
        <w:numPr>
          <w:ilvl w:val="0"/>
          <w:numId w:val="51"/>
        </w:numPr>
        <w:bidi w:val="0"/>
        <w:ind w:left="0" w:leftChars="0" w:firstLine="0" w:firstLineChars="0"/>
        <w:rPr>
          <w:rFonts w:hint="eastAsia"/>
          <w:lang w:val="en-US" w:eastAsia="zh-CN"/>
        </w:rPr>
      </w:pPr>
      <w:r>
        <w:rPr>
          <w:rFonts w:hint="eastAsia"/>
          <w:lang w:val="en-US" w:eastAsia="zh-CN"/>
        </w:rPr>
        <w:t>当模块化钢结构房屋工程质量不符合要求时，应按下列规定进行处理：</w:t>
      </w:r>
    </w:p>
    <w:p w14:paraId="3ABC5B75">
      <w:pPr>
        <w:numPr>
          <w:ilvl w:val="0"/>
          <w:numId w:val="54"/>
        </w:numPr>
        <w:bidi w:val="0"/>
        <w:ind w:left="0" w:leftChars="0" w:firstLine="420" w:firstLineChars="0"/>
        <w:rPr>
          <w:lang w:eastAsia="zh-CN"/>
        </w:rPr>
      </w:pPr>
      <w:r>
        <w:rPr>
          <w:lang w:eastAsia="zh-CN"/>
        </w:rPr>
        <w:t>经返工返修或更换构件部件的检验批，应重新进行验收；</w:t>
      </w:r>
    </w:p>
    <w:p w14:paraId="0788FF4E">
      <w:pPr>
        <w:numPr>
          <w:ilvl w:val="0"/>
          <w:numId w:val="54"/>
        </w:numPr>
        <w:bidi w:val="0"/>
        <w:ind w:left="0" w:leftChars="0" w:firstLine="420" w:firstLineChars="0"/>
        <w:rPr>
          <w:lang w:eastAsia="zh-CN"/>
        </w:rPr>
      </w:pPr>
      <w:r>
        <w:rPr>
          <w:lang w:eastAsia="zh-CN"/>
        </w:rPr>
        <w:t>经检测单位检测鉴定，能够达到设计要求的检验批，应予以验收；</w:t>
      </w:r>
    </w:p>
    <w:p w14:paraId="3E841E09">
      <w:pPr>
        <w:numPr>
          <w:ilvl w:val="0"/>
          <w:numId w:val="54"/>
        </w:numPr>
        <w:bidi w:val="0"/>
        <w:ind w:left="0" w:leftChars="0" w:firstLine="420" w:firstLineChars="0"/>
        <w:rPr>
          <w:lang w:eastAsia="zh-CN"/>
        </w:rPr>
      </w:pPr>
      <w:r>
        <w:rPr>
          <w:lang w:eastAsia="zh-CN"/>
        </w:rPr>
        <w:t>经检测单位检测鉴定，达不到设计要求，但经原设计单位核算认可满足结构安全和使用功 能的检验批，可予以验收；</w:t>
      </w:r>
    </w:p>
    <w:p w14:paraId="4D209DA0">
      <w:pPr>
        <w:numPr>
          <w:ilvl w:val="0"/>
          <w:numId w:val="54"/>
        </w:numPr>
        <w:bidi w:val="0"/>
        <w:ind w:left="0" w:leftChars="0" w:firstLine="420" w:firstLineChars="0"/>
        <w:rPr>
          <w:lang w:eastAsia="zh-CN"/>
        </w:rPr>
      </w:pPr>
      <w:r>
        <w:rPr>
          <w:lang w:eastAsia="zh-CN"/>
        </w:rPr>
        <w:t>经返修或加固处理，能够满足结构安全使用要求的分项、分部工程，可根据技术处理方案和协商文件进行验收；</w:t>
      </w:r>
    </w:p>
    <w:p w14:paraId="1A0469E8">
      <w:pPr>
        <w:numPr>
          <w:ilvl w:val="0"/>
          <w:numId w:val="54"/>
        </w:numPr>
        <w:bidi w:val="0"/>
        <w:ind w:left="0" w:leftChars="0" w:firstLine="420" w:firstLineChars="0"/>
        <w:rPr>
          <w:rFonts w:hint="eastAsia"/>
          <w:lang w:val="en-US" w:eastAsia="zh-CN"/>
        </w:rPr>
      </w:pPr>
      <w:r>
        <w:rPr>
          <w:lang w:eastAsia="zh-CN"/>
        </w:rPr>
        <w:t>经返修或加固处理仍不能满足安全使用要求的分部工程，严禁验收。</w:t>
      </w:r>
    </w:p>
    <w:p w14:paraId="37088510">
      <w:pPr>
        <w:numPr>
          <w:ilvl w:val="0"/>
          <w:numId w:val="51"/>
        </w:numPr>
        <w:ind w:firstLine="0" w:firstLineChars="0"/>
        <w:rPr>
          <w:rFonts w:hint="eastAsia"/>
          <w:lang w:eastAsia="zh-CN"/>
        </w:rPr>
      </w:pPr>
      <w:r>
        <w:rPr>
          <w:rFonts w:hint="eastAsia"/>
          <w:lang w:eastAsia="zh-CN"/>
        </w:rPr>
        <w:t>验收合格交付使用时，应提供房屋使用说明书，说明书应包含使用注意事项和维护管理要求。</w:t>
      </w:r>
    </w:p>
    <w:p w14:paraId="0454847D">
      <w:pPr>
        <w:pStyle w:val="30"/>
        <w:rPr>
          <w:rFonts w:hint="eastAsia"/>
          <w:lang w:val="en-US" w:eastAsia="zh-CN"/>
        </w:rPr>
      </w:pPr>
    </w:p>
    <w:p w14:paraId="12776FAC">
      <w:pPr>
        <w:pStyle w:val="3"/>
        <w:bidi w:val="0"/>
        <w:rPr>
          <w:rFonts w:hint="eastAsia"/>
          <w:lang w:eastAsia="zh-CN"/>
        </w:rPr>
      </w:pPr>
      <w:bookmarkStart w:id="67" w:name="_Toc186033355"/>
      <w:bookmarkStart w:id="68" w:name="_Toc5576"/>
      <w:bookmarkStart w:id="69" w:name="_Toc4815"/>
      <w:r>
        <w:rPr>
          <w:rFonts w:hint="eastAsia"/>
          <w:lang w:val="en-US" w:eastAsia="zh-CN"/>
        </w:rPr>
        <w:t>8</w:t>
      </w:r>
      <w:r>
        <w:rPr>
          <w:lang w:eastAsia="zh-CN"/>
        </w:rPr>
        <w:t>.</w:t>
      </w:r>
      <w:bookmarkEnd w:id="67"/>
      <w:r>
        <w:rPr>
          <w:rFonts w:hint="eastAsia"/>
          <w:lang w:val="en-US" w:eastAsia="zh-CN"/>
        </w:rPr>
        <w:t>2</w:t>
      </w:r>
      <w:r>
        <w:rPr>
          <w:rFonts w:hint="eastAsia"/>
          <w:lang w:eastAsia="zh-CN"/>
        </w:rPr>
        <w:t>主控项目</w:t>
      </w:r>
      <w:bookmarkEnd w:id="68"/>
      <w:bookmarkEnd w:id="69"/>
    </w:p>
    <w:p w14:paraId="659177EB">
      <w:pPr>
        <w:numPr>
          <w:ilvl w:val="0"/>
          <w:numId w:val="55"/>
        </w:numPr>
        <w:bidi w:val="0"/>
        <w:ind w:left="0" w:leftChars="0" w:firstLine="0" w:firstLineChars="0"/>
        <w:rPr>
          <w:rFonts w:hint="eastAsia"/>
          <w:lang w:val="en-US" w:eastAsia="zh-CN"/>
        </w:rPr>
      </w:pPr>
      <w:r>
        <w:rPr>
          <w:rFonts w:hint="eastAsia"/>
          <w:lang w:val="en-US" w:eastAsia="zh-CN"/>
        </w:rPr>
        <w:t xml:space="preserve">模块单元产品进场时，应检查模块单元的产品合格证、质量证明文件及产品说明书。 </w:t>
      </w:r>
    </w:p>
    <w:p w14:paraId="20CBDBD7">
      <w:pPr>
        <w:numPr>
          <w:ilvl w:val="0"/>
          <w:numId w:val="0"/>
        </w:numPr>
        <w:tabs>
          <w:tab w:val="left" w:pos="0"/>
        </w:tabs>
        <w:bidi w:val="0"/>
        <w:ind w:leftChars="0" w:firstLine="720" w:firstLineChars="300"/>
        <w:rPr>
          <w:rFonts w:hint="eastAsia"/>
          <w:lang w:val="en-US" w:eastAsia="zh-CN"/>
        </w:rPr>
      </w:pPr>
      <w:r>
        <w:rPr>
          <w:rFonts w:hint="eastAsia"/>
          <w:lang w:val="en-US" w:eastAsia="zh-CN"/>
        </w:rPr>
        <w:t>检查数量：全数检查。</w:t>
      </w:r>
    </w:p>
    <w:p w14:paraId="7B2E000B">
      <w:pPr>
        <w:numPr>
          <w:ilvl w:val="0"/>
          <w:numId w:val="0"/>
        </w:numPr>
        <w:tabs>
          <w:tab w:val="left" w:pos="0"/>
        </w:tabs>
        <w:bidi w:val="0"/>
        <w:ind w:leftChars="0" w:firstLine="720" w:firstLineChars="300"/>
        <w:rPr>
          <w:rFonts w:hint="eastAsia"/>
          <w:lang w:val="en-US" w:eastAsia="zh-CN"/>
        </w:rPr>
      </w:pPr>
      <w:r>
        <w:rPr>
          <w:rFonts w:hint="eastAsia"/>
          <w:lang w:val="en-US" w:eastAsia="zh-CN"/>
        </w:rPr>
        <w:t>检查方法：检查相关文件。</w:t>
      </w:r>
    </w:p>
    <w:p w14:paraId="644AEA91">
      <w:pPr>
        <w:numPr>
          <w:ilvl w:val="0"/>
          <w:numId w:val="55"/>
        </w:numPr>
        <w:bidi w:val="0"/>
        <w:ind w:left="0" w:leftChars="0" w:firstLine="0" w:firstLineChars="0"/>
        <w:rPr>
          <w:rFonts w:hint="eastAsia"/>
          <w:lang w:val="en-US" w:eastAsia="zh-CN"/>
        </w:rPr>
      </w:pPr>
      <w:r>
        <w:rPr>
          <w:rFonts w:hint="eastAsia"/>
          <w:lang w:val="en-US" w:eastAsia="zh-CN"/>
        </w:rPr>
        <w:t xml:space="preserve">模块单元外露的钢结构构件不应存在缺损，连接件应完整，吊耳及预埋件应牢固、无松动。 </w:t>
      </w:r>
    </w:p>
    <w:p w14:paraId="0BD64910">
      <w:pPr>
        <w:numPr>
          <w:ilvl w:val="0"/>
          <w:numId w:val="0"/>
        </w:numPr>
        <w:tabs>
          <w:tab w:val="left" w:pos="0"/>
        </w:tabs>
        <w:bidi w:val="0"/>
        <w:ind w:leftChars="0" w:firstLine="480" w:firstLineChars="200"/>
        <w:rPr>
          <w:rFonts w:hint="eastAsia"/>
          <w:lang w:val="en-US" w:eastAsia="zh-CN"/>
        </w:rPr>
      </w:pPr>
      <w:r>
        <w:rPr>
          <w:rFonts w:hint="eastAsia"/>
          <w:lang w:val="en-US" w:eastAsia="zh-CN"/>
        </w:rPr>
        <w:t>检查数量：全数检查。</w:t>
      </w:r>
    </w:p>
    <w:p w14:paraId="5364C700">
      <w:pPr>
        <w:numPr>
          <w:ilvl w:val="0"/>
          <w:numId w:val="0"/>
        </w:numPr>
        <w:tabs>
          <w:tab w:val="left" w:pos="0"/>
        </w:tabs>
        <w:bidi w:val="0"/>
        <w:ind w:leftChars="0" w:firstLine="480" w:firstLineChars="200"/>
        <w:rPr>
          <w:rFonts w:hint="eastAsia"/>
          <w:lang w:val="en-US" w:eastAsia="zh-CN"/>
        </w:rPr>
      </w:pPr>
      <w:r>
        <w:rPr>
          <w:rFonts w:hint="eastAsia"/>
          <w:lang w:val="en-US" w:eastAsia="zh-CN"/>
        </w:rPr>
        <w:t>检查方法：观察，检查处理方案。</w:t>
      </w:r>
    </w:p>
    <w:p w14:paraId="078DF182">
      <w:pPr>
        <w:numPr>
          <w:ilvl w:val="0"/>
          <w:numId w:val="55"/>
        </w:numPr>
        <w:bidi w:val="0"/>
        <w:ind w:left="0" w:leftChars="0" w:firstLine="0" w:firstLineChars="0"/>
        <w:rPr>
          <w:rFonts w:hint="eastAsia"/>
          <w:lang w:val="en-US" w:eastAsia="zh-CN"/>
        </w:rPr>
      </w:pPr>
      <w:r>
        <w:rPr>
          <w:rFonts w:hint="eastAsia"/>
          <w:lang w:val="en-US" w:eastAsia="zh-CN"/>
        </w:rPr>
        <w:t>模块单元外形尺寸偏差和检验方法应分别符合本标准表6.2.2的规定。</w:t>
      </w:r>
    </w:p>
    <w:p w14:paraId="0A2F12F1">
      <w:pPr>
        <w:bidi w:val="0"/>
        <w:ind w:firstLine="480" w:firstLineChars="200"/>
        <w:rPr>
          <w:rFonts w:hint="eastAsia"/>
          <w:lang w:val="en-US" w:eastAsia="zh-CN"/>
        </w:rPr>
      </w:pPr>
      <w:r>
        <w:rPr>
          <w:rFonts w:hint="eastAsia"/>
          <w:lang w:val="en-US" w:eastAsia="zh-CN"/>
        </w:rPr>
        <w:t xml:space="preserve">检查数量：同一种类的模块单元每次抽检数量不应少于该品种数量的5%，且不少于3件。 </w:t>
      </w:r>
    </w:p>
    <w:p w14:paraId="41E9835E">
      <w:pPr>
        <w:bidi w:val="0"/>
        <w:ind w:firstLine="480" w:firstLineChars="200"/>
        <w:rPr>
          <w:rFonts w:hint="eastAsia"/>
          <w:lang w:val="en-US" w:eastAsia="zh-CN"/>
        </w:rPr>
      </w:pPr>
      <w:r>
        <w:rPr>
          <w:rFonts w:hint="eastAsia"/>
          <w:lang w:val="en-US" w:eastAsia="zh-CN"/>
        </w:rPr>
        <w:t>检查方法：应符合表 6.2.2 的规定。</w:t>
      </w:r>
    </w:p>
    <w:p w14:paraId="2FD4195D">
      <w:pPr>
        <w:numPr>
          <w:ilvl w:val="0"/>
          <w:numId w:val="55"/>
        </w:numPr>
        <w:rPr>
          <w:rFonts w:hint="default"/>
          <w:lang w:val="en-US" w:eastAsia="zh-CN"/>
        </w:rPr>
      </w:pPr>
      <w:r>
        <w:rPr>
          <w:rFonts w:hint="default"/>
          <w:lang w:val="en-US" w:eastAsia="zh-CN"/>
        </w:rPr>
        <w:t xml:space="preserve">模块单元主体结构组装后尺寸应符合设计图纸要求，组装尺寸允许偏差应符合表 </w:t>
      </w:r>
      <w:r>
        <w:rPr>
          <w:rFonts w:hint="eastAsia"/>
          <w:lang w:val="en-US" w:eastAsia="zh-CN"/>
        </w:rPr>
        <w:t>7.2.9</w:t>
      </w:r>
      <w:r>
        <w:rPr>
          <w:rFonts w:hint="default"/>
          <w:lang w:val="en-US" w:eastAsia="zh-CN"/>
        </w:rPr>
        <w:t xml:space="preserve"> 的规定。</w:t>
      </w:r>
    </w:p>
    <w:p w14:paraId="76DBC979">
      <w:pPr>
        <w:pStyle w:val="30"/>
        <w:rPr>
          <w:rFonts w:hint="default"/>
          <w:lang w:val="en-US" w:eastAsia="zh-CN"/>
        </w:rPr>
      </w:pPr>
      <w:r>
        <w:rPr>
          <w:rFonts w:hint="default"/>
          <w:lang w:val="en-US" w:eastAsia="zh-CN"/>
        </w:rPr>
        <w:t>检查数量：同种类型的模块单元不超过10个为一批，每批检查1个。</w:t>
      </w:r>
    </w:p>
    <w:p w14:paraId="2EE39595">
      <w:pPr>
        <w:pStyle w:val="30"/>
        <w:rPr>
          <w:rFonts w:hint="default"/>
          <w:lang w:val="en-US" w:eastAsia="zh-CN"/>
        </w:rPr>
      </w:pPr>
      <w:r>
        <w:rPr>
          <w:rFonts w:hint="default"/>
          <w:lang w:val="en-US" w:eastAsia="zh-CN"/>
        </w:rPr>
        <w:t>检查方法：应符合表</w:t>
      </w:r>
      <w:r>
        <w:rPr>
          <w:rFonts w:hint="eastAsia"/>
          <w:lang w:val="en-US" w:eastAsia="zh-CN"/>
        </w:rPr>
        <w:t>7.2.9</w:t>
      </w:r>
      <w:r>
        <w:rPr>
          <w:rFonts w:hint="default"/>
          <w:lang w:val="en-US" w:eastAsia="zh-CN"/>
        </w:rPr>
        <w:t>的规定。</w:t>
      </w:r>
    </w:p>
    <w:p w14:paraId="3D6A5761">
      <w:pPr>
        <w:numPr>
          <w:ilvl w:val="0"/>
          <w:numId w:val="55"/>
        </w:numPr>
        <w:bidi w:val="0"/>
        <w:ind w:left="0" w:leftChars="0" w:firstLine="0" w:firstLineChars="0"/>
        <w:rPr>
          <w:rFonts w:hint="eastAsia"/>
          <w:lang w:val="en-US" w:eastAsia="zh-CN"/>
        </w:rPr>
      </w:pPr>
      <w:r>
        <w:rPr>
          <w:rFonts w:hint="eastAsia"/>
          <w:lang w:val="en-US" w:eastAsia="zh-CN"/>
        </w:rPr>
        <w:t>装饰构件的装饰外观尺寸偏差和检验方法应符合设计要求。当设计无具体要求时，应符合本标准表6.2.4的规定。</w:t>
      </w:r>
    </w:p>
    <w:p w14:paraId="2C23466E">
      <w:pPr>
        <w:bidi w:val="0"/>
        <w:ind w:firstLine="480" w:firstLineChars="200"/>
        <w:rPr>
          <w:rFonts w:hint="eastAsia"/>
          <w:lang w:val="en-US" w:eastAsia="zh-CN"/>
        </w:rPr>
      </w:pPr>
      <w:r>
        <w:rPr>
          <w:rFonts w:hint="eastAsia"/>
          <w:lang w:val="en-US" w:eastAsia="zh-CN"/>
        </w:rPr>
        <w:t xml:space="preserve">检查数量：同一种类的模块单元每次抽检数量不应少于该品种数量的10%，且不少于5件。 </w:t>
      </w:r>
    </w:p>
    <w:p w14:paraId="5277E0B4">
      <w:pPr>
        <w:bidi w:val="0"/>
        <w:ind w:firstLine="480" w:firstLineChars="200"/>
        <w:rPr>
          <w:rFonts w:hint="eastAsia"/>
          <w:lang w:val="en-US" w:eastAsia="zh-CN"/>
        </w:rPr>
      </w:pPr>
      <w:r>
        <w:rPr>
          <w:rFonts w:hint="eastAsia"/>
          <w:lang w:val="en-US" w:eastAsia="zh-CN"/>
        </w:rPr>
        <w:t>检查方法：应符合表6.2.4的规定。</w:t>
      </w:r>
    </w:p>
    <w:p w14:paraId="2F7EABAD">
      <w:pPr>
        <w:numPr>
          <w:ilvl w:val="0"/>
          <w:numId w:val="55"/>
        </w:numPr>
        <w:bidi w:val="0"/>
        <w:ind w:left="0" w:leftChars="0" w:firstLine="0" w:firstLineChars="0"/>
        <w:rPr>
          <w:lang w:eastAsia="zh-CN"/>
        </w:rPr>
      </w:pPr>
      <w:bookmarkStart w:id="70" w:name="bookmark214"/>
      <w:bookmarkEnd w:id="70"/>
      <w:bookmarkStart w:id="71" w:name="bookmark90"/>
      <w:bookmarkEnd w:id="71"/>
      <w:r>
        <w:rPr>
          <w:lang w:eastAsia="zh-CN"/>
        </w:rPr>
        <w:t>铸钢件的品种、规格、性能应满足设计要求并符合相关国家现行标准的规定，应按国家抽取试件进行屈服强度、抗拉强度、伸长率和端口尺寸偏差的检验。</w:t>
      </w:r>
    </w:p>
    <w:p w14:paraId="03153AEB">
      <w:pPr>
        <w:bidi w:val="0"/>
        <w:ind w:left="480" w:leftChars="200" w:firstLine="0" w:firstLineChars="0"/>
        <w:rPr>
          <w:lang w:eastAsia="zh-CN"/>
        </w:rPr>
      </w:pPr>
      <w:r>
        <w:rPr>
          <w:lang w:eastAsia="zh-CN"/>
        </w:rPr>
        <w:t>检查数量：质量证明文件全数检查，抽样数量按进场批次和产品抽样检验方案确定。 检查方法：检查质量证明文件和抽样检验报告。</w:t>
      </w:r>
    </w:p>
    <w:p w14:paraId="16C25756">
      <w:pPr>
        <w:numPr>
          <w:ilvl w:val="0"/>
          <w:numId w:val="55"/>
        </w:numPr>
        <w:bidi w:val="0"/>
        <w:ind w:left="0" w:leftChars="0" w:firstLine="0" w:firstLineChars="0"/>
        <w:rPr>
          <w:lang w:eastAsia="zh-CN"/>
        </w:rPr>
      </w:pPr>
      <w:r>
        <w:rPr>
          <w:lang w:eastAsia="zh-CN"/>
        </w:rPr>
        <w:t>钢拉杆的质量验收方法和质量验收项目应满足设计要求并符合现行国家标准《钢结构工程施工质量验收标准》GB 50205 的有关规定。</w:t>
      </w:r>
    </w:p>
    <w:p w14:paraId="09C57A36">
      <w:pPr>
        <w:bidi w:val="0"/>
        <w:ind w:firstLine="480" w:firstLineChars="200"/>
        <w:rPr>
          <w:lang w:eastAsia="zh-CN"/>
        </w:rPr>
      </w:pPr>
      <w:r>
        <w:rPr>
          <w:lang w:eastAsia="zh-CN"/>
        </w:rPr>
        <w:t xml:space="preserve">检查数量：质量证明文件全数检查，抽样数量按进场批次和产品抽样检验方案确定。 </w:t>
      </w:r>
    </w:p>
    <w:p w14:paraId="15AF2B72">
      <w:pPr>
        <w:bidi w:val="0"/>
        <w:ind w:firstLine="480" w:firstLineChars="200"/>
        <w:rPr>
          <w:lang w:eastAsia="zh-CN"/>
        </w:rPr>
      </w:pPr>
      <w:r>
        <w:rPr>
          <w:lang w:eastAsia="zh-CN"/>
        </w:rPr>
        <w:t>检查方法：检查质量证明文件和抽样检验报告。</w:t>
      </w:r>
    </w:p>
    <w:p w14:paraId="60D328BF">
      <w:pPr>
        <w:numPr>
          <w:ilvl w:val="0"/>
          <w:numId w:val="55"/>
        </w:numPr>
        <w:bidi w:val="0"/>
        <w:ind w:left="0" w:leftChars="0" w:firstLine="0" w:firstLineChars="0"/>
        <w:rPr>
          <w:rFonts w:hint="eastAsia"/>
          <w:lang w:val="en-US" w:eastAsia="zh-CN"/>
        </w:rPr>
      </w:pPr>
      <w:r>
        <w:rPr>
          <w:rFonts w:hint="eastAsia"/>
          <w:lang w:val="en-US" w:eastAsia="zh-CN"/>
        </w:rPr>
        <w:t>模块单元之间采用螺纹拉杆连接时，有效连接长度和拧紧扭矩值应满足设计要求，上层模块单元的安装应在连接检验合格后进行，并宜保存规范的施工检验影像记录备查。</w:t>
      </w:r>
    </w:p>
    <w:p w14:paraId="567BC187">
      <w:pPr>
        <w:bidi w:val="0"/>
        <w:ind w:firstLine="480" w:firstLineChars="200"/>
        <w:rPr>
          <w:rFonts w:hint="eastAsia"/>
          <w:lang w:val="en-US" w:eastAsia="zh-CN"/>
        </w:rPr>
      </w:pPr>
      <w:r>
        <w:rPr>
          <w:rFonts w:hint="eastAsia"/>
          <w:lang w:val="en-US" w:eastAsia="zh-CN"/>
        </w:rPr>
        <w:t>检查数量：全数检查。</w:t>
      </w:r>
    </w:p>
    <w:p w14:paraId="5E824932">
      <w:pPr>
        <w:bidi w:val="0"/>
        <w:ind w:firstLine="480" w:firstLineChars="200"/>
        <w:rPr>
          <w:rFonts w:hint="eastAsia"/>
          <w:lang w:val="en-US" w:eastAsia="zh-CN"/>
        </w:rPr>
      </w:pPr>
      <w:r>
        <w:rPr>
          <w:rFonts w:hint="eastAsia"/>
          <w:lang w:val="en-US" w:eastAsia="zh-CN"/>
        </w:rPr>
        <w:t>检查方法：检查施工方案，尺量，检查扭力扳手标定记录。</w:t>
      </w:r>
    </w:p>
    <w:p w14:paraId="10EB61E4">
      <w:pPr>
        <w:pStyle w:val="45"/>
        <w:numPr>
          <w:ilvl w:val="0"/>
          <w:numId w:val="0"/>
        </w:numPr>
        <w:bidi w:val="0"/>
        <w:ind w:leftChars="0"/>
        <w:rPr>
          <w:rFonts w:hint="eastAsia"/>
          <w:lang w:val="en-US" w:eastAsia="zh-CN"/>
        </w:rPr>
      </w:pPr>
      <w:r>
        <w:rPr>
          <w:rFonts w:hint="eastAsia"/>
          <w:b/>
          <w:bCs/>
          <w:lang w:val="en-US" w:eastAsia="zh-CN"/>
        </w:rPr>
        <w:t>【条文说明</w:t>
      </w:r>
      <w:r>
        <w:rPr>
          <w:rFonts w:hint="eastAsia"/>
          <w:b/>
          <w:bCs/>
          <w:lang w:eastAsia="zh-CN"/>
        </w:rPr>
        <w:t>】</w:t>
      </w:r>
      <w:r>
        <w:rPr>
          <w:lang w:eastAsia="zh-CN"/>
        </w:rPr>
        <w:t>为保证螺纹拉杆连接的可靠性，拧紧扭矩值应满足要求。螺纹损伤或施拧方式不当等可能 导致在同样终拧扭矩下， 由于螺纹咬合长度不足而达不到设计承载力，故还应保证螺纹拉杆的有 效连接长度。由于上层模块安装完成后很难再对拉杆连接进行检查，为保证施工进度和施工质量， 可保留施工检验影像记录备查。</w:t>
      </w:r>
    </w:p>
    <w:p w14:paraId="7625237C">
      <w:pPr>
        <w:pStyle w:val="11"/>
        <w:rPr>
          <w:rFonts w:hint="eastAsia"/>
          <w:lang w:val="en-US" w:eastAsia="zh-CN"/>
        </w:rPr>
      </w:pPr>
    </w:p>
    <w:p w14:paraId="66847F37">
      <w:pPr>
        <w:numPr>
          <w:ilvl w:val="0"/>
          <w:numId w:val="55"/>
        </w:numPr>
        <w:bidi w:val="0"/>
        <w:ind w:left="0" w:leftChars="0" w:firstLine="0" w:firstLineChars="0"/>
        <w:rPr>
          <w:rFonts w:hint="eastAsia"/>
          <w:lang w:val="en-US" w:eastAsia="zh-CN"/>
        </w:rPr>
      </w:pPr>
      <w:r>
        <w:rPr>
          <w:rFonts w:hint="eastAsia"/>
          <w:lang w:val="en-US" w:eastAsia="zh-CN"/>
        </w:rPr>
        <w:t xml:space="preserve">模块单元之间采用灌浆连接时，灌浆料或灌浆用混凝土的强度等级应符合设计要求。 </w:t>
      </w:r>
    </w:p>
    <w:p w14:paraId="6B6F599C">
      <w:pPr>
        <w:numPr>
          <w:ilvl w:val="0"/>
          <w:numId w:val="0"/>
        </w:numPr>
        <w:tabs>
          <w:tab w:val="left" w:pos="0"/>
        </w:tabs>
        <w:bidi w:val="0"/>
        <w:ind w:leftChars="0" w:firstLine="480" w:firstLineChars="200"/>
        <w:rPr>
          <w:rFonts w:hint="eastAsia"/>
          <w:lang w:val="en-US" w:eastAsia="zh-CN"/>
        </w:rPr>
      </w:pPr>
      <w:r>
        <w:rPr>
          <w:rFonts w:hint="eastAsia"/>
          <w:lang w:val="en-US" w:eastAsia="zh-CN"/>
        </w:rPr>
        <w:t>检查数量：全数检查。</w:t>
      </w:r>
    </w:p>
    <w:p w14:paraId="6FEC0F19">
      <w:pPr>
        <w:bidi w:val="0"/>
        <w:ind w:firstLine="480" w:firstLineChars="200"/>
        <w:rPr>
          <w:rFonts w:hint="eastAsia"/>
          <w:lang w:val="en-US" w:eastAsia="zh-CN"/>
        </w:rPr>
      </w:pPr>
      <w:r>
        <w:rPr>
          <w:rFonts w:hint="eastAsia"/>
          <w:lang w:val="en-US" w:eastAsia="zh-CN"/>
        </w:rPr>
        <w:t>检查方法：检查试件强度试验报告。</w:t>
      </w:r>
    </w:p>
    <w:p w14:paraId="1AA12937">
      <w:pPr>
        <w:numPr>
          <w:ilvl w:val="0"/>
          <w:numId w:val="55"/>
        </w:numPr>
        <w:bidi w:val="0"/>
        <w:ind w:left="0" w:leftChars="0" w:firstLine="0" w:firstLineChars="0"/>
        <w:rPr>
          <w:rFonts w:hint="eastAsia"/>
          <w:lang w:val="en-US" w:eastAsia="zh-CN"/>
        </w:rPr>
      </w:pPr>
      <w:r>
        <w:rPr>
          <w:rFonts w:hint="eastAsia"/>
          <w:lang w:val="en-US" w:eastAsia="zh-CN"/>
        </w:rPr>
        <w:t xml:space="preserve">灌浆料或灌浆用混凝土的工作性能和收缩性应符合设计要求和相关国家现行标准的规定。 </w:t>
      </w:r>
    </w:p>
    <w:p w14:paraId="3B193D50">
      <w:pPr>
        <w:numPr>
          <w:ilvl w:val="0"/>
          <w:numId w:val="0"/>
        </w:numPr>
        <w:tabs>
          <w:tab w:val="left" w:pos="0"/>
        </w:tabs>
        <w:bidi w:val="0"/>
        <w:ind w:leftChars="0" w:firstLine="480" w:firstLineChars="200"/>
        <w:rPr>
          <w:rFonts w:hint="eastAsia"/>
          <w:lang w:val="en-US" w:eastAsia="zh-CN"/>
        </w:rPr>
      </w:pPr>
      <w:r>
        <w:rPr>
          <w:rFonts w:hint="eastAsia"/>
          <w:lang w:val="en-US" w:eastAsia="zh-CN"/>
        </w:rPr>
        <w:t>检查数量：全数检查。</w:t>
      </w:r>
    </w:p>
    <w:p w14:paraId="4E1DE759">
      <w:pPr>
        <w:bidi w:val="0"/>
        <w:ind w:firstLine="480" w:firstLineChars="200"/>
        <w:rPr>
          <w:rFonts w:hint="eastAsia"/>
          <w:lang w:val="en-US" w:eastAsia="zh-CN"/>
        </w:rPr>
      </w:pPr>
      <w:r>
        <w:rPr>
          <w:rFonts w:hint="eastAsia"/>
          <w:lang w:val="en-US" w:eastAsia="zh-CN"/>
        </w:rPr>
        <w:t>检查方法：检查质量证明文件和抽样检验报告。</w:t>
      </w:r>
    </w:p>
    <w:p w14:paraId="0741358B">
      <w:pPr>
        <w:numPr>
          <w:ilvl w:val="0"/>
          <w:numId w:val="55"/>
        </w:numPr>
        <w:bidi w:val="0"/>
        <w:ind w:left="0" w:leftChars="0" w:firstLine="0" w:firstLineChars="0"/>
        <w:rPr>
          <w:rFonts w:hint="eastAsia"/>
          <w:lang w:val="en-US" w:eastAsia="zh-CN"/>
        </w:rPr>
      </w:pPr>
      <w:r>
        <w:rPr>
          <w:rFonts w:hint="eastAsia"/>
          <w:lang w:val="en-US" w:eastAsia="zh-CN"/>
        </w:rPr>
        <w:t>灌浆用混凝土的运输、浇筑及间歇的全部时间不应超过混凝土的初凝时间，同一施工节点内混凝土应连续浇筑。</w:t>
      </w:r>
    </w:p>
    <w:p w14:paraId="05AA2C4B">
      <w:pPr>
        <w:bidi w:val="0"/>
        <w:ind w:firstLine="480" w:firstLineChars="200"/>
        <w:rPr>
          <w:rFonts w:hint="eastAsia"/>
          <w:lang w:val="en-US" w:eastAsia="zh-CN"/>
        </w:rPr>
      </w:pPr>
      <w:r>
        <w:rPr>
          <w:rFonts w:hint="eastAsia"/>
          <w:lang w:val="en-US" w:eastAsia="zh-CN"/>
        </w:rPr>
        <w:t>检查数量：全数检查。</w:t>
      </w:r>
    </w:p>
    <w:p w14:paraId="7794953F">
      <w:pPr>
        <w:bidi w:val="0"/>
        <w:ind w:firstLine="480" w:firstLineChars="200"/>
        <w:rPr>
          <w:rFonts w:hint="eastAsia"/>
          <w:lang w:val="en-US" w:eastAsia="zh-CN"/>
        </w:rPr>
      </w:pPr>
      <w:r>
        <w:rPr>
          <w:rFonts w:hint="eastAsia"/>
          <w:lang w:val="en-US" w:eastAsia="zh-CN"/>
        </w:rPr>
        <w:t>检查方法：观察检查，检查施工记录。</w:t>
      </w:r>
    </w:p>
    <w:p w14:paraId="3F9D2BA6">
      <w:pPr>
        <w:numPr>
          <w:ilvl w:val="0"/>
          <w:numId w:val="55"/>
        </w:numPr>
        <w:bidi w:val="0"/>
        <w:ind w:left="0" w:leftChars="0" w:firstLine="0" w:firstLineChars="0"/>
        <w:rPr>
          <w:rFonts w:hint="eastAsia"/>
          <w:lang w:val="en-US" w:eastAsia="zh-CN"/>
        </w:rPr>
      </w:pPr>
      <w:r>
        <w:rPr>
          <w:rFonts w:hint="eastAsia"/>
          <w:lang w:val="en-US" w:eastAsia="zh-CN"/>
        </w:rPr>
        <w:t>灌浆料或灌浆用混凝土浇筑应密实。</w:t>
      </w:r>
    </w:p>
    <w:p w14:paraId="7D05294B">
      <w:pPr>
        <w:bidi w:val="0"/>
        <w:ind w:firstLine="480" w:firstLineChars="200"/>
        <w:rPr>
          <w:rFonts w:hint="eastAsia"/>
          <w:lang w:val="en-US" w:eastAsia="zh-CN"/>
        </w:rPr>
      </w:pPr>
      <w:r>
        <w:rPr>
          <w:rFonts w:hint="eastAsia"/>
          <w:lang w:val="en-US" w:eastAsia="zh-CN"/>
        </w:rPr>
        <w:t>检查数量：全数检查。</w:t>
      </w:r>
    </w:p>
    <w:p w14:paraId="6B660580">
      <w:pPr>
        <w:bidi w:val="0"/>
        <w:ind w:firstLine="480" w:firstLineChars="200"/>
        <w:rPr>
          <w:rFonts w:hint="eastAsia"/>
          <w:lang w:val="en-US" w:eastAsia="zh-CN"/>
        </w:rPr>
      </w:pPr>
      <w:r>
        <w:rPr>
          <w:rFonts w:hint="eastAsia"/>
          <w:lang w:val="en-US" w:eastAsia="zh-CN"/>
        </w:rPr>
        <w:t>检查方法：检查灌浆工艺试验报告或混凝土浇筑工艺试验报告和施工记录。</w:t>
      </w:r>
    </w:p>
    <w:p w14:paraId="2B7D212D">
      <w:pPr>
        <w:numPr>
          <w:ilvl w:val="0"/>
          <w:numId w:val="55"/>
        </w:numPr>
        <w:bidi w:val="0"/>
        <w:ind w:left="0" w:leftChars="0" w:firstLine="0" w:firstLineChars="0"/>
        <w:rPr>
          <w:lang w:eastAsia="zh-CN"/>
        </w:rPr>
      </w:pPr>
      <w:r>
        <w:rPr>
          <w:lang w:eastAsia="zh-CN"/>
        </w:rPr>
        <w:t>模块单元设备管线之间的连接构造应符合设计要求。</w:t>
      </w:r>
    </w:p>
    <w:p w14:paraId="7BD94D67">
      <w:pPr>
        <w:bidi w:val="0"/>
        <w:ind w:firstLine="480" w:firstLineChars="200"/>
        <w:rPr>
          <w:lang w:eastAsia="zh-CN"/>
        </w:rPr>
      </w:pPr>
      <w:r>
        <w:rPr>
          <w:lang w:eastAsia="zh-CN"/>
        </w:rPr>
        <w:t>检查数量：全数检查。</w:t>
      </w:r>
    </w:p>
    <w:p w14:paraId="560BB2F4">
      <w:pPr>
        <w:bidi w:val="0"/>
        <w:ind w:firstLine="480" w:firstLineChars="200"/>
        <w:rPr>
          <w:lang w:eastAsia="zh-CN"/>
        </w:rPr>
      </w:pPr>
      <w:r>
        <w:rPr>
          <w:lang w:eastAsia="zh-CN"/>
        </w:rPr>
        <w:t>检验方法：观察，量测。</w:t>
      </w:r>
    </w:p>
    <w:p w14:paraId="766BD8F4">
      <w:pPr>
        <w:numPr>
          <w:ilvl w:val="0"/>
          <w:numId w:val="55"/>
        </w:numPr>
        <w:bidi w:val="0"/>
        <w:ind w:left="0" w:leftChars="0" w:firstLine="0" w:firstLineChars="0"/>
        <w:rPr>
          <w:lang w:eastAsia="zh-CN"/>
        </w:rPr>
      </w:pPr>
      <w:r>
        <w:rPr>
          <w:rFonts w:hint="eastAsia"/>
          <w:lang w:val="en-US" w:eastAsia="zh-CN"/>
        </w:rPr>
        <w:t>排水管</w:t>
      </w:r>
      <w:r>
        <w:rPr>
          <w:lang w:eastAsia="zh-CN"/>
        </w:rPr>
        <w:t>道安装完成后应进行整个排水系统的灌水及通球试验；给水管道应进行整个系统的严密性及强度试验，试验结果应满足设计要求。</w:t>
      </w:r>
    </w:p>
    <w:p w14:paraId="38A506F8">
      <w:pPr>
        <w:numPr>
          <w:ilvl w:val="0"/>
          <w:numId w:val="55"/>
        </w:numPr>
        <w:bidi w:val="0"/>
        <w:ind w:left="0" w:leftChars="0" w:firstLine="0" w:firstLineChars="0"/>
        <w:rPr>
          <w:rFonts w:hint="eastAsia"/>
          <w:lang w:val="en-US" w:eastAsia="zh-CN"/>
        </w:rPr>
      </w:pPr>
      <w:r>
        <w:rPr>
          <w:rFonts w:hint="default"/>
          <w:lang w:val="en-US" w:eastAsia="zh-CN"/>
        </w:rPr>
        <w:t>线路</w:t>
      </w:r>
      <w:r>
        <w:rPr>
          <w:rFonts w:hint="default"/>
          <w:lang w:eastAsia="zh-CN"/>
        </w:rPr>
        <w:t>敷设完毕后应进行绝缘电阻测试及通电测试，其测试电压及绝缘电阻值应符合现行国家标准《建筑电气工程施工质量验收规范》GB50303的有关规定。</w:t>
      </w:r>
    </w:p>
    <w:p w14:paraId="3A4B17E9">
      <w:pPr>
        <w:numPr>
          <w:ilvl w:val="0"/>
          <w:numId w:val="55"/>
        </w:numPr>
        <w:bidi w:val="0"/>
        <w:ind w:left="0" w:leftChars="0" w:firstLine="0" w:firstLineChars="0"/>
        <w:rPr>
          <w:lang w:eastAsia="zh-CN"/>
        </w:rPr>
      </w:pPr>
      <w:r>
        <w:rPr>
          <w:rFonts w:hint="eastAsia"/>
          <w:lang w:val="en-US" w:eastAsia="zh-CN"/>
        </w:rPr>
        <w:t>模块化钢结构房屋</w:t>
      </w:r>
      <w:r>
        <w:rPr>
          <w:lang w:eastAsia="zh-CN"/>
        </w:rPr>
        <w:t>接缝防火封堵处理应符合设计要求，封堵材料的燃烧性能等级、管道阻火装置的耐火性能以及拼缝处防火封堵材料的燃烧性能应符合设计要求。</w:t>
      </w:r>
    </w:p>
    <w:p w14:paraId="32CF2619">
      <w:pPr>
        <w:bidi w:val="0"/>
        <w:ind w:firstLine="480" w:firstLineChars="200"/>
        <w:rPr>
          <w:lang w:eastAsia="zh-CN"/>
        </w:rPr>
      </w:pPr>
      <w:r>
        <w:rPr>
          <w:lang w:eastAsia="zh-CN"/>
        </w:rPr>
        <w:t>检查数量：全部检查。</w:t>
      </w:r>
    </w:p>
    <w:p w14:paraId="317DA300">
      <w:pPr>
        <w:bidi w:val="0"/>
        <w:ind w:firstLine="480" w:firstLineChars="200"/>
        <w:rPr>
          <w:lang w:eastAsia="zh-CN"/>
        </w:rPr>
      </w:pPr>
      <w:r>
        <w:rPr>
          <w:lang w:eastAsia="zh-CN"/>
        </w:rPr>
        <w:t>检验方法：检查封堵材料的燃烧性能等级的检测报告。</w:t>
      </w:r>
    </w:p>
    <w:p w14:paraId="3BD8E4DD">
      <w:pPr>
        <w:pStyle w:val="3"/>
        <w:bidi w:val="0"/>
        <w:rPr>
          <w:rFonts w:hint="eastAsia" w:ascii="黑体" w:hAnsi="黑体" w:cs="黑体"/>
          <w:b w:val="0"/>
          <w:bCs w:val="0"/>
          <w:spacing w:val="5"/>
          <w:lang w:val="en-US" w:eastAsia="zh-CN"/>
        </w:rPr>
      </w:pPr>
      <w:bookmarkStart w:id="72" w:name="_Toc186033356"/>
      <w:bookmarkStart w:id="73" w:name="_Toc6536"/>
      <w:bookmarkStart w:id="74" w:name="_Toc1030"/>
      <w:r>
        <w:rPr>
          <w:rFonts w:hint="eastAsia" w:eastAsia="宋体" w:cs="Times New Roman"/>
          <w:b w:val="0"/>
          <w:bCs w:val="0"/>
          <w:spacing w:val="5"/>
          <w:lang w:val="en-US" w:eastAsia="zh-CN"/>
        </w:rPr>
        <w:t>8</w:t>
      </w:r>
      <w:r>
        <w:rPr>
          <w:rFonts w:ascii="宋体" w:hAnsi="宋体" w:eastAsia="宋体" w:cs="宋体"/>
          <w:b w:val="0"/>
          <w:bCs w:val="0"/>
          <w:spacing w:val="5"/>
        </w:rPr>
        <w:t>.</w:t>
      </w:r>
      <w:bookmarkEnd w:id="72"/>
      <w:r>
        <w:rPr>
          <w:rFonts w:hint="eastAsia" w:eastAsia="宋体" w:cs="Times New Roman"/>
          <w:b w:val="0"/>
          <w:bCs w:val="0"/>
          <w:spacing w:val="5"/>
          <w:lang w:val="en-US" w:eastAsia="zh-CN"/>
        </w:rPr>
        <w:t>3</w:t>
      </w:r>
      <w:r>
        <w:rPr>
          <w:rFonts w:hint="eastAsia" w:ascii="黑体" w:hAnsi="黑体" w:cs="黑体"/>
          <w:b w:val="0"/>
          <w:bCs w:val="0"/>
          <w:spacing w:val="5"/>
          <w:lang w:val="en-US" w:eastAsia="zh-CN"/>
        </w:rPr>
        <w:t>一般项目</w:t>
      </w:r>
      <w:bookmarkEnd w:id="73"/>
      <w:bookmarkEnd w:id="74"/>
    </w:p>
    <w:p w14:paraId="0B3680DF">
      <w:pPr>
        <w:numPr>
          <w:ilvl w:val="0"/>
          <w:numId w:val="56"/>
        </w:numPr>
        <w:bidi w:val="0"/>
        <w:ind w:left="0" w:leftChars="0" w:firstLine="0" w:firstLineChars="0"/>
        <w:rPr>
          <w:rFonts w:hint="eastAsia"/>
          <w:lang w:val="en-US" w:eastAsia="zh-CN"/>
        </w:rPr>
      </w:pPr>
      <w:r>
        <w:rPr>
          <w:rFonts w:hint="eastAsia"/>
          <w:lang w:val="en-US" w:eastAsia="zh-CN"/>
        </w:rPr>
        <w:t xml:space="preserve">模块单元产品进场时，应检查模块单元的产品合格证、质量证明文件及产品说明书。 </w:t>
      </w:r>
    </w:p>
    <w:p w14:paraId="6C42DB6D">
      <w:pPr>
        <w:numPr>
          <w:ilvl w:val="-1"/>
          <w:numId w:val="0"/>
        </w:numPr>
        <w:tabs>
          <w:tab w:val="left" w:pos="0"/>
        </w:tabs>
        <w:bidi w:val="0"/>
        <w:ind w:left="0" w:leftChars="0" w:firstLine="480" w:firstLineChars="200"/>
        <w:rPr>
          <w:rFonts w:hint="eastAsia"/>
          <w:lang w:val="en-US" w:eastAsia="zh-CN"/>
        </w:rPr>
      </w:pPr>
      <w:r>
        <w:rPr>
          <w:rFonts w:hint="eastAsia"/>
          <w:lang w:val="en-US" w:eastAsia="zh-CN"/>
        </w:rPr>
        <w:t>检查数量：全数检查。</w:t>
      </w:r>
    </w:p>
    <w:p w14:paraId="4151145C">
      <w:pPr>
        <w:numPr>
          <w:ilvl w:val="-1"/>
          <w:numId w:val="0"/>
        </w:numPr>
        <w:tabs>
          <w:tab w:val="left" w:pos="0"/>
        </w:tabs>
        <w:bidi w:val="0"/>
        <w:ind w:left="0" w:leftChars="0" w:firstLine="480" w:firstLineChars="200"/>
        <w:rPr>
          <w:rFonts w:hint="eastAsia"/>
          <w:lang w:val="en-US" w:eastAsia="zh-CN"/>
        </w:rPr>
      </w:pPr>
      <w:r>
        <w:rPr>
          <w:rFonts w:hint="eastAsia"/>
          <w:lang w:val="en-US" w:eastAsia="zh-CN"/>
        </w:rPr>
        <w:t>检查方法：检查相关文件。</w:t>
      </w:r>
    </w:p>
    <w:p w14:paraId="17847E68">
      <w:pPr>
        <w:numPr>
          <w:ilvl w:val="0"/>
          <w:numId w:val="56"/>
        </w:numPr>
        <w:bidi w:val="0"/>
        <w:ind w:left="0" w:leftChars="0" w:firstLine="0" w:firstLineChars="0"/>
        <w:rPr>
          <w:rFonts w:hint="eastAsia"/>
          <w:lang w:val="en-US" w:eastAsia="zh-CN"/>
        </w:rPr>
      </w:pPr>
      <w:r>
        <w:rPr>
          <w:rFonts w:hint="eastAsia"/>
          <w:lang w:val="en-US" w:eastAsia="zh-CN"/>
        </w:rPr>
        <w:t>模块单元涂层外观质量应满足设计要求，受损部分应根据损伤程度按照专项修补工艺进行涂层缺陷修补。</w:t>
      </w:r>
    </w:p>
    <w:p w14:paraId="3CD5A728">
      <w:pPr>
        <w:numPr>
          <w:ilvl w:val="0"/>
          <w:numId w:val="0"/>
        </w:numPr>
        <w:tabs>
          <w:tab w:val="left" w:pos="0"/>
        </w:tabs>
        <w:bidi w:val="0"/>
        <w:ind w:leftChars="0" w:firstLine="480" w:firstLineChars="200"/>
        <w:rPr>
          <w:rFonts w:hint="eastAsia"/>
          <w:lang w:val="en-US" w:eastAsia="zh-CN"/>
        </w:rPr>
      </w:pPr>
      <w:r>
        <w:rPr>
          <w:rFonts w:hint="eastAsia"/>
          <w:lang w:val="en-US" w:eastAsia="zh-CN"/>
        </w:rPr>
        <w:t>检查数量：全数检查。</w:t>
      </w:r>
    </w:p>
    <w:p w14:paraId="489B6135">
      <w:pPr>
        <w:numPr>
          <w:ilvl w:val="0"/>
          <w:numId w:val="0"/>
        </w:numPr>
        <w:tabs>
          <w:tab w:val="left" w:pos="0"/>
        </w:tabs>
        <w:bidi w:val="0"/>
        <w:ind w:leftChars="0" w:firstLine="480" w:firstLineChars="200"/>
        <w:rPr>
          <w:rFonts w:hint="eastAsia"/>
          <w:lang w:val="en-US" w:eastAsia="zh-CN"/>
        </w:rPr>
      </w:pPr>
      <w:r>
        <w:rPr>
          <w:rFonts w:hint="eastAsia"/>
          <w:lang w:val="en-US" w:eastAsia="zh-CN"/>
        </w:rPr>
        <w:t>检验方法：漆膜测厚仪和观察检查。</w:t>
      </w:r>
    </w:p>
    <w:p w14:paraId="7E145B98">
      <w:pPr>
        <w:numPr>
          <w:ilvl w:val="0"/>
          <w:numId w:val="56"/>
        </w:numPr>
        <w:bidi w:val="0"/>
        <w:ind w:left="0" w:leftChars="0" w:firstLine="0" w:firstLineChars="0"/>
        <w:rPr>
          <w:rFonts w:hint="eastAsia"/>
          <w:lang w:val="en-US" w:eastAsia="zh-CN"/>
        </w:rPr>
      </w:pPr>
      <w:r>
        <w:rPr>
          <w:rFonts w:hint="eastAsia"/>
          <w:lang w:val="en-US" w:eastAsia="zh-CN"/>
        </w:rPr>
        <w:t>模块单元应在明显部位标明生产单位、项目名称、模块型号、生产日期、安装部位、安装方向及质量合格标志。</w:t>
      </w:r>
    </w:p>
    <w:p w14:paraId="67BECEEC">
      <w:pPr>
        <w:numPr>
          <w:ilvl w:val="0"/>
          <w:numId w:val="0"/>
        </w:numPr>
        <w:tabs>
          <w:tab w:val="left" w:pos="0"/>
        </w:tabs>
        <w:bidi w:val="0"/>
        <w:ind w:leftChars="0" w:firstLine="480" w:firstLineChars="200"/>
        <w:rPr>
          <w:rFonts w:hint="eastAsia"/>
          <w:lang w:val="en-US" w:eastAsia="zh-CN"/>
        </w:rPr>
      </w:pPr>
      <w:r>
        <w:rPr>
          <w:rFonts w:hint="eastAsia"/>
          <w:lang w:val="en-US" w:eastAsia="zh-CN"/>
        </w:rPr>
        <w:t xml:space="preserve">检查数量：全数检查。 </w:t>
      </w:r>
    </w:p>
    <w:p w14:paraId="2B8B1082">
      <w:pPr>
        <w:numPr>
          <w:ilvl w:val="0"/>
          <w:numId w:val="0"/>
        </w:numPr>
        <w:tabs>
          <w:tab w:val="left" w:pos="0"/>
        </w:tabs>
        <w:bidi w:val="0"/>
        <w:ind w:leftChars="0" w:firstLine="480" w:firstLineChars="200"/>
        <w:rPr>
          <w:rFonts w:hint="eastAsia"/>
          <w:lang w:val="en-US" w:eastAsia="zh-CN"/>
        </w:rPr>
      </w:pPr>
      <w:r>
        <w:rPr>
          <w:rFonts w:hint="eastAsia"/>
          <w:lang w:val="en-US" w:eastAsia="zh-CN"/>
        </w:rPr>
        <w:t>检验方法：观察检查。</w:t>
      </w:r>
    </w:p>
    <w:p w14:paraId="23B31601">
      <w:pPr>
        <w:numPr>
          <w:ilvl w:val="0"/>
          <w:numId w:val="56"/>
        </w:numPr>
        <w:bidi w:val="0"/>
        <w:ind w:left="0" w:leftChars="0" w:firstLine="0" w:firstLineChars="0"/>
        <w:rPr>
          <w:rFonts w:hint="eastAsia"/>
          <w:lang w:eastAsia="zh-CN"/>
        </w:rPr>
      </w:pPr>
      <w:r>
        <w:rPr>
          <w:rFonts w:hint="eastAsia"/>
          <w:lang w:val="en-US" w:eastAsia="zh-CN"/>
        </w:rPr>
        <w:t>基础顶面预埋支座或模块单元的连接件作为上层模块的支承面时，其支承面的允许偏差应符合表8.3.4的规定。</w:t>
      </w:r>
    </w:p>
    <w:p w14:paraId="0634D913">
      <w:pPr>
        <w:numPr>
          <w:ilvl w:val="-1"/>
          <w:numId w:val="0"/>
        </w:numPr>
        <w:tabs>
          <w:tab w:val="left" w:pos="0"/>
        </w:tabs>
        <w:bidi w:val="0"/>
        <w:ind w:firstLine="480" w:firstLineChars="200"/>
        <w:rPr>
          <w:rFonts w:hint="eastAsia"/>
          <w:lang w:eastAsia="zh-CN"/>
        </w:rPr>
      </w:pPr>
      <w:r>
        <w:rPr>
          <w:rFonts w:hint="eastAsia"/>
          <w:lang w:eastAsia="zh-CN"/>
        </w:rPr>
        <w:t>检查数量：按支座和连接数抽查10%，且不应少于3个。</w:t>
      </w:r>
    </w:p>
    <w:p w14:paraId="736592C0">
      <w:pPr>
        <w:numPr>
          <w:ilvl w:val="-1"/>
          <w:numId w:val="0"/>
        </w:numPr>
        <w:tabs>
          <w:tab w:val="left" w:pos="0"/>
        </w:tabs>
        <w:bidi w:val="0"/>
        <w:ind w:firstLine="480" w:firstLineChars="200"/>
        <w:rPr>
          <w:rFonts w:hint="eastAsia"/>
          <w:lang w:eastAsia="zh-CN"/>
        </w:rPr>
      </w:pPr>
      <w:r>
        <w:rPr>
          <w:rFonts w:hint="eastAsia"/>
          <w:lang w:eastAsia="zh-CN"/>
        </w:rPr>
        <w:t>检查方法：用经纬仪、水准仪、全站仪、水平尺和钢尺实测。</w:t>
      </w:r>
    </w:p>
    <w:p w14:paraId="695FFD46">
      <w:pPr>
        <w:spacing w:before="110" w:line="195" w:lineRule="auto"/>
        <w:ind w:left="3365"/>
        <w:rPr>
          <w:rFonts w:ascii="黑体" w:hAnsi="黑体" w:eastAsia="黑体" w:cs="黑体"/>
          <w:sz w:val="18"/>
          <w:szCs w:val="18"/>
        </w:rPr>
      </w:pPr>
      <w:r>
        <w:rPr>
          <w:rFonts w:ascii="黑体" w:hAnsi="黑体" w:eastAsia="黑体" w:cs="黑体"/>
          <w:spacing w:val="3"/>
          <w:sz w:val="18"/>
          <w:szCs w:val="18"/>
        </w:rPr>
        <w:t>表</w:t>
      </w:r>
      <w:r>
        <w:rPr>
          <w:rFonts w:hint="eastAsia" w:ascii="黑体" w:hAnsi="黑体" w:eastAsia="黑体" w:cs="黑体"/>
          <w:spacing w:val="-16"/>
          <w:sz w:val="18"/>
          <w:szCs w:val="18"/>
          <w:lang w:val="en-US" w:eastAsia="zh-CN"/>
        </w:rPr>
        <w:t>8.3.4</w:t>
      </w:r>
      <w:r>
        <w:rPr>
          <w:rFonts w:ascii="黑体" w:hAnsi="黑体" w:eastAsia="黑体" w:cs="黑体"/>
          <w:b w:val="0"/>
          <w:bCs w:val="0"/>
          <w:spacing w:val="-16"/>
          <w:sz w:val="18"/>
          <w:szCs w:val="18"/>
        </w:rPr>
        <w:t xml:space="preserve"> </w:t>
      </w:r>
      <w:r>
        <w:rPr>
          <w:rFonts w:ascii="黑体" w:hAnsi="黑体" w:eastAsia="黑体" w:cs="黑体"/>
          <w:spacing w:val="3"/>
          <w:sz w:val="18"/>
          <w:szCs w:val="18"/>
        </w:rPr>
        <w:t>支承面的允许偏差</w:t>
      </w:r>
    </w:p>
    <w:p w14:paraId="32AE9D79">
      <w:pPr>
        <w:spacing w:line="24" w:lineRule="exact"/>
      </w:pPr>
    </w:p>
    <w:tbl>
      <w:tblPr>
        <w:tblStyle w:val="41"/>
        <w:tblW w:w="924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4"/>
        <w:gridCol w:w="2987"/>
        <w:gridCol w:w="4039"/>
      </w:tblGrid>
      <w:tr w14:paraId="0BD16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201" w:type="dxa"/>
            <w:gridSpan w:val="2"/>
            <w:tcBorders>
              <w:top w:val="single" w:color="000000" w:sz="10" w:space="0"/>
              <w:left w:val="single" w:color="000000" w:sz="10" w:space="0"/>
            </w:tcBorders>
          </w:tcPr>
          <w:p w14:paraId="1479402B">
            <w:pPr>
              <w:pStyle w:val="44"/>
              <w:spacing w:before="94" w:line="222" w:lineRule="auto"/>
              <w:ind w:left="2436"/>
              <w:rPr>
                <w:sz w:val="15"/>
                <w:szCs w:val="15"/>
              </w:rPr>
            </w:pPr>
            <w:r>
              <w:rPr>
                <w:spacing w:val="1"/>
                <w:sz w:val="15"/>
                <w:szCs w:val="15"/>
              </w:rPr>
              <w:t>项目</w:t>
            </w:r>
          </w:p>
        </w:tc>
        <w:tc>
          <w:tcPr>
            <w:tcW w:w="4039" w:type="dxa"/>
            <w:tcBorders>
              <w:top w:val="single" w:color="000000" w:sz="10" w:space="0"/>
              <w:right w:val="single" w:color="000000" w:sz="10" w:space="0"/>
            </w:tcBorders>
          </w:tcPr>
          <w:p w14:paraId="451FE504">
            <w:pPr>
              <w:pStyle w:val="44"/>
              <w:spacing w:before="94" w:line="235" w:lineRule="auto"/>
              <w:ind w:left="1423"/>
              <w:rPr>
                <w:sz w:val="15"/>
                <w:szCs w:val="15"/>
              </w:rPr>
            </w:pPr>
            <w:r>
              <w:rPr>
                <w:spacing w:val="8"/>
                <w:sz w:val="15"/>
                <w:szCs w:val="15"/>
              </w:rPr>
              <w:t>允许偏差（</w:t>
            </w:r>
            <w:r>
              <w:rPr>
                <w:rFonts w:ascii="Times New Roman" w:hAnsi="Times New Roman" w:eastAsia="Times New Roman" w:cs="Times New Roman"/>
                <w:sz w:val="15"/>
                <w:szCs w:val="15"/>
              </w:rPr>
              <w:t>mm</w:t>
            </w:r>
            <w:r>
              <w:rPr>
                <w:spacing w:val="8"/>
                <w:sz w:val="15"/>
                <w:szCs w:val="15"/>
              </w:rPr>
              <w:t>）</w:t>
            </w:r>
          </w:p>
        </w:tc>
      </w:tr>
      <w:tr w14:paraId="6E2F6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214" w:type="dxa"/>
            <w:vMerge w:val="restart"/>
            <w:tcBorders>
              <w:left w:val="single" w:color="000000" w:sz="10" w:space="0"/>
              <w:bottom w:val="nil"/>
            </w:tcBorders>
          </w:tcPr>
          <w:p w14:paraId="08E295D3">
            <w:pPr>
              <w:pStyle w:val="44"/>
              <w:spacing w:before="269" w:line="221" w:lineRule="auto"/>
              <w:ind w:left="855"/>
              <w:rPr>
                <w:sz w:val="15"/>
                <w:szCs w:val="15"/>
              </w:rPr>
            </w:pPr>
            <w:r>
              <w:rPr>
                <w:spacing w:val="5"/>
                <w:sz w:val="15"/>
                <w:szCs w:val="15"/>
              </w:rPr>
              <w:t>支承面</w:t>
            </w:r>
          </w:p>
        </w:tc>
        <w:tc>
          <w:tcPr>
            <w:tcW w:w="2987" w:type="dxa"/>
          </w:tcPr>
          <w:p w14:paraId="6437A0F2">
            <w:pPr>
              <w:pStyle w:val="44"/>
              <w:spacing w:before="96" w:line="221" w:lineRule="auto"/>
              <w:ind w:left="1332"/>
              <w:rPr>
                <w:sz w:val="15"/>
                <w:szCs w:val="15"/>
              </w:rPr>
            </w:pPr>
            <w:r>
              <w:rPr>
                <w:spacing w:val="2"/>
                <w:sz w:val="15"/>
                <w:szCs w:val="15"/>
              </w:rPr>
              <w:t>标高</w:t>
            </w:r>
          </w:p>
        </w:tc>
        <w:tc>
          <w:tcPr>
            <w:tcW w:w="4039" w:type="dxa"/>
            <w:tcBorders>
              <w:right w:val="single" w:color="000000" w:sz="10" w:space="0"/>
            </w:tcBorders>
          </w:tcPr>
          <w:p w14:paraId="42646AB8">
            <w:pPr>
              <w:spacing w:before="123" w:line="189" w:lineRule="auto"/>
              <w:ind w:left="1870"/>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±3.0</w:t>
            </w:r>
          </w:p>
        </w:tc>
      </w:tr>
      <w:tr w14:paraId="0A3F4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214" w:type="dxa"/>
            <w:vMerge w:val="continue"/>
            <w:tcBorders>
              <w:top w:val="nil"/>
              <w:left w:val="single" w:color="000000" w:sz="10" w:space="0"/>
            </w:tcBorders>
          </w:tcPr>
          <w:p w14:paraId="7C220390"/>
        </w:tc>
        <w:tc>
          <w:tcPr>
            <w:tcW w:w="2987" w:type="dxa"/>
          </w:tcPr>
          <w:p w14:paraId="6AB73F10">
            <w:pPr>
              <w:pStyle w:val="44"/>
              <w:spacing w:before="103" w:line="221" w:lineRule="auto"/>
              <w:ind w:left="1254"/>
              <w:rPr>
                <w:sz w:val="15"/>
                <w:szCs w:val="15"/>
              </w:rPr>
            </w:pPr>
            <w:r>
              <w:rPr>
                <w:spacing w:val="5"/>
                <w:sz w:val="15"/>
                <w:szCs w:val="15"/>
              </w:rPr>
              <w:t>水平度</w:t>
            </w:r>
          </w:p>
        </w:tc>
        <w:tc>
          <w:tcPr>
            <w:tcW w:w="4039" w:type="dxa"/>
            <w:tcBorders>
              <w:right w:val="single" w:color="000000" w:sz="10" w:space="0"/>
            </w:tcBorders>
          </w:tcPr>
          <w:p w14:paraId="00F24E13">
            <w:pPr>
              <w:pStyle w:val="44"/>
              <w:spacing w:before="103" w:line="235" w:lineRule="auto"/>
              <w:ind w:left="806"/>
              <w:rPr>
                <w:sz w:val="15"/>
                <w:szCs w:val="15"/>
                <w:lang w:eastAsia="zh-CN"/>
              </w:rPr>
            </w:pPr>
            <w:r>
              <w:rPr>
                <w:rFonts w:ascii="Times New Roman" w:hAnsi="Times New Roman" w:eastAsia="Times New Roman" w:cs="Times New Roman"/>
                <w:spacing w:val="6"/>
                <w:sz w:val="15"/>
                <w:szCs w:val="15"/>
                <w:lang w:eastAsia="zh-CN"/>
              </w:rPr>
              <w:t>l/1000</w:t>
            </w:r>
            <w:r>
              <w:rPr>
                <w:spacing w:val="6"/>
                <w:sz w:val="15"/>
                <w:szCs w:val="15"/>
                <w:lang w:eastAsia="zh-CN"/>
              </w:rPr>
              <w:t>（</w:t>
            </w:r>
            <w:r>
              <w:rPr>
                <w:rFonts w:ascii="Times New Roman" w:hAnsi="Times New Roman" w:eastAsia="Times New Roman" w:cs="Times New Roman"/>
                <w:spacing w:val="6"/>
                <w:sz w:val="15"/>
                <w:szCs w:val="15"/>
                <w:lang w:eastAsia="zh-CN"/>
              </w:rPr>
              <w:t>l</w:t>
            </w:r>
            <w:r>
              <w:rPr>
                <w:rFonts w:ascii="Times New Roman" w:hAnsi="Times New Roman" w:eastAsia="Times New Roman" w:cs="Times New Roman"/>
                <w:spacing w:val="27"/>
                <w:w w:val="101"/>
                <w:sz w:val="15"/>
                <w:szCs w:val="15"/>
                <w:lang w:eastAsia="zh-CN"/>
              </w:rPr>
              <w:t xml:space="preserve"> </w:t>
            </w:r>
            <w:r>
              <w:rPr>
                <w:spacing w:val="6"/>
                <w:sz w:val="15"/>
                <w:szCs w:val="15"/>
                <w:lang w:eastAsia="zh-CN"/>
              </w:rPr>
              <w:t>为支承面测量方向边长）</w:t>
            </w:r>
          </w:p>
        </w:tc>
      </w:tr>
      <w:tr w14:paraId="6D156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201" w:type="dxa"/>
            <w:gridSpan w:val="2"/>
            <w:tcBorders>
              <w:left w:val="single" w:color="000000" w:sz="10" w:space="0"/>
              <w:bottom w:val="single" w:color="000000" w:sz="10" w:space="0"/>
            </w:tcBorders>
          </w:tcPr>
          <w:p w14:paraId="1374D14F">
            <w:pPr>
              <w:pStyle w:val="44"/>
              <w:spacing w:before="109" w:line="221" w:lineRule="auto"/>
              <w:ind w:left="2034"/>
              <w:rPr>
                <w:sz w:val="15"/>
                <w:szCs w:val="15"/>
              </w:rPr>
            </w:pPr>
            <w:r>
              <w:rPr>
                <w:spacing w:val="8"/>
                <w:sz w:val="15"/>
                <w:szCs w:val="15"/>
              </w:rPr>
              <w:t>预留孔中心偏移</w:t>
            </w:r>
          </w:p>
        </w:tc>
        <w:tc>
          <w:tcPr>
            <w:tcW w:w="4039" w:type="dxa"/>
            <w:tcBorders>
              <w:bottom w:val="single" w:color="000000" w:sz="10" w:space="0"/>
              <w:right w:val="single" w:color="000000" w:sz="10" w:space="0"/>
            </w:tcBorders>
          </w:tcPr>
          <w:p w14:paraId="3F3DC956">
            <w:pPr>
              <w:spacing w:before="135" w:line="189" w:lineRule="auto"/>
              <w:ind w:left="1892"/>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10.0</w:t>
            </w:r>
          </w:p>
        </w:tc>
      </w:tr>
    </w:tbl>
    <w:p w14:paraId="1D028405">
      <w:pPr>
        <w:pStyle w:val="30"/>
        <w:rPr>
          <w:rFonts w:hint="eastAsia"/>
          <w:lang w:val="en-US" w:eastAsia="zh-CN"/>
        </w:rPr>
      </w:pPr>
    </w:p>
    <w:p w14:paraId="42893D3E">
      <w:pPr>
        <w:numPr>
          <w:ilvl w:val="0"/>
          <w:numId w:val="56"/>
        </w:numPr>
        <w:bidi w:val="0"/>
        <w:ind w:left="0" w:leftChars="0" w:firstLine="0" w:firstLineChars="0"/>
        <w:rPr>
          <w:rFonts w:hint="default"/>
          <w:lang w:val="en-US" w:eastAsia="zh-CN"/>
        </w:rPr>
      </w:pPr>
      <w:r>
        <w:rPr>
          <w:rFonts w:hint="default"/>
          <w:lang w:val="en-US" w:eastAsia="zh-CN"/>
        </w:rPr>
        <w:t>封堵材料应密实、连续、饱满、牢固，无漏光现象。</w:t>
      </w:r>
    </w:p>
    <w:p w14:paraId="03925AED">
      <w:pPr>
        <w:ind w:firstLine="480" w:firstLineChars="200"/>
        <w:rPr>
          <w:rFonts w:hint="default"/>
          <w:lang w:val="en-US" w:eastAsia="zh-CN"/>
        </w:rPr>
      </w:pPr>
      <w:r>
        <w:rPr>
          <w:rFonts w:hint="default"/>
          <w:lang w:val="en-US" w:eastAsia="zh-CN"/>
        </w:rPr>
        <w:t xml:space="preserve">检查数量：全部检查。 </w:t>
      </w:r>
    </w:p>
    <w:p w14:paraId="4D7090FE">
      <w:pPr>
        <w:ind w:firstLine="480" w:firstLineChars="200"/>
        <w:rPr>
          <w:rFonts w:hint="default"/>
          <w:lang w:val="en-US" w:eastAsia="zh-CN"/>
        </w:rPr>
      </w:pPr>
      <w:r>
        <w:rPr>
          <w:rFonts w:hint="default"/>
          <w:lang w:val="en-US" w:eastAsia="zh-CN"/>
        </w:rPr>
        <w:t>检验方法：观察检查。</w:t>
      </w:r>
    </w:p>
    <w:p w14:paraId="170E3B58">
      <w:pPr>
        <w:numPr>
          <w:ilvl w:val="0"/>
          <w:numId w:val="56"/>
        </w:numPr>
        <w:bidi w:val="0"/>
        <w:ind w:left="0" w:leftChars="0" w:firstLine="0" w:firstLineChars="0"/>
        <w:rPr>
          <w:rFonts w:hint="default"/>
          <w:lang w:val="en-US" w:eastAsia="zh-CN"/>
        </w:rPr>
      </w:pPr>
      <w:r>
        <w:rPr>
          <w:rFonts w:hint="default"/>
          <w:lang w:val="en-US" w:eastAsia="zh-CN"/>
        </w:rPr>
        <w:t>具备蓄水条件的檐沟、天沟应进行蓄水试验，蓄水时间不应少于24h。</w:t>
      </w:r>
    </w:p>
    <w:p w14:paraId="536C1D25">
      <w:pPr>
        <w:numPr>
          <w:ilvl w:val="0"/>
          <w:numId w:val="0"/>
        </w:numPr>
        <w:tabs>
          <w:tab w:val="left" w:pos="0"/>
        </w:tabs>
        <w:bidi w:val="0"/>
        <w:ind w:leftChars="0" w:firstLine="480" w:firstLineChars="200"/>
        <w:rPr>
          <w:rFonts w:hint="default"/>
          <w:lang w:val="en-US" w:eastAsia="zh-CN"/>
        </w:rPr>
      </w:pPr>
      <w:r>
        <w:rPr>
          <w:rFonts w:hint="default"/>
          <w:lang w:val="en-US" w:eastAsia="zh-CN"/>
        </w:rPr>
        <w:t>检查数量：全部检查。</w:t>
      </w:r>
    </w:p>
    <w:p w14:paraId="555B9B78">
      <w:pPr>
        <w:numPr>
          <w:ilvl w:val="0"/>
          <w:numId w:val="0"/>
        </w:numPr>
        <w:tabs>
          <w:tab w:val="left" w:pos="0"/>
        </w:tabs>
        <w:bidi w:val="0"/>
        <w:ind w:leftChars="0" w:firstLine="480" w:firstLineChars="200"/>
        <w:rPr>
          <w:rFonts w:hint="default"/>
          <w:lang w:val="en-US" w:eastAsia="zh-CN"/>
        </w:rPr>
      </w:pPr>
      <w:r>
        <w:rPr>
          <w:rFonts w:hint="default"/>
          <w:lang w:val="en-US" w:eastAsia="zh-CN"/>
        </w:rPr>
        <w:t>检查方法：蓄水试验，蓄水后24h观察检查。</w:t>
      </w:r>
    </w:p>
    <w:p w14:paraId="2DB65628">
      <w:pPr>
        <w:numPr>
          <w:ilvl w:val="0"/>
          <w:numId w:val="56"/>
        </w:numPr>
        <w:bidi w:val="0"/>
        <w:ind w:left="0" w:leftChars="0" w:firstLine="0" w:firstLineChars="0"/>
        <w:rPr>
          <w:rFonts w:hint="default"/>
          <w:lang w:val="en-US" w:eastAsia="zh-CN"/>
        </w:rPr>
      </w:pPr>
      <w:r>
        <w:rPr>
          <w:rFonts w:hint="default"/>
          <w:lang w:val="en-US" w:eastAsia="zh-CN"/>
        </w:rPr>
        <w:t>屋面、外墙的防水卷材或防水涂料的搭接缝应粘结牢固、密封严密；收头应与基层粘结并固定牢固，缝口应封严，不应有翘边现象；屋面、外墙的防水卷材或防水涂料的铺贴方向应正确，纵向搭接应错开，搭接宽度负偏差不应大于10mm。</w:t>
      </w:r>
    </w:p>
    <w:p w14:paraId="0A5FBA84">
      <w:pPr>
        <w:bidi w:val="0"/>
        <w:ind w:firstLine="480" w:firstLineChars="200"/>
        <w:rPr>
          <w:rFonts w:hint="default"/>
          <w:lang w:val="en-US" w:eastAsia="zh-CN"/>
        </w:rPr>
      </w:pPr>
      <w:r>
        <w:rPr>
          <w:rFonts w:hint="default"/>
          <w:lang w:val="en-US" w:eastAsia="zh-CN"/>
        </w:rPr>
        <w:t>检查数量：全部检查。</w:t>
      </w:r>
    </w:p>
    <w:p w14:paraId="59E2D444">
      <w:pPr>
        <w:bidi w:val="0"/>
        <w:ind w:firstLine="480" w:firstLineChars="200"/>
        <w:rPr>
          <w:rFonts w:hint="default"/>
          <w:lang w:val="en-US" w:eastAsia="zh-CN"/>
        </w:rPr>
      </w:pPr>
      <w:r>
        <w:rPr>
          <w:rFonts w:hint="default"/>
          <w:lang w:val="en-US" w:eastAsia="zh-CN"/>
        </w:rPr>
        <w:t>检查方法：观察检查和尺量检查。</w:t>
      </w:r>
    </w:p>
    <w:p w14:paraId="0984E440">
      <w:pPr>
        <w:rPr>
          <w:lang w:eastAsia="zh-CN"/>
        </w:rPr>
      </w:pPr>
      <w:r>
        <w:rPr>
          <w:lang w:eastAsia="zh-CN"/>
        </w:rPr>
        <w:br w:type="page"/>
      </w:r>
    </w:p>
    <w:p w14:paraId="765EEEA4">
      <w:pPr>
        <w:pStyle w:val="2"/>
        <w:bidi w:val="0"/>
        <w:rPr>
          <w:rFonts w:hint="eastAsia"/>
          <w:lang w:val="en-US" w:eastAsia="zh-CN"/>
        </w:rPr>
      </w:pPr>
      <w:bookmarkStart w:id="75" w:name="_Toc186033358"/>
      <w:bookmarkStart w:id="76" w:name="_Toc30825"/>
      <w:bookmarkStart w:id="77" w:name="_Toc18896"/>
      <w:r>
        <w:rPr>
          <w:rFonts w:hint="eastAsia"/>
          <w:lang w:val="en-US" w:eastAsia="zh-CN"/>
        </w:rPr>
        <w:t>9</w:t>
      </w:r>
      <w:r>
        <w:rPr>
          <w:lang w:eastAsia="zh-CN"/>
        </w:rPr>
        <w:t>维护</w:t>
      </w:r>
      <w:bookmarkEnd w:id="75"/>
      <w:r>
        <w:rPr>
          <w:lang w:eastAsia="zh-CN"/>
        </w:rPr>
        <w:t>与</w:t>
      </w:r>
      <w:r>
        <w:rPr>
          <w:rFonts w:hint="eastAsia"/>
          <w:lang w:val="en-US" w:eastAsia="zh-CN"/>
        </w:rPr>
        <w:t>管理</w:t>
      </w:r>
      <w:bookmarkEnd w:id="76"/>
      <w:bookmarkEnd w:id="77"/>
    </w:p>
    <w:p w14:paraId="6AF62DF1">
      <w:pPr>
        <w:numPr>
          <w:ilvl w:val="0"/>
          <w:numId w:val="57"/>
        </w:numPr>
        <w:bidi w:val="0"/>
        <w:ind w:left="0" w:leftChars="0" w:firstLine="0" w:firstLineChars="0"/>
        <w:rPr>
          <w:rFonts w:hint="eastAsia"/>
          <w:strike w:val="0"/>
          <w:dstrike w:val="0"/>
          <w:lang w:val="en-US" w:eastAsia="zh-CN"/>
        </w:rPr>
      </w:pPr>
      <w:r>
        <w:rPr>
          <w:rFonts w:hint="eastAsia"/>
          <w:strike w:val="0"/>
          <w:dstrike w:val="0"/>
          <w:lang w:val="en-US" w:eastAsia="zh-CN"/>
        </w:rPr>
        <w:t>模块化钢结构房屋的设计文件应明确标注设计条件、使用性质及使用环境。</w:t>
      </w:r>
    </w:p>
    <w:p w14:paraId="5DA246E9">
      <w:pPr>
        <w:numPr>
          <w:ilvl w:val="0"/>
          <w:numId w:val="57"/>
        </w:numPr>
        <w:bidi w:val="0"/>
        <w:ind w:left="0" w:leftChars="0" w:firstLine="0" w:firstLineChars="0"/>
        <w:rPr>
          <w:rFonts w:hint="eastAsia"/>
          <w:lang w:val="en-US" w:eastAsia="zh-CN"/>
        </w:rPr>
      </w:pPr>
      <w:r>
        <w:rPr>
          <w:rFonts w:hint="eastAsia"/>
          <w:lang w:val="en-US" w:eastAsia="zh-CN"/>
        </w:rPr>
        <w:t>建设单位在向用户交付时，应按国家有关规定的要求，提供建筑质量保证书和建筑使用说明书。</w:t>
      </w:r>
    </w:p>
    <w:p w14:paraId="536463E6">
      <w:pPr>
        <w:numPr>
          <w:ilvl w:val="0"/>
          <w:numId w:val="57"/>
        </w:numPr>
        <w:bidi w:val="0"/>
        <w:ind w:left="0" w:leftChars="0" w:firstLine="0" w:firstLineChars="0"/>
        <w:rPr>
          <w:rFonts w:hint="eastAsia"/>
          <w:lang w:val="en-US" w:eastAsia="zh-CN"/>
        </w:rPr>
      </w:pPr>
      <w:r>
        <w:rPr>
          <w:rFonts w:hint="eastAsia"/>
          <w:lang w:val="en-US" w:eastAsia="zh-CN"/>
        </w:rPr>
        <w:t>建筑质量保证书除应按现行有关规定执行外，尚应注明相关部品构件的保修期限与保修承诺。</w:t>
      </w:r>
    </w:p>
    <w:p w14:paraId="4E05D9ED">
      <w:pPr>
        <w:numPr>
          <w:ilvl w:val="0"/>
          <w:numId w:val="57"/>
        </w:numPr>
        <w:ind w:firstLine="0" w:firstLineChars="0"/>
        <w:rPr>
          <w:rFonts w:hint="eastAsia"/>
          <w:lang w:val="en-US" w:eastAsia="zh-CN"/>
        </w:rPr>
      </w:pPr>
      <w:r>
        <w:rPr>
          <w:rFonts w:hint="eastAsia"/>
          <w:lang w:val="en-US" w:eastAsia="zh-CN"/>
        </w:rPr>
        <w:t>建筑使用说明书除应按现行有关规定执行外，尚应包括下列内容:</w:t>
      </w:r>
    </w:p>
    <w:p w14:paraId="7C339145">
      <w:pPr>
        <w:numPr>
          <w:ilvl w:val="0"/>
          <w:numId w:val="58"/>
        </w:numPr>
        <w:ind w:firstLineChars="0"/>
        <w:rPr>
          <w:rFonts w:hint="eastAsia"/>
          <w:lang w:val="en-US" w:eastAsia="zh-CN"/>
        </w:rPr>
      </w:pPr>
      <w:r>
        <w:rPr>
          <w:rFonts w:hint="eastAsia"/>
          <w:lang w:val="en-US" w:eastAsia="zh-CN"/>
        </w:rPr>
        <w:t>结构体系类型及相关使用、维护要求；</w:t>
      </w:r>
    </w:p>
    <w:p w14:paraId="06E9E9F6">
      <w:pPr>
        <w:numPr>
          <w:ilvl w:val="0"/>
          <w:numId w:val="58"/>
        </w:numPr>
        <w:ind w:firstLineChars="0"/>
        <w:rPr>
          <w:rFonts w:hint="eastAsia"/>
          <w:lang w:val="en-US" w:eastAsia="zh-CN"/>
        </w:rPr>
      </w:pPr>
      <w:r>
        <w:rPr>
          <w:rFonts w:hint="eastAsia"/>
          <w:lang w:val="en-US" w:eastAsia="zh-CN"/>
        </w:rPr>
        <w:t>装饰装修注意事项，应包含允许业主或使用者自行变更的部分与相关禁止行为；</w:t>
      </w:r>
    </w:p>
    <w:p w14:paraId="3FE72EAF">
      <w:pPr>
        <w:numPr>
          <w:ilvl w:val="0"/>
          <w:numId w:val="58"/>
        </w:numPr>
        <w:ind w:firstLineChars="0"/>
        <w:rPr>
          <w:rFonts w:hint="eastAsia"/>
          <w:lang w:val="en-US" w:eastAsia="zh-CN"/>
        </w:rPr>
      </w:pPr>
      <w:r>
        <w:rPr>
          <w:rFonts w:hint="eastAsia"/>
          <w:lang w:val="en-US" w:eastAsia="zh-CN"/>
        </w:rPr>
        <w:t>生产厂商提供的部品、部件、产品使用维护说明书，宜注明合理的检查与使用维护年限；</w:t>
      </w:r>
    </w:p>
    <w:p w14:paraId="2A04C669">
      <w:pPr>
        <w:numPr>
          <w:ilvl w:val="0"/>
          <w:numId w:val="58"/>
        </w:numPr>
        <w:ind w:firstLineChars="0"/>
        <w:rPr>
          <w:rFonts w:hint="eastAsia"/>
          <w:lang w:val="en-US" w:eastAsia="zh-CN"/>
        </w:rPr>
      </w:pPr>
      <w:r>
        <w:rPr>
          <w:rFonts w:hint="eastAsia"/>
          <w:lang w:val="en-US" w:eastAsia="zh-CN"/>
        </w:rPr>
        <w:t>主体结构设计工作年限、结构体系、承重结构位置、使用荷载和装修荷载等；</w:t>
      </w:r>
    </w:p>
    <w:p w14:paraId="774193AF">
      <w:pPr>
        <w:numPr>
          <w:ilvl w:val="0"/>
          <w:numId w:val="58"/>
        </w:numPr>
        <w:ind w:firstLineChars="0"/>
        <w:rPr>
          <w:rFonts w:hint="eastAsia"/>
          <w:lang w:val="en-US" w:eastAsia="zh-CN"/>
        </w:rPr>
      </w:pPr>
      <w:r>
        <w:rPr>
          <w:rFonts w:hint="eastAsia"/>
          <w:lang w:val="en-US" w:eastAsia="zh-CN"/>
        </w:rPr>
        <w:t>围护系统基层墙体和连接件的使用及维护年限，围护系统外饰面、防水层、保温以及密封材料的使用及维护年限，墙体可进行室内吊挂的部位、方法及吊挂力，以及围护结构日常与定期的检查与维护要求；</w:t>
      </w:r>
    </w:p>
    <w:p w14:paraId="295322E4">
      <w:pPr>
        <w:numPr>
          <w:ilvl w:val="0"/>
          <w:numId w:val="58"/>
        </w:numPr>
        <w:ind w:firstLineChars="0"/>
        <w:rPr>
          <w:rFonts w:hint="eastAsia"/>
          <w:lang w:val="en-US" w:eastAsia="zh-CN"/>
        </w:rPr>
      </w:pPr>
      <w:r>
        <w:rPr>
          <w:rFonts w:hint="eastAsia"/>
          <w:lang w:val="en-US" w:eastAsia="zh-CN"/>
        </w:rPr>
        <w:t>设备与管线的系统组成、特性规格、部品寿命、维护要求、使用说明等；</w:t>
      </w:r>
    </w:p>
    <w:p w14:paraId="73B1700E">
      <w:pPr>
        <w:numPr>
          <w:ilvl w:val="0"/>
          <w:numId w:val="58"/>
        </w:numPr>
        <w:ind w:firstLineChars="0"/>
        <w:rPr>
          <w:rFonts w:hint="eastAsia"/>
          <w:lang w:val="en-US" w:eastAsia="zh-CN"/>
        </w:rPr>
      </w:pPr>
      <w:r>
        <w:rPr>
          <w:rFonts w:hint="eastAsia"/>
          <w:lang w:val="en-US" w:eastAsia="zh-CN"/>
        </w:rPr>
        <w:t>内装做法、部品寿命、使用说明以及内装维护和更新时所采用的部品和材料等。</w:t>
      </w:r>
    </w:p>
    <w:p w14:paraId="440892BF">
      <w:pPr>
        <w:numPr>
          <w:ilvl w:val="0"/>
          <w:numId w:val="57"/>
        </w:numPr>
        <w:bidi w:val="0"/>
        <w:ind w:left="0" w:leftChars="0" w:firstLine="0" w:firstLineChars="0"/>
        <w:rPr>
          <w:rFonts w:hint="eastAsia"/>
          <w:lang w:val="en-US" w:eastAsia="zh-CN"/>
        </w:rPr>
      </w:pPr>
      <w:r>
        <w:rPr>
          <w:rFonts w:hint="eastAsia"/>
          <w:lang w:val="en-US" w:eastAsia="zh-CN"/>
        </w:rPr>
        <w:t>建设单位应向业主移交建筑使用说明书和检查与维护更新计划，检查与维护更新计划应包括下列内容:</w:t>
      </w:r>
    </w:p>
    <w:p w14:paraId="5DE4DF05">
      <w:pPr>
        <w:numPr>
          <w:ilvl w:val="0"/>
          <w:numId w:val="59"/>
        </w:numPr>
        <w:bidi w:val="0"/>
        <w:ind w:left="0" w:leftChars="0" w:firstLine="420" w:firstLineChars="0"/>
        <w:rPr>
          <w:rFonts w:hint="eastAsia"/>
          <w:lang w:val="en-US" w:eastAsia="zh-CN"/>
        </w:rPr>
      </w:pPr>
      <w:r>
        <w:rPr>
          <w:rFonts w:hint="eastAsia"/>
          <w:lang w:val="en-US" w:eastAsia="zh-CN"/>
        </w:rPr>
        <w:t>对主体结构的检查与维护制度，包含主体结构损伤、建筑渗水、钢结构锈蚀、钢结构防火保护损坏等可能影响主体结构安全性和耐久性的事项；</w:t>
      </w:r>
    </w:p>
    <w:p w14:paraId="7ADF1120">
      <w:pPr>
        <w:numPr>
          <w:ilvl w:val="0"/>
          <w:numId w:val="59"/>
        </w:numPr>
        <w:bidi w:val="0"/>
        <w:ind w:left="0" w:leftChars="0" w:firstLine="420" w:firstLineChars="0"/>
        <w:rPr>
          <w:rFonts w:hint="eastAsia"/>
          <w:lang w:val="en-US" w:eastAsia="zh-CN"/>
        </w:rPr>
      </w:pPr>
      <w:r>
        <w:rPr>
          <w:rFonts w:hint="eastAsia"/>
          <w:lang w:val="en-US" w:eastAsia="zh-CN"/>
        </w:rPr>
        <w:t>对围护系统的检查与维护制度，包含围护部品外观、连接件锈蚀、墙屋面裂缝及渗水、保温层破坏、密封材料的完好性等，并形成检查记录；</w:t>
      </w:r>
    </w:p>
    <w:p w14:paraId="6802695F">
      <w:pPr>
        <w:numPr>
          <w:ilvl w:val="0"/>
          <w:numId w:val="59"/>
        </w:numPr>
        <w:bidi w:val="0"/>
        <w:ind w:left="0" w:leftChars="0" w:firstLine="420" w:firstLineChars="0"/>
        <w:rPr>
          <w:rFonts w:hint="eastAsia"/>
          <w:lang w:val="en-US" w:eastAsia="zh-CN"/>
        </w:rPr>
      </w:pPr>
      <w:r>
        <w:rPr>
          <w:rFonts w:hint="eastAsia"/>
          <w:lang w:val="en-US" w:eastAsia="zh-CN"/>
        </w:rPr>
        <w:t>对设备与管线的检查与维护制度，保证设备与管线系统的安全使用；</w:t>
      </w:r>
    </w:p>
    <w:p w14:paraId="032B4723">
      <w:pPr>
        <w:numPr>
          <w:ilvl w:val="0"/>
          <w:numId w:val="59"/>
        </w:numPr>
        <w:bidi w:val="0"/>
        <w:ind w:left="0" w:leftChars="0" w:firstLine="420" w:firstLineChars="0"/>
        <w:rPr>
          <w:rFonts w:hint="eastAsia"/>
          <w:lang w:val="en-US" w:eastAsia="zh-CN"/>
        </w:rPr>
      </w:pPr>
      <w:r>
        <w:rPr>
          <w:rFonts w:hint="eastAsia"/>
          <w:lang w:val="en-US" w:eastAsia="zh-CN"/>
        </w:rPr>
        <w:t>对公共部位及其公共设施的设备与管线的检查与维护制度，包括水泵房、消防泵房、电机房、电梯、电梯机房、中控室、锅炉房、管道设备间、配电间(室)等，并定期巡检和维护；</w:t>
      </w:r>
    </w:p>
    <w:p w14:paraId="0A4363BA">
      <w:pPr>
        <w:numPr>
          <w:ilvl w:val="0"/>
          <w:numId w:val="59"/>
        </w:numPr>
        <w:bidi w:val="0"/>
        <w:ind w:left="0" w:leftChars="0" w:firstLine="420" w:firstLineChars="0"/>
        <w:rPr>
          <w:rFonts w:hint="eastAsia"/>
          <w:lang w:val="en-US" w:eastAsia="zh-CN"/>
        </w:rPr>
      </w:pPr>
      <w:r>
        <w:rPr>
          <w:rFonts w:hint="eastAsia"/>
          <w:lang w:val="en-US" w:eastAsia="zh-CN"/>
        </w:rPr>
        <w:t>对内装的检查与维护制度。</w:t>
      </w:r>
    </w:p>
    <w:p w14:paraId="0F5E4475">
      <w:pPr>
        <w:numPr>
          <w:ilvl w:val="0"/>
          <w:numId w:val="57"/>
        </w:numPr>
        <w:bidi w:val="0"/>
        <w:ind w:left="0" w:leftChars="0" w:firstLine="0" w:firstLineChars="0"/>
        <w:rPr>
          <w:rFonts w:hint="eastAsia"/>
          <w:lang w:val="en-US" w:eastAsia="zh-CN"/>
        </w:rPr>
      </w:pPr>
      <w:r>
        <w:rPr>
          <w:rFonts w:hint="eastAsia"/>
          <w:lang w:val="en-US" w:eastAsia="zh-CN"/>
        </w:rPr>
        <w:t>电梯维护应按国家现行有关电梯安全管理标准、电梯维护保养标准等的要求，由取得相关许可证的维保单位进行，维保人员应具备相应的专业技能并经考核合格持证作业，并保留维护保养记录。</w:t>
      </w:r>
    </w:p>
    <w:p w14:paraId="4F7C328B">
      <w:pPr>
        <w:numPr>
          <w:ilvl w:val="0"/>
          <w:numId w:val="57"/>
        </w:numPr>
        <w:bidi w:val="0"/>
        <w:ind w:left="0" w:leftChars="0" w:firstLine="0" w:firstLineChars="0"/>
        <w:rPr>
          <w:rFonts w:hint="eastAsia"/>
          <w:lang w:val="en-US" w:eastAsia="zh-CN"/>
        </w:rPr>
      </w:pPr>
      <w:r>
        <w:rPr>
          <w:rFonts w:hint="eastAsia"/>
          <w:lang w:val="en-US" w:eastAsia="zh-CN"/>
        </w:rPr>
        <w:t>消防设施的维护，应按现行国家标准《建筑消防设施的维护管理》 GB 25201 的规定执行。消防控制室的管理，尚应满足国家、行业和地方的有关规定。</w:t>
      </w:r>
    </w:p>
    <w:p w14:paraId="353D6F2D">
      <w:pPr>
        <w:numPr>
          <w:ilvl w:val="0"/>
          <w:numId w:val="57"/>
        </w:numPr>
        <w:bidi w:val="0"/>
        <w:ind w:left="0" w:leftChars="0" w:firstLine="0" w:firstLineChars="0"/>
        <w:rPr>
          <w:rFonts w:hint="eastAsia"/>
          <w:lang w:val="en-US" w:eastAsia="zh-CN"/>
        </w:rPr>
      </w:pPr>
      <w:r>
        <w:rPr>
          <w:rFonts w:hint="eastAsia"/>
          <w:lang w:val="en-US" w:eastAsia="zh-CN"/>
        </w:rPr>
        <w:t>防雷装置的维护，应按现行国家标准《建筑物电子信息系统防雷技术规范》 GB 50343 的规定执行，由专人负责管理。</w:t>
      </w:r>
    </w:p>
    <w:p w14:paraId="047F10C8">
      <w:pPr>
        <w:numPr>
          <w:ilvl w:val="0"/>
          <w:numId w:val="57"/>
        </w:numPr>
        <w:bidi w:val="0"/>
        <w:ind w:left="0" w:leftChars="0" w:firstLine="0" w:firstLineChars="0"/>
        <w:rPr>
          <w:rFonts w:hint="eastAsia"/>
          <w:lang w:val="en-US" w:eastAsia="zh-CN"/>
        </w:rPr>
      </w:pPr>
      <w:r>
        <w:rPr>
          <w:rFonts w:hint="eastAsia"/>
          <w:lang w:val="en-US" w:eastAsia="zh-CN"/>
        </w:rPr>
        <w:t>智能化系统的维护，应按现行国家标准《智能建筑设计标准》GB 50314 的规定执行，物业服务企业应建立智能化系统的管理和维护方案。</w:t>
      </w:r>
    </w:p>
    <w:p w14:paraId="2C62CEC8">
      <w:pPr>
        <w:numPr>
          <w:ilvl w:val="0"/>
          <w:numId w:val="57"/>
        </w:numPr>
        <w:bidi w:val="0"/>
        <w:ind w:left="0" w:leftChars="0" w:firstLine="0" w:firstLineChars="0"/>
        <w:rPr>
          <w:rFonts w:hint="eastAsia"/>
          <w:highlight w:val="none"/>
          <w:lang w:val="en-US" w:eastAsia="zh-CN"/>
        </w:rPr>
      </w:pPr>
      <w:r>
        <w:rPr>
          <w:rFonts w:hint="eastAsia"/>
          <w:highlight w:val="none"/>
          <w:lang w:val="en-US" w:eastAsia="zh-CN"/>
        </w:rPr>
        <w:t>模块化钢结构房屋的维护应遵循预防为主、防治结合的原则，并根据《建筑使用说明书》进行日常维护、定期检测和鉴定。</w:t>
      </w:r>
    </w:p>
    <w:p w14:paraId="7823C855">
      <w:pPr>
        <w:numPr>
          <w:ilvl w:val="0"/>
          <w:numId w:val="57"/>
        </w:numPr>
        <w:bidi w:val="0"/>
        <w:ind w:left="0" w:leftChars="0" w:firstLine="0" w:firstLineChars="0"/>
        <w:rPr>
          <w:rFonts w:hint="eastAsia"/>
          <w:highlight w:val="none"/>
          <w:lang w:val="en-US" w:eastAsia="zh-CN"/>
        </w:rPr>
      </w:pPr>
      <w:r>
        <w:rPr>
          <w:rFonts w:hint="eastAsia"/>
          <w:highlight w:val="none"/>
          <w:lang w:val="en-US" w:eastAsia="zh-CN"/>
        </w:rPr>
        <w:t>模块单元的重新装修改造过程中，不应损伤主体结构及外围护系统。</w:t>
      </w:r>
    </w:p>
    <w:p w14:paraId="2AE1CA17">
      <w:pPr>
        <w:numPr>
          <w:ilvl w:val="0"/>
          <w:numId w:val="57"/>
        </w:numPr>
        <w:ind w:firstLine="0" w:firstLineChars="0"/>
        <w:rPr>
          <w:rFonts w:hint="eastAsia"/>
          <w:lang w:val="en-US" w:eastAsia="zh-CN"/>
        </w:rPr>
      </w:pPr>
      <w:r>
        <w:rPr>
          <w:rFonts w:hint="eastAsia"/>
          <w:lang w:val="en-US" w:eastAsia="zh-CN"/>
        </w:rPr>
        <w:t>拆除工程宜根据模块单元主体结构与其他构件的关系制定专项的拆除方案，以便对模块单元及其他构件进行回收和再次利用。</w:t>
      </w:r>
    </w:p>
    <w:p w14:paraId="5BAF0EE3">
      <w:pPr>
        <w:rPr>
          <w:rFonts w:hint="eastAsia"/>
          <w:lang w:val="en-US" w:eastAsia="zh-CN"/>
        </w:rPr>
      </w:pPr>
      <w:r>
        <w:rPr>
          <w:rFonts w:hint="eastAsia"/>
          <w:lang w:val="en-US" w:eastAsia="zh-CN"/>
        </w:rPr>
        <w:br w:type="page"/>
      </w:r>
    </w:p>
    <w:p w14:paraId="556D1F5C">
      <w:pPr>
        <w:pStyle w:val="2"/>
        <w:bidi w:val="0"/>
        <w:rPr>
          <w:rFonts w:hint="eastAsia"/>
          <w:strike w:val="0"/>
          <w:lang w:eastAsia="zh-CN"/>
        </w:rPr>
      </w:pPr>
      <w:bookmarkStart w:id="78" w:name="_Toc9618"/>
      <w:r>
        <w:rPr>
          <w:strike w:val="0"/>
          <w:lang w:eastAsia="zh-CN"/>
        </w:rPr>
        <w:t xml:space="preserve">附录 A </w:t>
      </w:r>
      <w:r>
        <w:rPr>
          <w:rFonts w:hint="eastAsia"/>
          <w:strike w:val="0"/>
          <w:lang w:eastAsia="zh-CN"/>
        </w:rPr>
        <w:t>验收记录表</w:t>
      </w:r>
      <w:bookmarkEnd w:id="78"/>
    </w:p>
    <w:p w14:paraId="662045DA">
      <w:pPr>
        <w:spacing w:before="110" w:line="195" w:lineRule="auto"/>
        <w:jc w:val="center"/>
        <w:rPr>
          <w:rFonts w:hint="eastAsia" w:asciiTheme="minorEastAsia" w:hAnsiTheme="minorEastAsia" w:eastAsiaTheme="minorEastAsia" w:cstheme="minorEastAsia"/>
          <w:spacing w:val="3"/>
          <w:sz w:val="28"/>
          <w:szCs w:val="28"/>
          <w:lang w:eastAsia="zh-CN"/>
        </w:rPr>
      </w:pPr>
      <w:r>
        <w:rPr>
          <w:rFonts w:hint="eastAsia" w:asciiTheme="minorEastAsia" w:hAnsiTheme="minorEastAsia" w:eastAsiaTheme="minorEastAsia" w:cstheme="minorEastAsia"/>
          <w:spacing w:val="3"/>
          <w:sz w:val="28"/>
          <w:szCs w:val="28"/>
          <w:lang w:eastAsia="zh-CN"/>
        </w:rPr>
        <w:t>表 A.0.1 模块单元部件、构件验收</w:t>
      </w:r>
    </w:p>
    <w:p w14:paraId="07F211A1">
      <w:pPr>
        <w:pStyle w:val="30"/>
        <w:rPr>
          <w:lang w:eastAsia="zh-CN"/>
        </w:rPr>
      </w:pPr>
      <w:r>
        <w:rPr>
          <w:rFonts w:hint="eastAsia"/>
          <w:lang w:val="en-US" w:eastAsia="zh-CN"/>
        </w:rPr>
        <w:t>编号：                                                           单位:mm</w:t>
      </w:r>
    </w:p>
    <w:tbl>
      <w:tblPr>
        <w:tblStyle w:val="22"/>
        <w:tblW w:w="94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5"/>
        <w:gridCol w:w="1028"/>
        <w:gridCol w:w="632"/>
        <w:gridCol w:w="1764"/>
        <w:gridCol w:w="2014"/>
        <w:gridCol w:w="362"/>
        <w:gridCol w:w="328"/>
        <w:gridCol w:w="690"/>
        <w:gridCol w:w="690"/>
        <w:gridCol w:w="690"/>
        <w:gridCol w:w="692"/>
        <w:gridCol w:w="9"/>
      </w:tblGrid>
      <w:tr w14:paraId="06352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352" w:hRule="atLeast"/>
        </w:trPr>
        <w:tc>
          <w:tcPr>
            <w:tcW w:w="1533"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14:paraId="41606A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工程名称:</w:t>
            </w:r>
          </w:p>
        </w:tc>
        <w:tc>
          <w:tcPr>
            <w:tcW w:w="7862" w:type="dxa"/>
            <w:gridSpan w:val="9"/>
            <w:tcBorders>
              <w:top w:val="single" w:color="000000" w:sz="12" w:space="0"/>
              <w:left w:val="single" w:color="000000" w:sz="4" w:space="0"/>
              <w:bottom w:val="single" w:color="000000" w:sz="4" w:space="0"/>
              <w:right w:val="single" w:color="000000" w:sz="4" w:space="0"/>
            </w:tcBorders>
            <w:shd w:val="clear" w:color="auto" w:fill="auto"/>
            <w:noWrap/>
            <w:vAlign w:val="center"/>
          </w:tcPr>
          <w:p w14:paraId="7A3AD1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33CB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515" w:hRule="atLeast"/>
        </w:trPr>
        <w:tc>
          <w:tcPr>
            <w:tcW w:w="153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315541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安装地点:</w:t>
            </w:r>
          </w:p>
        </w:tc>
        <w:tc>
          <w:tcPr>
            <w:tcW w:w="2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758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68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层数面积</w:t>
            </w:r>
          </w:p>
        </w:tc>
        <w:tc>
          <w:tcPr>
            <w:tcW w:w="34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1AD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2D26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830" w:hRule="atLeast"/>
        </w:trPr>
        <w:tc>
          <w:tcPr>
            <w:tcW w:w="1533"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7DB784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模块地板</w:t>
            </w:r>
            <w:r>
              <w:rPr>
                <w:rFonts w:hint="eastAsia" w:asciiTheme="minorEastAsia" w:hAnsiTheme="minorEastAsia" w:eastAsiaTheme="minorEastAsia" w:cstheme="minorEastAsia"/>
                <w:i w:val="0"/>
                <w:iCs w:val="0"/>
                <w:color w:val="0A0A0A"/>
                <w:kern w:val="0"/>
                <w:sz w:val="20"/>
                <w:szCs w:val="20"/>
                <w:u w:val="none"/>
                <w:lang w:val="en-US" w:eastAsia="zh-CN" w:bidi="ar"/>
              </w:rPr>
              <w:br w:type="textWrapping"/>
            </w:r>
            <w:r>
              <w:rPr>
                <w:rFonts w:hint="eastAsia" w:asciiTheme="minorEastAsia" w:hAnsiTheme="minorEastAsia" w:eastAsiaTheme="minorEastAsia" w:cstheme="minorEastAsia"/>
                <w:i w:val="0"/>
                <w:iCs w:val="0"/>
                <w:color w:val="0A0A0A"/>
                <w:kern w:val="0"/>
                <w:sz w:val="20"/>
                <w:szCs w:val="20"/>
                <w:u w:val="none"/>
                <w:lang w:val="en-US" w:eastAsia="zh-CN" w:bidi="ar"/>
              </w:rPr>
              <w:t>(楼板)</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018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外形尺寸偏差</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90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≥3600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64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0,-5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DDD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1A0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9D8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3E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29799FC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467AB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97" w:hRule="atLeast"/>
        </w:trPr>
        <w:tc>
          <w:tcPr>
            <w:tcW w:w="1533"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31D21F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4601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BB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&lt;3600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89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0,-4</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9D7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AD7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370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985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2AC9B21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058BB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97" w:hRule="atLeast"/>
        </w:trPr>
        <w:tc>
          <w:tcPr>
            <w:tcW w:w="1533"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347E3A9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2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D52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对角线</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A9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≤4</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2AF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51A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15D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683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52E9332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72FF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97" w:hRule="atLeast"/>
        </w:trPr>
        <w:tc>
          <w:tcPr>
            <w:tcW w:w="1533"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28D6FD1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2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98B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边框梁外腹面平面度</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37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≤4,且≤L/1000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69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FF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10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391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35DB653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4FB5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97" w:hRule="atLeast"/>
        </w:trPr>
        <w:tc>
          <w:tcPr>
            <w:tcW w:w="1533"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0319F1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2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E0D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相邻楼板高低差</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61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2.0±1</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2D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53A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FBC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EC1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249E77B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339FD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586" w:hRule="atLeast"/>
        </w:trPr>
        <w:tc>
          <w:tcPr>
            <w:tcW w:w="1533"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284119F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2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DDC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底部六点支撑状态下,</w:t>
            </w:r>
            <w:r>
              <w:rPr>
                <w:rFonts w:hint="eastAsia" w:asciiTheme="minorEastAsia" w:hAnsiTheme="minorEastAsia" w:eastAsiaTheme="minorEastAsia" w:cstheme="minorEastAsia"/>
                <w:i w:val="0"/>
                <w:iCs w:val="0"/>
                <w:color w:val="0A0A0A"/>
                <w:kern w:val="0"/>
                <w:sz w:val="20"/>
                <w:szCs w:val="20"/>
                <w:u w:val="none"/>
                <w:lang w:val="en-US" w:eastAsia="zh-CN" w:bidi="ar"/>
              </w:rPr>
              <w:br w:type="textWrapping"/>
            </w:r>
            <w:r>
              <w:rPr>
                <w:rFonts w:hint="eastAsia" w:asciiTheme="minorEastAsia" w:hAnsiTheme="minorEastAsia" w:eastAsiaTheme="minorEastAsia" w:cstheme="minorEastAsia"/>
                <w:i w:val="0"/>
                <w:iCs w:val="0"/>
                <w:color w:val="0A0A0A"/>
                <w:kern w:val="0"/>
                <w:sz w:val="20"/>
                <w:szCs w:val="20"/>
                <w:u w:val="none"/>
                <w:lang w:val="en-US" w:eastAsia="zh-CN" w:bidi="ar"/>
              </w:rPr>
              <w:t>楼板平面度</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DC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≤3,且≤L/1000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162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91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2E5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D06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72FFA43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5880F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586" w:hRule="atLeast"/>
        </w:trPr>
        <w:tc>
          <w:tcPr>
            <w:tcW w:w="1533"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0F8F6B8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2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F26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自由状态下,次梁下表面</w:t>
            </w:r>
            <w:r>
              <w:rPr>
                <w:rFonts w:hint="eastAsia" w:asciiTheme="minorEastAsia" w:hAnsiTheme="minorEastAsia" w:eastAsiaTheme="minorEastAsia" w:cstheme="minorEastAsia"/>
                <w:i w:val="0"/>
                <w:iCs w:val="0"/>
                <w:color w:val="0A0A0A"/>
                <w:kern w:val="0"/>
                <w:sz w:val="20"/>
                <w:szCs w:val="20"/>
                <w:u w:val="none"/>
                <w:lang w:val="en-US" w:eastAsia="zh-CN" w:bidi="ar"/>
              </w:rPr>
              <w:br w:type="textWrapping"/>
            </w:r>
            <w:r>
              <w:rPr>
                <w:rFonts w:hint="eastAsia" w:asciiTheme="minorEastAsia" w:hAnsiTheme="minorEastAsia" w:eastAsiaTheme="minorEastAsia" w:cstheme="minorEastAsia"/>
                <w:i w:val="0"/>
                <w:iCs w:val="0"/>
                <w:color w:val="0A0A0A"/>
                <w:kern w:val="0"/>
                <w:sz w:val="20"/>
                <w:szCs w:val="20"/>
                <w:u w:val="none"/>
                <w:lang w:val="en-US" w:eastAsia="zh-CN" w:bidi="ar"/>
              </w:rPr>
              <w:t>平面度</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8F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≤3,且≤L/1000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043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926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3A4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85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2050839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1E1B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454" w:hRule="atLeast"/>
        </w:trPr>
        <w:tc>
          <w:tcPr>
            <w:tcW w:w="1533"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6E7FAC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模块顶板</w:t>
            </w:r>
            <w:r>
              <w:rPr>
                <w:rFonts w:hint="eastAsia" w:asciiTheme="minorEastAsia" w:hAnsiTheme="minorEastAsia" w:eastAsiaTheme="minorEastAsia" w:cstheme="minorEastAsia"/>
                <w:i w:val="0"/>
                <w:iCs w:val="0"/>
                <w:color w:val="0A0A0A"/>
                <w:kern w:val="0"/>
                <w:sz w:val="20"/>
                <w:szCs w:val="20"/>
                <w:u w:val="none"/>
                <w:lang w:val="en-US" w:eastAsia="zh-CN" w:bidi="ar"/>
              </w:rPr>
              <w:br w:type="textWrapping"/>
            </w:r>
            <w:r>
              <w:rPr>
                <w:rFonts w:hint="eastAsia" w:asciiTheme="minorEastAsia" w:hAnsiTheme="minorEastAsia" w:eastAsiaTheme="minorEastAsia" w:cstheme="minorEastAsia"/>
                <w:i w:val="0"/>
                <w:iCs w:val="0"/>
                <w:color w:val="0A0A0A"/>
                <w:kern w:val="0"/>
                <w:sz w:val="20"/>
                <w:szCs w:val="20"/>
                <w:u w:val="none"/>
                <w:lang w:val="en-US" w:eastAsia="zh-CN" w:bidi="ar"/>
              </w:rPr>
              <w:t>(顶棚)</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3C5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外形尺寸偏差</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B9E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≥3600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82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0,-5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D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131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F6B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55C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077AF1D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50A75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97" w:hRule="atLeast"/>
        </w:trPr>
        <w:tc>
          <w:tcPr>
            <w:tcW w:w="1533"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746C6F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9C84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9F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&lt;3600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00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0,-4</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70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17B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0DA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31A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67B75D7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6A2B0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97" w:hRule="atLeast"/>
        </w:trPr>
        <w:tc>
          <w:tcPr>
            <w:tcW w:w="1533"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33E48E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2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C24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对角线</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DB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≤4</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3B1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3DD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AA4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632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7D00C01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599E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97" w:hRule="atLeast"/>
        </w:trPr>
        <w:tc>
          <w:tcPr>
            <w:tcW w:w="1533"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06F2931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2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15C8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边框梁外腹面平面度</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A5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≤4,且≤L/1000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4A8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DE7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36C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230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72B9D04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17E5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97" w:hRule="atLeast"/>
        </w:trPr>
        <w:tc>
          <w:tcPr>
            <w:tcW w:w="1533"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4F1BADC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2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879E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自由状态下,吊顶板平面度</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824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≤3,且≤L/1000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F29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6F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0DA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914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5CE4600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41476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97" w:hRule="atLeast"/>
        </w:trPr>
        <w:tc>
          <w:tcPr>
            <w:tcW w:w="505" w:type="dxa"/>
            <w:vMerge w:val="restart"/>
            <w:tcBorders>
              <w:top w:val="single" w:color="000000" w:sz="4" w:space="0"/>
              <w:left w:val="single" w:color="000000" w:sz="12" w:space="0"/>
              <w:right w:val="single" w:color="000000" w:sz="4" w:space="0"/>
            </w:tcBorders>
            <w:shd w:val="clear" w:color="auto" w:fill="auto"/>
            <w:vAlign w:val="center"/>
          </w:tcPr>
          <w:p w14:paraId="66E16C5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3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177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吊顶板差接缝间隙</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70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≤1.5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80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306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6E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D1A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1B6CA60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459D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97" w:hRule="atLeast"/>
        </w:trPr>
        <w:tc>
          <w:tcPr>
            <w:tcW w:w="505"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1B33DD9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3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1FD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装配式吊顶板接缝直线度</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5F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≤2</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374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D02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0F4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B0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731D5E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6CF6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1150" w:hRule="atLeast"/>
        </w:trPr>
        <w:tc>
          <w:tcPr>
            <w:tcW w:w="505"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4C3DDE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模块墙板</w:t>
            </w:r>
          </w:p>
        </w:tc>
        <w:tc>
          <w:tcPr>
            <w:tcW w:w="3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4E20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长度</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048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0,-2</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73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E6E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CFE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C5B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26C26E8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6AF2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97" w:hRule="atLeast"/>
        </w:trPr>
        <w:tc>
          <w:tcPr>
            <w:tcW w:w="505"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62E561E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3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AF4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宽度</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09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0,-2</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A46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12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B43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0B5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00C0CA5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40938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97" w:hRule="atLeast"/>
        </w:trPr>
        <w:tc>
          <w:tcPr>
            <w:tcW w:w="505"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1901C98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3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D54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厚度</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56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士1</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048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E80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ACC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72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502DCA8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1EAC5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97" w:hRule="atLeast"/>
        </w:trPr>
        <w:tc>
          <w:tcPr>
            <w:tcW w:w="505"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268674F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3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6C9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对角线</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3D1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≤3</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5B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1BB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BA7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90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78EAE6F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5D52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319" w:hRule="atLeast"/>
        </w:trPr>
        <w:tc>
          <w:tcPr>
            <w:tcW w:w="505"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23EDB3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3424"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14:paraId="203833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表面平整度</w:t>
            </w:r>
          </w:p>
        </w:tc>
        <w:tc>
          <w:tcPr>
            <w:tcW w:w="201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788A9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≤1</w:t>
            </w:r>
          </w:p>
        </w:tc>
        <w:tc>
          <w:tcPr>
            <w:tcW w:w="690" w:type="dxa"/>
            <w:gridSpan w:val="2"/>
            <w:tcBorders>
              <w:top w:val="single" w:color="000000" w:sz="4" w:space="0"/>
              <w:left w:val="single" w:color="000000" w:sz="4" w:space="0"/>
              <w:bottom w:val="single" w:color="000000" w:sz="12" w:space="0"/>
              <w:right w:val="single" w:color="000000" w:sz="4" w:space="0"/>
            </w:tcBorders>
            <w:shd w:val="clear" w:color="auto" w:fill="auto"/>
            <w:noWrap/>
            <w:vAlign w:val="center"/>
          </w:tcPr>
          <w:p w14:paraId="1623AD2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10F005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1AA3F08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12" w:space="0"/>
              <w:right w:val="single" w:color="000000" w:sz="4" w:space="0"/>
            </w:tcBorders>
            <w:shd w:val="clear" w:color="auto" w:fill="auto"/>
            <w:noWrap/>
            <w:vAlign w:val="center"/>
          </w:tcPr>
          <w:p w14:paraId="3E94BFF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12" w:space="0"/>
              <w:right w:val="single" w:color="000000" w:sz="12" w:space="0"/>
            </w:tcBorders>
            <w:shd w:val="clear" w:color="auto" w:fill="auto"/>
            <w:noWrap/>
            <w:vAlign w:val="center"/>
          </w:tcPr>
          <w:p w14:paraId="05B3616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3488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800" w:hRule="atLeast"/>
        </w:trPr>
        <w:tc>
          <w:tcPr>
            <w:tcW w:w="505"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07E272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门窗</w:t>
            </w:r>
          </w:p>
        </w:tc>
        <w:tc>
          <w:tcPr>
            <w:tcW w:w="3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F59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门窗框对角线</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F1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≤3</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E01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A14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44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AF9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31BD934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0A026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60" w:hRule="atLeast"/>
        </w:trPr>
        <w:tc>
          <w:tcPr>
            <w:tcW w:w="505"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6B91CAF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3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4B4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门窗框正、侧面垂直度</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24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≤2</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C1B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5C6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063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8F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086A6C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20D87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260" w:hRule="atLeast"/>
        </w:trPr>
        <w:tc>
          <w:tcPr>
            <w:tcW w:w="505"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519B460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3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0F7C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门窗框水平度</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D1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≤3</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15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C0F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94D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5A0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0B33698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41A3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20" w:hRule="atLeast"/>
        </w:trPr>
        <w:tc>
          <w:tcPr>
            <w:tcW w:w="505"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607036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柱 承重</w:t>
            </w:r>
            <w:r>
              <w:rPr>
                <w:rFonts w:hint="eastAsia" w:asciiTheme="minorEastAsia" w:hAnsiTheme="minorEastAsia" w:eastAsiaTheme="minorEastAsia" w:cstheme="minorEastAsia"/>
                <w:i w:val="0"/>
                <w:iCs w:val="0"/>
                <w:color w:val="0A0A0A"/>
                <w:kern w:val="0"/>
                <w:sz w:val="20"/>
                <w:szCs w:val="20"/>
                <w:u w:val="none"/>
                <w:lang w:val="en-US" w:eastAsia="zh-CN" w:bidi="ar"/>
              </w:rPr>
              <w:br w:type="textWrapping"/>
            </w:r>
            <w:r>
              <w:rPr>
                <w:rFonts w:hint="eastAsia" w:asciiTheme="minorEastAsia" w:hAnsiTheme="minorEastAsia" w:eastAsiaTheme="minorEastAsia" w:cstheme="minorEastAsia"/>
                <w:i w:val="0"/>
                <w:iCs w:val="0"/>
                <w:color w:val="0A0A0A"/>
                <w:kern w:val="0"/>
                <w:sz w:val="20"/>
                <w:szCs w:val="20"/>
                <w:u w:val="none"/>
                <w:lang w:val="en-US" w:eastAsia="zh-CN" w:bidi="ar"/>
              </w:rPr>
              <w:t>单元角柱</w:t>
            </w:r>
          </w:p>
        </w:tc>
        <w:tc>
          <w:tcPr>
            <w:tcW w:w="3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68A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长度</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EA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0,-2</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38D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599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18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E5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5E77BE3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7A44E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60" w:hRule="atLeast"/>
        </w:trPr>
        <w:tc>
          <w:tcPr>
            <w:tcW w:w="505"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61BC020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3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DA78A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截面尺寸</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68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士1</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646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CDE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99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B9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046B1E5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08555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60" w:hRule="atLeast"/>
        </w:trPr>
        <w:tc>
          <w:tcPr>
            <w:tcW w:w="505"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74036C4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3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E4D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两端板与角柱侧面的垂直度</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D3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≤1.5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F69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0E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7D0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DF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07577F7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1A57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60" w:hRule="atLeast"/>
        </w:trPr>
        <w:tc>
          <w:tcPr>
            <w:tcW w:w="505"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797B812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3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BA2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两端连接板平行度</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AB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≤1.5°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A9B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9F3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1E9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CC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0997B72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119F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60" w:hRule="atLeast"/>
        </w:trPr>
        <w:tc>
          <w:tcPr>
            <w:tcW w:w="505"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4399343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3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F797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立柱连接孔间距</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30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士1</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08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13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68C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BE5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523E615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2E99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1" w:hRule="atLeast"/>
        </w:trPr>
        <w:tc>
          <w:tcPr>
            <w:tcW w:w="9404" w:type="dxa"/>
            <w:gridSpan w:val="12"/>
            <w:tcBorders>
              <w:top w:val="single" w:color="000000" w:sz="4" w:space="0"/>
              <w:left w:val="single" w:color="000000" w:sz="12" w:space="0"/>
              <w:bottom w:val="single" w:color="000000" w:sz="4" w:space="0"/>
              <w:right w:val="single" w:color="000000" w:sz="4" w:space="0"/>
            </w:tcBorders>
            <w:shd w:val="clear" w:color="auto" w:fill="auto"/>
            <w:vAlign w:val="center"/>
          </w:tcPr>
          <w:p w14:paraId="0E1B768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综合验收结果:</w:t>
            </w:r>
            <w:r>
              <w:rPr>
                <w:rFonts w:hint="eastAsia" w:asciiTheme="minorEastAsia" w:hAnsiTheme="minorEastAsia" w:eastAsiaTheme="minorEastAsia" w:cstheme="minorEastAsia"/>
                <w:i w:val="0"/>
                <w:iCs w:val="0"/>
                <w:color w:val="0A0A0A"/>
                <w:kern w:val="0"/>
                <w:sz w:val="20"/>
                <w:szCs w:val="20"/>
                <w:u w:val="none"/>
                <w:lang w:val="en-US" w:eastAsia="zh-CN" w:bidi="ar"/>
              </w:rPr>
              <w:br w:type="textWrapping"/>
            </w:r>
            <w:r>
              <w:rPr>
                <w:rFonts w:hint="eastAsia" w:asciiTheme="minorEastAsia" w:hAnsiTheme="minorEastAsia" w:eastAsiaTheme="minorEastAsia" w:cstheme="minorEastAsia"/>
                <w:i w:val="0"/>
                <w:iCs w:val="0"/>
                <w:color w:val="0A0A0A"/>
                <w:kern w:val="0"/>
                <w:sz w:val="20"/>
                <w:szCs w:val="20"/>
                <w:u w:val="none"/>
                <w:lang w:val="en-US" w:eastAsia="zh-CN" w:bidi="ar"/>
              </w:rPr>
              <w:t>年月日</w:t>
            </w:r>
          </w:p>
        </w:tc>
      </w:tr>
      <w:tr w14:paraId="67A87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5430A2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安装单位</w:t>
            </w:r>
          </w:p>
        </w:tc>
        <w:tc>
          <w:tcPr>
            <w:tcW w:w="54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B2E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C88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负责人</w:t>
            </w:r>
          </w:p>
        </w:tc>
        <w:tc>
          <w:tcPr>
            <w:tcW w:w="309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978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29DC4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53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08A445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监理单位</w:t>
            </w:r>
          </w:p>
        </w:tc>
        <w:tc>
          <w:tcPr>
            <w:tcW w:w="44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EC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7B7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负责人</w:t>
            </w:r>
          </w:p>
        </w:tc>
        <w:tc>
          <w:tcPr>
            <w:tcW w:w="309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881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6C04E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533"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14:paraId="2C755E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建设单位</w:t>
            </w:r>
          </w:p>
        </w:tc>
        <w:tc>
          <w:tcPr>
            <w:tcW w:w="4410" w:type="dxa"/>
            <w:gridSpan w:val="3"/>
            <w:tcBorders>
              <w:top w:val="single" w:color="000000" w:sz="4" w:space="0"/>
              <w:left w:val="single" w:color="000000" w:sz="4" w:space="0"/>
              <w:bottom w:val="single" w:color="000000" w:sz="12" w:space="0"/>
              <w:right w:val="single" w:color="000000" w:sz="4" w:space="0"/>
            </w:tcBorders>
            <w:shd w:val="clear" w:color="auto" w:fill="auto"/>
            <w:noWrap/>
            <w:vAlign w:val="center"/>
          </w:tcPr>
          <w:p w14:paraId="5382B62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36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DBB36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负责人</w:t>
            </w:r>
          </w:p>
        </w:tc>
        <w:tc>
          <w:tcPr>
            <w:tcW w:w="3099" w:type="dxa"/>
            <w:gridSpan w:val="6"/>
            <w:tcBorders>
              <w:top w:val="single" w:color="000000" w:sz="4" w:space="0"/>
              <w:left w:val="single" w:color="000000" w:sz="4" w:space="0"/>
              <w:bottom w:val="single" w:color="000000" w:sz="12" w:space="0"/>
              <w:right w:val="single" w:color="000000" w:sz="4" w:space="0"/>
            </w:tcBorders>
            <w:shd w:val="clear" w:color="auto" w:fill="auto"/>
            <w:noWrap/>
            <w:vAlign w:val="center"/>
          </w:tcPr>
          <w:p w14:paraId="44EE18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bl>
    <w:p w14:paraId="5C9EA72D">
      <w:pPr>
        <w:pStyle w:val="30"/>
        <w:rPr>
          <w:rFonts w:hint="default"/>
          <w:lang w:val="en-US" w:eastAsia="zh-CN"/>
        </w:rPr>
      </w:pPr>
    </w:p>
    <w:p w14:paraId="33BE6DF0">
      <w:pPr>
        <w:spacing w:before="110" w:line="195" w:lineRule="auto"/>
        <w:ind w:left="3365"/>
        <w:rPr>
          <w:rFonts w:hint="eastAsia" w:asciiTheme="minorEastAsia" w:hAnsiTheme="minorEastAsia" w:eastAsiaTheme="minorEastAsia" w:cstheme="minorEastAsia"/>
          <w:spacing w:val="3"/>
          <w:sz w:val="28"/>
          <w:szCs w:val="28"/>
          <w:lang w:val="en-US" w:eastAsia="zh-CN"/>
        </w:rPr>
      </w:pPr>
      <w:r>
        <w:rPr>
          <w:rFonts w:hint="eastAsia" w:asciiTheme="minorEastAsia" w:hAnsiTheme="minorEastAsia" w:eastAsiaTheme="minorEastAsia" w:cstheme="minorEastAsia"/>
          <w:spacing w:val="3"/>
          <w:sz w:val="28"/>
          <w:szCs w:val="28"/>
          <w:lang w:val="en-US" w:eastAsia="zh-CN"/>
        </w:rPr>
        <w:t>表 A.0.2 模块单元验收</w:t>
      </w:r>
    </w:p>
    <w:p w14:paraId="32016040">
      <w:pPr>
        <w:pStyle w:val="30"/>
        <w:rPr>
          <w:rFonts w:hint="default"/>
          <w:lang w:val="en-US" w:eastAsia="zh-CN"/>
        </w:rPr>
      </w:pPr>
      <w:r>
        <w:rPr>
          <w:rFonts w:hint="default"/>
          <w:lang w:val="en-US" w:eastAsia="zh-CN"/>
        </w:rPr>
        <w:t>编号:</w:t>
      </w:r>
      <w:r>
        <w:rPr>
          <w:rFonts w:hint="eastAsia"/>
          <w:lang w:val="en-US" w:eastAsia="zh-CN"/>
        </w:rPr>
        <w:t xml:space="preserve">                                                          </w:t>
      </w:r>
      <w:r>
        <w:rPr>
          <w:rFonts w:hint="default"/>
          <w:lang w:val="en-US" w:eastAsia="zh-CN"/>
        </w:rPr>
        <w:t>单位:mm</w:t>
      </w:r>
    </w:p>
    <w:tbl>
      <w:tblPr>
        <w:tblStyle w:val="22"/>
        <w:tblW w:w="94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6"/>
        <w:gridCol w:w="1260"/>
        <w:gridCol w:w="3667"/>
        <w:gridCol w:w="481"/>
        <w:gridCol w:w="221"/>
        <w:gridCol w:w="702"/>
        <w:gridCol w:w="702"/>
        <w:gridCol w:w="702"/>
        <w:gridCol w:w="702"/>
      </w:tblGrid>
      <w:tr w14:paraId="39BD6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6" w:type="dxa"/>
            <w:tcBorders>
              <w:top w:val="single" w:color="000000" w:sz="12" w:space="0"/>
              <w:left w:val="single" w:color="000000" w:sz="12" w:space="0"/>
              <w:bottom w:val="single" w:color="000000" w:sz="4" w:space="0"/>
              <w:right w:val="single" w:color="000000" w:sz="4" w:space="0"/>
            </w:tcBorders>
            <w:shd w:val="clear" w:color="auto" w:fill="auto"/>
            <w:vAlign w:val="center"/>
          </w:tcPr>
          <w:p w14:paraId="67C67B1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工程名称:</w:t>
            </w:r>
          </w:p>
        </w:tc>
        <w:tc>
          <w:tcPr>
            <w:tcW w:w="8437" w:type="dxa"/>
            <w:gridSpan w:val="8"/>
            <w:tcBorders>
              <w:top w:val="single" w:color="000000" w:sz="12" w:space="0"/>
              <w:left w:val="single" w:color="000000" w:sz="4" w:space="0"/>
              <w:bottom w:val="single" w:color="000000" w:sz="4" w:space="0"/>
              <w:right w:val="single" w:color="000000" w:sz="4" w:space="0"/>
            </w:tcBorders>
            <w:shd w:val="clear" w:color="auto" w:fill="auto"/>
            <w:noWrap/>
            <w:vAlign w:val="center"/>
          </w:tcPr>
          <w:p w14:paraId="4E77B43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178BA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9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D5EA28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安装地点:</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6B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25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层数面积</w:t>
            </w:r>
          </w:p>
        </w:tc>
        <w:tc>
          <w:tcPr>
            <w:tcW w:w="35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07D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1D1DF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996"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0BDF42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模块单元</w:t>
            </w:r>
            <w:r>
              <w:rPr>
                <w:rFonts w:hint="eastAsia" w:asciiTheme="minorEastAsia" w:hAnsiTheme="minorEastAsia" w:eastAsiaTheme="minorEastAsia" w:cstheme="minorEastAsia"/>
                <w:i w:val="0"/>
                <w:iCs w:val="0"/>
                <w:color w:val="0A0A0A"/>
                <w:kern w:val="0"/>
                <w:sz w:val="20"/>
                <w:szCs w:val="20"/>
                <w:u w:val="none"/>
                <w:lang w:val="en-US" w:eastAsia="zh-CN" w:bidi="ar"/>
              </w:rPr>
              <w:br w:type="textWrapping"/>
            </w:r>
            <w:r>
              <w:rPr>
                <w:rFonts w:hint="eastAsia" w:asciiTheme="minorEastAsia" w:hAnsiTheme="minorEastAsia" w:eastAsiaTheme="minorEastAsia" w:cstheme="minorEastAsia"/>
                <w:i w:val="0"/>
                <w:iCs w:val="0"/>
                <w:color w:val="0A0A0A"/>
                <w:kern w:val="0"/>
                <w:sz w:val="20"/>
                <w:szCs w:val="20"/>
                <w:u w:val="none"/>
                <w:lang w:val="en-US" w:eastAsia="zh-CN" w:bidi="ar"/>
              </w:rPr>
              <w:t>(箱体)</w:t>
            </w:r>
            <w:r>
              <w:rPr>
                <w:rFonts w:hint="eastAsia" w:asciiTheme="minorEastAsia" w:hAnsiTheme="minorEastAsia" w:eastAsiaTheme="minorEastAsia" w:cstheme="minorEastAsia"/>
                <w:i w:val="0"/>
                <w:iCs w:val="0"/>
                <w:color w:val="0A0A0A"/>
                <w:kern w:val="0"/>
                <w:sz w:val="20"/>
                <w:szCs w:val="20"/>
                <w:u w:val="none"/>
                <w:lang w:val="en-US" w:eastAsia="zh-CN" w:bidi="ar"/>
              </w:rPr>
              <w:br w:type="textWrapping"/>
            </w:r>
            <w:r>
              <w:rPr>
                <w:rFonts w:hint="eastAsia" w:asciiTheme="minorEastAsia" w:hAnsiTheme="minorEastAsia" w:eastAsiaTheme="minorEastAsia" w:cstheme="minorEastAsia"/>
                <w:i w:val="0"/>
                <w:iCs w:val="0"/>
                <w:color w:val="0A0A0A"/>
                <w:kern w:val="0"/>
                <w:sz w:val="20"/>
                <w:szCs w:val="20"/>
                <w:u w:val="none"/>
                <w:lang w:val="en-US" w:eastAsia="zh-CN" w:bidi="ar"/>
              </w:rPr>
              <w:t>外形尺寸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CF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≥3600</w:t>
            </w: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6C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0.-5</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3BF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4B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6A2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E52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2195C90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3076A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99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291C037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19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&lt;3600</w:t>
            </w: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2F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0,-4</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1B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B87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B1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3EC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753246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474C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9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6BDFE2F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70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端面对角线</w:t>
            </w: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1B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≤4</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480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1FF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682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02B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4553421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63B7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trPr>
        <w:tc>
          <w:tcPr>
            <w:tcW w:w="99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7C8E73D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07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侧面对角线</w:t>
            </w: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0C6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≤5</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009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6A0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B0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9AA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5FDD23E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077B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256"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6A1AFB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模块单元(箱体) 垂直度</w:t>
            </w: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371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≤3,且≤H/1000</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9B0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B1C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9A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CD0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193C822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0BBC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996"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5FD6F3C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模块单元</w:t>
            </w:r>
            <w:r>
              <w:rPr>
                <w:rFonts w:hint="eastAsia" w:asciiTheme="minorEastAsia" w:hAnsiTheme="minorEastAsia" w:eastAsiaTheme="minorEastAsia" w:cstheme="minorEastAsia"/>
                <w:i w:val="0"/>
                <w:iCs w:val="0"/>
                <w:color w:val="0A0A0A"/>
                <w:kern w:val="0"/>
                <w:sz w:val="20"/>
                <w:szCs w:val="20"/>
                <w:u w:val="none"/>
                <w:lang w:val="en-US" w:eastAsia="zh-CN" w:bidi="ar"/>
              </w:rPr>
              <w:br w:type="textWrapping"/>
            </w:r>
            <w:r>
              <w:rPr>
                <w:rFonts w:hint="eastAsia" w:asciiTheme="minorEastAsia" w:hAnsiTheme="minorEastAsia" w:eastAsiaTheme="minorEastAsia" w:cstheme="minorEastAsia"/>
                <w:i w:val="0"/>
                <w:iCs w:val="0"/>
                <w:color w:val="0A0A0A"/>
                <w:kern w:val="0"/>
                <w:sz w:val="20"/>
                <w:szCs w:val="20"/>
                <w:u w:val="none"/>
                <w:lang w:val="en-US" w:eastAsia="zh-CN" w:bidi="ar"/>
              </w:rPr>
              <w:t>(箱体)</w:t>
            </w:r>
            <w:r>
              <w:rPr>
                <w:rFonts w:hint="eastAsia" w:asciiTheme="minorEastAsia" w:hAnsiTheme="minorEastAsia" w:eastAsiaTheme="minorEastAsia" w:cstheme="minorEastAsia"/>
                <w:i w:val="0"/>
                <w:iCs w:val="0"/>
                <w:color w:val="0A0A0A"/>
                <w:kern w:val="0"/>
                <w:sz w:val="20"/>
                <w:szCs w:val="20"/>
                <w:u w:val="none"/>
                <w:lang w:val="en-US" w:eastAsia="zh-CN" w:bidi="ar"/>
              </w:rPr>
              <w:br w:type="textWrapping"/>
            </w:r>
            <w:r>
              <w:rPr>
                <w:rFonts w:hint="eastAsia" w:asciiTheme="minorEastAsia" w:hAnsiTheme="minorEastAsia" w:eastAsiaTheme="minorEastAsia" w:cstheme="minorEastAsia"/>
                <w:i w:val="0"/>
                <w:iCs w:val="0"/>
                <w:color w:val="0A0A0A"/>
                <w:kern w:val="0"/>
                <w:sz w:val="20"/>
                <w:szCs w:val="20"/>
                <w:u w:val="none"/>
                <w:lang w:val="en-US" w:eastAsia="zh-CN" w:bidi="ar"/>
              </w:rPr>
              <w:t>墙体平面度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6E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表面平整度</w:t>
            </w: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B26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≤2</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100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29D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8F5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620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613F1E5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44B36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9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1F876C0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37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与楼面垂直度</w:t>
            </w: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20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≤3</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46E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1D5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1E7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ED0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77B6903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44C0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9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367522D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58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接缝间隙</w:t>
            </w: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8C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≤1.5</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B87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28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29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8AD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6D4871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61554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378DC92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08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接缝直线度</w:t>
            </w: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34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≤2</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C2C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43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89E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DEE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3D0239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3DDB2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256"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117D4E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模块单元顶板(顶棚)挠度</w:t>
            </w: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60D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≤10,且≤L/1500</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D38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75E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4C4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236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58E20C3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20B4B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256"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0DF062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模块单元地板(楼板)挠度</w:t>
            </w: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A10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≤10,且≤L/1500</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BCD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26E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FE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163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4E28F48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6D34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256"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645D724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梁、柱截面扭曲</w:t>
            </w: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43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士2</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DF2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830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34D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060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1878720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5D24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96"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2A2CE7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门窗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B0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长度</w:t>
            </w: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63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≤1.5</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47A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04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98B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F20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1034380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63135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9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1A0B1A7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5A1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宽度</w:t>
            </w: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52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≤1.5</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3AE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F22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D64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9B3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296377A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34D53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9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4F470F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9E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对角线</w:t>
            </w: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E8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≤3</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53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0F7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378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013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3FB172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79E93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96"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437006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踢脚线、阴角</w:t>
            </w:r>
            <w:r>
              <w:rPr>
                <w:rFonts w:hint="eastAsia" w:asciiTheme="minorEastAsia" w:hAnsiTheme="minorEastAsia" w:eastAsiaTheme="minorEastAsia" w:cstheme="minorEastAsia"/>
                <w:i w:val="0"/>
                <w:iCs w:val="0"/>
                <w:color w:val="0A0A0A"/>
                <w:kern w:val="0"/>
                <w:sz w:val="20"/>
                <w:szCs w:val="20"/>
                <w:u w:val="none"/>
                <w:lang w:val="en-US" w:eastAsia="zh-CN" w:bidi="ar"/>
              </w:rPr>
              <w:br w:type="textWrapping"/>
            </w:r>
            <w:r>
              <w:rPr>
                <w:rFonts w:hint="eastAsia" w:asciiTheme="minorEastAsia" w:hAnsiTheme="minorEastAsia" w:eastAsiaTheme="minorEastAsia" w:cstheme="minorEastAsia"/>
                <w:i w:val="0"/>
                <w:iCs w:val="0"/>
                <w:color w:val="0A0A0A"/>
                <w:kern w:val="0"/>
                <w:sz w:val="20"/>
                <w:szCs w:val="20"/>
                <w:u w:val="none"/>
                <w:lang w:val="en-US" w:eastAsia="zh-CN" w:bidi="ar"/>
              </w:rPr>
              <w:t>线、顶角线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FA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拼缝间隙</w:t>
            </w: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FB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≤1</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850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644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9B5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62D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01598C3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5F059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9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5E95331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A0A0A"/>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21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与墙板和顶</w:t>
            </w:r>
            <w:r>
              <w:rPr>
                <w:rFonts w:hint="eastAsia" w:asciiTheme="minorEastAsia" w:hAnsiTheme="minorEastAsia" w:eastAsiaTheme="minorEastAsia" w:cstheme="minorEastAsia"/>
                <w:i w:val="0"/>
                <w:iCs w:val="0"/>
                <w:color w:val="0A0A0A"/>
                <w:kern w:val="0"/>
                <w:sz w:val="20"/>
                <w:szCs w:val="20"/>
                <w:u w:val="none"/>
                <w:lang w:val="en-US" w:eastAsia="zh-CN" w:bidi="ar"/>
              </w:rPr>
              <w:br w:type="textWrapping"/>
            </w:r>
            <w:r>
              <w:rPr>
                <w:rFonts w:hint="eastAsia" w:asciiTheme="minorEastAsia" w:hAnsiTheme="minorEastAsia" w:eastAsiaTheme="minorEastAsia" w:cstheme="minorEastAsia"/>
                <w:i w:val="0"/>
                <w:iCs w:val="0"/>
                <w:color w:val="0A0A0A"/>
                <w:kern w:val="0"/>
                <w:sz w:val="20"/>
                <w:szCs w:val="20"/>
                <w:u w:val="none"/>
                <w:lang w:val="en-US" w:eastAsia="zh-CN" w:bidi="ar"/>
              </w:rPr>
              <w:t>棚的贴合度</w:t>
            </w:r>
          </w:p>
        </w:tc>
        <w:tc>
          <w:tcPr>
            <w:tcW w:w="3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5B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良好</w:t>
            </w:r>
          </w:p>
        </w:tc>
        <w:tc>
          <w:tcPr>
            <w:tcW w:w="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D44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1FE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8E6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A58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12" w:space="0"/>
            </w:tcBorders>
            <w:shd w:val="clear" w:color="auto" w:fill="auto"/>
            <w:noWrap/>
            <w:vAlign w:val="center"/>
          </w:tcPr>
          <w:p w14:paraId="45493BA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38FE6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33" w:type="dxa"/>
            <w:gridSpan w:val="9"/>
            <w:tcBorders>
              <w:top w:val="single" w:color="000000" w:sz="4" w:space="0"/>
              <w:left w:val="single" w:color="000000" w:sz="12" w:space="0"/>
              <w:bottom w:val="single" w:color="000000" w:sz="4" w:space="0"/>
              <w:right w:val="single" w:color="000000" w:sz="4" w:space="0"/>
            </w:tcBorders>
            <w:shd w:val="clear" w:color="auto" w:fill="auto"/>
            <w:vAlign w:val="center"/>
          </w:tcPr>
          <w:p w14:paraId="519F39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综合验收结果:</w:t>
            </w:r>
            <w:r>
              <w:rPr>
                <w:rFonts w:hint="eastAsia" w:asciiTheme="minorEastAsia" w:hAnsiTheme="minorEastAsia" w:eastAsiaTheme="minorEastAsia" w:cstheme="minorEastAsia"/>
                <w:i w:val="0"/>
                <w:iCs w:val="0"/>
                <w:color w:val="0A0A0A"/>
                <w:kern w:val="0"/>
                <w:sz w:val="20"/>
                <w:szCs w:val="20"/>
                <w:u w:val="none"/>
                <w:lang w:val="en-US" w:eastAsia="zh-CN" w:bidi="ar"/>
              </w:rPr>
              <w:br w:type="textWrapping"/>
            </w:r>
            <w:r>
              <w:rPr>
                <w:rFonts w:hint="eastAsia" w:asciiTheme="minorEastAsia" w:hAnsiTheme="minorEastAsia" w:eastAsiaTheme="minorEastAsia" w:cstheme="minorEastAsia"/>
                <w:i w:val="0"/>
                <w:iCs w:val="0"/>
                <w:color w:val="0A0A0A"/>
                <w:kern w:val="0"/>
                <w:sz w:val="20"/>
                <w:szCs w:val="20"/>
                <w:u w:val="none"/>
                <w:lang w:val="en-US" w:eastAsia="zh-CN" w:bidi="ar"/>
              </w:rPr>
              <w:t xml:space="preserve"> 年    月     日</w:t>
            </w:r>
          </w:p>
        </w:tc>
      </w:tr>
      <w:tr w14:paraId="129B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9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FD6A0F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安装单位</w:t>
            </w:r>
          </w:p>
        </w:tc>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18C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B7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负责人</w:t>
            </w:r>
          </w:p>
        </w:tc>
        <w:tc>
          <w:tcPr>
            <w:tcW w:w="302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92C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1420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9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63E15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建立单位</w:t>
            </w:r>
          </w:p>
        </w:tc>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ADA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60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负责人</w:t>
            </w:r>
          </w:p>
        </w:tc>
        <w:tc>
          <w:tcPr>
            <w:tcW w:w="302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5AC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r w14:paraId="3AD5A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96" w:type="dxa"/>
            <w:tcBorders>
              <w:top w:val="single" w:color="000000" w:sz="4" w:space="0"/>
              <w:left w:val="single" w:color="000000" w:sz="12" w:space="0"/>
              <w:bottom w:val="single" w:color="000000" w:sz="12" w:space="0"/>
              <w:right w:val="single" w:color="000000" w:sz="4" w:space="0"/>
            </w:tcBorders>
            <w:shd w:val="clear" w:color="auto" w:fill="auto"/>
            <w:vAlign w:val="center"/>
          </w:tcPr>
          <w:p w14:paraId="013A29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使用单位</w:t>
            </w:r>
          </w:p>
        </w:tc>
        <w:tc>
          <w:tcPr>
            <w:tcW w:w="4927" w:type="dxa"/>
            <w:gridSpan w:val="2"/>
            <w:tcBorders>
              <w:top w:val="single" w:color="000000" w:sz="4" w:space="0"/>
              <w:left w:val="single" w:color="000000" w:sz="4" w:space="0"/>
              <w:bottom w:val="single" w:color="000000" w:sz="12" w:space="0"/>
              <w:right w:val="single" w:color="000000" w:sz="4" w:space="0"/>
            </w:tcBorders>
            <w:shd w:val="clear" w:color="auto" w:fill="auto"/>
            <w:noWrap/>
            <w:vAlign w:val="center"/>
          </w:tcPr>
          <w:p w14:paraId="78F1A6B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c>
          <w:tcPr>
            <w:tcW w:w="481"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C95B0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A0A0A"/>
                <w:sz w:val="20"/>
                <w:szCs w:val="20"/>
                <w:u w:val="none"/>
              </w:rPr>
            </w:pPr>
            <w:r>
              <w:rPr>
                <w:rFonts w:hint="eastAsia" w:asciiTheme="minorEastAsia" w:hAnsiTheme="minorEastAsia" w:eastAsiaTheme="minorEastAsia" w:cstheme="minorEastAsia"/>
                <w:i w:val="0"/>
                <w:iCs w:val="0"/>
                <w:color w:val="0A0A0A"/>
                <w:kern w:val="0"/>
                <w:sz w:val="20"/>
                <w:szCs w:val="20"/>
                <w:u w:val="none"/>
                <w:lang w:val="en-US" w:eastAsia="zh-CN" w:bidi="ar"/>
              </w:rPr>
              <w:t>负责人</w:t>
            </w:r>
          </w:p>
        </w:tc>
        <w:tc>
          <w:tcPr>
            <w:tcW w:w="3029" w:type="dxa"/>
            <w:gridSpan w:val="5"/>
            <w:tcBorders>
              <w:top w:val="single" w:color="000000" w:sz="4" w:space="0"/>
              <w:left w:val="single" w:color="000000" w:sz="4" w:space="0"/>
              <w:bottom w:val="single" w:color="000000" w:sz="12" w:space="0"/>
              <w:right w:val="single" w:color="000000" w:sz="4" w:space="0"/>
            </w:tcBorders>
            <w:shd w:val="clear" w:color="auto" w:fill="auto"/>
            <w:noWrap/>
            <w:vAlign w:val="center"/>
          </w:tcPr>
          <w:p w14:paraId="1E70B9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2"/>
                <w:szCs w:val="22"/>
                <w:u w:val="none"/>
              </w:rPr>
            </w:pPr>
          </w:p>
        </w:tc>
      </w:tr>
    </w:tbl>
    <w:p w14:paraId="79A84B90">
      <w:pPr>
        <w:keepNext w:val="0"/>
        <w:keepLines w:val="0"/>
        <w:pageBreakBefore w:val="0"/>
        <w:widowControl w:val="0"/>
        <w:kinsoku/>
        <w:wordWrap/>
        <w:overflowPunct/>
        <w:topLinePunct w:val="0"/>
        <w:autoSpaceDE/>
        <w:autoSpaceDN/>
        <w:bidi w:val="0"/>
        <w:adjustRightInd/>
        <w:snapToGrid/>
        <w:spacing w:before="110" w:line="195" w:lineRule="auto"/>
        <w:ind w:left="0"/>
        <w:jc w:val="center"/>
        <w:textAlignment w:val="auto"/>
        <w:rPr>
          <w:rFonts w:hint="default" w:ascii="黑体" w:hAnsi="黑体" w:eastAsia="黑体" w:cs="黑体"/>
          <w:spacing w:val="3"/>
          <w:sz w:val="21"/>
          <w:szCs w:val="21"/>
          <w:lang w:val="en-US" w:eastAsia="zh-CN"/>
        </w:rPr>
      </w:pPr>
    </w:p>
    <w:p w14:paraId="2A2BFEE9">
      <w:pPr>
        <w:keepNext w:val="0"/>
        <w:keepLines w:val="0"/>
        <w:pageBreakBefore w:val="0"/>
        <w:widowControl w:val="0"/>
        <w:kinsoku/>
        <w:wordWrap/>
        <w:overflowPunct/>
        <w:topLinePunct w:val="0"/>
        <w:autoSpaceDE/>
        <w:autoSpaceDN/>
        <w:bidi w:val="0"/>
        <w:adjustRightInd/>
        <w:snapToGrid/>
        <w:spacing w:before="110" w:line="195" w:lineRule="auto"/>
        <w:ind w:left="0"/>
        <w:jc w:val="center"/>
        <w:textAlignment w:val="auto"/>
        <w:rPr>
          <w:rFonts w:hint="eastAsia" w:asciiTheme="minorEastAsia" w:hAnsiTheme="minorEastAsia" w:eastAsiaTheme="minorEastAsia" w:cstheme="minorEastAsia"/>
          <w:spacing w:val="3"/>
          <w:sz w:val="28"/>
          <w:szCs w:val="28"/>
          <w:lang w:val="en-US" w:eastAsia="zh-CN"/>
        </w:rPr>
      </w:pPr>
      <w:r>
        <w:rPr>
          <w:rFonts w:hint="eastAsia" w:asciiTheme="minorEastAsia" w:hAnsiTheme="minorEastAsia" w:eastAsiaTheme="minorEastAsia" w:cstheme="minorEastAsia"/>
          <w:spacing w:val="3"/>
          <w:sz w:val="28"/>
          <w:szCs w:val="28"/>
          <w:lang w:val="en-US" w:eastAsia="zh-CN"/>
        </w:rPr>
        <w:t>表 A.0.3 模块化钢结构房屋叠箱结构安装质量验收</w:t>
      </w:r>
    </w:p>
    <w:p w14:paraId="5A5A5B43">
      <w:pPr>
        <w:pStyle w:val="30"/>
        <w:rPr>
          <w:rFonts w:hint="default"/>
          <w:lang w:val="en-US" w:eastAsia="zh-CN"/>
        </w:rPr>
      </w:pPr>
      <w:r>
        <w:rPr>
          <w:rFonts w:hint="default"/>
          <w:lang w:val="en-US" w:eastAsia="zh-CN"/>
        </w:rPr>
        <w:t>编号</w:t>
      </w:r>
      <w:r>
        <w:rPr>
          <w:rFonts w:hint="eastAsia"/>
          <w:lang w:val="en-US" w:eastAsia="zh-CN"/>
        </w:rPr>
        <w:t xml:space="preserve">:                                                     </w:t>
      </w:r>
      <w:r>
        <w:rPr>
          <w:rFonts w:hint="default"/>
          <w:lang w:val="en-US" w:eastAsia="zh-CN"/>
        </w:rPr>
        <w:t>单位:mm</w:t>
      </w:r>
    </w:p>
    <w:tbl>
      <w:tblPr>
        <w:tblStyle w:val="22"/>
        <w:tblW w:w="94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3"/>
        <w:gridCol w:w="463"/>
        <w:gridCol w:w="684"/>
        <w:gridCol w:w="2398"/>
        <w:gridCol w:w="85"/>
        <w:gridCol w:w="599"/>
        <w:gridCol w:w="684"/>
        <w:gridCol w:w="85"/>
        <w:gridCol w:w="599"/>
        <w:gridCol w:w="668"/>
        <w:gridCol w:w="1815"/>
      </w:tblGrid>
      <w:tr w14:paraId="74D3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514F08">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工程名称:</w:t>
            </w:r>
          </w:p>
        </w:tc>
        <w:tc>
          <w:tcPr>
            <w:tcW w:w="8080" w:type="dxa"/>
            <w:gridSpan w:val="10"/>
            <w:tcBorders>
              <w:top w:val="single" w:color="000000" w:sz="4" w:space="0"/>
              <w:left w:val="single" w:color="000000" w:sz="4" w:space="0"/>
              <w:bottom w:val="single" w:color="000000" w:sz="4" w:space="0"/>
              <w:right w:val="single" w:color="000000" w:sz="4" w:space="0"/>
            </w:tcBorders>
            <w:shd w:val="clear" w:color="auto" w:fill="auto"/>
            <w:vAlign w:val="bottom"/>
          </w:tcPr>
          <w:p w14:paraId="5B91DA9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r>
      <w:tr w14:paraId="009DB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5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33217A">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安装地点:</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E8F3F7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ECA3E9">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层数面积</w:t>
            </w:r>
          </w:p>
        </w:tc>
        <w:tc>
          <w:tcPr>
            <w:tcW w:w="4535"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1ED3CC5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r>
      <w:tr w14:paraId="67250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5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6609573">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地板中心线对定位</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轴线的偏移Δ</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BF5E12">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04145F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6A1E5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88E7BF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BE5AD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97777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r>
      <w:tr w14:paraId="56807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5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AE20925">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整体垂直度Δ</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9AD7EE">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≤30.0,</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且≤H/1000+10</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C2898B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AFF98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49388A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A8915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65682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r>
      <w:tr w14:paraId="00CF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5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9A95AD7">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单层箱体垂直度Δ</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167482">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9B8C5F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CDB1B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2AA6D8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26C04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4B477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r>
      <w:tr w14:paraId="53C7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5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07B98A5">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箱体顶部标高Δ</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800F48">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8CCDA3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37E37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739ABE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26181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F138C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r>
      <w:tr w14:paraId="6800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0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53B6884">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房屋的平面弯曲</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CE8048">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≤20.0, 且≤L/1200</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BB4CCA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F92FF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BE49C2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8D205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A37A5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r>
      <w:tr w14:paraId="7CAB7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9433"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3AF179C5">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综合验收结果:</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年 月 日</w:t>
            </w:r>
          </w:p>
        </w:tc>
      </w:tr>
      <w:tr w14:paraId="4686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5F5C6C5">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安装单位</w:t>
            </w: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317E05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EFD4E1E">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负责人</w:t>
            </w:r>
          </w:p>
        </w:tc>
        <w:tc>
          <w:tcPr>
            <w:tcW w:w="3082"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528D8D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r>
      <w:tr w14:paraId="7400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FC9A2FA">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监理单位</w:t>
            </w: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085633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814FAC3">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负责人</w:t>
            </w:r>
          </w:p>
        </w:tc>
        <w:tc>
          <w:tcPr>
            <w:tcW w:w="3082"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A3C7F2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r>
      <w:tr w14:paraId="69D44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82B9F51">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建设单位</w:t>
            </w: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DF20D5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c>
          <w:tcPr>
            <w:tcW w:w="136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AE2AADA">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负责人</w:t>
            </w:r>
          </w:p>
        </w:tc>
        <w:tc>
          <w:tcPr>
            <w:tcW w:w="3082"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C7D24C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22"/>
                <w:szCs w:val="22"/>
                <w:u w:val="none"/>
              </w:rPr>
            </w:pPr>
          </w:p>
        </w:tc>
      </w:tr>
    </w:tbl>
    <w:p w14:paraId="43314CDD">
      <w:pPr>
        <w:spacing w:line="229" w:lineRule="exact"/>
        <w:rPr>
          <w:sz w:val="19"/>
          <w:szCs w:val="19"/>
        </w:rPr>
        <w:sectPr>
          <w:footerReference r:id="rId10" w:type="default"/>
          <w:pgSz w:w="11907" w:h="16839"/>
          <w:pgMar w:top="1431" w:right="1346" w:bottom="1177" w:left="1294" w:header="0" w:footer="850" w:gutter="0"/>
          <w:pgNumType w:fmt="decimal"/>
          <w:cols w:space="720" w:num="1"/>
          <w:docGrid w:linePitch="286" w:charSpace="0"/>
        </w:sectPr>
      </w:pPr>
    </w:p>
    <w:p w14:paraId="450AA084">
      <w:pPr>
        <w:pStyle w:val="2"/>
        <w:bidi w:val="0"/>
        <w:rPr>
          <w:rFonts w:hint="eastAsia"/>
        </w:rPr>
      </w:pPr>
      <w:bookmarkStart w:id="79" w:name="_Toc26067"/>
      <w:bookmarkStart w:id="80" w:name="_Toc363073614"/>
      <w:bookmarkStart w:id="81" w:name="_Toc24218"/>
      <w:bookmarkStart w:id="82" w:name="_Toc25686"/>
      <w:bookmarkStart w:id="83" w:name="_Toc368241631"/>
      <w:bookmarkStart w:id="84" w:name="_Toc355969402"/>
      <w:bookmarkStart w:id="85" w:name="_Toc358100692"/>
      <w:bookmarkStart w:id="86" w:name="_Toc365482212"/>
      <w:r>
        <w:rPr>
          <w:rFonts w:hint="eastAsia"/>
        </w:rPr>
        <w:t>本</w:t>
      </w:r>
      <w:r>
        <w:rPr>
          <w:rFonts w:hint="eastAsia"/>
          <w:lang w:eastAsia="zh-CN"/>
        </w:rPr>
        <w:t>标准</w:t>
      </w:r>
      <w:r>
        <w:rPr>
          <w:rFonts w:hint="eastAsia"/>
        </w:rPr>
        <w:t>用词说明</w:t>
      </w:r>
      <w:bookmarkEnd w:id="79"/>
      <w:bookmarkEnd w:id="80"/>
      <w:bookmarkEnd w:id="81"/>
      <w:bookmarkEnd w:id="82"/>
      <w:bookmarkEnd w:id="83"/>
      <w:bookmarkEnd w:id="84"/>
      <w:bookmarkEnd w:id="85"/>
      <w:bookmarkEnd w:id="86"/>
    </w:p>
    <w:p w14:paraId="590847A6">
      <w:pPr>
        <w:spacing w:line="400" w:lineRule="exact"/>
        <w:ind w:left="540" w:hanging="540" w:hangingChars="300"/>
        <w:jc w:val="center"/>
        <w:rPr>
          <w:rFonts w:hint="eastAsia" w:ascii="仿宋_GB2312" w:hAnsi="宋体" w:eastAsia="仿宋_GB2312"/>
          <w:sz w:val="18"/>
          <w:szCs w:val="18"/>
        </w:rPr>
      </w:pPr>
    </w:p>
    <w:p w14:paraId="0C0738AD">
      <w:pPr>
        <w:numPr>
          <w:ilvl w:val="0"/>
          <w:numId w:val="60"/>
        </w:numPr>
        <w:tabs>
          <w:tab w:val="left" w:pos="0"/>
          <w:tab w:val="left" w:pos="314"/>
          <w:tab w:val="left" w:pos="900"/>
          <w:tab w:val="clear" w:pos="845"/>
        </w:tabs>
        <w:spacing w:line="400" w:lineRule="exact"/>
        <w:ind w:left="0" w:leftChars="0" w:firstLine="0" w:firstLineChars="0"/>
        <w:rPr>
          <w:rFonts w:ascii="宋体" w:hAnsi="宋体"/>
          <w:sz w:val="24"/>
          <w:szCs w:val="24"/>
        </w:rPr>
      </w:pPr>
      <w:r>
        <w:rPr>
          <w:rFonts w:ascii="宋体" w:hAnsi="宋体"/>
          <w:sz w:val="24"/>
          <w:szCs w:val="24"/>
        </w:rPr>
        <w:t>为了便于执行本</w:t>
      </w:r>
      <w:r>
        <w:rPr>
          <w:rFonts w:hint="eastAsia" w:ascii="宋体" w:hAnsi="宋体"/>
          <w:sz w:val="24"/>
          <w:szCs w:val="24"/>
          <w:lang w:eastAsia="zh-CN"/>
        </w:rPr>
        <w:t>标准</w:t>
      </w:r>
      <w:r>
        <w:rPr>
          <w:rFonts w:ascii="宋体" w:hAnsi="宋体"/>
          <w:sz w:val="24"/>
          <w:szCs w:val="24"/>
        </w:rPr>
        <w:t>时区别对待，对要求严格程度不同的用词说明如下：</w:t>
      </w:r>
    </w:p>
    <w:p w14:paraId="08FA4570">
      <w:pPr>
        <w:numPr>
          <w:ilvl w:val="1"/>
          <w:numId w:val="60"/>
        </w:numPr>
        <w:tabs>
          <w:tab w:val="left" w:pos="785"/>
          <w:tab w:val="clear" w:pos="0"/>
        </w:tabs>
        <w:spacing w:line="400" w:lineRule="exact"/>
        <w:ind w:left="0" w:leftChars="0" w:firstLine="480" w:firstLineChars="200"/>
        <w:rPr>
          <w:rFonts w:ascii="宋体" w:hAnsi="宋体"/>
          <w:sz w:val="24"/>
          <w:szCs w:val="24"/>
        </w:rPr>
      </w:pPr>
      <w:r>
        <w:rPr>
          <w:rFonts w:ascii="宋体" w:hAnsi="宋体"/>
          <w:sz w:val="24"/>
          <w:szCs w:val="24"/>
        </w:rPr>
        <w:t>表示很严格，非这样做不可的：</w:t>
      </w:r>
    </w:p>
    <w:p w14:paraId="7E97FDB6">
      <w:pPr>
        <w:tabs>
          <w:tab w:val="left" w:pos="942"/>
          <w:tab w:val="left" w:pos="1099"/>
          <w:tab w:val="left" w:pos="2160"/>
        </w:tabs>
        <w:spacing w:line="400" w:lineRule="exact"/>
        <w:ind w:left="0" w:leftChars="0" w:firstLine="981" w:firstLineChars="409"/>
        <w:rPr>
          <w:rFonts w:ascii="宋体" w:hAnsi="宋体"/>
          <w:sz w:val="24"/>
          <w:szCs w:val="24"/>
        </w:rPr>
      </w:pPr>
      <w:r>
        <w:rPr>
          <w:rFonts w:ascii="宋体" w:hAnsi="宋体"/>
          <w:sz w:val="24"/>
          <w:szCs w:val="24"/>
        </w:rPr>
        <w:t>正面词采用“必须”；反面词采用“严禁”；</w:t>
      </w:r>
    </w:p>
    <w:p w14:paraId="061FBB13">
      <w:pPr>
        <w:numPr>
          <w:ilvl w:val="1"/>
          <w:numId w:val="60"/>
        </w:numPr>
        <w:tabs>
          <w:tab w:val="left" w:pos="628"/>
          <w:tab w:val="clear" w:pos="0"/>
        </w:tabs>
        <w:spacing w:line="400" w:lineRule="exact"/>
        <w:ind w:left="0" w:leftChars="0" w:firstLine="480" w:firstLineChars="200"/>
        <w:rPr>
          <w:rFonts w:ascii="宋体" w:hAnsi="宋体"/>
          <w:sz w:val="24"/>
          <w:szCs w:val="24"/>
        </w:rPr>
      </w:pPr>
      <w:r>
        <w:rPr>
          <w:rFonts w:ascii="宋体" w:hAnsi="宋体"/>
          <w:sz w:val="24"/>
          <w:szCs w:val="24"/>
        </w:rPr>
        <w:t>表示严格，在正常情况下均应这样做的：</w:t>
      </w:r>
    </w:p>
    <w:p w14:paraId="11909C9E">
      <w:pPr>
        <w:tabs>
          <w:tab w:val="left" w:pos="942"/>
          <w:tab w:val="left" w:pos="1099"/>
          <w:tab w:val="left" w:pos="2160"/>
        </w:tabs>
        <w:spacing w:line="400" w:lineRule="exact"/>
        <w:ind w:left="0" w:leftChars="0" w:firstLine="981" w:firstLineChars="409"/>
        <w:rPr>
          <w:rFonts w:ascii="宋体" w:hAnsi="宋体"/>
          <w:sz w:val="24"/>
          <w:szCs w:val="24"/>
        </w:rPr>
      </w:pPr>
      <w:r>
        <w:rPr>
          <w:rFonts w:ascii="宋体" w:hAnsi="宋体"/>
          <w:sz w:val="24"/>
          <w:szCs w:val="24"/>
        </w:rPr>
        <w:t>正面词采用“应”；反面词采用“不应”或“不得”；</w:t>
      </w:r>
    </w:p>
    <w:p w14:paraId="17B7BC8C">
      <w:pPr>
        <w:numPr>
          <w:ilvl w:val="1"/>
          <w:numId w:val="60"/>
        </w:numPr>
        <w:tabs>
          <w:tab w:val="left" w:pos="628"/>
          <w:tab w:val="clear" w:pos="0"/>
        </w:tabs>
        <w:spacing w:line="400" w:lineRule="exact"/>
        <w:ind w:left="0" w:leftChars="0" w:firstLine="480" w:firstLineChars="200"/>
        <w:rPr>
          <w:rFonts w:ascii="宋体" w:hAnsi="宋体"/>
          <w:sz w:val="24"/>
          <w:szCs w:val="24"/>
        </w:rPr>
      </w:pPr>
      <w:r>
        <w:rPr>
          <w:rFonts w:ascii="宋体" w:hAnsi="宋体"/>
          <w:sz w:val="24"/>
          <w:szCs w:val="24"/>
        </w:rPr>
        <w:t>表示</w:t>
      </w:r>
      <w:r>
        <w:rPr>
          <w:rFonts w:ascii="宋体" w:hAnsi="宋体" w:eastAsia="宋体" w:cs="Times New Roman"/>
          <w:sz w:val="24"/>
          <w:szCs w:val="24"/>
        </w:rPr>
        <w:t>允许</w:t>
      </w:r>
      <w:r>
        <w:rPr>
          <w:rFonts w:ascii="宋体" w:hAnsi="宋体"/>
          <w:sz w:val="24"/>
          <w:szCs w:val="24"/>
        </w:rPr>
        <w:t>稍有选择，在条件许可时首先这样做的：</w:t>
      </w:r>
    </w:p>
    <w:p w14:paraId="32981232">
      <w:pPr>
        <w:tabs>
          <w:tab w:val="left" w:pos="942"/>
          <w:tab w:val="left" w:pos="1099"/>
          <w:tab w:val="left" w:pos="2160"/>
        </w:tabs>
        <w:spacing w:line="400" w:lineRule="exact"/>
        <w:ind w:left="0" w:leftChars="0" w:firstLine="981" w:firstLineChars="409"/>
        <w:rPr>
          <w:rFonts w:ascii="宋体" w:hAnsi="宋体"/>
          <w:sz w:val="24"/>
          <w:szCs w:val="24"/>
        </w:rPr>
      </w:pPr>
      <w:r>
        <w:rPr>
          <w:rFonts w:ascii="宋体" w:hAnsi="宋体"/>
          <w:sz w:val="24"/>
          <w:szCs w:val="24"/>
        </w:rPr>
        <w:t>正面词采用“宜”；反面词采用“不宜”；</w:t>
      </w:r>
    </w:p>
    <w:p w14:paraId="35D75B15">
      <w:pPr>
        <w:numPr>
          <w:ilvl w:val="1"/>
          <w:numId w:val="60"/>
        </w:numPr>
        <w:tabs>
          <w:tab w:val="left" w:pos="628"/>
          <w:tab w:val="clear" w:pos="0"/>
        </w:tabs>
        <w:spacing w:line="400" w:lineRule="exact"/>
        <w:ind w:left="0" w:leftChars="0" w:firstLine="480" w:firstLineChars="200"/>
        <w:rPr>
          <w:rFonts w:ascii="宋体" w:hAnsi="宋体"/>
          <w:sz w:val="24"/>
          <w:szCs w:val="24"/>
        </w:rPr>
      </w:pPr>
      <w:r>
        <w:rPr>
          <w:rFonts w:ascii="宋体" w:hAnsi="宋体"/>
          <w:sz w:val="24"/>
          <w:szCs w:val="24"/>
        </w:rPr>
        <w:t>表示有选择，在一定条件下可以这样做的，采用“可”。</w:t>
      </w:r>
    </w:p>
    <w:p w14:paraId="53A398C5">
      <w:pPr>
        <w:numPr>
          <w:ilvl w:val="0"/>
          <w:numId w:val="60"/>
        </w:numPr>
        <w:tabs>
          <w:tab w:val="left" w:pos="0"/>
          <w:tab w:val="left" w:pos="314"/>
          <w:tab w:val="left" w:pos="900"/>
          <w:tab w:val="clear" w:pos="845"/>
        </w:tabs>
        <w:spacing w:line="400" w:lineRule="exact"/>
        <w:ind w:left="0" w:leftChars="0" w:firstLine="0" w:firstLineChars="0"/>
        <w:rPr>
          <w:rFonts w:ascii="宋体" w:hAnsi="宋体"/>
          <w:sz w:val="24"/>
          <w:szCs w:val="24"/>
        </w:rPr>
      </w:pPr>
      <w:r>
        <w:rPr>
          <w:rFonts w:ascii="宋体" w:hAnsi="宋体"/>
          <w:sz w:val="24"/>
          <w:szCs w:val="24"/>
        </w:rPr>
        <w:t>条文中</w:t>
      </w:r>
      <w:r>
        <w:rPr>
          <w:rFonts w:ascii="宋体" w:hAnsi="宋体" w:eastAsia="宋体" w:cs="Times New Roman"/>
          <w:sz w:val="24"/>
          <w:szCs w:val="24"/>
        </w:rPr>
        <w:t>指明</w:t>
      </w:r>
      <w:r>
        <w:rPr>
          <w:rFonts w:ascii="宋体" w:hAnsi="宋体"/>
          <w:sz w:val="24"/>
          <w:szCs w:val="24"/>
        </w:rPr>
        <w:t>应按其他有关标准、规范执行的写法为：“应符合……的规定”或“应按……执行”。</w:t>
      </w:r>
    </w:p>
    <w:p w14:paraId="065ED311">
      <w:pPr>
        <w:rPr>
          <w:rFonts w:ascii="宋体" w:hAnsi="宋体"/>
          <w:sz w:val="24"/>
          <w:szCs w:val="24"/>
        </w:rPr>
      </w:pPr>
      <w:r>
        <w:rPr>
          <w:rFonts w:ascii="宋体" w:hAnsi="宋体"/>
          <w:sz w:val="24"/>
          <w:szCs w:val="24"/>
        </w:rPr>
        <w:br w:type="page"/>
      </w:r>
    </w:p>
    <w:p w14:paraId="2EDE19B9">
      <w:pPr>
        <w:pStyle w:val="2"/>
        <w:bidi w:val="0"/>
        <w:rPr>
          <w:lang w:eastAsia="zh-CN"/>
        </w:rPr>
      </w:pPr>
      <w:bookmarkStart w:id="87" w:name="_Toc5003"/>
      <w:bookmarkStart w:id="88" w:name="_Toc186033371"/>
      <w:bookmarkStart w:id="89" w:name="_Toc24600"/>
      <w:r>
        <w:rPr>
          <w:lang w:eastAsia="zh-CN"/>
        </w:rPr>
        <w:t>引用标准名录</w:t>
      </w:r>
      <w:bookmarkEnd w:id="87"/>
      <w:bookmarkEnd w:id="88"/>
      <w:bookmarkEnd w:id="89"/>
    </w:p>
    <w:p w14:paraId="27D2C9B0">
      <w:pPr>
        <w:numPr>
          <w:ilvl w:val="0"/>
          <w:numId w:val="61"/>
        </w:numPr>
        <w:bidi w:val="0"/>
        <w:ind w:left="0" w:leftChars="0" w:firstLine="0" w:firstLineChars="0"/>
        <w:rPr>
          <w:lang w:eastAsia="zh-CN"/>
        </w:rPr>
      </w:pPr>
      <w:r>
        <w:rPr>
          <w:lang w:eastAsia="zh-CN"/>
        </w:rPr>
        <w:t>《工程结构通用规范》 GB 55001</w:t>
      </w:r>
    </w:p>
    <w:p w14:paraId="47F46DDD">
      <w:pPr>
        <w:numPr>
          <w:ilvl w:val="0"/>
          <w:numId w:val="61"/>
        </w:numPr>
        <w:bidi w:val="0"/>
        <w:ind w:left="0" w:leftChars="0" w:firstLine="0" w:firstLineChars="0"/>
        <w:rPr>
          <w:lang w:eastAsia="zh-CN"/>
        </w:rPr>
      </w:pPr>
      <w:r>
        <w:rPr>
          <w:lang w:eastAsia="zh-CN"/>
        </w:rPr>
        <w:t xml:space="preserve">《建筑与市政工程抗震通用规范》 GB55002 </w:t>
      </w:r>
    </w:p>
    <w:p w14:paraId="4530E5E7">
      <w:pPr>
        <w:numPr>
          <w:ilvl w:val="0"/>
          <w:numId w:val="61"/>
        </w:numPr>
        <w:bidi w:val="0"/>
        <w:ind w:left="0" w:leftChars="0" w:firstLine="0" w:firstLineChars="0"/>
        <w:rPr>
          <w:lang w:eastAsia="zh-CN"/>
        </w:rPr>
      </w:pPr>
      <w:r>
        <w:rPr>
          <w:lang w:eastAsia="zh-CN"/>
        </w:rPr>
        <w:t xml:space="preserve">《建筑与市政地基基础通用规范》 GB55003 </w:t>
      </w:r>
    </w:p>
    <w:p w14:paraId="786A3377">
      <w:pPr>
        <w:numPr>
          <w:ilvl w:val="0"/>
          <w:numId w:val="61"/>
        </w:numPr>
        <w:bidi w:val="0"/>
        <w:ind w:left="0" w:leftChars="0" w:firstLine="0" w:firstLineChars="0"/>
        <w:rPr>
          <w:lang w:eastAsia="zh-CN"/>
        </w:rPr>
      </w:pPr>
      <w:r>
        <w:rPr>
          <w:lang w:eastAsia="zh-CN"/>
        </w:rPr>
        <w:t>《钢结构通用规范》 GB 55006</w:t>
      </w:r>
    </w:p>
    <w:p w14:paraId="2628AFD1">
      <w:pPr>
        <w:numPr>
          <w:ilvl w:val="0"/>
          <w:numId w:val="61"/>
        </w:numPr>
        <w:bidi w:val="0"/>
        <w:ind w:left="0" w:leftChars="0" w:firstLine="0" w:firstLineChars="0"/>
        <w:rPr>
          <w:lang w:eastAsia="zh-CN"/>
        </w:rPr>
      </w:pPr>
      <w:r>
        <w:rPr>
          <w:lang w:eastAsia="zh-CN"/>
        </w:rPr>
        <w:t>《混凝土结构通用规范》 GB 55008</w:t>
      </w:r>
    </w:p>
    <w:p w14:paraId="6C84A3B5">
      <w:pPr>
        <w:numPr>
          <w:ilvl w:val="0"/>
          <w:numId w:val="61"/>
        </w:numPr>
        <w:bidi w:val="0"/>
        <w:ind w:left="0" w:leftChars="0" w:firstLine="0" w:firstLineChars="0"/>
        <w:rPr>
          <w:lang w:eastAsia="zh-CN"/>
        </w:rPr>
      </w:pPr>
      <w:r>
        <w:rPr>
          <w:lang w:eastAsia="zh-CN"/>
        </w:rPr>
        <w:t xml:space="preserve">《建筑节能与可再生能源利用通用规范》 GB55015 </w:t>
      </w:r>
    </w:p>
    <w:p w14:paraId="0303625A">
      <w:pPr>
        <w:numPr>
          <w:ilvl w:val="0"/>
          <w:numId w:val="61"/>
        </w:numPr>
        <w:bidi w:val="0"/>
        <w:ind w:left="0" w:leftChars="0" w:firstLine="0" w:firstLineChars="0"/>
        <w:rPr>
          <w:lang w:eastAsia="zh-CN"/>
        </w:rPr>
      </w:pPr>
      <w:r>
        <w:rPr>
          <w:lang w:eastAsia="zh-CN"/>
        </w:rPr>
        <w:t>《建筑环境通用规范》 GB 55016</w:t>
      </w:r>
    </w:p>
    <w:p w14:paraId="715CA564">
      <w:pPr>
        <w:numPr>
          <w:ilvl w:val="0"/>
          <w:numId w:val="61"/>
        </w:numPr>
        <w:bidi w:val="0"/>
        <w:ind w:left="0" w:leftChars="0" w:firstLine="0" w:firstLineChars="0"/>
        <w:rPr>
          <w:lang w:eastAsia="zh-CN"/>
        </w:rPr>
      </w:pPr>
      <w:r>
        <w:rPr>
          <w:lang w:eastAsia="zh-CN"/>
        </w:rPr>
        <w:t xml:space="preserve">《建筑给水排水与节水通用规范》 GB55020 </w:t>
      </w:r>
    </w:p>
    <w:p w14:paraId="1D9FF2F6">
      <w:pPr>
        <w:numPr>
          <w:ilvl w:val="0"/>
          <w:numId w:val="61"/>
        </w:numPr>
        <w:bidi w:val="0"/>
        <w:ind w:left="0" w:leftChars="0" w:firstLine="0" w:firstLineChars="0"/>
        <w:rPr>
          <w:lang w:eastAsia="zh-CN"/>
        </w:rPr>
      </w:pPr>
      <w:r>
        <w:rPr>
          <w:lang w:eastAsia="zh-CN"/>
        </w:rPr>
        <w:t xml:space="preserve">《既有建筑鉴定与加固通用规范》 GB55021 </w:t>
      </w:r>
    </w:p>
    <w:p w14:paraId="5AE2469C">
      <w:pPr>
        <w:numPr>
          <w:ilvl w:val="0"/>
          <w:numId w:val="61"/>
        </w:numPr>
        <w:bidi w:val="0"/>
        <w:ind w:left="0" w:leftChars="0" w:firstLine="0" w:firstLineChars="0"/>
        <w:rPr>
          <w:lang w:eastAsia="zh-CN"/>
        </w:rPr>
      </w:pPr>
      <w:r>
        <w:rPr>
          <w:lang w:eastAsia="zh-CN"/>
        </w:rPr>
        <w:t>《既有建筑维护与改造通用规范》 GB55022</w:t>
      </w:r>
    </w:p>
    <w:p w14:paraId="7AFD55D1">
      <w:pPr>
        <w:numPr>
          <w:ilvl w:val="0"/>
          <w:numId w:val="61"/>
        </w:numPr>
        <w:bidi w:val="0"/>
        <w:ind w:left="0" w:leftChars="0" w:firstLine="0" w:firstLineChars="0"/>
        <w:rPr>
          <w:lang w:eastAsia="zh-CN"/>
        </w:rPr>
      </w:pPr>
      <w:r>
        <w:rPr>
          <w:lang w:eastAsia="zh-CN"/>
        </w:rPr>
        <w:t>《建筑电气与智能化通用规范》 GB 55024</w:t>
      </w:r>
    </w:p>
    <w:p w14:paraId="3E2AA37B">
      <w:pPr>
        <w:numPr>
          <w:ilvl w:val="0"/>
          <w:numId w:val="61"/>
        </w:numPr>
        <w:bidi w:val="0"/>
        <w:ind w:left="0" w:leftChars="0" w:firstLine="0" w:firstLineChars="0"/>
        <w:rPr>
          <w:lang w:eastAsia="zh-CN"/>
        </w:rPr>
      </w:pPr>
      <w:r>
        <w:rPr>
          <w:lang w:eastAsia="zh-CN"/>
        </w:rPr>
        <w:t>《钢结构防火涂料》 GB 14907</w:t>
      </w:r>
    </w:p>
    <w:p w14:paraId="6DD0A71C">
      <w:pPr>
        <w:numPr>
          <w:ilvl w:val="0"/>
          <w:numId w:val="61"/>
        </w:numPr>
        <w:bidi w:val="0"/>
        <w:ind w:left="0" w:leftChars="0" w:firstLine="0" w:firstLineChars="0"/>
        <w:rPr>
          <w:lang w:eastAsia="zh-CN"/>
        </w:rPr>
      </w:pPr>
      <w:r>
        <w:rPr>
          <w:lang w:eastAsia="zh-CN"/>
        </w:rPr>
        <w:t>《建筑地基基础设计规范》GB 50007</w:t>
      </w:r>
    </w:p>
    <w:p w14:paraId="7778E521">
      <w:pPr>
        <w:numPr>
          <w:ilvl w:val="0"/>
          <w:numId w:val="61"/>
        </w:numPr>
        <w:bidi w:val="0"/>
        <w:ind w:left="0" w:leftChars="0" w:firstLine="0" w:firstLineChars="0"/>
        <w:rPr>
          <w:lang w:eastAsia="zh-CN"/>
        </w:rPr>
      </w:pPr>
      <w:r>
        <w:rPr>
          <w:lang w:eastAsia="zh-CN"/>
        </w:rPr>
        <w:t>《建筑结构荷载规范》 GB 50009</w:t>
      </w:r>
    </w:p>
    <w:p w14:paraId="797E9E2D">
      <w:pPr>
        <w:numPr>
          <w:ilvl w:val="0"/>
          <w:numId w:val="61"/>
        </w:numPr>
        <w:bidi w:val="0"/>
        <w:ind w:left="0" w:leftChars="0" w:firstLine="0" w:firstLineChars="0"/>
        <w:rPr>
          <w:lang w:eastAsia="zh-CN"/>
        </w:rPr>
      </w:pPr>
      <w:r>
        <w:rPr>
          <w:lang w:eastAsia="zh-CN"/>
        </w:rPr>
        <w:t>《混凝土结构设计</w:t>
      </w:r>
      <w:r>
        <w:rPr>
          <w:rFonts w:hint="eastAsia"/>
          <w:lang w:val="en-US" w:eastAsia="zh-CN"/>
        </w:rPr>
        <w:t>标准</w:t>
      </w:r>
      <w:r>
        <w:rPr>
          <w:lang w:eastAsia="zh-CN"/>
        </w:rPr>
        <w:t xml:space="preserve">》 </w:t>
      </w:r>
      <w:r>
        <w:t>GB</w:t>
      </w:r>
      <w:r>
        <w:rPr>
          <w:spacing w:val="7"/>
        </w:rPr>
        <w:t>/T50010</w:t>
      </w:r>
    </w:p>
    <w:p w14:paraId="1E5678B6">
      <w:pPr>
        <w:numPr>
          <w:ilvl w:val="0"/>
          <w:numId w:val="61"/>
        </w:numPr>
        <w:bidi w:val="0"/>
        <w:ind w:left="0" w:leftChars="0" w:firstLine="0" w:firstLineChars="0"/>
        <w:rPr>
          <w:lang w:eastAsia="zh-CN"/>
        </w:rPr>
      </w:pPr>
      <w:r>
        <w:rPr>
          <w:lang w:eastAsia="zh-CN"/>
        </w:rPr>
        <w:t>《</w:t>
      </w:r>
      <w:r>
        <w:rPr>
          <w:rFonts w:hint="eastAsia"/>
          <w:lang w:eastAsia="zh-CN"/>
        </w:rPr>
        <w:t>建筑抗震设计标准</w:t>
      </w:r>
      <w:r>
        <w:rPr>
          <w:lang w:eastAsia="zh-CN"/>
        </w:rPr>
        <w:t xml:space="preserve">》 </w:t>
      </w:r>
      <w:r>
        <w:t>GB</w:t>
      </w:r>
      <w:r>
        <w:rPr>
          <w:spacing w:val="7"/>
        </w:rPr>
        <w:t>/T50011</w:t>
      </w:r>
    </w:p>
    <w:p w14:paraId="58436E19">
      <w:pPr>
        <w:numPr>
          <w:ilvl w:val="0"/>
          <w:numId w:val="61"/>
        </w:numPr>
        <w:bidi w:val="0"/>
        <w:ind w:left="0" w:leftChars="0" w:firstLine="0" w:firstLineChars="0"/>
        <w:rPr>
          <w:lang w:eastAsia="zh-CN"/>
        </w:rPr>
      </w:pPr>
      <w:r>
        <w:rPr>
          <w:lang w:eastAsia="zh-CN"/>
        </w:rPr>
        <w:t>《建筑给水排水设计标准》GB 50015</w:t>
      </w:r>
    </w:p>
    <w:p w14:paraId="0CC22513">
      <w:pPr>
        <w:numPr>
          <w:ilvl w:val="0"/>
          <w:numId w:val="61"/>
        </w:numPr>
        <w:bidi w:val="0"/>
        <w:ind w:left="0" w:leftChars="0" w:firstLine="0" w:firstLineChars="0"/>
        <w:rPr>
          <w:lang w:eastAsia="zh-CN"/>
        </w:rPr>
      </w:pPr>
      <w:r>
        <w:rPr>
          <w:lang w:eastAsia="zh-CN"/>
        </w:rPr>
        <w:t xml:space="preserve">《建筑设计防火规范》 GB50016 </w:t>
      </w:r>
    </w:p>
    <w:p w14:paraId="2F2EF27E">
      <w:pPr>
        <w:numPr>
          <w:ilvl w:val="0"/>
          <w:numId w:val="61"/>
        </w:numPr>
        <w:bidi w:val="0"/>
        <w:ind w:left="0" w:leftChars="0" w:firstLine="0" w:firstLineChars="0"/>
        <w:rPr>
          <w:lang w:eastAsia="zh-CN"/>
        </w:rPr>
      </w:pPr>
      <w:r>
        <w:rPr>
          <w:lang w:eastAsia="zh-CN"/>
        </w:rPr>
        <w:t>《钢结构设计标准》 GB 50017</w:t>
      </w:r>
    </w:p>
    <w:p w14:paraId="0C984274">
      <w:pPr>
        <w:numPr>
          <w:ilvl w:val="0"/>
          <w:numId w:val="61"/>
        </w:numPr>
        <w:bidi w:val="0"/>
        <w:ind w:left="0" w:leftChars="0" w:firstLine="0" w:firstLineChars="0"/>
        <w:rPr>
          <w:lang w:eastAsia="zh-CN"/>
        </w:rPr>
      </w:pPr>
      <w:r>
        <w:rPr>
          <w:lang w:eastAsia="zh-CN"/>
        </w:rPr>
        <w:t xml:space="preserve">《冷弯薄壁型钢结构技术规范》 GB50018 </w:t>
      </w:r>
    </w:p>
    <w:p w14:paraId="3B3264A5">
      <w:pPr>
        <w:numPr>
          <w:ilvl w:val="0"/>
          <w:numId w:val="61"/>
        </w:numPr>
        <w:bidi w:val="0"/>
        <w:ind w:left="0" w:leftChars="0" w:firstLine="0" w:firstLineChars="0"/>
        <w:rPr>
          <w:lang w:eastAsia="zh-CN"/>
        </w:rPr>
      </w:pPr>
      <w:r>
        <w:rPr>
          <w:lang w:eastAsia="zh-CN"/>
        </w:rPr>
        <w:t>《建筑抗震鉴定标准》 GB 50023</w:t>
      </w:r>
    </w:p>
    <w:p w14:paraId="6ABADC00">
      <w:pPr>
        <w:numPr>
          <w:ilvl w:val="0"/>
          <w:numId w:val="61"/>
        </w:numPr>
        <w:bidi w:val="0"/>
        <w:ind w:left="0" w:leftChars="0" w:firstLine="0" w:firstLineChars="0"/>
        <w:rPr>
          <w:lang w:eastAsia="zh-CN"/>
        </w:rPr>
      </w:pPr>
      <w:r>
        <w:rPr>
          <w:lang w:eastAsia="zh-CN"/>
        </w:rPr>
        <w:t>《工程测量标准》 GB 50026</w:t>
      </w:r>
    </w:p>
    <w:p w14:paraId="387F77DE">
      <w:pPr>
        <w:numPr>
          <w:ilvl w:val="0"/>
          <w:numId w:val="61"/>
        </w:numPr>
        <w:bidi w:val="0"/>
        <w:ind w:left="0" w:leftChars="0" w:firstLine="0" w:firstLineChars="0"/>
        <w:rPr>
          <w:lang w:eastAsia="zh-CN"/>
        </w:rPr>
      </w:pPr>
      <w:r>
        <w:rPr>
          <w:lang w:eastAsia="zh-CN"/>
        </w:rPr>
        <w:t>《城镇燃气设计规范》 GB 50028</w:t>
      </w:r>
    </w:p>
    <w:p w14:paraId="09708F61">
      <w:pPr>
        <w:numPr>
          <w:ilvl w:val="0"/>
          <w:numId w:val="61"/>
        </w:numPr>
        <w:bidi w:val="0"/>
        <w:ind w:left="0" w:leftChars="0" w:firstLine="0" w:firstLineChars="0"/>
        <w:rPr>
          <w:lang w:eastAsia="zh-CN"/>
        </w:rPr>
      </w:pPr>
      <w:r>
        <w:rPr>
          <w:rFonts w:hint="eastAsia"/>
          <w:lang w:eastAsia="zh-CN"/>
        </w:rPr>
        <w:t>《</w:t>
      </w:r>
      <w:r>
        <w:rPr>
          <w:lang w:eastAsia="zh-CN"/>
        </w:rPr>
        <w:t xml:space="preserve">供配电系统设计规范》 GB50052 </w:t>
      </w:r>
    </w:p>
    <w:p w14:paraId="72254402">
      <w:pPr>
        <w:numPr>
          <w:ilvl w:val="0"/>
          <w:numId w:val="61"/>
        </w:numPr>
        <w:bidi w:val="0"/>
        <w:ind w:left="0" w:leftChars="0" w:firstLine="0" w:firstLineChars="0"/>
        <w:rPr>
          <w:lang w:eastAsia="zh-CN"/>
        </w:rPr>
      </w:pPr>
      <w:r>
        <w:rPr>
          <w:lang w:eastAsia="zh-CN"/>
        </w:rPr>
        <w:t>《低压配电设计规范》 GB 50054</w:t>
      </w:r>
    </w:p>
    <w:p w14:paraId="76DADA4A">
      <w:pPr>
        <w:numPr>
          <w:ilvl w:val="0"/>
          <w:numId w:val="61"/>
        </w:numPr>
        <w:bidi w:val="0"/>
        <w:ind w:left="0" w:leftChars="0" w:firstLine="0" w:firstLineChars="0"/>
        <w:rPr>
          <w:lang w:eastAsia="zh-CN"/>
        </w:rPr>
      </w:pPr>
      <w:r>
        <w:rPr>
          <w:lang w:eastAsia="zh-CN"/>
        </w:rPr>
        <w:t>《建筑物防雷设计规范》 GB 50057</w:t>
      </w:r>
    </w:p>
    <w:p w14:paraId="09D1D5E2">
      <w:pPr>
        <w:numPr>
          <w:ilvl w:val="0"/>
          <w:numId w:val="61"/>
        </w:numPr>
        <w:bidi w:val="0"/>
        <w:ind w:left="0" w:leftChars="0" w:firstLine="0" w:firstLineChars="0"/>
        <w:rPr>
          <w:lang w:eastAsia="zh-CN"/>
        </w:rPr>
      </w:pPr>
      <w:r>
        <w:rPr>
          <w:lang w:eastAsia="zh-CN"/>
        </w:rPr>
        <w:t>《民用建筑隔声设计规范》GB 50118</w:t>
      </w:r>
    </w:p>
    <w:p w14:paraId="59234E8D">
      <w:pPr>
        <w:numPr>
          <w:ilvl w:val="0"/>
          <w:numId w:val="61"/>
        </w:numPr>
        <w:bidi w:val="0"/>
        <w:ind w:left="0" w:leftChars="0" w:firstLine="0" w:firstLineChars="0"/>
        <w:rPr>
          <w:lang w:eastAsia="zh-CN"/>
        </w:rPr>
      </w:pPr>
      <w:r>
        <w:rPr>
          <w:lang w:eastAsia="zh-CN"/>
        </w:rPr>
        <w:t>《火灾自动报警系统施工及验收标准》 GB50166</w:t>
      </w:r>
    </w:p>
    <w:p w14:paraId="2E6A1506">
      <w:pPr>
        <w:numPr>
          <w:ilvl w:val="0"/>
          <w:numId w:val="61"/>
        </w:numPr>
        <w:bidi w:val="0"/>
        <w:ind w:left="0" w:leftChars="0" w:firstLine="0" w:firstLineChars="0"/>
        <w:rPr>
          <w:lang w:eastAsia="zh-CN"/>
        </w:rPr>
      </w:pPr>
      <w:r>
        <w:rPr>
          <w:lang w:eastAsia="zh-CN"/>
        </w:rPr>
        <w:t>《民用建筑热工设计规范》GB 50176</w:t>
      </w:r>
    </w:p>
    <w:p w14:paraId="1FB61A2F">
      <w:pPr>
        <w:numPr>
          <w:ilvl w:val="0"/>
          <w:numId w:val="61"/>
        </w:numPr>
        <w:bidi w:val="0"/>
        <w:ind w:left="0" w:leftChars="0" w:firstLine="0" w:firstLineChars="0"/>
        <w:rPr>
          <w:lang w:eastAsia="zh-CN"/>
        </w:rPr>
      </w:pPr>
      <w:r>
        <w:rPr>
          <w:lang w:eastAsia="zh-CN"/>
        </w:rPr>
        <w:t>《公共建筑节能设计标准》GB 50189</w:t>
      </w:r>
    </w:p>
    <w:p w14:paraId="3546ACAA">
      <w:pPr>
        <w:numPr>
          <w:ilvl w:val="0"/>
          <w:numId w:val="61"/>
        </w:numPr>
        <w:bidi w:val="0"/>
        <w:ind w:left="0" w:leftChars="0" w:firstLine="0" w:firstLineChars="0"/>
        <w:rPr>
          <w:lang w:eastAsia="zh-CN"/>
        </w:rPr>
      </w:pPr>
      <w:r>
        <w:rPr>
          <w:lang w:eastAsia="zh-CN"/>
        </w:rPr>
        <w:t>《钢结构工程施工质量验收标准》 GB 50205</w:t>
      </w:r>
    </w:p>
    <w:p w14:paraId="108D280F">
      <w:pPr>
        <w:numPr>
          <w:ilvl w:val="0"/>
          <w:numId w:val="61"/>
        </w:numPr>
        <w:bidi w:val="0"/>
        <w:ind w:left="0" w:leftChars="0" w:firstLine="0" w:firstLineChars="0"/>
        <w:rPr>
          <w:lang w:eastAsia="zh-CN"/>
        </w:rPr>
      </w:pPr>
      <w:r>
        <w:rPr>
          <w:lang w:eastAsia="zh-CN"/>
        </w:rPr>
        <w:t>《建筑装饰装修工程质量验收标准》 GB 50210</w:t>
      </w:r>
    </w:p>
    <w:p w14:paraId="21450BDD">
      <w:pPr>
        <w:numPr>
          <w:ilvl w:val="0"/>
          <w:numId w:val="61"/>
        </w:numPr>
        <w:bidi w:val="0"/>
        <w:ind w:left="0" w:leftChars="0" w:firstLine="0" w:firstLineChars="0"/>
        <w:rPr>
          <w:lang w:eastAsia="zh-CN"/>
        </w:rPr>
      </w:pPr>
      <w:r>
        <w:rPr>
          <w:lang w:eastAsia="zh-CN"/>
        </w:rPr>
        <w:t>《建筑防腐蚀工程施工规范》 GB 50212</w:t>
      </w:r>
    </w:p>
    <w:p w14:paraId="22FCD4F1">
      <w:pPr>
        <w:numPr>
          <w:ilvl w:val="0"/>
          <w:numId w:val="61"/>
        </w:numPr>
        <w:bidi w:val="0"/>
        <w:ind w:left="0" w:leftChars="0" w:firstLine="0" w:firstLineChars="0"/>
        <w:rPr>
          <w:lang w:eastAsia="zh-CN"/>
        </w:rPr>
      </w:pPr>
      <w:r>
        <w:rPr>
          <w:lang w:eastAsia="zh-CN"/>
        </w:rPr>
        <w:t>《建筑内部装修设计防火规范》 GB 50222</w:t>
      </w:r>
    </w:p>
    <w:p w14:paraId="3205EC51">
      <w:pPr>
        <w:numPr>
          <w:ilvl w:val="0"/>
          <w:numId w:val="61"/>
        </w:numPr>
        <w:bidi w:val="0"/>
        <w:ind w:left="0" w:leftChars="0" w:firstLine="0" w:firstLineChars="0"/>
        <w:rPr>
          <w:lang w:eastAsia="zh-CN"/>
        </w:rPr>
      </w:pPr>
      <w:r>
        <w:rPr>
          <w:lang w:eastAsia="zh-CN"/>
        </w:rPr>
        <w:t xml:space="preserve">《建筑给水排水及采暖工程施工质量验收规范》 GB50242 </w:t>
      </w:r>
    </w:p>
    <w:p w14:paraId="0BB469FE">
      <w:pPr>
        <w:numPr>
          <w:ilvl w:val="0"/>
          <w:numId w:val="61"/>
        </w:numPr>
        <w:bidi w:val="0"/>
        <w:ind w:left="0" w:leftChars="0" w:firstLine="0" w:firstLineChars="0"/>
        <w:rPr>
          <w:lang w:eastAsia="zh-CN"/>
        </w:rPr>
      </w:pPr>
      <w:r>
        <w:rPr>
          <w:lang w:eastAsia="zh-CN"/>
        </w:rPr>
        <w:t>《通风与空调工程施工质量验收规范》 GB 50243</w:t>
      </w:r>
    </w:p>
    <w:p w14:paraId="3CF59E33">
      <w:pPr>
        <w:numPr>
          <w:ilvl w:val="0"/>
          <w:numId w:val="61"/>
        </w:numPr>
        <w:bidi w:val="0"/>
        <w:ind w:left="0" w:leftChars="0" w:firstLine="0" w:firstLineChars="0"/>
        <w:rPr>
          <w:lang w:eastAsia="zh-CN"/>
        </w:rPr>
      </w:pPr>
      <w:r>
        <w:rPr>
          <w:lang w:eastAsia="zh-CN"/>
        </w:rPr>
        <w:t>《民用建筑可靠性鉴定标准》 GB 50292</w:t>
      </w:r>
    </w:p>
    <w:p w14:paraId="69BFE5E9">
      <w:pPr>
        <w:numPr>
          <w:ilvl w:val="0"/>
          <w:numId w:val="61"/>
        </w:numPr>
        <w:bidi w:val="0"/>
        <w:ind w:left="0" w:leftChars="0" w:firstLine="0" w:firstLineChars="0"/>
        <w:rPr>
          <w:rFonts w:hint="default"/>
          <w:lang w:eastAsia="zh-CN"/>
        </w:rPr>
      </w:pPr>
      <w:r>
        <w:rPr>
          <w:rFonts w:hint="default"/>
          <w:lang w:eastAsia="zh-CN"/>
        </w:rPr>
        <w:t>《建筑工程施工质量验收统一标准》 GB 50300</w:t>
      </w:r>
    </w:p>
    <w:p w14:paraId="7B464D2A">
      <w:pPr>
        <w:numPr>
          <w:ilvl w:val="0"/>
          <w:numId w:val="61"/>
        </w:numPr>
        <w:bidi w:val="0"/>
        <w:ind w:left="0" w:leftChars="0" w:firstLine="0" w:firstLineChars="0"/>
        <w:rPr>
          <w:rFonts w:hint="default"/>
          <w:lang w:eastAsia="zh-CN"/>
        </w:rPr>
      </w:pPr>
      <w:r>
        <w:rPr>
          <w:rFonts w:hint="default"/>
          <w:lang w:eastAsia="zh-CN"/>
        </w:rPr>
        <w:t>《建筑电气工程施工质量验收规范》 GB 50303</w:t>
      </w:r>
    </w:p>
    <w:p w14:paraId="26395447">
      <w:pPr>
        <w:numPr>
          <w:ilvl w:val="0"/>
          <w:numId w:val="61"/>
        </w:numPr>
        <w:bidi w:val="0"/>
        <w:ind w:left="0" w:leftChars="0" w:firstLine="0" w:firstLineChars="0"/>
        <w:rPr>
          <w:rFonts w:hint="default"/>
          <w:lang w:eastAsia="zh-CN"/>
        </w:rPr>
      </w:pPr>
      <w:r>
        <w:rPr>
          <w:rFonts w:hint="default"/>
          <w:lang w:eastAsia="zh-CN"/>
        </w:rPr>
        <w:t>《民用建筑工程室内环境污染控制标准》 GB 50325</w:t>
      </w:r>
    </w:p>
    <w:p w14:paraId="2109BB63">
      <w:pPr>
        <w:numPr>
          <w:ilvl w:val="0"/>
          <w:numId w:val="61"/>
        </w:numPr>
        <w:bidi w:val="0"/>
        <w:ind w:left="0" w:leftChars="0" w:firstLine="0" w:firstLineChars="0"/>
        <w:rPr>
          <w:rFonts w:hint="default"/>
          <w:lang w:eastAsia="zh-CN"/>
        </w:rPr>
      </w:pPr>
      <w:r>
        <w:rPr>
          <w:rFonts w:hint="default"/>
          <w:lang w:eastAsia="zh-CN"/>
        </w:rPr>
        <w:t>《住宅装饰装修工程施工规范》 GB 50327</w:t>
      </w:r>
    </w:p>
    <w:p w14:paraId="3A9C61F2">
      <w:pPr>
        <w:numPr>
          <w:ilvl w:val="0"/>
          <w:numId w:val="61"/>
        </w:numPr>
        <w:bidi w:val="0"/>
        <w:ind w:left="0" w:leftChars="0" w:firstLine="0" w:firstLineChars="0"/>
        <w:rPr>
          <w:lang w:eastAsia="zh-CN"/>
        </w:rPr>
      </w:pPr>
      <w:r>
        <w:rPr>
          <w:lang w:eastAsia="zh-CN"/>
        </w:rPr>
        <w:t>《屋面工程技术规范》 GB 50345</w:t>
      </w:r>
    </w:p>
    <w:p w14:paraId="2236A9FB">
      <w:pPr>
        <w:numPr>
          <w:ilvl w:val="0"/>
          <w:numId w:val="61"/>
        </w:numPr>
        <w:bidi w:val="0"/>
        <w:ind w:left="0" w:leftChars="0" w:firstLine="0" w:firstLineChars="0"/>
        <w:rPr>
          <w:lang w:eastAsia="zh-CN"/>
        </w:rPr>
      </w:pPr>
      <w:r>
        <w:rPr>
          <w:lang w:eastAsia="zh-CN"/>
        </w:rPr>
        <w:t xml:space="preserve">《民用建筑设计统一标准》GB 50352 </w:t>
      </w:r>
    </w:p>
    <w:p w14:paraId="0A537D7B">
      <w:pPr>
        <w:numPr>
          <w:ilvl w:val="0"/>
          <w:numId w:val="61"/>
        </w:numPr>
        <w:bidi w:val="0"/>
        <w:ind w:left="0" w:leftChars="0" w:firstLine="0" w:firstLineChars="0"/>
        <w:rPr>
          <w:lang w:eastAsia="zh-CN"/>
        </w:rPr>
      </w:pPr>
      <w:r>
        <w:rPr>
          <w:lang w:eastAsia="zh-CN"/>
        </w:rPr>
        <w:t xml:space="preserve">《智能建筑工程施工规范》GB 50606 </w:t>
      </w:r>
    </w:p>
    <w:p w14:paraId="41ECD5C6">
      <w:pPr>
        <w:numPr>
          <w:ilvl w:val="0"/>
          <w:numId w:val="61"/>
        </w:numPr>
        <w:bidi w:val="0"/>
        <w:ind w:left="0" w:leftChars="0" w:firstLine="0" w:firstLineChars="0"/>
        <w:rPr>
          <w:lang w:eastAsia="zh-CN"/>
        </w:rPr>
      </w:pPr>
      <w:r>
        <w:rPr>
          <w:lang w:eastAsia="zh-CN"/>
        </w:rPr>
        <w:t>《钢结构焊接规范》 GB 50661</w:t>
      </w:r>
    </w:p>
    <w:p w14:paraId="21222156">
      <w:pPr>
        <w:numPr>
          <w:ilvl w:val="0"/>
          <w:numId w:val="61"/>
        </w:numPr>
        <w:bidi w:val="0"/>
        <w:ind w:left="0" w:leftChars="0" w:firstLine="0" w:firstLineChars="0"/>
        <w:rPr>
          <w:lang w:eastAsia="zh-CN"/>
        </w:rPr>
      </w:pPr>
      <w:r>
        <w:rPr>
          <w:lang w:eastAsia="zh-CN"/>
        </w:rPr>
        <w:t>《民用建筑供暖通风与空气调节设计规范》 GB 50736</w:t>
      </w:r>
    </w:p>
    <w:p w14:paraId="09870C8D">
      <w:pPr>
        <w:numPr>
          <w:ilvl w:val="0"/>
          <w:numId w:val="61"/>
        </w:numPr>
        <w:bidi w:val="0"/>
        <w:ind w:left="0" w:leftChars="0" w:firstLine="0" w:firstLineChars="0"/>
        <w:rPr>
          <w:lang w:eastAsia="zh-CN"/>
        </w:rPr>
      </w:pPr>
      <w:r>
        <w:rPr>
          <w:lang w:eastAsia="zh-CN"/>
        </w:rPr>
        <w:t>《通风与空调工程施工规范》 GB 50738</w:t>
      </w:r>
    </w:p>
    <w:p w14:paraId="1DF04609">
      <w:pPr>
        <w:numPr>
          <w:ilvl w:val="0"/>
          <w:numId w:val="61"/>
        </w:numPr>
        <w:bidi w:val="0"/>
        <w:ind w:left="0" w:leftChars="0" w:firstLine="0" w:firstLineChars="0"/>
        <w:rPr>
          <w:lang w:eastAsia="zh-CN"/>
        </w:rPr>
      </w:pPr>
      <w:r>
        <w:rPr>
          <w:lang w:eastAsia="zh-CN"/>
        </w:rPr>
        <w:t>《钢结构工程施工规范》 GB 50755</w:t>
      </w:r>
    </w:p>
    <w:p w14:paraId="491253DD">
      <w:pPr>
        <w:numPr>
          <w:ilvl w:val="0"/>
          <w:numId w:val="61"/>
        </w:numPr>
        <w:bidi w:val="0"/>
        <w:ind w:left="0" w:leftChars="0" w:firstLine="0" w:firstLineChars="0"/>
        <w:rPr>
          <w:lang w:eastAsia="zh-CN"/>
        </w:rPr>
      </w:pPr>
      <w:r>
        <w:rPr>
          <w:lang w:eastAsia="zh-CN"/>
        </w:rPr>
        <w:t xml:space="preserve">《建筑机电工程抗震设计规范》 GB 50981 </w:t>
      </w:r>
    </w:p>
    <w:p w14:paraId="4ABE99CB">
      <w:pPr>
        <w:numPr>
          <w:ilvl w:val="0"/>
          <w:numId w:val="61"/>
        </w:numPr>
        <w:bidi w:val="0"/>
        <w:ind w:left="0" w:leftChars="0" w:firstLine="0" w:firstLineChars="0"/>
        <w:rPr>
          <w:lang w:eastAsia="zh-CN"/>
        </w:rPr>
      </w:pPr>
      <w:r>
        <w:rPr>
          <w:lang w:eastAsia="zh-CN"/>
        </w:rPr>
        <w:t>《建筑钢结构防火技术规范》 GB 51249</w:t>
      </w:r>
    </w:p>
    <w:p w14:paraId="67E0549A">
      <w:pPr>
        <w:numPr>
          <w:ilvl w:val="0"/>
          <w:numId w:val="61"/>
        </w:numPr>
        <w:bidi w:val="0"/>
        <w:ind w:left="0" w:leftChars="0" w:firstLine="0" w:firstLineChars="0"/>
        <w:rPr>
          <w:lang w:eastAsia="zh-CN"/>
        </w:rPr>
      </w:pPr>
      <w:r>
        <w:rPr>
          <w:lang w:eastAsia="zh-CN"/>
        </w:rPr>
        <w:t xml:space="preserve">《民用建筑电气设计标准》GB 51348 </w:t>
      </w:r>
    </w:p>
    <w:p w14:paraId="0235B806">
      <w:pPr>
        <w:numPr>
          <w:ilvl w:val="0"/>
          <w:numId w:val="61"/>
        </w:numPr>
        <w:bidi w:val="0"/>
        <w:ind w:left="0" w:leftChars="0" w:firstLine="0" w:firstLineChars="0"/>
        <w:rPr>
          <w:lang w:eastAsia="zh-CN"/>
        </w:rPr>
      </w:pPr>
      <w:r>
        <w:rPr>
          <w:lang w:eastAsia="zh-CN"/>
        </w:rPr>
        <w:t>《建筑模数协调标准》 GB/T 50002</w:t>
      </w:r>
    </w:p>
    <w:p w14:paraId="0AA89F7E">
      <w:pPr>
        <w:numPr>
          <w:ilvl w:val="0"/>
          <w:numId w:val="61"/>
        </w:numPr>
        <w:bidi w:val="0"/>
        <w:ind w:left="0" w:leftChars="0" w:firstLine="0" w:firstLineChars="0"/>
        <w:rPr>
          <w:lang w:eastAsia="zh-CN"/>
        </w:rPr>
      </w:pPr>
      <w:r>
        <w:rPr>
          <w:lang w:eastAsia="zh-CN"/>
        </w:rPr>
        <w:t>《交流电气装置的接地设计规范》 GB/T 50065</w:t>
      </w:r>
    </w:p>
    <w:p w14:paraId="0AFBA29D">
      <w:pPr>
        <w:numPr>
          <w:ilvl w:val="0"/>
          <w:numId w:val="61"/>
        </w:numPr>
        <w:bidi w:val="0"/>
        <w:ind w:left="0" w:leftChars="0" w:firstLine="0" w:firstLineChars="0"/>
        <w:rPr>
          <w:lang w:eastAsia="zh-CN"/>
        </w:rPr>
      </w:pPr>
      <w:r>
        <w:rPr>
          <w:lang w:eastAsia="zh-CN"/>
        </w:rPr>
        <w:t xml:space="preserve">《建筑防腐蚀工程施工质量验收标准》 GB/T 50224 </w:t>
      </w:r>
    </w:p>
    <w:p w14:paraId="3A889B0B">
      <w:pPr>
        <w:numPr>
          <w:ilvl w:val="0"/>
          <w:numId w:val="61"/>
        </w:numPr>
        <w:bidi w:val="0"/>
        <w:ind w:left="0" w:leftChars="0" w:firstLine="0" w:firstLineChars="0"/>
        <w:rPr>
          <w:lang w:eastAsia="zh-CN"/>
        </w:rPr>
      </w:pPr>
      <w:r>
        <w:rPr>
          <w:lang w:eastAsia="zh-CN"/>
        </w:rPr>
        <w:t>《建筑结构检测技术标准》GB/T 50344</w:t>
      </w:r>
    </w:p>
    <w:p w14:paraId="462A4BA0">
      <w:pPr>
        <w:numPr>
          <w:ilvl w:val="0"/>
          <w:numId w:val="61"/>
        </w:numPr>
        <w:bidi w:val="0"/>
        <w:ind w:left="0" w:leftChars="0" w:firstLine="0" w:firstLineChars="0"/>
        <w:rPr>
          <w:lang w:eastAsia="zh-CN"/>
        </w:rPr>
      </w:pPr>
      <w:r>
        <w:rPr>
          <w:lang w:eastAsia="zh-CN"/>
        </w:rPr>
        <w:t>《建筑工程绿色施工规范》GB/T 50905</w:t>
      </w:r>
    </w:p>
    <w:p w14:paraId="5D0F98AF">
      <w:pPr>
        <w:numPr>
          <w:ilvl w:val="0"/>
          <w:numId w:val="61"/>
        </w:numPr>
        <w:bidi w:val="0"/>
        <w:ind w:left="0" w:leftChars="0" w:firstLine="0" w:firstLineChars="0"/>
        <w:rPr>
          <w:lang w:eastAsia="zh-CN"/>
        </w:rPr>
      </w:pPr>
      <w:r>
        <w:rPr>
          <w:lang w:eastAsia="zh-CN"/>
        </w:rPr>
        <w:t xml:space="preserve">《装配式钢结构建筑技术标准》 GB/T 51232 </w:t>
      </w:r>
    </w:p>
    <w:p w14:paraId="7BB6E6FA">
      <w:pPr>
        <w:numPr>
          <w:ilvl w:val="0"/>
          <w:numId w:val="61"/>
        </w:numPr>
        <w:bidi w:val="0"/>
        <w:ind w:left="0" w:leftChars="0" w:firstLine="0" w:firstLineChars="0"/>
        <w:rPr>
          <w:lang w:eastAsia="zh-CN"/>
        </w:rPr>
      </w:pPr>
      <w:r>
        <w:rPr>
          <w:lang w:eastAsia="zh-CN"/>
        </w:rPr>
        <w:t>《建筑防火封堵应用技术标准》 GB/T 51410</w:t>
      </w:r>
    </w:p>
    <w:p w14:paraId="408611E8">
      <w:pPr>
        <w:numPr>
          <w:ilvl w:val="0"/>
          <w:numId w:val="61"/>
        </w:numPr>
        <w:bidi w:val="0"/>
        <w:ind w:left="0" w:leftChars="0" w:firstLine="0" w:firstLineChars="0"/>
        <w:rPr>
          <w:rFonts w:hint="eastAsia"/>
          <w:lang w:eastAsia="zh-CN"/>
        </w:rPr>
      </w:pPr>
      <w:r>
        <w:rPr>
          <w:rFonts w:hint="eastAsia"/>
          <w:lang w:eastAsia="zh-CN"/>
        </w:rPr>
        <w:t>《高层建筑混凝土结构技术规程》 JGJ 3</w:t>
      </w:r>
    </w:p>
    <w:p w14:paraId="5EB33C2C">
      <w:pPr>
        <w:numPr>
          <w:ilvl w:val="0"/>
          <w:numId w:val="61"/>
        </w:numPr>
        <w:bidi w:val="0"/>
        <w:ind w:left="0" w:leftChars="0" w:firstLine="0" w:firstLineChars="0"/>
        <w:rPr>
          <w:rFonts w:hint="eastAsia"/>
          <w:lang w:eastAsia="zh-CN"/>
        </w:rPr>
      </w:pPr>
      <w:r>
        <w:rPr>
          <w:rFonts w:hint="eastAsia"/>
          <w:lang w:eastAsia="zh-CN"/>
        </w:rPr>
        <w:t>《建筑机械使用安全技术规程》 JGJ 33</w:t>
      </w:r>
    </w:p>
    <w:p w14:paraId="732BEFC8">
      <w:pPr>
        <w:numPr>
          <w:ilvl w:val="0"/>
          <w:numId w:val="61"/>
        </w:numPr>
        <w:bidi w:val="0"/>
        <w:ind w:left="0" w:leftChars="0" w:firstLine="0" w:firstLineChars="0"/>
        <w:rPr>
          <w:rFonts w:hint="eastAsia"/>
          <w:lang w:eastAsia="zh-CN"/>
        </w:rPr>
      </w:pPr>
      <w:r>
        <w:rPr>
          <w:rFonts w:hint="eastAsia"/>
          <w:lang w:eastAsia="zh-CN"/>
        </w:rPr>
        <w:t>《建筑与市政工程施工现场临时用电安全技术标准》 JGJ 46</w:t>
      </w:r>
    </w:p>
    <w:p w14:paraId="4416A3D3">
      <w:pPr>
        <w:numPr>
          <w:ilvl w:val="0"/>
          <w:numId w:val="61"/>
        </w:numPr>
        <w:bidi w:val="0"/>
        <w:ind w:left="0" w:leftChars="0" w:firstLine="0" w:firstLineChars="0"/>
        <w:rPr>
          <w:rFonts w:hint="eastAsia"/>
          <w:lang w:eastAsia="zh-CN"/>
        </w:rPr>
      </w:pPr>
      <w:r>
        <w:rPr>
          <w:rFonts w:hint="eastAsia"/>
          <w:lang w:eastAsia="zh-CN"/>
        </w:rPr>
        <w:t>《夏热冬暖地区居住建筑节能设计标准》 JGJ 75</w:t>
      </w:r>
    </w:p>
    <w:p w14:paraId="522A224C">
      <w:pPr>
        <w:numPr>
          <w:ilvl w:val="0"/>
          <w:numId w:val="61"/>
        </w:numPr>
        <w:bidi w:val="0"/>
        <w:ind w:left="0" w:leftChars="0" w:firstLine="0" w:firstLineChars="0"/>
        <w:rPr>
          <w:rFonts w:hint="eastAsia"/>
          <w:lang w:eastAsia="zh-CN"/>
        </w:rPr>
      </w:pPr>
      <w:r>
        <w:rPr>
          <w:rFonts w:hint="eastAsia"/>
          <w:lang w:eastAsia="zh-CN"/>
        </w:rPr>
        <w:t>《建筑施工高处作业安全技术规范》 JGJ 80</w:t>
      </w:r>
    </w:p>
    <w:p w14:paraId="328F1044">
      <w:pPr>
        <w:numPr>
          <w:ilvl w:val="0"/>
          <w:numId w:val="61"/>
        </w:numPr>
        <w:bidi w:val="0"/>
        <w:ind w:left="0" w:leftChars="0" w:firstLine="0" w:firstLineChars="0"/>
        <w:rPr>
          <w:rFonts w:hint="eastAsia"/>
          <w:lang w:eastAsia="zh-CN"/>
        </w:rPr>
      </w:pPr>
      <w:r>
        <w:rPr>
          <w:rFonts w:hint="eastAsia"/>
          <w:lang w:eastAsia="zh-CN"/>
        </w:rPr>
        <w:t>《钢结构高强度螺栓连接技术规程》 JGJ 82</w:t>
      </w:r>
    </w:p>
    <w:p w14:paraId="4719D378">
      <w:pPr>
        <w:numPr>
          <w:ilvl w:val="0"/>
          <w:numId w:val="61"/>
        </w:numPr>
        <w:bidi w:val="0"/>
        <w:ind w:left="0" w:leftChars="0" w:firstLine="0" w:firstLineChars="0"/>
        <w:rPr>
          <w:rFonts w:hint="eastAsia"/>
          <w:lang w:eastAsia="zh-CN"/>
        </w:rPr>
      </w:pPr>
      <w:r>
        <w:rPr>
          <w:rFonts w:hint="eastAsia"/>
          <w:lang w:eastAsia="zh-CN"/>
        </w:rPr>
        <w:t>《高层民用建筑钢结构技术规程》 JGJ 99</w:t>
      </w:r>
    </w:p>
    <w:p w14:paraId="083E8197">
      <w:pPr>
        <w:numPr>
          <w:ilvl w:val="0"/>
          <w:numId w:val="61"/>
        </w:numPr>
        <w:bidi w:val="0"/>
        <w:ind w:left="0" w:leftChars="0" w:firstLine="0" w:firstLineChars="0"/>
        <w:rPr>
          <w:rFonts w:hint="eastAsia"/>
          <w:lang w:eastAsia="zh-CN"/>
        </w:rPr>
      </w:pPr>
      <w:r>
        <w:rPr>
          <w:rFonts w:hint="eastAsia"/>
          <w:lang w:eastAsia="zh-CN"/>
        </w:rPr>
        <w:t>《钢筋机械连接技术规程》JGJ 107</w:t>
      </w:r>
    </w:p>
    <w:p w14:paraId="61F99F95">
      <w:pPr>
        <w:numPr>
          <w:ilvl w:val="0"/>
          <w:numId w:val="61"/>
        </w:numPr>
        <w:bidi w:val="0"/>
        <w:ind w:left="0" w:leftChars="0" w:firstLine="0" w:firstLineChars="0"/>
        <w:rPr>
          <w:rFonts w:hint="eastAsia"/>
          <w:lang w:eastAsia="zh-CN"/>
        </w:rPr>
      </w:pPr>
      <w:r>
        <w:rPr>
          <w:rFonts w:hint="eastAsia"/>
          <w:lang w:eastAsia="zh-CN"/>
        </w:rPr>
        <w:t>《建筑施工起重吊装工程安全技术规范》 JGJ 276</w:t>
      </w:r>
    </w:p>
    <w:p w14:paraId="053CF494">
      <w:pPr>
        <w:numPr>
          <w:ilvl w:val="0"/>
          <w:numId w:val="61"/>
        </w:numPr>
        <w:bidi w:val="0"/>
        <w:ind w:left="0" w:leftChars="0" w:firstLine="0" w:firstLineChars="0"/>
        <w:rPr>
          <w:rFonts w:hint="eastAsia"/>
          <w:lang w:eastAsia="zh-CN"/>
        </w:rPr>
      </w:pPr>
      <w:r>
        <w:rPr>
          <w:rFonts w:hint="eastAsia"/>
          <w:lang w:eastAsia="zh-CN"/>
        </w:rPr>
        <w:t>《公共建筑吊顶工程技术规程》 JGJ 345</w:t>
      </w:r>
    </w:p>
    <w:p w14:paraId="17F77A17">
      <w:pPr>
        <w:numPr>
          <w:ilvl w:val="0"/>
          <w:numId w:val="61"/>
        </w:numPr>
        <w:bidi w:val="0"/>
        <w:ind w:left="0" w:leftChars="0" w:firstLine="0" w:firstLineChars="0"/>
        <w:rPr>
          <w:rFonts w:hint="eastAsia"/>
          <w:lang w:eastAsia="zh-CN"/>
        </w:rPr>
      </w:pPr>
      <w:r>
        <w:rPr>
          <w:rFonts w:hint="eastAsia"/>
          <w:lang w:eastAsia="zh-CN"/>
        </w:rPr>
        <w:t>《住宅室内装饰装修设计规范》 JGJ 367</w:t>
      </w:r>
    </w:p>
    <w:p w14:paraId="5E753C44">
      <w:pPr>
        <w:numPr>
          <w:ilvl w:val="0"/>
          <w:numId w:val="61"/>
        </w:numPr>
        <w:bidi w:val="0"/>
        <w:ind w:left="0" w:leftChars="0" w:firstLine="0" w:firstLineChars="0"/>
        <w:rPr>
          <w:rFonts w:hint="eastAsia"/>
          <w:lang w:eastAsia="zh-CN"/>
        </w:rPr>
      </w:pPr>
      <w:r>
        <w:rPr>
          <w:rFonts w:hint="eastAsia"/>
          <w:lang w:eastAsia="zh-CN"/>
        </w:rPr>
        <w:t>《建筑轻质条板隔墙技术规程》 JGJ/T 157</w:t>
      </w:r>
    </w:p>
    <w:p w14:paraId="50D1CE72">
      <w:pPr>
        <w:numPr>
          <w:ilvl w:val="0"/>
          <w:numId w:val="61"/>
        </w:numPr>
        <w:bidi w:val="0"/>
        <w:ind w:left="0" w:leftChars="0" w:firstLine="0" w:firstLineChars="0"/>
        <w:rPr>
          <w:rFonts w:hint="eastAsia"/>
          <w:lang w:eastAsia="zh-CN"/>
        </w:rPr>
      </w:pPr>
      <w:r>
        <w:rPr>
          <w:rFonts w:hint="eastAsia"/>
          <w:lang w:eastAsia="zh-CN"/>
        </w:rPr>
        <w:t>《建筑钢结构防腐蚀技术规程》 JGJ/T 251</w:t>
      </w:r>
    </w:p>
    <w:p w14:paraId="2E7F64E2">
      <w:pPr>
        <w:numPr>
          <w:ilvl w:val="0"/>
          <w:numId w:val="61"/>
        </w:numPr>
        <w:bidi w:val="0"/>
        <w:ind w:left="0" w:leftChars="0" w:firstLine="0" w:firstLineChars="0"/>
        <w:rPr>
          <w:rFonts w:hint="eastAsia"/>
          <w:lang w:eastAsia="zh-CN"/>
        </w:rPr>
      </w:pPr>
      <w:r>
        <w:rPr>
          <w:rFonts w:hint="eastAsia"/>
          <w:lang w:eastAsia="zh-CN"/>
        </w:rPr>
        <w:t>《建筑楼盖结构振动舒适度技术标准》 JGJ/T 441</w:t>
      </w:r>
    </w:p>
    <w:p w14:paraId="59F920A4">
      <w:pPr>
        <w:numPr>
          <w:ilvl w:val="0"/>
          <w:numId w:val="61"/>
        </w:numPr>
        <w:bidi w:val="0"/>
        <w:ind w:left="0" w:leftChars="0" w:firstLine="0" w:firstLineChars="0"/>
        <w:rPr>
          <w:rFonts w:hint="eastAsia"/>
          <w:lang w:eastAsia="zh-CN"/>
        </w:rPr>
      </w:pPr>
      <w:r>
        <w:rPr>
          <w:rFonts w:hint="eastAsia"/>
          <w:lang w:eastAsia="zh-CN"/>
        </w:rPr>
        <w:t>《轻钢龙骨式复合墙体》 JG/T 544</w:t>
      </w:r>
    </w:p>
    <w:p w14:paraId="5EE6A3D0">
      <w:pPr>
        <w:numPr>
          <w:ilvl w:val="0"/>
          <w:numId w:val="61"/>
        </w:numPr>
        <w:bidi w:val="0"/>
        <w:ind w:left="0" w:leftChars="0" w:firstLine="0" w:firstLineChars="0"/>
        <w:rPr>
          <w:rFonts w:hint="eastAsia"/>
          <w:lang w:eastAsia="zh-CN"/>
        </w:rPr>
      </w:pPr>
      <w:r>
        <w:rPr>
          <w:rFonts w:hint="eastAsia"/>
          <w:lang w:val="en-US" w:eastAsia="zh-CN"/>
        </w:rPr>
        <w:t>《建筑防火通用规范》GB55037</w:t>
      </w:r>
    </w:p>
    <w:p w14:paraId="7BD2F114">
      <w:pPr>
        <w:numPr>
          <w:ilvl w:val="0"/>
          <w:numId w:val="61"/>
        </w:numPr>
        <w:bidi w:val="0"/>
        <w:ind w:left="0" w:leftChars="0" w:firstLine="0" w:firstLineChars="0"/>
        <w:rPr>
          <w:rFonts w:hint="eastAsia"/>
          <w:lang w:val="en-US" w:eastAsia="zh-CN"/>
        </w:rPr>
      </w:pPr>
      <w:r>
        <w:rPr>
          <w:rFonts w:hint="eastAsia"/>
          <w:lang w:val="en-US" w:eastAsia="zh-CN"/>
        </w:rPr>
        <w:t>《通用用电设备配电设计规范》 GB 50055</w:t>
      </w:r>
    </w:p>
    <w:p w14:paraId="741E044C">
      <w:pPr>
        <w:numPr>
          <w:ilvl w:val="0"/>
          <w:numId w:val="61"/>
        </w:numPr>
        <w:bidi w:val="0"/>
        <w:ind w:left="0" w:leftChars="0" w:firstLine="0" w:firstLineChars="0"/>
        <w:rPr>
          <w:rFonts w:hint="eastAsia"/>
          <w:lang w:val="en-US" w:eastAsia="zh-CN"/>
        </w:rPr>
      </w:pPr>
      <w:r>
        <w:rPr>
          <w:rFonts w:hint="eastAsia"/>
          <w:lang w:val="en-US" w:eastAsia="zh-CN"/>
        </w:rPr>
        <w:t xml:space="preserve">《民用建筑电气设计规范》JGJ 16 </w:t>
      </w:r>
    </w:p>
    <w:p w14:paraId="7FFDA275">
      <w:pPr>
        <w:numPr>
          <w:ilvl w:val="0"/>
          <w:numId w:val="61"/>
        </w:numPr>
        <w:bidi w:val="0"/>
        <w:ind w:left="0" w:leftChars="0" w:firstLine="0" w:firstLineChars="0"/>
        <w:rPr>
          <w:rFonts w:hint="eastAsia"/>
          <w:lang w:val="en-US" w:eastAsia="zh-CN"/>
        </w:rPr>
      </w:pPr>
      <w:r>
        <w:rPr>
          <w:rFonts w:hint="eastAsia"/>
          <w:lang w:val="en-US" w:eastAsia="zh-CN"/>
        </w:rPr>
        <w:t>《住宅设计规范》GB50096</w:t>
      </w:r>
    </w:p>
    <w:p w14:paraId="32DA26BE">
      <w:pPr>
        <w:numPr>
          <w:ilvl w:val="0"/>
          <w:numId w:val="61"/>
        </w:numPr>
        <w:bidi w:val="0"/>
        <w:ind w:left="0" w:leftChars="0" w:firstLine="0" w:firstLineChars="0"/>
        <w:rPr>
          <w:rFonts w:hint="eastAsia"/>
          <w:lang w:val="en-US" w:eastAsia="zh-CN"/>
        </w:rPr>
      </w:pPr>
      <w:r>
        <w:rPr>
          <w:rFonts w:hint="eastAsia"/>
          <w:lang w:val="en-US" w:eastAsia="zh-CN"/>
        </w:rPr>
        <w:t>《严寒和寒冷地区居住建筑节能设计标准》JGJ 26</w:t>
      </w:r>
    </w:p>
    <w:p w14:paraId="395EA2E2">
      <w:pPr>
        <w:numPr>
          <w:ilvl w:val="0"/>
          <w:numId w:val="61"/>
        </w:numPr>
        <w:bidi w:val="0"/>
        <w:ind w:left="0" w:leftChars="0" w:firstLine="0" w:firstLineChars="0"/>
        <w:rPr>
          <w:rFonts w:hint="eastAsia"/>
          <w:lang w:val="en-US" w:eastAsia="zh-CN"/>
        </w:rPr>
      </w:pPr>
      <w:r>
        <w:rPr>
          <w:rFonts w:hint="eastAsia"/>
          <w:lang w:val="en-US" w:eastAsia="zh-CN"/>
        </w:rPr>
        <w:t>《坡屋面工程技术规范》GB 50693</w:t>
      </w:r>
    </w:p>
    <w:p w14:paraId="5BD16367">
      <w:pPr>
        <w:numPr>
          <w:ilvl w:val="0"/>
          <w:numId w:val="61"/>
        </w:numPr>
        <w:bidi w:val="0"/>
        <w:ind w:left="0" w:leftChars="0" w:firstLine="0" w:firstLineChars="0"/>
        <w:rPr>
          <w:rFonts w:hint="eastAsia"/>
          <w:lang w:val="en-US" w:eastAsia="zh-CN"/>
        </w:rPr>
      </w:pPr>
      <w:r>
        <w:rPr>
          <w:rFonts w:hint="eastAsia"/>
          <w:lang w:val="en-US" w:eastAsia="zh-CN"/>
        </w:rPr>
        <w:t>《种植屋面工程技术规程》JGJ155</w:t>
      </w:r>
    </w:p>
    <w:p w14:paraId="60ED64F8">
      <w:pPr>
        <w:numPr>
          <w:ilvl w:val="0"/>
          <w:numId w:val="61"/>
        </w:numPr>
        <w:bidi w:val="0"/>
        <w:ind w:left="0" w:leftChars="0" w:firstLine="0" w:firstLineChars="0"/>
        <w:rPr>
          <w:rFonts w:hint="eastAsia"/>
          <w:lang w:val="en-US" w:eastAsia="zh-CN"/>
        </w:rPr>
      </w:pPr>
      <w:r>
        <w:rPr>
          <w:rFonts w:hint="eastAsia"/>
          <w:lang w:val="en-US" w:eastAsia="zh-CN"/>
        </w:rPr>
        <w:t>《压型金属板工程应用技术规范》GB50896</w:t>
      </w:r>
    </w:p>
    <w:p w14:paraId="40F2A159">
      <w:pPr>
        <w:numPr>
          <w:ilvl w:val="0"/>
          <w:numId w:val="61"/>
        </w:numPr>
        <w:bidi w:val="0"/>
        <w:ind w:left="0" w:leftChars="0" w:firstLine="0" w:firstLineChars="0"/>
        <w:rPr>
          <w:rFonts w:hint="eastAsia"/>
          <w:lang w:val="en-US" w:eastAsia="zh-CN"/>
        </w:rPr>
      </w:pPr>
      <w:r>
        <w:rPr>
          <w:rFonts w:hint="eastAsia"/>
          <w:lang w:val="en-US" w:eastAsia="zh-CN"/>
        </w:rPr>
        <w:t>《住宅整体卫浴间》JG/T183</w:t>
      </w:r>
    </w:p>
    <w:p w14:paraId="49BDD8B3">
      <w:pPr>
        <w:numPr>
          <w:ilvl w:val="0"/>
          <w:numId w:val="61"/>
        </w:numPr>
        <w:bidi w:val="0"/>
        <w:ind w:left="0" w:leftChars="0" w:firstLine="0" w:firstLineChars="0"/>
        <w:rPr>
          <w:rFonts w:hint="eastAsia"/>
          <w:lang w:val="en-US" w:eastAsia="zh-CN"/>
        </w:rPr>
      </w:pPr>
      <w:r>
        <w:rPr>
          <w:rFonts w:hint="eastAsia"/>
          <w:lang w:val="en-US" w:eastAsia="zh-CN"/>
        </w:rPr>
        <w:t>《住宅整体厨房》JG/T184</w:t>
      </w:r>
    </w:p>
    <w:p w14:paraId="75AE5139">
      <w:pPr>
        <w:numPr>
          <w:ilvl w:val="0"/>
          <w:numId w:val="61"/>
        </w:numPr>
        <w:bidi w:val="0"/>
        <w:ind w:left="0" w:leftChars="0" w:firstLine="0" w:firstLineChars="0"/>
        <w:rPr>
          <w:rFonts w:hint="eastAsia"/>
          <w:lang w:eastAsia="zh-CN"/>
        </w:rPr>
      </w:pPr>
      <w:r>
        <w:rPr>
          <w:rFonts w:hint="eastAsia"/>
          <w:lang w:eastAsia="zh-CN"/>
        </w:rPr>
        <w:t>《建筑结构可靠性设计统一标准》GB</w:t>
      </w:r>
      <w:r>
        <w:rPr>
          <w:rFonts w:hint="eastAsia"/>
          <w:lang w:val="en-US" w:eastAsia="zh-CN"/>
        </w:rPr>
        <w:t xml:space="preserve"> </w:t>
      </w:r>
      <w:r>
        <w:rPr>
          <w:rFonts w:hint="eastAsia"/>
          <w:lang w:eastAsia="zh-CN"/>
        </w:rPr>
        <w:t>50068</w:t>
      </w:r>
    </w:p>
    <w:p w14:paraId="2852FD10">
      <w:pPr>
        <w:numPr>
          <w:ilvl w:val="0"/>
          <w:numId w:val="61"/>
        </w:numPr>
        <w:bidi w:val="0"/>
        <w:ind w:left="0" w:leftChars="0" w:firstLine="0" w:firstLineChars="0"/>
        <w:rPr>
          <w:rFonts w:hint="eastAsia"/>
          <w:lang w:val="en-US" w:eastAsia="zh-CN"/>
        </w:rPr>
      </w:pPr>
      <w:r>
        <w:rPr>
          <w:rFonts w:hint="eastAsia"/>
          <w:lang w:eastAsia="zh-CN"/>
        </w:rPr>
        <w:t>《工程结构可靠性设计统一标准》GB</w:t>
      </w:r>
      <w:r>
        <w:rPr>
          <w:rFonts w:hint="eastAsia"/>
          <w:lang w:val="en-US" w:eastAsia="zh-CN"/>
        </w:rPr>
        <w:t xml:space="preserve"> </w:t>
      </w:r>
      <w:r>
        <w:rPr>
          <w:rFonts w:hint="eastAsia"/>
          <w:lang w:eastAsia="zh-CN"/>
        </w:rPr>
        <w:t>50153</w:t>
      </w:r>
    </w:p>
    <w:p w14:paraId="519FEE24">
      <w:pPr>
        <w:numPr>
          <w:ilvl w:val="0"/>
          <w:numId w:val="61"/>
        </w:numPr>
        <w:bidi w:val="0"/>
        <w:ind w:left="0" w:leftChars="0" w:firstLine="0" w:firstLineChars="0"/>
        <w:rPr>
          <w:rFonts w:hint="eastAsia"/>
          <w:lang w:val="en-US" w:eastAsia="zh-CN"/>
        </w:rPr>
      </w:pPr>
      <w:r>
        <w:rPr>
          <w:rFonts w:hint="eastAsia"/>
          <w:lang w:val="en-US" w:eastAsia="zh-CN"/>
        </w:rPr>
        <w:t>《轻型模块化钢结构组合房屋技术标准》JGJ/T 466</w:t>
      </w:r>
    </w:p>
    <w:p w14:paraId="3E359D63">
      <w:pPr>
        <w:numPr>
          <w:ilvl w:val="0"/>
          <w:numId w:val="61"/>
        </w:numPr>
        <w:bidi w:val="0"/>
        <w:ind w:left="0" w:leftChars="0" w:firstLine="0" w:firstLineChars="0"/>
        <w:rPr>
          <w:rFonts w:hint="eastAsia"/>
          <w:lang w:val="en-US" w:eastAsia="zh-CN"/>
        </w:rPr>
      </w:pPr>
      <w:r>
        <w:rPr>
          <w:rFonts w:hint="eastAsia"/>
          <w:lang w:val="en-US" w:eastAsia="zh-CN"/>
        </w:rPr>
        <w:t>《非结构构件抗震设计规范》JGJ339</w:t>
      </w:r>
    </w:p>
    <w:p w14:paraId="497E466C">
      <w:pPr>
        <w:numPr>
          <w:ilvl w:val="0"/>
          <w:numId w:val="61"/>
        </w:numPr>
        <w:bidi w:val="0"/>
        <w:ind w:left="0" w:leftChars="0" w:firstLine="0" w:firstLineChars="0"/>
        <w:rPr>
          <w:rFonts w:hint="eastAsia"/>
          <w:lang w:val="en-US" w:eastAsia="zh-CN"/>
        </w:rPr>
      </w:pPr>
      <w:r>
        <w:rPr>
          <w:rFonts w:hint="eastAsia"/>
          <w:lang w:val="en-US" w:eastAsia="zh-CN"/>
        </w:rPr>
        <w:t>《集装箱模块化组合房屋技术规程》CECS334</w:t>
      </w:r>
    </w:p>
    <w:p w14:paraId="2803B16A">
      <w:pPr>
        <w:numPr>
          <w:ilvl w:val="0"/>
          <w:numId w:val="61"/>
        </w:numPr>
        <w:bidi w:val="0"/>
        <w:ind w:left="0" w:leftChars="0" w:firstLine="0" w:firstLineChars="0"/>
        <w:rPr>
          <w:rFonts w:hint="eastAsia"/>
          <w:lang w:eastAsia="zh-CN"/>
        </w:rPr>
      </w:pPr>
      <w:r>
        <w:rPr>
          <w:rFonts w:hint="eastAsia"/>
          <w:lang w:eastAsia="zh-CN"/>
        </w:rPr>
        <w:t>《建筑结构用冷弯矩形铜管》JG/</w:t>
      </w:r>
      <w:r>
        <w:rPr>
          <w:rFonts w:hint="eastAsia"/>
          <w:lang w:val="en-US" w:eastAsia="zh-CN"/>
        </w:rPr>
        <w:t>T</w:t>
      </w:r>
      <w:r>
        <w:rPr>
          <w:rFonts w:hint="eastAsia"/>
          <w:lang w:eastAsia="zh-CN"/>
        </w:rPr>
        <w:t xml:space="preserve"> 178</w:t>
      </w:r>
    </w:p>
    <w:p w14:paraId="43A86B4A">
      <w:pPr>
        <w:numPr>
          <w:ilvl w:val="0"/>
          <w:numId w:val="61"/>
        </w:numPr>
        <w:bidi w:val="0"/>
        <w:ind w:left="0" w:leftChars="0" w:firstLine="0" w:firstLineChars="0"/>
        <w:rPr>
          <w:rFonts w:hint="eastAsia"/>
          <w:lang w:eastAsia="zh-CN"/>
        </w:rPr>
      </w:pPr>
      <w:r>
        <w:rPr>
          <w:rFonts w:hint="eastAsia"/>
          <w:lang w:eastAsia="zh-CN"/>
        </w:rPr>
        <w:t>《热轧型钢和部分型钢》GB/T 11263</w:t>
      </w:r>
    </w:p>
    <w:p w14:paraId="47E625B4">
      <w:pPr>
        <w:numPr>
          <w:ilvl w:val="0"/>
          <w:numId w:val="61"/>
        </w:numPr>
        <w:bidi w:val="0"/>
        <w:ind w:left="0" w:leftChars="0" w:firstLine="0" w:firstLineChars="0"/>
        <w:rPr>
          <w:rFonts w:hint="eastAsia"/>
          <w:lang w:eastAsia="zh-CN"/>
        </w:rPr>
      </w:pPr>
      <w:r>
        <w:rPr>
          <w:rFonts w:hint="eastAsia"/>
          <w:lang w:eastAsia="zh-CN"/>
        </w:rPr>
        <w:t>《碳素结构》GB/T 700</w:t>
      </w:r>
    </w:p>
    <w:p w14:paraId="2853213E">
      <w:pPr>
        <w:numPr>
          <w:ilvl w:val="0"/>
          <w:numId w:val="61"/>
        </w:numPr>
        <w:bidi w:val="0"/>
        <w:ind w:left="0" w:leftChars="0" w:firstLine="0" w:firstLineChars="0"/>
        <w:rPr>
          <w:rFonts w:hint="eastAsia"/>
          <w:lang w:eastAsia="zh-CN"/>
        </w:rPr>
      </w:pPr>
      <w:r>
        <w:rPr>
          <w:rFonts w:hint="eastAsia"/>
          <w:lang w:eastAsia="zh-CN"/>
        </w:rPr>
        <w:t>《低合金高强度结构钢》GB/T 1591</w:t>
      </w:r>
    </w:p>
    <w:p w14:paraId="21D937CB">
      <w:pPr>
        <w:numPr>
          <w:ilvl w:val="0"/>
          <w:numId w:val="61"/>
        </w:numPr>
        <w:bidi w:val="0"/>
        <w:ind w:left="0" w:leftChars="0" w:firstLine="0" w:firstLineChars="0"/>
        <w:rPr>
          <w:rFonts w:hint="eastAsia"/>
          <w:lang w:eastAsia="zh-CN"/>
        </w:rPr>
      </w:pPr>
      <w:r>
        <w:rPr>
          <w:rFonts w:hint="eastAsia"/>
          <w:lang w:eastAsia="zh-CN"/>
        </w:rPr>
        <w:t>《六角头螺栓》GB/T 5780</w:t>
      </w:r>
    </w:p>
    <w:p w14:paraId="7F457AAA">
      <w:pPr>
        <w:numPr>
          <w:ilvl w:val="0"/>
          <w:numId w:val="61"/>
        </w:numPr>
        <w:bidi w:val="0"/>
        <w:ind w:left="0" w:leftChars="0" w:firstLine="0" w:firstLineChars="0"/>
        <w:rPr>
          <w:rFonts w:hint="eastAsia"/>
          <w:lang w:eastAsia="zh-CN"/>
        </w:rPr>
      </w:pPr>
      <w:r>
        <w:rPr>
          <w:rFonts w:hint="eastAsia"/>
          <w:lang w:eastAsia="zh-CN"/>
        </w:rPr>
        <w:t>《钢结构用高强度大六角头螺栓》GB/T 1228</w:t>
      </w:r>
    </w:p>
    <w:p w14:paraId="226689E9">
      <w:pPr>
        <w:numPr>
          <w:ilvl w:val="0"/>
          <w:numId w:val="61"/>
        </w:numPr>
        <w:bidi w:val="0"/>
        <w:ind w:left="0" w:leftChars="0" w:firstLine="0" w:firstLineChars="0"/>
        <w:rPr>
          <w:rFonts w:hint="eastAsia"/>
          <w:lang w:eastAsia="zh-CN"/>
        </w:rPr>
      </w:pPr>
      <w:r>
        <w:rPr>
          <w:rFonts w:hint="eastAsia"/>
          <w:lang w:eastAsia="zh-CN"/>
        </w:rPr>
        <w:t>《钢结构用高强度大六角螺母》GB/T 1229</w:t>
      </w:r>
    </w:p>
    <w:p w14:paraId="09206E40">
      <w:pPr>
        <w:numPr>
          <w:ilvl w:val="0"/>
          <w:numId w:val="61"/>
        </w:numPr>
        <w:bidi w:val="0"/>
        <w:ind w:left="0" w:leftChars="0" w:firstLine="0" w:firstLineChars="0"/>
        <w:rPr>
          <w:rFonts w:hint="eastAsia"/>
          <w:lang w:eastAsia="zh-CN"/>
        </w:rPr>
      </w:pPr>
      <w:r>
        <w:rPr>
          <w:rFonts w:hint="eastAsia"/>
          <w:lang w:eastAsia="zh-CN"/>
        </w:rPr>
        <w:t>《钢结构用高强度垫圈》GB/T 1230</w:t>
      </w:r>
    </w:p>
    <w:p w14:paraId="07DB455D">
      <w:pPr>
        <w:numPr>
          <w:ilvl w:val="0"/>
          <w:numId w:val="61"/>
        </w:numPr>
        <w:bidi w:val="0"/>
        <w:ind w:left="0" w:leftChars="0" w:firstLine="0" w:firstLineChars="0"/>
        <w:rPr>
          <w:rFonts w:hint="eastAsia"/>
          <w:lang w:eastAsia="zh-CN"/>
        </w:rPr>
      </w:pPr>
      <w:r>
        <w:rPr>
          <w:rFonts w:hint="eastAsia"/>
          <w:lang w:eastAsia="zh-CN"/>
        </w:rPr>
        <w:t>《钢结构用高强度大六角头螺栓、大六角螺母、垫圈技术条件》GB/T 1231</w:t>
      </w:r>
    </w:p>
    <w:p w14:paraId="24AD2E6F">
      <w:pPr>
        <w:numPr>
          <w:ilvl w:val="0"/>
          <w:numId w:val="61"/>
        </w:numPr>
        <w:bidi w:val="0"/>
        <w:ind w:left="0" w:leftChars="0" w:firstLine="0" w:firstLineChars="0"/>
        <w:rPr>
          <w:rFonts w:hint="eastAsia"/>
          <w:lang w:val="en-US" w:eastAsia="zh-CN"/>
        </w:rPr>
      </w:pPr>
      <w:r>
        <w:rPr>
          <w:rFonts w:hint="eastAsia"/>
          <w:lang w:eastAsia="zh-CN"/>
        </w:rPr>
        <w:t>《钢结构用扭剪型高强度螺栓连接副》GB/T 3632</w:t>
      </w:r>
    </w:p>
    <w:p w14:paraId="52C71994">
      <w:pPr>
        <w:numPr>
          <w:ilvl w:val="0"/>
          <w:numId w:val="61"/>
        </w:numPr>
        <w:bidi w:val="0"/>
        <w:ind w:left="0" w:leftChars="0" w:firstLine="0" w:firstLineChars="0"/>
        <w:rPr>
          <w:rFonts w:hint="eastAsia"/>
          <w:lang w:val="en-US" w:eastAsia="zh-CN"/>
        </w:rPr>
      </w:pPr>
      <w:r>
        <w:rPr>
          <w:rFonts w:hint="eastAsia"/>
          <w:lang w:eastAsia="zh-CN"/>
        </w:rPr>
        <w:t>《十字槽盘头自钻自攻螺钉》 GB/T 36 15856. 1</w:t>
      </w:r>
    </w:p>
    <w:p w14:paraId="50D44B33">
      <w:pPr>
        <w:numPr>
          <w:ilvl w:val="0"/>
          <w:numId w:val="61"/>
        </w:numPr>
        <w:bidi w:val="0"/>
        <w:ind w:left="0" w:leftChars="0" w:firstLine="0" w:firstLineChars="0"/>
        <w:rPr>
          <w:rFonts w:hint="eastAsia"/>
          <w:lang w:val="en-US" w:eastAsia="zh-CN"/>
        </w:rPr>
      </w:pPr>
      <w:r>
        <w:rPr>
          <w:rFonts w:hint="eastAsia"/>
          <w:lang w:val="en-US" w:eastAsia="zh-CN"/>
        </w:rPr>
        <w:t>《建筑消防设施的维护管理》 GB 25201</w:t>
      </w:r>
    </w:p>
    <w:p w14:paraId="0ED52DAB">
      <w:pPr>
        <w:numPr>
          <w:ilvl w:val="0"/>
          <w:numId w:val="61"/>
        </w:numPr>
        <w:bidi w:val="0"/>
        <w:ind w:left="0" w:leftChars="0" w:firstLine="0" w:firstLineChars="0"/>
        <w:rPr>
          <w:rFonts w:hint="eastAsia"/>
          <w:lang w:val="en-US" w:eastAsia="zh-CN"/>
        </w:rPr>
      </w:pPr>
      <w:r>
        <w:rPr>
          <w:rFonts w:hint="eastAsia"/>
          <w:lang w:val="en-US" w:eastAsia="zh-CN"/>
        </w:rPr>
        <w:t xml:space="preserve">《建筑物电子信息系统防雷技术规范》 GB 50343 </w:t>
      </w:r>
    </w:p>
    <w:p w14:paraId="52E98BA0">
      <w:pPr>
        <w:numPr>
          <w:ilvl w:val="0"/>
          <w:numId w:val="61"/>
        </w:numPr>
        <w:bidi w:val="0"/>
        <w:ind w:left="0" w:leftChars="0" w:firstLine="0" w:firstLineChars="0"/>
        <w:rPr>
          <w:rFonts w:hint="eastAsia"/>
          <w:lang w:val="en-US" w:eastAsia="zh-CN"/>
        </w:rPr>
      </w:pPr>
      <w:r>
        <w:rPr>
          <w:rFonts w:hint="eastAsia"/>
          <w:lang w:val="en-US" w:eastAsia="zh-CN"/>
        </w:rPr>
        <w:t>《智能建筑设计标准》GB 50314</w:t>
      </w:r>
    </w:p>
    <w:p w14:paraId="5D65566E">
      <w:pPr>
        <w:numPr>
          <w:ilvl w:val="0"/>
          <w:numId w:val="61"/>
        </w:numPr>
        <w:bidi w:val="0"/>
        <w:ind w:left="0" w:leftChars="0" w:firstLine="0" w:firstLineChars="0"/>
        <w:rPr>
          <w:rFonts w:hint="eastAsia"/>
          <w:lang w:eastAsia="zh-CN"/>
        </w:rPr>
      </w:pPr>
      <w:r>
        <w:rPr>
          <w:rFonts w:hint="eastAsia"/>
          <w:lang w:eastAsia="zh-CN"/>
        </w:rPr>
        <w:t>《四川省建设工程防水技术标准》DBJ51/T 255</w:t>
      </w:r>
    </w:p>
    <w:p w14:paraId="60D178AC">
      <w:pPr>
        <w:numPr>
          <w:ilvl w:val="0"/>
          <w:numId w:val="61"/>
        </w:numPr>
        <w:bidi w:val="0"/>
        <w:ind w:left="0" w:leftChars="0" w:firstLine="0" w:firstLineChars="0"/>
        <w:rPr>
          <w:lang w:eastAsia="zh-CN"/>
        </w:rPr>
      </w:pPr>
      <w:r>
        <w:rPr>
          <w:rFonts w:hint="eastAsia"/>
          <w:lang w:eastAsia="zh-CN"/>
        </w:rPr>
        <w:t>《四川省混凝土结构居住建筑装配式装修工程技术标准》DBJ51/T135</w:t>
      </w:r>
    </w:p>
    <w:p w14:paraId="518A1893">
      <w:pPr>
        <w:rPr>
          <w:rFonts w:hint="eastAsia"/>
          <w:lang w:eastAsia="zh-CN"/>
        </w:rPr>
      </w:pPr>
      <w:r>
        <w:rPr>
          <w:rFonts w:hint="eastAsia"/>
          <w:lang w:eastAsia="zh-CN"/>
        </w:rPr>
        <w:br w:type="page"/>
      </w:r>
    </w:p>
    <w:p w14:paraId="7D3F15A7">
      <w:pPr>
        <w:pStyle w:val="9"/>
        <w:rPr>
          <w:rFonts w:hint="eastAsia"/>
          <w:lang w:eastAsia="zh-CN"/>
        </w:rPr>
      </w:pPr>
    </w:p>
    <w:p w14:paraId="2022DA0E">
      <w:pPr>
        <w:pStyle w:val="2"/>
        <w:bidi w:val="0"/>
        <w:rPr>
          <w:lang w:eastAsia="zh-CN"/>
        </w:rPr>
      </w:pPr>
      <w:bookmarkStart w:id="90" w:name="_Toc17856"/>
      <w:bookmarkStart w:id="91" w:name="_Toc17865"/>
      <w:r>
        <w:rPr>
          <w:rFonts w:hint="eastAsia"/>
          <w:lang w:eastAsia="zh-CN"/>
        </w:rPr>
        <w:t>条文说明</w:t>
      </w:r>
      <w:bookmarkEnd w:id="90"/>
      <w:bookmarkEnd w:id="91"/>
    </w:p>
    <w:p w14:paraId="510B780B">
      <w:pPr>
        <w:bidi w:val="0"/>
      </w:pPr>
    </w:p>
    <w:p w14:paraId="057CAE70">
      <w:pPr>
        <w:bidi w:val="0"/>
        <w:rPr>
          <w:lang w:eastAsia="zh-CN"/>
        </w:rPr>
      </w:pPr>
    </w:p>
    <w:p w14:paraId="4960FC52">
      <w:pPr>
        <w:bidi w:val="0"/>
        <w:rPr>
          <w:lang w:eastAsia="zh-CN"/>
        </w:rPr>
      </w:pPr>
    </w:p>
    <w:p w14:paraId="7B2DBE59">
      <w:pPr>
        <w:rPr>
          <w:lang w:eastAsia="zh-CN"/>
        </w:rPr>
      </w:pPr>
    </w:p>
    <w:p w14:paraId="29631E64">
      <w:pPr>
        <w:spacing w:before="66" w:line="221" w:lineRule="auto"/>
        <w:ind w:left="435"/>
        <w:rPr>
          <w:rFonts w:ascii="Times New Roman" w:hAnsi="Times New Roman" w:eastAsia="Times New Roman" w:cs="Times New Roman"/>
          <w:color w:val="FF0000"/>
          <w:lang w:eastAsia="zh-CN"/>
        </w:rPr>
      </w:pPr>
    </w:p>
    <w:p w14:paraId="1E4BD47C">
      <w:pPr>
        <w:spacing w:line="221" w:lineRule="auto"/>
        <w:rPr>
          <w:rFonts w:ascii="Times New Roman" w:hAnsi="Times New Roman" w:eastAsia="Times New Roman" w:cs="Times New Roman"/>
          <w:lang w:eastAsia="zh-CN"/>
        </w:rPr>
        <w:sectPr>
          <w:footerReference r:id="rId11" w:type="default"/>
          <w:pgSz w:w="11907" w:h="16839"/>
          <w:pgMar w:top="1431" w:right="1785" w:bottom="1177" w:left="1307" w:header="0" w:footer="850" w:gutter="0"/>
          <w:pgNumType w:fmt="decimal"/>
          <w:cols w:space="720" w:num="1"/>
          <w:docGrid w:linePitch="286" w:charSpace="0"/>
        </w:sectPr>
      </w:pPr>
    </w:p>
    <w:p w14:paraId="3FD4AD72">
      <w:pPr>
        <w:numPr>
          <w:ilvl w:val="0"/>
          <w:numId w:val="0"/>
        </w:numPr>
        <w:tabs>
          <w:tab w:val="left" w:pos="0"/>
          <w:tab w:val="left" w:pos="314"/>
          <w:tab w:val="left" w:pos="900"/>
        </w:tabs>
        <w:spacing w:line="400" w:lineRule="exact"/>
        <w:ind w:leftChars="0"/>
        <w:rPr>
          <w:rFonts w:ascii="宋体" w:hAnsi="宋体"/>
          <w:sz w:val="24"/>
          <w:szCs w:val="24"/>
        </w:rPr>
      </w:pPr>
    </w:p>
    <w:p w14:paraId="56E37E72">
      <w:pPr>
        <w:bidi w:val="0"/>
        <w:rPr>
          <w:rFonts w:hint="eastAsia"/>
          <w:lang w:val="en-US" w:eastAsia="zh-CN"/>
        </w:rPr>
      </w:pPr>
    </w:p>
    <w:p w14:paraId="4431E7BC">
      <w:pPr>
        <w:bidi w:val="0"/>
        <w:rPr>
          <w:rFonts w:hint="eastAsia"/>
          <w:lang w:val="en-US" w:eastAsia="zh-CN"/>
        </w:rPr>
      </w:pPr>
    </w:p>
    <w:p w14:paraId="002F5F08">
      <w:pPr>
        <w:bidi w:val="0"/>
        <w:rPr>
          <w:rFonts w:hint="eastAsia"/>
          <w:lang w:val="en-US" w:eastAsia="zh-CN"/>
        </w:rPr>
      </w:pPr>
    </w:p>
    <w:p w14:paraId="5705BCE6">
      <w:pPr>
        <w:bidi w:val="0"/>
        <w:rPr>
          <w:rFonts w:hint="eastAsia"/>
          <w:lang w:val="en-US" w:eastAsia="zh-CN"/>
        </w:rPr>
      </w:pPr>
    </w:p>
    <w:p w14:paraId="6BD8EEA2">
      <w:pPr>
        <w:rPr>
          <w:rFonts w:hint="eastAsia"/>
          <w:lang w:val="en-US" w:eastAsia="zh-CN"/>
        </w:rPr>
      </w:pPr>
    </w:p>
    <w:sectPr>
      <w:pgSz w:w="11906" w:h="16838"/>
      <w:pgMar w:top="1134" w:right="1417" w:bottom="1134"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报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B998">
    <w:pPr>
      <w:spacing w:line="176" w:lineRule="auto"/>
      <w:jc w:val="right"/>
      <w:rPr>
        <w:rFonts w:hint="eastAsia" w:ascii="Times New Roman" w:hAnsi="Times New Roman" w:eastAsia="宋体" w:cs="Times New Roman"/>
        <w:sz w:val="21"/>
        <w:szCs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46F64">
    <w:pPr>
      <w:spacing w:line="176" w:lineRule="auto"/>
      <w:jc w:val="right"/>
      <w:rPr>
        <w:rFonts w:hint="eastAsia" w:ascii="Times New Roman" w:hAnsi="Times New Roman" w:eastAsia="宋体" w:cs="Times New Roman"/>
        <w:sz w:val="21"/>
        <w:szCs w:val="24"/>
        <w:lang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6702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2B6702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B4BB7">
    <w:pPr>
      <w:spacing w:line="240" w:lineRule="auto"/>
      <w:jc w:val="both"/>
      <w:rPr>
        <w:rFonts w:ascii="等线" w:hAnsi="等线" w:eastAsia="等线" w:cs="Times New Roman"/>
        <w:sz w:val="21"/>
        <w:szCs w:val="24"/>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14CA7">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D14CA7">
                    <w:pPr>
                      <w:pStyle w:val="16"/>
                    </w:pPr>
                    <w:r>
                      <w:fldChar w:fldCharType="begin"/>
                    </w:r>
                    <w:r>
                      <w:instrText xml:space="preserve"> PAGE  \* MERGEFORMAT </w:instrText>
                    </w:r>
                    <w:r>
                      <w:fldChar w:fldCharType="separate"/>
                    </w:r>
                    <w:r>
                      <w:t>4</w:t>
                    </w:r>
                    <w:r>
                      <w:fldChar w:fldCharType="end"/>
                    </w:r>
                  </w:p>
                </w:txbxContent>
              </v:textbox>
            </v:shape>
          </w:pict>
        </mc:Fallback>
      </mc:AlternateContent>
    </w:r>
  </w:p>
  <w:p w14:paraId="00090BBB">
    <w:pPr>
      <w:spacing w:line="174" w:lineRule="auto"/>
      <w:ind w:left="3"/>
      <w:jc w:val="both"/>
      <w:rPr>
        <w:rFonts w:ascii="Times New Roman" w:hAnsi="Times New Roman" w:eastAsia="Times New Roman" w:cs="Times New Roman"/>
        <w:sz w:val="21"/>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10598">
    <w:pPr>
      <w:widowControl w:val="0"/>
      <w:tabs>
        <w:tab w:val="center" w:pos="4153"/>
        <w:tab w:val="right" w:pos="8306"/>
      </w:tabs>
      <w:snapToGrid w:val="0"/>
      <w:jc w:val="right"/>
      <w:rPr>
        <w:rFonts w:ascii="等线" w:hAnsi="等线" w:eastAsia="等线" w:cs="Times New Roman"/>
        <w:kern w:val="2"/>
        <w:sz w:val="18"/>
        <w:szCs w:val="24"/>
        <w:lang w:val="en-US" w:eastAsia="zh-CN" w:bidi="ar-SA"/>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72E25">
                          <w:pPr>
                            <w:pStyle w:val="1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8C72E25">
                    <w:pPr>
                      <w:pStyle w:val="16"/>
                    </w:pPr>
                    <w:r>
                      <w:fldChar w:fldCharType="begin"/>
                    </w:r>
                    <w:r>
                      <w:instrText xml:space="preserve"> PAGE  \* MERGEFORMAT </w:instrText>
                    </w:r>
                    <w:r>
                      <w:fldChar w:fldCharType="separate"/>
                    </w:r>
                    <w:r>
                      <w:t>6</w:t>
                    </w:r>
                    <w:r>
                      <w:fldChar w:fldCharType="end"/>
                    </w:r>
                  </w:p>
                </w:txbxContent>
              </v:textbox>
            </v:shape>
          </w:pict>
        </mc:Fallback>
      </mc:AlternateContent>
    </w:r>
  </w:p>
  <w:p w14:paraId="3404A250">
    <w:pPr>
      <w:spacing w:line="176" w:lineRule="auto"/>
      <w:ind w:left="3"/>
      <w:jc w:val="both"/>
      <w:rPr>
        <w:rFonts w:ascii="Times New Roman" w:hAnsi="Times New Roman" w:eastAsia="Times New Roman" w:cs="Times New Roman"/>
        <w:sz w:val="21"/>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61963">
    <w:pPr>
      <w:pStyle w:val="16"/>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AB908">
                          <w:pPr>
                            <w:pStyle w:val="1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ACAB908">
                    <w:pPr>
                      <w:pStyle w:val="16"/>
                    </w:pPr>
                    <w:r>
                      <w:fldChar w:fldCharType="begin"/>
                    </w:r>
                    <w:r>
                      <w:instrText xml:space="preserve"> PAGE  \* MERGEFORMAT </w:instrText>
                    </w:r>
                    <w:r>
                      <w:fldChar w:fldCharType="separate"/>
                    </w:r>
                    <w:r>
                      <w:t>46</w:t>
                    </w:r>
                    <w:r>
                      <w:fldChar w:fldCharType="end"/>
                    </w:r>
                  </w:p>
                </w:txbxContent>
              </v:textbox>
            </v:shape>
          </w:pict>
        </mc:Fallback>
      </mc:AlternateContent>
    </w:r>
  </w:p>
  <w:p w14:paraId="074AB81B">
    <w:pPr>
      <w:spacing w:line="176" w:lineRule="auto"/>
      <w:rPr>
        <w:rFonts w:ascii="Times New Roman" w:hAnsi="Times New Roman" w:eastAsia="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B01C6">
    <w:pPr>
      <w:pStyle w:val="16"/>
      <w:jc w:val="righ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1FBE6">
                          <w:pPr>
                            <w:pStyle w:val="1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671FBE6">
                    <w:pPr>
                      <w:pStyle w:val="16"/>
                    </w:pPr>
                    <w:r>
                      <w:fldChar w:fldCharType="begin"/>
                    </w:r>
                    <w:r>
                      <w:instrText xml:space="preserve"> PAGE  \* MERGEFORMAT </w:instrText>
                    </w:r>
                    <w:r>
                      <w:fldChar w:fldCharType="separate"/>
                    </w:r>
                    <w:r>
                      <w:t>64</w:t>
                    </w:r>
                    <w:r>
                      <w:fldChar w:fldCharType="end"/>
                    </w:r>
                  </w:p>
                </w:txbxContent>
              </v:textbox>
            </v:shape>
          </w:pict>
        </mc:Fallback>
      </mc:AlternateContent>
    </w:r>
  </w:p>
  <w:p w14:paraId="465D27E9">
    <w:pPr>
      <w:spacing w:line="176" w:lineRule="auto"/>
      <w:jc w:val="right"/>
      <w:rPr>
        <w:rFonts w:ascii="Times New Roman" w:hAnsi="Times New Roman" w:eastAsia="Times New Roman"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6CFC1">
    <w:pPr>
      <w:pStyle w:val="16"/>
      <w:jc w:val="right"/>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7AB67">
                          <w:pPr>
                            <w:pStyle w:val="1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927AB67">
                    <w:pPr>
                      <w:pStyle w:val="16"/>
                    </w:pPr>
                    <w:r>
                      <w:fldChar w:fldCharType="begin"/>
                    </w:r>
                    <w:r>
                      <w:instrText xml:space="preserve"> PAGE  \* MERGEFORMAT </w:instrText>
                    </w:r>
                    <w:r>
                      <w:fldChar w:fldCharType="separate"/>
                    </w:r>
                    <w:r>
                      <w:t>67</w:t>
                    </w:r>
                    <w:r>
                      <w:fldChar w:fldCharType="end"/>
                    </w:r>
                  </w:p>
                </w:txbxContent>
              </v:textbox>
            </v:shape>
          </w:pict>
        </mc:Fallback>
      </mc:AlternateContent>
    </w:r>
  </w:p>
  <w:p w14:paraId="64568EFF">
    <w:pPr>
      <w:spacing w:line="176" w:lineRule="auto"/>
      <w:rPr>
        <w:rFonts w:ascii="Times New Roman" w:hAnsi="Times New Roman" w:eastAsia="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1B14F"/>
    <w:multiLevelType w:val="multilevel"/>
    <w:tmpl w:val="8671B14F"/>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8C5FC762"/>
    <w:multiLevelType w:val="multilevel"/>
    <w:tmpl w:val="8C5FC762"/>
    <w:lvl w:ilvl="0" w:tentative="0">
      <w:start w:val="1"/>
      <w:numFmt w:val="decimal"/>
      <w:suff w:val="space"/>
      <w:lvlText w:val="4.3.%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8F76681E"/>
    <w:multiLevelType w:val="multilevel"/>
    <w:tmpl w:val="8F76681E"/>
    <w:lvl w:ilvl="0" w:tentative="0">
      <w:start w:val="1"/>
      <w:numFmt w:val="decimal"/>
      <w:suff w:val="space"/>
      <w:lvlText w:val="%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900EDB81"/>
    <w:multiLevelType w:val="multilevel"/>
    <w:tmpl w:val="900EDB81"/>
    <w:lvl w:ilvl="0" w:tentative="0">
      <w:start w:val="1"/>
      <w:numFmt w:val="decimal"/>
      <w:suff w:val="space"/>
      <w:lvlText w:val="%1"/>
      <w:lvlJc w:val="left"/>
      <w:pPr>
        <w:tabs>
          <w:tab w:val="left" w:pos="0"/>
        </w:tabs>
        <w:ind w:left="0" w:firstLine="420"/>
      </w:pPr>
      <w:rPr>
        <w:rFonts w:hint="default" w:ascii="Times New Roman" w:hAnsi="Times New Roman" w:eastAsia="宋体" w:cs="微软雅黑"/>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98EA8102"/>
    <w:multiLevelType w:val="multilevel"/>
    <w:tmpl w:val="98EA8102"/>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995E6CA1"/>
    <w:multiLevelType w:val="multilevel"/>
    <w:tmpl w:val="995E6CA1"/>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9FDB89AC"/>
    <w:multiLevelType w:val="multilevel"/>
    <w:tmpl w:val="9FDB89AC"/>
    <w:lvl w:ilvl="0" w:tentative="0">
      <w:start w:val="1"/>
      <w:numFmt w:val="decimal"/>
      <w:lvlText w:val="3.1.%1"/>
      <w:lvlJc w:val="left"/>
      <w:pPr>
        <w:tabs>
          <w:tab w:val="left" w:pos="420"/>
        </w:tabs>
        <w:ind w:left="0" w:leftChars="0" w:firstLine="0" w:firstLineChars="0"/>
      </w:pPr>
      <w:rPr>
        <w:rFonts w:hint="default" w:ascii="Times New Roman" w:hAnsi="Times New Roman" w:cs="Times New Roman"/>
        <w:b/>
        <w:i w:val="0"/>
        <w:strike w:val="0"/>
        <w:dstrike w:val="0"/>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A3F20F63"/>
    <w:multiLevelType w:val="multilevel"/>
    <w:tmpl w:val="A3F20F63"/>
    <w:lvl w:ilvl="0" w:tentative="0">
      <w:start w:val="1"/>
      <w:numFmt w:val="decimal"/>
      <w:lvlText w:val="2.1.%1"/>
      <w:lvlJc w:val="left"/>
      <w:pPr>
        <w:tabs>
          <w:tab w:val="left" w:pos="420"/>
        </w:tabs>
        <w:ind w:left="0" w:leftChars="0" w:firstLine="0" w:firstLineChars="0"/>
      </w:pPr>
      <w:rPr>
        <w:rFonts w:hint="default" w:ascii="Times New Roman" w:hAnsi="Times New Roman" w:cs="Times New Roman"/>
        <w:b/>
        <w:i w:val="0"/>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A939D81C"/>
    <w:multiLevelType w:val="multilevel"/>
    <w:tmpl w:val="A939D81C"/>
    <w:lvl w:ilvl="0" w:tentative="0">
      <w:start w:val="1"/>
      <w:numFmt w:val="decimal"/>
      <w:suff w:val="space"/>
      <w:lvlText w:val="4.2.%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B09CF110"/>
    <w:multiLevelType w:val="multilevel"/>
    <w:tmpl w:val="B09CF110"/>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B1621996"/>
    <w:multiLevelType w:val="multilevel"/>
    <w:tmpl w:val="B1621996"/>
    <w:lvl w:ilvl="0" w:tentative="0">
      <w:start w:val="1"/>
      <w:numFmt w:val="decimal"/>
      <w:suff w:val="space"/>
      <w:lvlText w:val="5.2.%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B4083E09"/>
    <w:multiLevelType w:val="multilevel"/>
    <w:tmpl w:val="B4083E09"/>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B65B8486"/>
    <w:multiLevelType w:val="multilevel"/>
    <w:tmpl w:val="B65B8486"/>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3">
    <w:nsid w:val="BD7E202B"/>
    <w:multiLevelType w:val="multilevel"/>
    <w:tmpl w:val="BD7E202B"/>
    <w:lvl w:ilvl="0" w:tentative="0">
      <w:start w:val="1"/>
      <w:numFmt w:val="decimal"/>
      <w:suff w:val="space"/>
      <w:lvlText w:val="4.4.%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4">
    <w:nsid w:val="BDC82B74"/>
    <w:multiLevelType w:val="multilevel"/>
    <w:tmpl w:val="BDC82B74"/>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5">
    <w:nsid w:val="CF7D9346"/>
    <w:multiLevelType w:val="multilevel"/>
    <w:tmpl w:val="CF7D9346"/>
    <w:lvl w:ilvl="0" w:tentative="0">
      <w:start w:val="1"/>
      <w:numFmt w:val="decimal"/>
      <w:suff w:val="space"/>
      <w:lvlText w:val="8.2.%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6">
    <w:nsid w:val="DF2F5091"/>
    <w:multiLevelType w:val="multilevel"/>
    <w:tmpl w:val="DF2F5091"/>
    <w:lvl w:ilvl="0" w:tentative="0">
      <w:start w:val="1"/>
      <w:numFmt w:val="decimal"/>
      <w:suff w:val="space"/>
      <w:lvlText w:val="8.2.%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7">
    <w:nsid w:val="E0F42134"/>
    <w:multiLevelType w:val="multilevel"/>
    <w:tmpl w:val="E0F42134"/>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8">
    <w:nsid w:val="EEB55045"/>
    <w:multiLevelType w:val="multilevel"/>
    <w:tmpl w:val="EEB55045"/>
    <w:lvl w:ilvl="0" w:tentative="0">
      <w:start w:val="1"/>
      <w:numFmt w:val="decimal"/>
      <w:suff w:val="space"/>
      <w:lvlText w:val="5.1.%1"/>
      <w:lvlJc w:val="left"/>
      <w:pPr>
        <w:tabs>
          <w:tab w:val="left" w:pos="0"/>
        </w:tabs>
        <w:ind w:left="0" w:firstLine="0"/>
      </w:pPr>
      <w:rPr>
        <w:rFonts w:hint="default" w:ascii="Times New Roman" w:hAnsi="Times New Roman" w:eastAsia="宋体" w:cs="Times New Roman"/>
        <w:b/>
        <w:strike w:val="0"/>
        <w:dstrike w:val="0"/>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9">
    <w:nsid w:val="F1C0F8BA"/>
    <w:multiLevelType w:val="multilevel"/>
    <w:tmpl w:val="F1C0F8BA"/>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0">
    <w:nsid w:val="F213C5D4"/>
    <w:multiLevelType w:val="multilevel"/>
    <w:tmpl w:val="F213C5D4"/>
    <w:lvl w:ilvl="0" w:tentative="0">
      <w:start w:val="1"/>
      <w:numFmt w:val="decimal"/>
      <w:suff w:val="space"/>
      <w:lvlText w:val="7.3.%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1">
    <w:nsid w:val="F6F67695"/>
    <w:multiLevelType w:val="multilevel"/>
    <w:tmpl w:val="F6F67695"/>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2">
    <w:nsid w:val="F8B84DFF"/>
    <w:multiLevelType w:val="multilevel"/>
    <w:tmpl w:val="F8B84DFF"/>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3">
    <w:nsid w:val="FFF61CD7"/>
    <w:multiLevelType w:val="multilevel"/>
    <w:tmpl w:val="FFF61CD7"/>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4">
    <w:nsid w:val="0470E2BD"/>
    <w:multiLevelType w:val="multilevel"/>
    <w:tmpl w:val="0470E2BD"/>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5">
    <w:nsid w:val="08C8788C"/>
    <w:multiLevelType w:val="multilevel"/>
    <w:tmpl w:val="08C8788C"/>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6">
    <w:nsid w:val="094A2A53"/>
    <w:multiLevelType w:val="multilevel"/>
    <w:tmpl w:val="094A2A53"/>
    <w:lvl w:ilvl="0" w:tentative="0">
      <w:start w:val="1"/>
      <w:numFmt w:val="decimal"/>
      <w:suff w:val="space"/>
      <w:lvlText w:val="7.1.%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7">
    <w:nsid w:val="0B0B75A4"/>
    <w:multiLevelType w:val="multilevel"/>
    <w:tmpl w:val="0B0B75A4"/>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8">
    <w:nsid w:val="0F6EF0F1"/>
    <w:multiLevelType w:val="multilevel"/>
    <w:tmpl w:val="0F6EF0F1"/>
    <w:lvl w:ilvl="0" w:tentative="0">
      <w:start w:val="1"/>
      <w:numFmt w:val="decimal"/>
      <w:suff w:val="space"/>
      <w:lvlText w:val="4.5.%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9">
    <w:nsid w:val="13ACEF0E"/>
    <w:multiLevelType w:val="multilevel"/>
    <w:tmpl w:val="13ACEF0E"/>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0">
    <w:nsid w:val="14805AA5"/>
    <w:multiLevelType w:val="multilevel"/>
    <w:tmpl w:val="14805AA5"/>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1">
    <w:nsid w:val="198440D9"/>
    <w:multiLevelType w:val="multilevel"/>
    <w:tmpl w:val="198440D9"/>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2">
    <w:nsid w:val="2ABE28A8"/>
    <w:multiLevelType w:val="multilevel"/>
    <w:tmpl w:val="2ABE28A8"/>
    <w:lvl w:ilvl="0" w:tentative="0">
      <w:start w:val="1"/>
      <w:numFmt w:val="decimal"/>
      <w:suff w:val="space"/>
      <w:lvlText w:val="5.4.%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3">
    <w:nsid w:val="2ADFDF0C"/>
    <w:multiLevelType w:val="multilevel"/>
    <w:tmpl w:val="2ADFDF0C"/>
    <w:lvl w:ilvl="0" w:tentative="0">
      <w:start w:val="1"/>
      <w:numFmt w:val="decimal"/>
      <w:suff w:val="space"/>
      <w:lvlText w:val="6.2.%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4">
    <w:nsid w:val="2D4D66FD"/>
    <w:multiLevelType w:val="multilevel"/>
    <w:tmpl w:val="2D4D66FD"/>
    <w:lvl w:ilvl="0" w:tentative="0">
      <w:start w:val="1"/>
      <w:numFmt w:val="decimal"/>
      <w:suff w:val="space"/>
      <w:lvlText w:val="6.3.%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5">
    <w:nsid w:val="34291631"/>
    <w:multiLevelType w:val="multilevel"/>
    <w:tmpl w:val="34291631"/>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6">
    <w:nsid w:val="36E1BDD7"/>
    <w:multiLevelType w:val="multilevel"/>
    <w:tmpl w:val="36E1BDD7"/>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7">
    <w:nsid w:val="38588BD3"/>
    <w:multiLevelType w:val="multilevel"/>
    <w:tmpl w:val="38588BD3"/>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8">
    <w:nsid w:val="392B4B4E"/>
    <w:multiLevelType w:val="multilevel"/>
    <w:tmpl w:val="392B4B4E"/>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9">
    <w:nsid w:val="3C7156F8"/>
    <w:multiLevelType w:val="multilevel"/>
    <w:tmpl w:val="3C7156F8"/>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0">
    <w:nsid w:val="3E5BCB77"/>
    <w:multiLevelType w:val="multilevel"/>
    <w:tmpl w:val="3E5BCB77"/>
    <w:lvl w:ilvl="0" w:tentative="0">
      <w:start w:val="1"/>
      <w:numFmt w:val="decimal"/>
      <w:suff w:val="space"/>
      <w:lvlText w:val="4.1.%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1">
    <w:nsid w:val="44EA8E5B"/>
    <w:multiLevelType w:val="multilevel"/>
    <w:tmpl w:val="44EA8E5B"/>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2">
    <w:nsid w:val="4F51C157"/>
    <w:multiLevelType w:val="multilevel"/>
    <w:tmpl w:val="4F51C157"/>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3">
    <w:nsid w:val="4F7919B3"/>
    <w:multiLevelType w:val="multilevel"/>
    <w:tmpl w:val="4F7919B3"/>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4">
    <w:nsid w:val="53F898FA"/>
    <w:multiLevelType w:val="multilevel"/>
    <w:tmpl w:val="53F898FA"/>
    <w:lvl w:ilvl="0" w:tentative="0">
      <w:start w:val="1"/>
      <w:numFmt w:val="decimal"/>
      <w:suff w:val="space"/>
      <w:lvlText w:val="5.6.%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5">
    <w:nsid w:val="54C65212"/>
    <w:multiLevelType w:val="multilevel"/>
    <w:tmpl w:val="54C65212"/>
    <w:lvl w:ilvl="0" w:tentative="0">
      <w:start w:val="1"/>
      <w:numFmt w:val="decimal"/>
      <w:suff w:val="space"/>
      <w:lvlText w:val="7.2.%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6">
    <w:nsid w:val="5A87CBFF"/>
    <w:multiLevelType w:val="multilevel"/>
    <w:tmpl w:val="5A87CBFF"/>
    <w:lvl w:ilvl="0" w:tentative="0">
      <w:start w:val="1"/>
      <w:numFmt w:val="decimal"/>
      <w:suff w:val="space"/>
      <w:lvlText w:val="7.4.%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7">
    <w:nsid w:val="5AD3C9ED"/>
    <w:multiLevelType w:val="multilevel"/>
    <w:tmpl w:val="5AD3C9ED"/>
    <w:lvl w:ilvl="0" w:tentative="0">
      <w:start w:val="1"/>
      <w:numFmt w:val="decimal"/>
      <w:pStyle w:val="45"/>
      <w:lvlText w:val="1.0.%1"/>
      <w:lvlJc w:val="left"/>
      <w:pPr>
        <w:tabs>
          <w:tab w:val="left" w:pos="420"/>
        </w:tabs>
        <w:ind w:left="0" w:leftChars="0" w:firstLine="0" w:firstLineChars="0"/>
      </w:pPr>
      <w:rPr>
        <w:rFonts w:hint="default" w:ascii="Times New Roman" w:hAnsi="Times New Roman" w:cs="Times New Roman"/>
        <w:b/>
        <w:i w:val="0"/>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8">
    <w:nsid w:val="606595A9"/>
    <w:multiLevelType w:val="multilevel"/>
    <w:tmpl w:val="606595A9"/>
    <w:lvl w:ilvl="0" w:tentative="0">
      <w:start w:val="1"/>
      <w:numFmt w:val="decimal"/>
      <w:suff w:val="space"/>
      <w:lvlText w:val="8.3.%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9">
    <w:nsid w:val="669761B6"/>
    <w:multiLevelType w:val="multilevel"/>
    <w:tmpl w:val="669761B6"/>
    <w:lvl w:ilvl="0" w:tentative="0">
      <w:start w:val="1"/>
      <w:numFmt w:val="decimal"/>
      <w:suff w:val="space"/>
      <w:lvlText w:val="8.1.%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0">
    <w:nsid w:val="6A49743B"/>
    <w:multiLevelType w:val="multilevel"/>
    <w:tmpl w:val="6A49743B"/>
    <w:lvl w:ilvl="0" w:tentative="0">
      <w:start w:val="1"/>
      <w:numFmt w:val="decimal"/>
      <w:suff w:val="space"/>
      <w:lvlText w:val="%1"/>
      <w:lvlJc w:val="left"/>
      <w:pPr>
        <w:tabs>
          <w:tab w:val="left" w:pos="845"/>
        </w:tabs>
        <w:ind w:left="0" w:firstLine="0"/>
      </w:pPr>
      <w:rPr>
        <w:rFonts w:hint="default" w:ascii="Times New Roman" w:hAnsi="Times New Roman" w:cs="Times New Roman"/>
        <w:b/>
        <w:sz w:val="24"/>
        <w:szCs w:val="24"/>
      </w:rPr>
    </w:lvl>
    <w:lvl w:ilvl="1" w:tentative="0">
      <w:start w:val="1"/>
      <w:numFmt w:val="decimal"/>
      <w:suff w:val="space"/>
      <w:lvlText w:val="%2）"/>
      <w:lvlJc w:val="left"/>
      <w:pPr>
        <w:tabs>
          <w:tab w:val="left" w:pos="0"/>
        </w:tabs>
        <w:ind w:left="0" w:firstLine="0"/>
      </w:pPr>
      <w:rPr>
        <w:rFonts w:hint="default" w:ascii="Times New Roman" w:hAnsi="Times New Roman" w:cs="Times New Roman"/>
        <w:b/>
        <w:sz w:val="24"/>
        <w:szCs w:val="24"/>
      </w:rPr>
    </w:lvl>
    <w:lvl w:ilvl="2" w:tentative="0">
      <w:start w:val="1"/>
      <w:numFmt w:val="lowerRoman"/>
      <w:lvlText w:val="%3."/>
      <w:lvlJc w:val="right"/>
      <w:pPr>
        <w:tabs>
          <w:tab w:val="left" w:pos="949"/>
        </w:tabs>
        <w:ind w:left="949" w:hanging="420"/>
      </w:pPr>
    </w:lvl>
    <w:lvl w:ilvl="3" w:tentative="0">
      <w:start w:val="1"/>
      <w:numFmt w:val="decimal"/>
      <w:lvlText w:val="%4."/>
      <w:lvlJc w:val="left"/>
      <w:pPr>
        <w:tabs>
          <w:tab w:val="left" w:pos="1369"/>
        </w:tabs>
        <w:ind w:left="1369" w:hanging="420"/>
      </w:pPr>
    </w:lvl>
    <w:lvl w:ilvl="4" w:tentative="0">
      <w:start w:val="1"/>
      <w:numFmt w:val="lowerLetter"/>
      <w:lvlText w:val="%5)"/>
      <w:lvlJc w:val="left"/>
      <w:pPr>
        <w:tabs>
          <w:tab w:val="left" w:pos="1789"/>
        </w:tabs>
        <w:ind w:left="1789" w:hanging="420"/>
      </w:pPr>
    </w:lvl>
    <w:lvl w:ilvl="5" w:tentative="0">
      <w:start w:val="1"/>
      <w:numFmt w:val="lowerRoman"/>
      <w:lvlText w:val="%6."/>
      <w:lvlJc w:val="right"/>
      <w:pPr>
        <w:tabs>
          <w:tab w:val="left" w:pos="2209"/>
        </w:tabs>
        <w:ind w:left="2209" w:hanging="420"/>
      </w:pPr>
    </w:lvl>
    <w:lvl w:ilvl="6" w:tentative="0">
      <w:start w:val="1"/>
      <w:numFmt w:val="decimal"/>
      <w:lvlText w:val="%7."/>
      <w:lvlJc w:val="left"/>
      <w:pPr>
        <w:tabs>
          <w:tab w:val="left" w:pos="2629"/>
        </w:tabs>
        <w:ind w:left="2629" w:hanging="420"/>
      </w:pPr>
    </w:lvl>
    <w:lvl w:ilvl="7" w:tentative="0">
      <w:start w:val="1"/>
      <w:numFmt w:val="lowerLetter"/>
      <w:lvlText w:val="%8)"/>
      <w:lvlJc w:val="left"/>
      <w:pPr>
        <w:tabs>
          <w:tab w:val="left" w:pos="3049"/>
        </w:tabs>
        <w:ind w:left="3049" w:hanging="420"/>
      </w:pPr>
    </w:lvl>
    <w:lvl w:ilvl="8" w:tentative="0">
      <w:start w:val="1"/>
      <w:numFmt w:val="lowerRoman"/>
      <w:lvlText w:val="%9."/>
      <w:lvlJc w:val="right"/>
      <w:pPr>
        <w:tabs>
          <w:tab w:val="left" w:pos="3469"/>
        </w:tabs>
        <w:ind w:left="3469" w:hanging="420"/>
      </w:pPr>
    </w:lvl>
  </w:abstractNum>
  <w:abstractNum w:abstractNumId="51">
    <w:nsid w:val="6BB5A980"/>
    <w:multiLevelType w:val="multilevel"/>
    <w:tmpl w:val="6BB5A980"/>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2">
    <w:nsid w:val="6C3D038A"/>
    <w:multiLevelType w:val="multilevel"/>
    <w:tmpl w:val="6C3D038A"/>
    <w:lvl w:ilvl="0" w:tentative="0">
      <w:start w:val="1"/>
      <w:numFmt w:val="decimal"/>
      <w:suff w:val="space"/>
      <w:lvlText w:val="9.1.%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3">
    <w:nsid w:val="6D8F7615"/>
    <w:multiLevelType w:val="multilevel"/>
    <w:tmpl w:val="6D8F7615"/>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4">
    <w:nsid w:val="70461E67"/>
    <w:multiLevelType w:val="multilevel"/>
    <w:tmpl w:val="70461E67"/>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5">
    <w:nsid w:val="735CFC51"/>
    <w:multiLevelType w:val="multilevel"/>
    <w:tmpl w:val="735CFC51"/>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6">
    <w:nsid w:val="773D0666"/>
    <w:multiLevelType w:val="multilevel"/>
    <w:tmpl w:val="773D0666"/>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7">
    <w:nsid w:val="7847509A"/>
    <w:multiLevelType w:val="multilevel"/>
    <w:tmpl w:val="7847509A"/>
    <w:lvl w:ilvl="0" w:tentative="0">
      <w:start w:val="1"/>
      <w:numFmt w:val="decimal"/>
      <w:suff w:val="space"/>
      <w:lvlText w:val="5.3.%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8">
    <w:nsid w:val="79060E0F"/>
    <w:multiLevelType w:val="multilevel"/>
    <w:tmpl w:val="79060E0F"/>
    <w:lvl w:ilvl="0" w:tentative="0">
      <w:start w:val="1"/>
      <w:numFmt w:val="decimal"/>
      <w:suff w:val="space"/>
      <w:lvlText w:val="5.5.%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9">
    <w:nsid w:val="7934BDB1"/>
    <w:multiLevelType w:val="multilevel"/>
    <w:tmpl w:val="7934BDB1"/>
    <w:lvl w:ilvl="0" w:tentative="0">
      <w:start w:val="1"/>
      <w:numFmt w:val="decimal"/>
      <w:suff w:val="space"/>
      <w:lvlText w:val="6.1.%1"/>
      <w:lvlJc w:val="left"/>
      <w:pPr>
        <w:tabs>
          <w:tab w:val="left" w:pos="0"/>
        </w:tabs>
        <w:ind w:left="0" w:firstLine="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0">
    <w:nsid w:val="7DC714F6"/>
    <w:multiLevelType w:val="multilevel"/>
    <w:tmpl w:val="7DC714F6"/>
    <w:lvl w:ilvl="0" w:tentative="0">
      <w:start w:val="1"/>
      <w:numFmt w:val="decimal"/>
      <w:suff w:val="space"/>
      <w:lvlText w:val="%1"/>
      <w:lvlJc w:val="left"/>
      <w:pPr>
        <w:tabs>
          <w:tab w:val="left" w:pos="0"/>
        </w:tabs>
        <w:ind w:left="0" w:firstLine="420"/>
      </w:pPr>
      <w:rPr>
        <w:rFonts w:hint="default" w:ascii="Times New Roman" w:hAnsi="Times New Roman" w:eastAsia="宋体" w:cs="Times New Roman"/>
        <w:b/>
        <w:color w:val="auto"/>
        <w:sz w:val="24"/>
        <w:szCs w:val="24"/>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47"/>
  </w:num>
  <w:num w:numId="2">
    <w:abstractNumId w:val="7"/>
  </w:num>
  <w:num w:numId="3">
    <w:abstractNumId w:val="6"/>
  </w:num>
  <w:num w:numId="4">
    <w:abstractNumId w:val="40"/>
  </w:num>
  <w:num w:numId="5">
    <w:abstractNumId w:val="8"/>
  </w:num>
  <w:num w:numId="6">
    <w:abstractNumId w:val="11"/>
  </w:num>
  <w:num w:numId="7">
    <w:abstractNumId w:val="43"/>
  </w:num>
  <w:num w:numId="8">
    <w:abstractNumId w:val="53"/>
  </w:num>
  <w:num w:numId="9">
    <w:abstractNumId w:val="1"/>
  </w:num>
  <w:num w:numId="10">
    <w:abstractNumId w:val="55"/>
  </w:num>
  <w:num w:numId="11">
    <w:abstractNumId w:val="12"/>
  </w:num>
  <w:num w:numId="12">
    <w:abstractNumId w:val="0"/>
  </w:num>
  <w:num w:numId="13">
    <w:abstractNumId w:val="4"/>
  </w:num>
  <w:num w:numId="14">
    <w:abstractNumId w:val="13"/>
  </w:num>
  <w:num w:numId="15">
    <w:abstractNumId w:val="29"/>
  </w:num>
  <w:num w:numId="16">
    <w:abstractNumId w:val="60"/>
  </w:num>
  <w:num w:numId="17">
    <w:abstractNumId w:val="31"/>
  </w:num>
  <w:num w:numId="18">
    <w:abstractNumId w:val="5"/>
  </w:num>
  <w:num w:numId="19">
    <w:abstractNumId w:val="28"/>
  </w:num>
  <w:num w:numId="20">
    <w:abstractNumId w:val="39"/>
  </w:num>
  <w:num w:numId="21">
    <w:abstractNumId w:val="17"/>
  </w:num>
  <w:num w:numId="22">
    <w:abstractNumId w:val="42"/>
  </w:num>
  <w:num w:numId="23">
    <w:abstractNumId w:val="18"/>
  </w:num>
  <w:num w:numId="24">
    <w:abstractNumId w:val="10"/>
  </w:num>
  <w:num w:numId="25">
    <w:abstractNumId w:val="57"/>
  </w:num>
  <w:num w:numId="26">
    <w:abstractNumId w:val="32"/>
  </w:num>
  <w:num w:numId="27">
    <w:abstractNumId w:val="58"/>
  </w:num>
  <w:num w:numId="28">
    <w:abstractNumId w:val="44"/>
  </w:num>
  <w:num w:numId="29">
    <w:abstractNumId w:val="59"/>
  </w:num>
  <w:num w:numId="30">
    <w:abstractNumId w:val="33"/>
  </w:num>
  <w:num w:numId="31">
    <w:abstractNumId w:val="3"/>
  </w:num>
  <w:num w:numId="32">
    <w:abstractNumId w:val="24"/>
  </w:num>
  <w:num w:numId="33">
    <w:abstractNumId w:val="34"/>
  </w:num>
  <w:num w:numId="34">
    <w:abstractNumId w:val="14"/>
  </w:num>
  <w:num w:numId="35">
    <w:abstractNumId w:val="22"/>
  </w:num>
  <w:num w:numId="36">
    <w:abstractNumId w:val="26"/>
  </w:num>
  <w:num w:numId="37">
    <w:abstractNumId w:val="45"/>
  </w:num>
  <w:num w:numId="38">
    <w:abstractNumId w:val="23"/>
  </w:num>
  <w:num w:numId="39">
    <w:abstractNumId w:val="54"/>
  </w:num>
  <w:num w:numId="40">
    <w:abstractNumId w:val="9"/>
  </w:num>
  <w:num w:numId="41">
    <w:abstractNumId w:val="35"/>
  </w:num>
  <w:num w:numId="42">
    <w:abstractNumId w:val="30"/>
  </w:num>
  <w:num w:numId="43">
    <w:abstractNumId w:val="19"/>
  </w:num>
  <w:num w:numId="44">
    <w:abstractNumId w:val="21"/>
  </w:num>
  <w:num w:numId="45">
    <w:abstractNumId w:val="38"/>
  </w:num>
  <w:num w:numId="46">
    <w:abstractNumId w:val="20"/>
  </w:num>
  <w:num w:numId="47">
    <w:abstractNumId w:val="51"/>
  </w:num>
  <w:num w:numId="48">
    <w:abstractNumId w:val="37"/>
  </w:num>
  <w:num w:numId="49">
    <w:abstractNumId w:val="46"/>
  </w:num>
  <w:num w:numId="50">
    <w:abstractNumId w:val="36"/>
  </w:num>
  <w:num w:numId="51">
    <w:abstractNumId w:val="49"/>
  </w:num>
  <w:num w:numId="52">
    <w:abstractNumId w:val="16"/>
  </w:num>
  <w:num w:numId="53">
    <w:abstractNumId w:val="25"/>
  </w:num>
  <w:num w:numId="54">
    <w:abstractNumId w:val="41"/>
  </w:num>
  <w:num w:numId="55">
    <w:abstractNumId w:val="15"/>
  </w:num>
  <w:num w:numId="56">
    <w:abstractNumId w:val="48"/>
  </w:num>
  <w:num w:numId="57">
    <w:abstractNumId w:val="52"/>
  </w:num>
  <w:num w:numId="58">
    <w:abstractNumId w:val="56"/>
  </w:num>
  <w:num w:numId="59">
    <w:abstractNumId w:val="27"/>
  </w:num>
  <w:num w:numId="60">
    <w:abstractNumId w:val="50"/>
  </w:num>
  <w:num w:numId="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k5NTFmYWJmNzhhZjY5ODI3MDRlYmY3OTAzMmEifQ=="/>
    <w:docVar w:name="KSO_WPS_MARK_KEY" w:val="7abb02f5-e6b3-4995-84ed-7ea9f2db3061"/>
  </w:docVars>
  <w:rsids>
    <w:rsidRoot w:val="00172A27"/>
    <w:rsid w:val="04612621"/>
    <w:rsid w:val="04BA1F39"/>
    <w:rsid w:val="06995C8D"/>
    <w:rsid w:val="072106CF"/>
    <w:rsid w:val="0A9A5BF2"/>
    <w:rsid w:val="0AAF1EFF"/>
    <w:rsid w:val="0BBC481C"/>
    <w:rsid w:val="0BF57DE5"/>
    <w:rsid w:val="0CF51F37"/>
    <w:rsid w:val="0D85626E"/>
    <w:rsid w:val="0D8D55CF"/>
    <w:rsid w:val="0DB735A4"/>
    <w:rsid w:val="0E481FF9"/>
    <w:rsid w:val="0EAC3E6D"/>
    <w:rsid w:val="0EDA2663"/>
    <w:rsid w:val="104D064D"/>
    <w:rsid w:val="116B575B"/>
    <w:rsid w:val="14443C39"/>
    <w:rsid w:val="15836462"/>
    <w:rsid w:val="15CF695F"/>
    <w:rsid w:val="183A2D29"/>
    <w:rsid w:val="19140369"/>
    <w:rsid w:val="19B244E8"/>
    <w:rsid w:val="1AE0174A"/>
    <w:rsid w:val="1AE421CE"/>
    <w:rsid w:val="1B75137B"/>
    <w:rsid w:val="1B865037"/>
    <w:rsid w:val="1D501534"/>
    <w:rsid w:val="1D5F757A"/>
    <w:rsid w:val="1E5209CD"/>
    <w:rsid w:val="20A13EE4"/>
    <w:rsid w:val="20CE007E"/>
    <w:rsid w:val="21902D1D"/>
    <w:rsid w:val="21C519BB"/>
    <w:rsid w:val="22267DAC"/>
    <w:rsid w:val="22E03B85"/>
    <w:rsid w:val="23B4680E"/>
    <w:rsid w:val="25466612"/>
    <w:rsid w:val="25E762C1"/>
    <w:rsid w:val="27116195"/>
    <w:rsid w:val="272631F6"/>
    <w:rsid w:val="294E1EAE"/>
    <w:rsid w:val="2A84367E"/>
    <w:rsid w:val="30195AB1"/>
    <w:rsid w:val="303F02EF"/>
    <w:rsid w:val="30966162"/>
    <w:rsid w:val="320F78B0"/>
    <w:rsid w:val="32422082"/>
    <w:rsid w:val="331376EF"/>
    <w:rsid w:val="35E50455"/>
    <w:rsid w:val="37C40CFC"/>
    <w:rsid w:val="38FA3DF2"/>
    <w:rsid w:val="391A5F9E"/>
    <w:rsid w:val="3945261A"/>
    <w:rsid w:val="3B9C38D9"/>
    <w:rsid w:val="3C1D58B7"/>
    <w:rsid w:val="3E647A0D"/>
    <w:rsid w:val="3E8957D0"/>
    <w:rsid w:val="417B625A"/>
    <w:rsid w:val="44C14C67"/>
    <w:rsid w:val="457A48DC"/>
    <w:rsid w:val="45F50071"/>
    <w:rsid w:val="470E5D0D"/>
    <w:rsid w:val="479D6910"/>
    <w:rsid w:val="47DC355E"/>
    <w:rsid w:val="48294D2E"/>
    <w:rsid w:val="4C765DFD"/>
    <w:rsid w:val="4F082F58"/>
    <w:rsid w:val="4F333E1D"/>
    <w:rsid w:val="50C44846"/>
    <w:rsid w:val="557B394E"/>
    <w:rsid w:val="57716556"/>
    <w:rsid w:val="577B309F"/>
    <w:rsid w:val="5A9A5660"/>
    <w:rsid w:val="5AE149A0"/>
    <w:rsid w:val="5C3D2493"/>
    <w:rsid w:val="5C622191"/>
    <w:rsid w:val="638C5D56"/>
    <w:rsid w:val="67EE2244"/>
    <w:rsid w:val="69161620"/>
    <w:rsid w:val="69BC0244"/>
    <w:rsid w:val="6A1D168F"/>
    <w:rsid w:val="6C26062A"/>
    <w:rsid w:val="6CC57108"/>
    <w:rsid w:val="6DCD73EF"/>
    <w:rsid w:val="6E5E4E95"/>
    <w:rsid w:val="6EFF5CCE"/>
    <w:rsid w:val="6F7F6153"/>
    <w:rsid w:val="70A97C9F"/>
    <w:rsid w:val="71CD2578"/>
    <w:rsid w:val="72780E04"/>
    <w:rsid w:val="72886396"/>
    <w:rsid w:val="72CB75D2"/>
    <w:rsid w:val="73D10E9F"/>
    <w:rsid w:val="7441047F"/>
    <w:rsid w:val="7C354ADD"/>
    <w:rsid w:val="7CF21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宋体" w:cs="Times New Roman"/>
      <w:kern w:val="2"/>
      <w:sz w:val="24"/>
      <w:lang w:val="en-US" w:eastAsia="zh-CN" w:bidi="ar-SA"/>
    </w:rPr>
  </w:style>
  <w:style w:type="paragraph" w:styleId="2">
    <w:name w:val="heading 1"/>
    <w:basedOn w:val="1"/>
    <w:next w:val="1"/>
    <w:link w:val="31"/>
    <w:qFormat/>
    <w:uiPriority w:val="0"/>
    <w:pPr>
      <w:keepNext/>
      <w:keepLines/>
      <w:spacing w:before="50" w:beforeLines="50" w:after="50" w:afterLines="50" w:line="360" w:lineRule="auto"/>
      <w:jc w:val="center"/>
      <w:outlineLvl w:val="0"/>
    </w:pPr>
    <w:rPr>
      <w:b/>
      <w:bCs/>
      <w:kern w:val="44"/>
      <w:sz w:val="44"/>
      <w:szCs w:val="44"/>
    </w:rPr>
  </w:style>
  <w:style w:type="paragraph" w:styleId="3">
    <w:name w:val="heading 2"/>
    <w:basedOn w:val="1"/>
    <w:next w:val="1"/>
    <w:qFormat/>
    <w:uiPriority w:val="0"/>
    <w:pPr>
      <w:keepNext/>
      <w:keepLines/>
      <w:spacing w:before="50" w:beforeLines="50" w:after="50" w:afterLines="50" w:line="360" w:lineRule="auto"/>
      <w:jc w:val="center"/>
      <w:outlineLvl w:val="1"/>
    </w:pPr>
    <w:rPr>
      <w:rFonts w:ascii="Times New Roman" w:hAnsi="Times New Roman" w:eastAsia="黑体"/>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qFormat/>
    <w:uiPriority w:val="0"/>
  </w:style>
  <w:style w:type="table" w:default="1" w:styleId="2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tLeast"/>
      <w:ind w:firstLine="420"/>
      <w:jc w:val="left"/>
    </w:pPr>
    <w:rPr>
      <w:rFonts w:ascii="Times New Roman" w:hAnsi="Times New Roman" w:eastAsia="宋体" w:cs="Times New Roman"/>
      <w:kern w:val="0"/>
      <w:sz w:val="20"/>
    </w:rPr>
  </w:style>
  <w:style w:type="paragraph" w:styleId="7">
    <w:name w:val="Document Map"/>
    <w:basedOn w:val="1"/>
    <w:qFormat/>
    <w:uiPriority w:val="0"/>
    <w:pPr>
      <w:shd w:val="clear" w:color="auto" w:fill="000080"/>
    </w:pPr>
  </w:style>
  <w:style w:type="paragraph" w:styleId="8">
    <w:name w:val="annotation text"/>
    <w:basedOn w:val="1"/>
    <w:link w:val="32"/>
    <w:qFormat/>
    <w:uiPriority w:val="99"/>
    <w:pPr>
      <w:jc w:val="left"/>
    </w:pPr>
  </w:style>
  <w:style w:type="paragraph" w:styleId="9">
    <w:name w:val="Body Text"/>
    <w:basedOn w:val="1"/>
    <w:qFormat/>
    <w:uiPriority w:val="0"/>
    <w:rPr>
      <w:rFonts w:ascii="Times New Roman" w:hAnsi="Times New Roman"/>
      <w:b/>
      <w:bCs/>
      <w:sz w:val="18"/>
    </w:rPr>
  </w:style>
  <w:style w:type="paragraph" w:styleId="10">
    <w:name w:val="Body Text Indent"/>
    <w:qFormat/>
    <w:uiPriority w:val="0"/>
    <w:pPr>
      <w:widowControl w:val="0"/>
      <w:ind w:firstLine="720" w:firstLineChars="300"/>
      <w:jc w:val="both"/>
    </w:pPr>
    <w:rPr>
      <w:rFonts w:ascii="Calibri" w:hAnsi="Calibri" w:eastAsia="宋体" w:cs="Times New Roman"/>
      <w:kern w:val="2"/>
      <w:sz w:val="24"/>
      <w:szCs w:val="24"/>
      <w:lang w:val="en-US" w:eastAsia="zh-CN" w:bidi="ar-SA"/>
    </w:rPr>
  </w:style>
  <w:style w:type="paragraph" w:styleId="11">
    <w:name w:val="toc 5"/>
    <w:basedOn w:val="1"/>
    <w:next w:val="1"/>
    <w:unhideWhenUsed/>
    <w:qFormat/>
    <w:uiPriority w:val="39"/>
    <w:pPr>
      <w:ind w:left="1680" w:leftChars="800"/>
    </w:pPr>
    <w:rPr>
      <w:rFonts w:ascii="等线" w:hAnsi="等线" w:eastAsia="等线" w:cs="Times New Roman"/>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cs="Courier New"/>
      <w:szCs w:val="21"/>
    </w:rPr>
  </w:style>
  <w:style w:type="paragraph" w:styleId="14">
    <w:name w:val="Body Text Indent 2"/>
    <w:basedOn w:val="1"/>
    <w:qFormat/>
    <w:uiPriority w:val="0"/>
    <w:pPr>
      <w:ind w:firstLine="300" w:firstLineChars="100"/>
    </w:pPr>
    <w:rPr>
      <w:sz w:val="30"/>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8">
    <w:name w:val="toc 1"/>
    <w:basedOn w:val="1"/>
    <w:next w:val="1"/>
    <w:qFormat/>
    <w:uiPriority w:val="0"/>
    <w:rPr>
      <w:szCs w:val="24"/>
    </w:rPr>
  </w:style>
  <w:style w:type="paragraph" w:styleId="19">
    <w:name w:val="toc 2"/>
    <w:basedOn w:val="1"/>
    <w:next w:val="1"/>
    <w:qFormat/>
    <w:uiPriority w:val="0"/>
    <w:pPr>
      <w:ind w:left="420" w:leftChars="200"/>
    </w:pPr>
  </w:style>
  <w:style w:type="paragraph" w:styleId="20">
    <w:name w:val="Normal (Web)"/>
    <w:basedOn w:val="1"/>
    <w:qFormat/>
    <w:uiPriority w:val="0"/>
    <w:pPr>
      <w:spacing w:before="100" w:beforeAutospacing="1" w:after="100" w:afterAutospacing="1"/>
    </w:pPr>
    <w:rPr>
      <w:rFonts w:ascii="宋体" w:hAnsi="宋体" w:cs="宋体"/>
      <w:sz w:val="24"/>
      <w:lang w:val="en-US" w:eastAsia="zh-CN" w:bidi="ar-SA"/>
    </w:rPr>
  </w:style>
  <w:style w:type="paragraph" w:styleId="21">
    <w:name w:val="annotation subject"/>
    <w:basedOn w:val="8"/>
    <w:next w:val="8"/>
    <w:link w:val="33"/>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qFormat/>
    <w:uiPriority w:val="0"/>
  </w:style>
  <w:style w:type="character" w:styleId="27">
    <w:name w:val="Emphasis"/>
    <w:qFormat/>
    <w:uiPriority w:val="0"/>
    <w:rPr>
      <w:i/>
    </w:rPr>
  </w:style>
  <w:style w:type="character" w:styleId="28">
    <w:name w:val="Hyperlink"/>
    <w:qFormat/>
    <w:uiPriority w:val="0"/>
    <w:rPr>
      <w:color w:val="0000FF"/>
      <w:u w:val="single"/>
    </w:rPr>
  </w:style>
  <w:style w:type="character" w:styleId="29">
    <w:name w:val="annotation reference"/>
    <w:qFormat/>
    <w:uiPriority w:val="0"/>
    <w:rPr>
      <w:sz w:val="21"/>
      <w:szCs w:val="21"/>
    </w:rPr>
  </w:style>
  <w:style w:type="paragraph" w:customStyle="1" w:styleId="30">
    <w:name w:val="正文缩进1"/>
    <w:basedOn w:val="1"/>
    <w:qFormat/>
    <w:uiPriority w:val="0"/>
    <w:pPr>
      <w:ind w:firstLine="420" w:firstLineChars="200"/>
    </w:pPr>
    <w:rPr>
      <w:rFonts w:cs="Times New Roman"/>
    </w:rPr>
  </w:style>
  <w:style w:type="character" w:customStyle="1" w:styleId="31">
    <w:name w:val="标题 1 字符"/>
    <w:link w:val="2"/>
    <w:qFormat/>
    <w:uiPriority w:val="0"/>
    <w:rPr>
      <w:rFonts w:ascii="Times New Roman" w:hAnsi="Times New Roman" w:eastAsia="宋体"/>
      <w:b/>
      <w:bCs/>
      <w:kern w:val="44"/>
      <w:sz w:val="44"/>
      <w:szCs w:val="44"/>
    </w:rPr>
  </w:style>
  <w:style w:type="character" w:customStyle="1" w:styleId="32">
    <w:name w:val="批注文字 字符"/>
    <w:link w:val="8"/>
    <w:qFormat/>
    <w:uiPriority w:val="99"/>
  </w:style>
  <w:style w:type="character" w:customStyle="1" w:styleId="33">
    <w:name w:val="批注主题 字符"/>
    <w:link w:val="21"/>
    <w:qFormat/>
    <w:uiPriority w:val="0"/>
    <w:rPr>
      <w:b/>
      <w:bCs/>
    </w:rPr>
  </w:style>
  <w:style w:type="character" w:customStyle="1" w:styleId="34">
    <w:name w:val="样式 宋体 小四 加粗"/>
    <w:qFormat/>
    <w:uiPriority w:val="0"/>
    <w:rPr>
      <w:rFonts w:ascii="宋体" w:hAnsi="宋体"/>
      <w:b/>
      <w:bCs/>
      <w:sz w:val="24"/>
    </w:rPr>
  </w:style>
  <w:style w:type="paragraph" w:customStyle="1" w:styleId="35">
    <w:name w:val="样式3"/>
    <w:basedOn w:val="1"/>
    <w:qFormat/>
    <w:uiPriority w:val="0"/>
    <w:pPr>
      <w:spacing w:line="400" w:lineRule="exact"/>
      <w:ind w:firstLine="460" w:firstLineChars="200"/>
      <w:jc w:val="left"/>
    </w:pPr>
    <w:rPr>
      <w:rFonts w:ascii="宋体" w:hAnsi="宋体"/>
      <w:sz w:val="23"/>
      <w:szCs w:val="23"/>
    </w:rPr>
  </w:style>
  <w:style w:type="paragraph" w:customStyle="1" w:styleId="36">
    <w:name w:val="样式 标题 1 + 四号"/>
    <w:basedOn w:val="2"/>
    <w:link w:val="37"/>
    <w:qFormat/>
    <w:uiPriority w:val="0"/>
    <w:pPr>
      <w:spacing w:line="578" w:lineRule="auto"/>
    </w:pPr>
    <w:rPr>
      <w:sz w:val="30"/>
    </w:rPr>
  </w:style>
  <w:style w:type="character" w:customStyle="1" w:styleId="37">
    <w:name w:val="样式 标题 1 + 四号 Char"/>
    <w:link w:val="36"/>
    <w:qFormat/>
    <w:uiPriority w:val="0"/>
    <w:rPr>
      <w:sz w:val="30"/>
    </w:rPr>
  </w:style>
  <w:style w:type="character" w:customStyle="1" w:styleId="38">
    <w:name w:val="标题 1 Char"/>
    <w:qFormat/>
    <w:uiPriority w:val="0"/>
    <w:rPr>
      <w:rFonts w:eastAsia="宋体"/>
      <w:b/>
      <w:bCs/>
      <w:kern w:val="44"/>
      <w:sz w:val="44"/>
      <w:szCs w:val="44"/>
      <w:lang w:val="en-US" w:eastAsia="zh-CN" w:bidi="ar-SA"/>
    </w:rPr>
  </w:style>
  <w:style w:type="paragraph" w:customStyle="1" w:styleId="39">
    <w:name w:val="样式 标题 1 + 居中"/>
    <w:basedOn w:val="2"/>
    <w:qFormat/>
    <w:uiPriority w:val="0"/>
    <w:pPr>
      <w:spacing w:line="578" w:lineRule="auto"/>
      <w:jc w:val="center"/>
    </w:pPr>
    <w:rPr>
      <w:rFonts w:cs="宋体"/>
      <w:sz w:val="30"/>
      <w:szCs w:val="20"/>
    </w:rPr>
  </w:style>
  <w:style w:type="paragraph" w:customStyle="1" w:styleId="40">
    <w:name w:val="无间隔1"/>
    <w:qFormat/>
    <w:uiPriority w:val="1"/>
    <w:pPr>
      <w:adjustRightInd w:val="0"/>
      <w:snapToGrid w:val="0"/>
    </w:pPr>
    <w:rPr>
      <w:rFonts w:ascii="Tahoma" w:hAnsi="Tahoma" w:eastAsia="微软雅黑" w:cs="黑体"/>
      <w:sz w:val="22"/>
      <w:szCs w:val="22"/>
      <w:lang w:val="en-US" w:eastAsia="zh-CN" w:bidi="ar-SA"/>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标注"/>
    <w:basedOn w:val="1"/>
    <w:qFormat/>
    <w:uiPriority w:val="0"/>
    <w:pPr>
      <w:spacing w:line="216" w:lineRule="auto"/>
      <w:ind w:left="0"/>
      <w:jc w:val="center"/>
    </w:pPr>
    <w:rPr>
      <w:rFonts w:ascii="黑体" w:hAnsi="黑体" w:eastAsia="黑体" w:cs="黑体"/>
      <w:spacing w:val="5"/>
      <w:sz w:val="21"/>
      <w:szCs w:val="21"/>
    </w:rPr>
  </w:style>
  <w:style w:type="paragraph" w:customStyle="1" w:styleId="43">
    <w:name w:val="图片"/>
    <w:basedOn w:val="1"/>
    <w:qFormat/>
    <w:uiPriority w:val="0"/>
    <w:pPr>
      <w:spacing w:line="240" w:lineRule="auto"/>
      <w:ind w:firstLine="0" w:firstLineChars="0"/>
    </w:pPr>
    <w:rPr>
      <w:rFonts w:ascii="Times New Roman" w:hAnsi="Times New Roman" w:eastAsia="宋体"/>
      <w:sz w:val="24"/>
    </w:rPr>
  </w:style>
  <w:style w:type="paragraph" w:customStyle="1" w:styleId="44">
    <w:name w:val="Table Text"/>
    <w:basedOn w:val="1"/>
    <w:link w:val="49"/>
    <w:semiHidden/>
    <w:qFormat/>
    <w:uiPriority w:val="0"/>
    <w:rPr>
      <w:rFonts w:ascii="宋体" w:hAnsi="宋体" w:eastAsia="宋体" w:cs="宋体"/>
    </w:rPr>
  </w:style>
  <w:style w:type="paragraph" w:customStyle="1" w:styleId="45">
    <w:name w:val="条文说明"/>
    <w:basedOn w:val="1"/>
    <w:link w:val="46"/>
    <w:qFormat/>
    <w:uiPriority w:val="0"/>
    <w:pPr>
      <w:numPr>
        <w:ilvl w:val="0"/>
        <w:numId w:val="1"/>
      </w:numPr>
    </w:pPr>
    <w:rPr>
      <w:rFonts w:hint="eastAsia" w:ascii="Times New Roman" w:hAnsi="Times New Roman" w:eastAsia="楷体"/>
      <w:u w:val="single"/>
    </w:rPr>
  </w:style>
  <w:style w:type="character" w:customStyle="1" w:styleId="46">
    <w:name w:val="条文说明 Char"/>
    <w:link w:val="45"/>
    <w:qFormat/>
    <w:uiPriority w:val="0"/>
    <w:rPr>
      <w:rFonts w:hint="eastAsia" w:ascii="Times New Roman" w:hAnsi="Times New Roman" w:eastAsia="楷体"/>
      <w:u w:val="single"/>
    </w:rPr>
  </w:style>
  <w:style w:type="paragraph" w:customStyle="1" w:styleId="47">
    <w:name w:val="First Paragraph"/>
    <w:basedOn w:val="9"/>
    <w:next w:val="9"/>
    <w:qFormat/>
    <w:uiPriority w:val="0"/>
    <w:pPr>
      <w:spacing w:before="180" w:beforeAutospacing="0" w:after="180" w:afterAutospacing="0"/>
      <w:jc w:val="left"/>
    </w:pPr>
    <w:rPr>
      <w:rFonts w:hint="default" w:ascii="Cambria" w:hAnsi="Cambria" w:eastAsia="Cambria" w:cs="Times New Roman"/>
      <w:kern w:val="0"/>
      <w:sz w:val="24"/>
      <w:szCs w:val="24"/>
      <w:lang w:val="en-US" w:eastAsia="zh-CN" w:bidi="ar"/>
    </w:rPr>
  </w:style>
  <w:style w:type="paragraph" w:styleId="48">
    <w:name w:val="List Paragraph"/>
    <w:basedOn w:val="1"/>
    <w:qFormat/>
    <w:uiPriority w:val="34"/>
    <w:pPr>
      <w:ind w:firstLine="420" w:firstLineChars="200"/>
    </w:pPr>
  </w:style>
  <w:style w:type="character" w:customStyle="1" w:styleId="49">
    <w:name w:val="Table Text Char"/>
    <w:link w:val="44"/>
    <w:qFormat/>
    <w:uiPriority w:val="0"/>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image" Target="media/image39.png"/><Relationship Id="rId60" Type="http://schemas.openxmlformats.org/officeDocument/2006/relationships/image" Target="media/image38.png"/><Relationship Id="rId6" Type="http://schemas.openxmlformats.org/officeDocument/2006/relationships/footer" Target="footer2.xml"/><Relationship Id="rId59" Type="http://schemas.openxmlformats.org/officeDocument/2006/relationships/image" Target="media/image37.png"/><Relationship Id="rId58" Type="http://schemas.openxmlformats.org/officeDocument/2006/relationships/image" Target="media/image36.png"/><Relationship Id="rId57" Type="http://schemas.openxmlformats.org/officeDocument/2006/relationships/image" Target="media/image35.png"/><Relationship Id="rId56" Type="http://schemas.openxmlformats.org/officeDocument/2006/relationships/image" Target="media/image34.png"/><Relationship Id="rId55" Type="http://schemas.openxmlformats.org/officeDocument/2006/relationships/image" Target="media/image33.emf"/><Relationship Id="rId54" Type="http://schemas.openxmlformats.org/officeDocument/2006/relationships/image" Target="media/image32.emf"/><Relationship Id="rId53" Type="http://schemas.openxmlformats.org/officeDocument/2006/relationships/image" Target="media/image31.emf"/><Relationship Id="rId52" Type="http://schemas.openxmlformats.org/officeDocument/2006/relationships/image" Target="media/image30.emf"/><Relationship Id="rId51" Type="http://schemas.openxmlformats.org/officeDocument/2006/relationships/image" Target="media/image29.emf"/><Relationship Id="rId50" Type="http://schemas.openxmlformats.org/officeDocument/2006/relationships/image" Target="media/image28.emf"/><Relationship Id="rId5" Type="http://schemas.openxmlformats.org/officeDocument/2006/relationships/footer" Target="footer1.xml"/><Relationship Id="rId49" Type="http://schemas.openxmlformats.org/officeDocument/2006/relationships/image" Target="media/image27.emf"/><Relationship Id="rId48" Type="http://schemas.openxmlformats.org/officeDocument/2006/relationships/image" Target="media/image26.emf"/><Relationship Id="rId47" Type="http://schemas.openxmlformats.org/officeDocument/2006/relationships/image" Target="media/image25.emf"/><Relationship Id="rId46" Type="http://schemas.openxmlformats.org/officeDocument/2006/relationships/image" Target="media/image24.emf"/><Relationship Id="rId45" Type="http://schemas.openxmlformats.org/officeDocument/2006/relationships/image" Target="media/image23.emf"/><Relationship Id="rId44" Type="http://schemas.openxmlformats.org/officeDocument/2006/relationships/image" Target="media/image22.emf"/><Relationship Id="rId43" Type="http://schemas.openxmlformats.org/officeDocument/2006/relationships/image" Target="media/image21.emf"/><Relationship Id="rId42" Type="http://schemas.openxmlformats.org/officeDocument/2006/relationships/image" Target="media/image20.emf"/><Relationship Id="rId41" Type="http://schemas.openxmlformats.org/officeDocument/2006/relationships/image" Target="media/image19.emf"/><Relationship Id="rId40" Type="http://schemas.openxmlformats.org/officeDocument/2006/relationships/image" Target="media/image18.emf"/><Relationship Id="rId4" Type="http://schemas.openxmlformats.org/officeDocument/2006/relationships/endnotes" Target="endnotes.xml"/><Relationship Id="rId39" Type="http://schemas.openxmlformats.org/officeDocument/2006/relationships/image" Target="media/image17.emf"/><Relationship Id="rId38" Type="http://schemas.openxmlformats.org/officeDocument/2006/relationships/image" Target="media/image16.emf"/><Relationship Id="rId37" Type="http://schemas.openxmlformats.org/officeDocument/2006/relationships/image" Target="media/image15.wmf"/><Relationship Id="rId36" Type="http://schemas.openxmlformats.org/officeDocument/2006/relationships/oleObject" Target="embeddings/oleObject10.bin"/><Relationship Id="rId35" Type="http://schemas.openxmlformats.org/officeDocument/2006/relationships/oleObject" Target="embeddings/oleObject9.bin"/><Relationship Id="rId34" Type="http://schemas.openxmlformats.org/officeDocument/2006/relationships/oleObject" Target="embeddings/oleObject8.bin"/><Relationship Id="rId33" Type="http://schemas.openxmlformats.org/officeDocument/2006/relationships/oleObject" Target="embeddings/oleObject7.bin"/><Relationship Id="rId32" Type="http://schemas.openxmlformats.org/officeDocument/2006/relationships/image" Target="media/image14.wmf"/><Relationship Id="rId31" Type="http://schemas.openxmlformats.org/officeDocument/2006/relationships/oleObject" Target="embeddings/oleObject6.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5.bin"/><Relationship Id="rId28" Type="http://schemas.openxmlformats.org/officeDocument/2006/relationships/image" Target="media/image12.emf"/><Relationship Id="rId27" Type="http://schemas.openxmlformats.org/officeDocument/2006/relationships/image" Target="media/image11.emf"/><Relationship Id="rId26" Type="http://schemas.openxmlformats.org/officeDocument/2006/relationships/image" Target="media/image10.emf"/><Relationship Id="rId25" Type="http://schemas.openxmlformats.org/officeDocument/2006/relationships/image" Target="media/image9.emf"/><Relationship Id="rId24" Type="http://schemas.openxmlformats.org/officeDocument/2006/relationships/image" Target="media/image8.emf"/><Relationship Id="rId23" Type="http://schemas.openxmlformats.org/officeDocument/2006/relationships/image" Target="media/image7.emf"/><Relationship Id="rId22" Type="http://schemas.openxmlformats.org/officeDocument/2006/relationships/image" Target="media/image6.emf"/><Relationship Id="rId21" Type="http://schemas.openxmlformats.org/officeDocument/2006/relationships/oleObject" Target="embeddings/oleObject4.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4.emf"/><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样式集.dotx</Template>
  <Pages>68</Pages>
  <Words>8603</Words>
  <Characters>9477</Characters>
  <Lines>1</Lines>
  <Paragraphs>1</Paragraphs>
  <TotalTime>5</TotalTime>
  <ScaleCrop>false</ScaleCrop>
  <LinksUpToDate>false</LinksUpToDate>
  <CharactersWithSpaces>9697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2025-01-15T01:05:00Z</dcterms:created>
  <dc:creator>HRan</dc:creator>
  <cp:lastModifiedBy>赵小龙</cp:lastModifiedBy>
  <dcterms:modified xsi:type="dcterms:W3CDTF">2025-09-22T05:12:59Z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E317E9D01F094B76B9E1232BC2C4D49F_13</vt:lpwstr>
  </property>
  <property fmtid="{D5CDD505-2E9C-101B-9397-08002B2CF9AE}" pid="4" name="KSOTemplateDocerSaveRecord">
    <vt:lpwstr>eyJoZGlkIjoiMGI0YTdhODRlMDNmNDIxNWUzNTY1ZGVmZGY0NjdjNjAiLCJ1c2VySWQiOiIxNDg0Mzk5MzIwIn0=</vt:lpwstr>
  </property>
</Properties>
</file>