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124" w:leftChars="-59"/>
        <w:rPr>
          <w:rFonts w:ascii="Times New Roman" w:hAnsi="Times New Roman" w:eastAsia="黑体" w:cs="Times New Roman"/>
          <w:color w:val="auto"/>
          <w:sz w:val="28"/>
          <w:szCs w:val="28"/>
          <w:highlight w:val="none"/>
        </w:rPr>
      </w:pPr>
      <w:bookmarkStart w:id="0" w:name="_Toc328054366"/>
      <w:bookmarkStart w:id="1" w:name="_Toc311448687"/>
      <w:bookmarkStart w:id="2" w:name="_Toc339826725"/>
      <w:bookmarkStart w:id="3" w:name="_Toc328064646"/>
      <w:bookmarkStart w:id="4" w:name="_Toc310939705"/>
      <w:bookmarkStart w:id="5" w:name="_Toc344478598"/>
      <w:bookmarkStart w:id="6" w:name="_Toc339826337"/>
      <w:bookmarkStart w:id="7" w:name="_Toc26445"/>
      <w:bookmarkStart w:id="8" w:name="_Toc11485"/>
      <w:bookmarkStart w:id="9" w:name="_Toc140769509"/>
      <w:bookmarkStart w:id="10" w:name="_Toc140769642"/>
      <w:bookmarkStart w:id="11" w:name="_Toc9936"/>
      <w:bookmarkStart w:id="12" w:name="_Toc14153"/>
      <w:bookmarkStart w:id="13" w:name="_Toc136502129"/>
      <w:bookmarkStart w:id="14" w:name="_Toc402787749"/>
      <w:bookmarkStart w:id="15" w:name="_Toc402788461"/>
      <w:bookmarkStart w:id="16" w:name="_Toc314828582"/>
      <w:bookmarkStart w:id="17" w:name="_Toc329789371"/>
      <w:bookmarkStart w:id="18" w:name="_Toc402789574"/>
      <w:bookmarkStart w:id="19" w:name="_Toc372799297"/>
      <w:bookmarkStart w:id="20" w:name="_Toc372710267"/>
      <w:bookmarkStart w:id="21" w:name="_Toc315775021"/>
      <w:bookmarkStart w:id="22" w:name="_Toc402789534"/>
    </w:p>
    <w:p>
      <w:pPr>
        <w:spacing w:line="360" w:lineRule="auto"/>
        <w:ind w:left="-124" w:leftChars="-59"/>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 xml:space="preserve">备案号  </w:t>
      </w:r>
      <w:r>
        <w:rPr>
          <w:rFonts w:ascii="Times New Roman" w:hAnsi="Times New Roman" w:eastAsia="黑体" w:cs="Times New Roman"/>
          <w:color w:val="auto"/>
          <w:kern w:val="0"/>
          <w:sz w:val="30"/>
          <w:szCs w:val="30"/>
          <w:highlight w:val="none"/>
        </w:rPr>
        <w:t>XXXX—XXXX</w:t>
      </w:r>
    </w:p>
    <w:p>
      <w:pPr>
        <w:spacing w:line="360" w:lineRule="auto"/>
        <w:ind w:left="-248" w:leftChars="-118" w:firstLine="117" w:firstLineChars="39"/>
        <w:rPr>
          <w:rFonts w:ascii="Times New Roman" w:hAnsi="Times New Roman" w:cs="Times New Roman"/>
          <w:color w:val="auto"/>
          <w:kern w:val="0"/>
          <w:sz w:val="36"/>
          <w:highlight w:val="none"/>
        </w:rPr>
      </w:pPr>
      <w:r>
        <w:rPr>
          <w:rFonts w:ascii="Times New Roman" w:hAnsi="Times New Roman" w:eastAsia="黑体" w:cs="Times New Roman"/>
          <w:color w:val="auto"/>
          <w:sz w:val="30"/>
          <w:szCs w:val="30"/>
          <w:highlight w:val="none"/>
        </w:rPr>
        <w:t xml:space="preserve">四川省工程建设地方标准 </w:t>
      </w:r>
      <w:r>
        <w:rPr>
          <w:rFonts w:ascii="Times New Roman" w:hAnsi="Times New Roman" w:eastAsia="黑体" w:cs="Times New Roman"/>
          <w:color w:val="auto"/>
          <w:sz w:val="36"/>
          <w:highlight w:val="none"/>
        </w:rPr>
        <w:t xml:space="preserve">             </w:t>
      </w:r>
      <w:bookmarkStart w:id="23" w:name="_Toc385024256"/>
      <w:r>
        <w:rPr>
          <w:rFonts w:ascii="Times New Roman" w:hAnsi="Times New Roman" w:cs="Times New Roman"/>
          <w:color w:val="auto"/>
          <w:sz w:val="72"/>
          <w:highlight w:val="none"/>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pPr>
        <w:spacing w:line="360" w:lineRule="auto"/>
        <w:ind w:left="-124" w:leftChars="-59"/>
        <w:rPr>
          <w:rFonts w:ascii="Times New Roman" w:hAnsi="Times New Roman" w:eastAsia="黑体" w:cs="Times New Roman"/>
          <w:color w:val="auto"/>
          <w:kern w:val="0"/>
          <w:sz w:val="28"/>
          <w:szCs w:val="28"/>
          <w:highlight w:val="none"/>
        </w:rPr>
      </w:pPr>
      <w:r>
        <w:rPr>
          <w:rFonts w:ascii="Times New Roman" w:hAnsi="Times New Roman" w:cs="Times New Roman"/>
          <w:color w:val="auto"/>
          <w:kern w:val="0"/>
          <w:sz w:val="36"/>
          <w:highlight w:val="none"/>
        </w:rPr>
        <w:t xml:space="preserve">P                               </w:t>
      </w:r>
      <w:r>
        <w:rPr>
          <w:rFonts w:ascii="Times New Roman" w:hAnsi="Times New Roman" w:eastAsia="黑体" w:cs="Times New Roman"/>
          <w:color w:val="auto"/>
          <w:kern w:val="0"/>
          <w:sz w:val="28"/>
          <w:szCs w:val="28"/>
          <w:highlight w:val="none"/>
        </w:rPr>
        <w:t>DBJ51/TXXX—XXXX</w:t>
      </w:r>
      <w:bookmarkEnd w:id="23"/>
    </w:p>
    <w:p>
      <w:pPr>
        <w:spacing w:line="360" w:lineRule="auto"/>
        <w:ind w:left="-496" w:leftChars="-236"/>
        <w:rPr>
          <w:rFonts w:ascii="Times New Roman" w:hAnsi="Times New Roman" w:cs="Times New Roman"/>
          <w:color w:val="auto"/>
          <w:highlight w:val="none"/>
          <w:u w:val="single"/>
        </w:rPr>
      </w:pPr>
      <w:r>
        <w:rPr>
          <w:rFonts w:ascii="Times New Roman" w:hAnsi="Times New Roman" w:eastAsia="黑体" w:cs="Times New Roman"/>
          <w:color w:val="auto"/>
          <w:kern w:val="0"/>
          <w:sz w:val="28"/>
          <w:szCs w:val="28"/>
          <w:highlight w:val="none"/>
          <w:u w:val="single"/>
        </w:rPr>
        <w:t xml:space="preserve">                                                               </w:t>
      </w:r>
    </w:p>
    <w:p>
      <w:pPr>
        <w:pStyle w:val="29"/>
        <w:outlineLvl w:val="9"/>
        <w:rPr>
          <w:color w:val="auto"/>
          <w:sz w:val="52"/>
          <w:szCs w:val="52"/>
          <w:highlight w:val="none"/>
        </w:rPr>
      </w:pPr>
    </w:p>
    <w:p>
      <w:pPr>
        <w:pStyle w:val="29"/>
        <w:outlineLvl w:val="9"/>
        <w:rPr>
          <w:rFonts w:hint="eastAsia" w:ascii="黑体" w:hAnsi="黑体" w:eastAsia="黑体" w:cs="黑体"/>
          <w:b w:val="0"/>
          <w:bCs w:val="0"/>
          <w:color w:val="auto"/>
          <w:sz w:val="40"/>
          <w:szCs w:val="40"/>
          <w:highlight w:val="none"/>
        </w:rPr>
      </w:pPr>
      <w:bookmarkStart w:id="24" w:name="_Toc26671"/>
      <w:bookmarkStart w:id="25" w:name="_Toc15217"/>
      <w:bookmarkStart w:id="26" w:name="_Toc25845"/>
      <w:bookmarkStart w:id="27" w:name="_Toc75247015"/>
      <w:bookmarkStart w:id="28" w:name="_Toc41592744"/>
      <w:bookmarkStart w:id="29" w:name="_Toc51951999"/>
      <w:bookmarkStart w:id="30" w:name="_Toc72792662"/>
      <w:bookmarkStart w:id="31" w:name="_Toc75245298"/>
      <w:bookmarkStart w:id="32" w:name="_Toc72824818"/>
      <w:bookmarkStart w:id="33" w:name="_Toc51868856"/>
      <w:r>
        <w:rPr>
          <w:rFonts w:hint="eastAsia" w:ascii="黑体" w:hAnsi="黑体" w:eastAsia="黑体" w:cs="黑体"/>
          <w:b w:val="0"/>
          <w:bCs w:val="0"/>
          <w:color w:val="auto"/>
          <w:sz w:val="40"/>
          <w:szCs w:val="40"/>
          <w:highlight w:val="none"/>
        </w:rPr>
        <w:t>四川省建筑垃圾分类减量及资源化利用</w:t>
      </w:r>
      <w:bookmarkEnd w:id="24"/>
      <w:bookmarkEnd w:id="25"/>
      <w:bookmarkEnd w:id="26"/>
    </w:p>
    <w:p>
      <w:pPr>
        <w:pStyle w:val="29"/>
        <w:outlineLvl w:val="9"/>
        <w:rPr>
          <w:rFonts w:hint="eastAsia" w:ascii="黑体" w:hAnsi="黑体" w:eastAsia="黑体" w:cs="黑体"/>
          <w:b w:val="0"/>
          <w:bCs w:val="0"/>
          <w:color w:val="auto"/>
          <w:sz w:val="40"/>
          <w:szCs w:val="40"/>
          <w:highlight w:val="none"/>
        </w:rPr>
      </w:pPr>
      <w:bookmarkStart w:id="34" w:name="_Toc9448"/>
      <w:bookmarkStart w:id="35" w:name="_Toc29304"/>
      <w:bookmarkStart w:id="36" w:name="_Toc12508"/>
      <w:r>
        <w:rPr>
          <w:rFonts w:hint="eastAsia" w:ascii="黑体" w:hAnsi="黑体" w:eastAsia="黑体" w:cs="黑体"/>
          <w:b w:val="0"/>
          <w:bCs w:val="0"/>
          <w:color w:val="auto"/>
          <w:sz w:val="40"/>
          <w:szCs w:val="40"/>
          <w:highlight w:val="none"/>
        </w:rPr>
        <w:t>技术标准</w:t>
      </w:r>
      <w:bookmarkEnd w:id="34"/>
      <w:bookmarkEnd w:id="35"/>
      <w:bookmarkEnd w:id="36"/>
    </w:p>
    <w:bookmarkEnd w:id="27"/>
    <w:bookmarkEnd w:id="28"/>
    <w:bookmarkEnd w:id="29"/>
    <w:bookmarkEnd w:id="30"/>
    <w:bookmarkEnd w:id="31"/>
    <w:bookmarkEnd w:id="32"/>
    <w:bookmarkEnd w:id="33"/>
    <w:p>
      <w:pPr>
        <w:jc w:val="center"/>
        <w:rPr>
          <w:rFonts w:hint="default" w:ascii="Times New Roman" w:hAnsi="Times New Roman"/>
          <w:sz w:val="32"/>
          <w:szCs w:val="32"/>
        </w:rPr>
      </w:pPr>
      <w:r>
        <w:rPr>
          <w:rFonts w:hint="default" w:ascii="Times New Roman" w:hAnsi="Times New Roman"/>
          <w:sz w:val="32"/>
          <w:szCs w:val="32"/>
        </w:rPr>
        <w:t>Technical Standard for classification reduction and resource utilization of construction waste in Sichuan Province</w:t>
      </w:r>
    </w:p>
    <w:p>
      <w:pPr>
        <w:keepNext w:val="0"/>
        <w:keepLines w:val="0"/>
        <w:pageBreakBefore w:val="0"/>
        <w:widowControl w:val="0"/>
        <w:tabs>
          <w:tab w:val="left" w:pos="4846"/>
        </w:tabs>
        <w:kinsoku/>
        <w:wordWrap/>
        <w:overflowPunct/>
        <w:topLinePunct w:val="0"/>
        <w:autoSpaceDE/>
        <w:autoSpaceDN/>
        <w:bidi w:val="0"/>
        <w:adjustRightInd/>
        <w:snapToGrid/>
        <w:jc w:val="center"/>
        <w:textAlignment w:val="auto"/>
        <w:rPr>
          <w:rFonts w:hint="eastAsia"/>
          <w:color w:val="auto"/>
          <w:sz w:val="28"/>
          <w:szCs w:val="28"/>
          <w:highlight w:val="none"/>
          <w:lang w:eastAsia="zh-CN"/>
        </w:rPr>
      </w:pPr>
    </w:p>
    <w:p>
      <w:pPr>
        <w:keepNext w:val="0"/>
        <w:keepLines w:val="0"/>
        <w:pageBreakBefore w:val="0"/>
        <w:widowControl w:val="0"/>
        <w:tabs>
          <w:tab w:val="left" w:pos="4846"/>
        </w:tabs>
        <w:kinsoku/>
        <w:wordWrap/>
        <w:overflowPunct/>
        <w:topLinePunct w:val="0"/>
        <w:autoSpaceDE/>
        <w:autoSpaceDN/>
        <w:bidi w:val="0"/>
        <w:adjustRightInd/>
        <w:snapToGrid/>
        <w:jc w:val="center"/>
        <w:textAlignment w:val="auto"/>
        <w:rPr>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lang w:val="en-US" w:eastAsia="zh-CN"/>
        </w:rPr>
        <w:t>征求意见稿</w:t>
      </w:r>
      <w:r>
        <w:rPr>
          <w:rFonts w:hint="eastAsia"/>
          <w:color w:val="auto"/>
          <w:sz w:val="28"/>
          <w:szCs w:val="28"/>
          <w:highlight w:val="none"/>
          <w:lang w:eastAsia="zh-CN"/>
        </w:rPr>
        <w:t>）</w:t>
      </w:r>
    </w:p>
    <w:p>
      <w:pPr>
        <w:tabs>
          <w:tab w:val="left" w:pos="4846"/>
        </w:tabs>
        <w:jc w:val="left"/>
        <w:rPr>
          <w:color w:val="auto"/>
          <w:highlight w:val="none"/>
        </w:rPr>
      </w:pPr>
    </w:p>
    <w:p>
      <w:pPr>
        <w:tabs>
          <w:tab w:val="left" w:pos="4846"/>
        </w:tabs>
        <w:jc w:val="left"/>
        <w:rPr>
          <w:color w:val="auto"/>
          <w:highlight w:val="none"/>
        </w:rPr>
      </w:pPr>
    </w:p>
    <w:p>
      <w:pPr>
        <w:tabs>
          <w:tab w:val="left" w:pos="4846"/>
        </w:tabs>
        <w:jc w:val="left"/>
        <w:rPr>
          <w:color w:val="auto"/>
          <w:highlight w:val="none"/>
        </w:rPr>
      </w:pPr>
    </w:p>
    <w:p>
      <w:pPr>
        <w:jc w:val="center"/>
        <w:rPr>
          <w:color w:val="auto"/>
          <w:sz w:val="36"/>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spacing w:line="360" w:lineRule="auto"/>
        <w:ind w:left="-248" w:leftChars="-118" w:firstLine="140" w:firstLineChars="50"/>
        <w:jc w:val="center"/>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u w:val="single"/>
        </w:rPr>
        <w:t>XXXX-XX-XX发布                         XXXX-XX-XX实施</w:t>
      </w:r>
    </w:p>
    <w:p>
      <w:pPr>
        <w:tabs>
          <w:tab w:val="left" w:pos="2235"/>
          <w:tab w:val="center" w:pos="4422"/>
        </w:tabs>
        <w:spacing w:line="360" w:lineRule="auto"/>
        <w:ind w:left="650" w:right="64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pacing w:val="-10"/>
          <w:sz w:val="30"/>
          <w:szCs w:val="30"/>
          <w:highlight w:val="none"/>
        </w:rPr>
        <w:t xml:space="preserve">四川省住房和城乡建设厅   </w:t>
      </w:r>
      <w:r>
        <w:rPr>
          <w:rFonts w:ascii="Times New Roman" w:hAnsi="Times New Roman" w:eastAsia="黑体" w:cs="Times New Roman"/>
          <w:color w:val="auto"/>
          <w:sz w:val="30"/>
          <w:szCs w:val="30"/>
          <w:highlight w:val="none"/>
        </w:rPr>
        <w:t>发布</w:t>
      </w:r>
    </w:p>
    <w:p>
      <w:pPr>
        <w:pStyle w:val="16"/>
        <w:pageBreakBefore/>
        <w:jc w:val="center"/>
        <w:rPr>
          <w:rFonts w:ascii="Times New Roman" w:hAnsi="Times New Roman" w:cs="Times New Roman"/>
          <w:b/>
          <w:color w:val="auto"/>
          <w:sz w:val="30"/>
          <w:szCs w:val="30"/>
          <w:highlight w:val="none"/>
        </w:rPr>
      </w:pPr>
    </w:p>
    <w:p>
      <w:pPr>
        <w:pStyle w:val="101"/>
        <w:widowControl/>
        <w:numPr>
          <w:ilvl w:val="0"/>
          <w:numId w:val="0"/>
        </w:numPr>
        <w:shd w:val="clear" w:color="FFFFFF" w:fill="FFFFFF"/>
        <w:tabs>
          <w:tab w:val="center" w:pos="4200"/>
          <w:tab w:val="right" w:pos="8400"/>
        </w:tabs>
        <w:spacing w:before="156" w:beforeLines="50" w:after="560" w:line="360" w:lineRule="auto"/>
        <w:ind w:right="-2"/>
        <w:jc w:val="center"/>
        <w:outlineLvl w:val="9"/>
        <w:rPr>
          <w:color w:val="auto"/>
          <w:sz w:val="30"/>
          <w:szCs w:val="30"/>
          <w:highlight w:val="none"/>
        </w:rPr>
      </w:pPr>
      <w:bookmarkStart w:id="37" w:name="_Toc23799"/>
      <w:bookmarkStart w:id="38" w:name="_Toc19995"/>
      <w:bookmarkStart w:id="39" w:name="_Toc25634"/>
      <w:bookmarkStart w:id="40" w:name="_Toc6749"/>
      <w:bookmarkStart w:id="41" w:name="_Toc14325"/>
      <w:bookmarkStart w:id="42" w:name="_Toc24145"/>
      <w:bookmarkStart w:id="43" w:name="_Toc15704"/>
      <w:r>
        <w:rPr>
          <w:rFonts w:eastAsia="黑体"/>
          <w:color w:val="auto"/>
          <w:spacing w:val="-10"/>
          <w:sz w:val="30"/>
          <w:szCs w:val="30"/>
          <w:highlight w:val="none"/>
        </w:rPr>
        <w:t>四川省工程建设地方标准</w:t>
      </w:r>
      <w:bookmarkEnd w:id="37"/>
      <w:bookmarkEnd w:id="38"/>
      <w:bookmarkEnd w:id="39"/>
      <w:bookmarkEnd w:id="40"/>
      <w:bookmarkEnd w:id="41"/>
      <w:bookmarkEnd w:id="42"/>
      <w:bookmarkEnd w:id="43"/>
    </w:p>
    <w:p>
      <w:pPr>
        <w:pStyle w:val="29"/>
        <w:outlineLvl w:val="9"/>
        <w:rPr>
          <w:rFonts w:hint="eastAsia" w:ascii="黑体" w:hAnsi="黑体" w:eastAsia="黑体" w:cs="黑体"/>
          <w:b w:val="0"/>
          <w:bCs w:val="0"/>
          <w:color w:val="auto"/>
          <w:sz w:val="40"/>
          <w:szCs w:val="40"/>
          <w:highlight w:val="none"/>
        </w:rPr>
      </w:pPr>
      <w:bookmarkStart w:id="44" w:name="_Toc13765"/>
      <w:bookmarkStart w:id="45" w:name="_Toc1394"/>
      <w:bookmarkStart w:id="46" w:name="_Toc8269"/>
      <w:r>
        <w:rPr>
          <w:rFonts w:hint="eastAsia" w:ascii="黑体" w:hAnsi="黑体" w:eastAsia="黑体" w:cs="黑体"/>
          <w:b w:val="0"/>
          <w:bCs w:val="0"/>
          <w:color w:val="auto"/>
          <w:sz w:val="40"/>
          <w:szCs w:val="40"/>
          <w:highlight w:val="none"/>
        </w:rPr>
        <w:t>四川省建筑垃圾分类减量及资源化利用</w:t>
      </w:r>
      <w:bookmarkEnd w:id="44"/>
      <w:bookmarkEnd w:id="45"/>
      <w:bookmarkEnd w:id="46"/>
    </w:p>
    <w:p>
      <w:pPr>
        <w:pStyle w:val="29"/>
        <w:outlineLvl w:val="9"/>
        <w:rPr>
          <w:rFonts w:hint="eastAsia" w:ascii="黑体" w:hAnsi="黑体" w:eastAsia="黑体" w:cs="黑体"/>
          <w:b w:val="0"/>
          <w:bCs w:val="0"/>
          <w:color w:val="auto"/>
          <w:sz w:val="40"/>
          <w:szCs w:val="40"/>
          <w:highlight w:val="none"/>
        </w:rPr>
      </w:pPr>
      <w:bookmarkStart w:id="47" w:name="_Toc9897"/>
      <w:bookmarkStart w:id="48" w:name="_Toc28539"/>
      <w:bookmarkStart w:id="49" w:name="_Toc5263"/>
      <w:r>
        <w:rPr>
          <w:rFonts w:hint="eastAsia" w:ascii="黑体" w:hAnsi="黑体" w:eastAsia="黑体" w:cs="黑体"/>
          <w:b w:val="0"/>
          <w:bCs w:val="0"/>
          <w:color w:val="auto"/>
          <w:sz w:val="40"/>
          <w:szCs w:val="40"/>
          <w:highlight w:val="none"/>
        </w:rPr>
        <w:t>技术标准</w:t>
      </w:r>
      <w:bookmarkEnd w:id="47"/>
      <w:bookmarkEnd w:id="48"/>
      <w:bookmarkEnd w:id="49"/>
    </w:p>
    <w:p>
      <w:pPr>
        <w:pStyle w:val="29"/>
        <w:outlineLvl w:val="9"/>
        <w:rPr>
          <w:rFonts w:hint="default" w:ascii="Times New Roman" w:hAnsi="Times New Roman" w:eastAsia="黑体" w:cs="Times New Roman"/>
          <w:b w:val="0"/>
          <w:bCs w:val="0"/>
          <w:color w:val="auto"/>
          <w:sz w:val="32"/>
          <w:szCs w:val="32"/>
          <w:highlight w:val="none"/>
        </w:rPr>
      </w:pPr>
      <w:bookmarkStart w:id="50" w:name="_Toc23015"/>
      <w:bookmarkStart w:id="51" w:name="_Toc25028"/>
      <w:bookmarkStart w:id="52" w:name="_Toc3287"/>
      <w:r>
        <w:rPr>
          <w:rFonts w:hint="default" w:ascii="Times New Roman" w:hAnsi="Times New Roman" w:cs="Times New Roman"/>
          <w:b w:val="0"/>
          <w:bCs w:val="0"/>
          <w:sz w:val="32"/>
          <w:szCs w:val="32"/>
        </w:rPr>
        <w:t>Technical Standard for classification reduction and resource utilization of construction waste in Sichuan Province</w:t>
      </w:r>
      <w:bookmarkEnd w:id="50"/>
      <w:bookmarkEnd w:id="51"/>
      <w:bookmarkEnd w:id="52"/>
    </w:p>
    <w:p>
      <w:pPr>
        <w:pStyle w:val="29"/>
        <w:outlineLvl w:val="9"/>
        <w:rPr>
          <w:rFonts w:hint="eastAsia" w:ascii="Times New Roman" w:hAnsi="Times New Roman" w:cs="Times New Roman"/>
          <w:b w:val="0"/>
          <w:bCs w:val="0"/>
          <w:color w:val="auto"/>
          <w:sz w:val="32"/>
          <w:szCs w:val="32"/>
          <w:highlight w:val="none"/>
        </w:rPr>
      </w:pPr>
    </w:p>
    <w:p>
      <w:pPr>
        <w:jc w:val="center"/>
        <w:rPr>
          <w:rFonts w:ascii="Times New Roman" w:hAnsi="Times New Roman" w:eastAsia="黑体" w:cs="Times New Roman"/>
          <w:color w:val="auto"/>
          <w:kern w:val="0"/>
          <w:sz w:val="28"/>
          <w:szCs w:val="28"/>
          <w:highlight w:val="none"/>
        </w:rPr>
      </w:pPr>
    </w:p>
    <w:p>
      <w:pPr>
        <w:jc w:val="center"/>
        <w:rPr>
          <w:color w:val="auto"/>
          <w:highlight w:val="none"/>
        </w:rPr>
      </w:pPr>
      <w:r>
        <w:rPr>
          <w:rFonts w:ascii="Times New Roman" w:hAnsi="Times New Roman" w:eastAsia="黑体" w:cs="Times New Roman"/>
          <w:color w:val="auto"/>
          <w:kern w:val="0"/>
          <w:sz w:val="28"/>
          <w:szCs w:val="28"/>
          <w:highlight w:val="none"/>
        </w:rPr>
        <w:t>DBJ51/T</w:t>
      </w:r>
      <w:r>
        <w:rPr>
          <w:rFonts w:hint="eastAsia" w:ascii="Times New Roman" w:hAnsi="Times New Roman" w:eastAsia="黑体" w:cs="Times New Roman"/>
          <w:color w:val="auto"/>
          <w:kern w:val="0"/>
          <w:sz w:val="28"/>
          <w:szCs w:val="28"/>
          <w:highlight w:val="none"/>
          <w:lang w:val="en-US" w:eastAsia="zh-CN"/>
        </w:rPr>
        <w:t xml:space="preserve"> </w:t>
      </w:r>
      <w:r>
        <w:rPr>
          <w:rFonts w:ascii="Times New Roman" w:hAnsi="Times New Roman" w:eastAsia="黑体" w:cs="Times New Roman"/>
          <w:color w:val="auto"/>
          <w:kern w:val="0"/>
          <w:sz w:val="28"/>
          <w:szCs w:val="28"/>
          <w:highlight w:val="none"/>
        </w:rPr>
        <w:t>XXX—XXXX</w:t>
      </w:r>
    </w:p>
    <w:p>
      <w:pPr>
        <w:spacing w:before="240" w:after="60"/>
        <w:jc w:val="center"/>
        <w:outlineLvl w:val="9"/>
        <w:rPr>
          <w:rFonts w:cs="Times New Roman"/>
          <w:color w:val="auto"/>
          <w:sz w:val="36"/>
          <w:szCs w:val="36"/>
          <w:highlight w:val="none"/>
        </w:rPr>
      </w:pPr>
    </w:p>
    <w:p>
      <w:pPr>
        <w:spacing w:before="240" w:after="60"/>
        <w:jc w:val="center"/>
        <w:outlineLvl w:val="9"/>
        <w:rPr>
          <w:rFonts w:cs="Times New Roman"/>
          <w:color w:val="auto"/>
          <w:sz w:val="36"/>
          <w:szCs w:val="36"/>
          <w:highlight w:val="none"/>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2606"/>
        <w:gridCol w:w="5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567" w:hRule="atLeast"/>
        </w:trPr>
        <w:tc>
          <w:tcPr>
            <w:tcW w:w="2606" w:type="dxa"/>
            <w:vAlign w:val="center"/>
          </w:tcPr>
          <w:p>
            <w:pPr>
              <w:spacing w:before="240" w:after="60"/>
              <w:jc w:val="right"/>
              <w:outlineLvl w:val="9"/>
              <w:rPr>
                <w:rFonts w:cs="Times New Roman"/>
                <w:color w:val="auto"/>
                <w:sz w:val="36"/>
                <w:szCs w:val="36"/>
                <w:highlight w:val="none"/>
                <w:vertAlign w:val="baseline"/>
              </w:rPr>
            </w:pPr>
            <w:r>
              <w:rPr>
                <w:rFonts w:ascii="Times New Roman" w:hAnsi="Times New Roman" w:eastAsia="黑体" w:cs="Times New Roman"/>
                <w:color w:val="auto"/>
                <w:sz w:val="24"/>
              </w:rPr>
              <w:t>主编</w:t>
            </w:r>
            <w:r>
              <w:rPr>
                <w:rFonts w:hint="eastAsia" w:ascii="Times New Roman" w:hAnsi="Times New Roman" w:eastAsia="黑体" w:cs="Times New Roman"/>
                <w:color w:val="auto"/>
                <w:sz w:val="24"/>
                <w:lang w:val="en-US" w:eastAsia="zh-CN"/>
              </w:rPr>
              <w:t>单位</w:t>
            </w:r>
            <w:r>
              <w:rPr>
                <w:rFonts w:ascii="Times New Roman" w:hAnsi="Times New Roman" w:eastAsia="黑体" w:cs="Times New Roman"/>
                <w:color w:val="auto"/>
                <w:sz w:val="24"/>
              </w:rPr>
              <w:t>：</w:t>
            </w:r>
          </w:p>
        </w:tc>
        <w:tc>
          <w:tcPr>
            <w:tcW w:w="5911" w:type="dxa"/>
            <w:vAlign w:val="center"/>
          </w:tcPr>
          <w:p>
            <w:pPr>
              <w:spacing w:before="240" w:after="60"/>
              <w:jc w:val="both"/>
              <w:outlineLvl w:val="9"/>
              <w:rPr>
                <w:rFonts w:cs="Times New Roman"/>
                <w:color w:val="auto"/>
                <w:sz w:val="36"/>
                <w:szCs w:val="36"/>
                <w:highlight w:val="none"/>
                <w:vertAlign w:val="baseline"/>
              </w:rPr>
            </w:pPr>
            <w:r>
              <w:rPr>
                <w:rFonts w:ascii="Times New Roman" w:hAnsi="Times New Roman" w:eastAsia="黑体" w:cs="Times New Roman"/>
                <w:color w:val="auto"/>
                <w:sz w:val="24"/>
              </w:rPr>
              <w:t xml:space="preserve">四川省建筑科学研究院有限公司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567" w:hRule="atLeast"/>
        </w:trPr>
        <w:tc>
          <w:tcPr>
            <w:tcW w:w="2606" w:type="dxa"/>
            <w:vAlign w:val="center"/>
          </w:tcPr>
          <w:p>
            <w:pPr>
              <w:spacing w:before="240" w:after="60"/>
              <w:jc w:val="right"/>
              <w:outlineLvl w:val="9"/>
              <w:rPr>
                <w:rFonts w:ascii="Times New Roman" w:hAnsi="Times New Roman" w:eastAsia="黑体" w:cs="Times New Roman"/>
                <w:color w:val="auto"/>
                <w:sz w:val="24"/>
              </w:rPr>
            </w:pPr>
          </w:p>
        </w:tc>
        <w:tc>
          <w:tcPr>
            <w:tcW w:w="5911" w:type="dxa"/>
            <w:vAlign w:val="center"/>
          </w:tcPr>
          <w:p>
            <w:pPr>
              <w:spacing w:before="240" w:after="60"/>
              <w:jc w:val="both"/>
              <w:outlineLvl w:val="9"/>
              <w:rPr>
                <w:rFonts w:ascii="Times New Roman" w:hAnsi="Times New Roman" w:eastAsia="黑体" w:cs="Times New Roman"/>
                <w:color w:val="auto"/>
                <w:sz w:val="24"/>
              </w:rPr>
            </w:pPr>
            <w:bookmarkStart w:id="53" w:name="_Hlk116636410"/>
            <w:r>
              <w:rPr>
                <w:rFonts w:hint="eastAsia" w:ascii="Times New Roman" w:hAnsi="Times New Roman" w:eastAsia="黑体" w:cs="Times New Roman"/>
                <w:color w:val="auto"/>
                <w:sz w:val="24"/>
              </w:rPr>
              <w:t>四川省建设工程消防和勘察设计技术中心</w:t>
            </w:r>
            <w:bookmarkEnd w:id="53"/>
            <w:r>
              <w:rPr>
                <w:rFonts w:ascii="Times New Roman" w:hAnsi="Times New Roman" w:eastAsia="黑体" w:cs="Times New Roman"/>
                <w:color w:val="auto"/>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567" w:hRule="atLeast"/>
        </w:trPr>
        <w:tc>
          <w:tcPr>
            <w:tcW w:w="2606" w:type="dxa"/>
            <w:vAlign w:val="center"/>
          </w:tcPr>
          <w:p>
            <w:pPr>
              <w:spacing w:before="240" w:after="60"/>
              <w:jc w:val="right"/>
              <w:outlineLvl w:val="9"/>
              <w:rPr>
                <w:rFonts w:ascii="Calibri" w:hAnsi="Calibri" w:eastAsia="宋体" w:cs="Times New Roman"/>
                <w:color w:val="auto"/>
                <w:kern w:val="2"/>
                <w:sz w:val="36"/>
                <w:szCs w:val="36"/>
                <w:highlight w:val="none"/>
                <w:vertAlign w:val="baseline"/>
                <w:lang w:val="en-US" w:eastAsia="zh-CN" w:bidi="ar-SA"/>
              </w:rPr>
            </w:pPr>
            <w:r>
              <w:rPr>
                <w:rFonts w:ascii="Times New Roman" w:hAnsi="Times New Roman" w:eastAsia="黑体" w:cs="Times New Roman"/>
                <w:color w:val="auto"/>
                <w:sz w:val="24"/>
              </w:rPr>
              <w:t>批准部门：</w:t>
            </w:r>
          </w:p>
        </w:tc>
        <w:tc>
          <w:tcPr>
            <w:tcW w:w="5911" w:type="dxa"/>
            <w:vAlign w:val="center"/>
          </w:tcPr>
          <w:p>
            <w:pPr>
              <w:spacing w:before="240" w:after="60"/>
              <w:jc w:val="both"/>
              <w:outlineLvl w:val="9"/>
              <w:rPr>
                <w:rFonts w:cs="Times New Roman"/>
                <w:color w:val="auto"/>
                <w:sz w:val="36"/>
                <w:szCs w:val="36"/>
                <w:highlight w:val="none"/>
                <w:vertAlign w:val="baseline"/>
              </w:rPr>
            </w:pPr>
            <w:r>
              <w:rPr>
                <w:rFonts w:ascii="Times New Roman" w:hAnsi="Times New Roman" w:eastAsia="黑体" w:cs="Times New Roman"/>
                <w:color w:val="auto"/>
                <w:sz w:val="24"/>
              </w:rPr>
              <w:t>四川省住房和城乡建设厅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567" w:hRule="atLeast"/>
        </w:trPr>
        <w:tc>
          <w:tcPr>
            <w:tcW w:w="2606" w:type="dxa"/>
            <w:vAlign w:val="center"/>
          </w:tcPr>
          <w:p>
            <w:pPr>
              <w:spacing w:before="240" w:after="60"/>
              <w:jc w:val="right"/>
              <w:outlineLvl w:val="9"/>
              <w:rPr>
                <w:rFonts w:ascii="Calibri" w:hAnsi="Calibri" w:eastAsia="宋体" w:cs="Times New Roman"/>
                <w:color w:val="auto"/>
                <w:kern w:val="2"/>
                <w:sz w:val="36"/>
                <w:szCs w:val="36"/>
                <w:highlight w:val="none"/>
                <w:vertAlign w:val="baseline"/>
                <w:lang w:val="en-US" w:eastAsia="zh-CN" w:bidi="ar-SA"/>
              </w:rPr>
            </w:pPr>
            <w:r>
              <w:rPr>
                <w:rFonts w:ascii="Times New Roman" w:hAnsi="Times New Roman" w:eastAsia="黑体" w:cs="Times New Roman"/>
                <w:color w:val="auto"/>
                <w:sz w:val="24"/>
              </w:rPr>
              <w:t>施行日期：</w:t>
            </w:r>
          </w:p>
        </w:tc>
        <w:tc>
          <w:tcPr>
            <w:tcW w:w="5911" w:type="dxa"/>
            <w:vAlign w:val="center"/>
          </w:tcPr>
          <w:p>
            <w:pPr>
              <w:spacing w:before="240" w:after="60"/>
              <w:jc w:val="both"/>
              <w:outlineLvl w:val="9"/>
              <w:rPr>
                <w:rFonts w:cs="Times New Roman"/>
                <w:color w:val="auto"/>
                <w:sz w:val="36"/>
                <w:szCs w:val="36"/>
                <w:highlight w:val="none"/>
                <w:vertAlign w:val="baseline"/>
              </w:rPr>
            </w:pPr>
            <w:r>
              <w:rPr>
                <w:rFonts w:ascii="Times New Roman" w:hAnsi="Times New Roman"/>
                <w:sz w:val="28"/>
                <w:szCs w:val="28"/>
              </w:rPr>
              <w:t>202X年xx月xx日</w:t>
            </w:r>
          </w:p>
        </w:tc>
      </w:tr>
    </w:tbl>
    <w:p>
      <w:pPr>
        <w:pStyle w:val="101"/>
        <w:widowControl/>
        <w:numPr>
          <w:ilvl w:val="0"/>
          <w:numId w:val="0"/>
        </w:numPr>
        <w:shd w:val="clear" w:color="FFFFFF" w:fill="FFFFFF"/>
        <w:tabs>
          <w:tab w:val="center" w:pos="4200"/>
          <w:tab w:val="right" w:pos="8400"/>
        </w:tabs>
        <w:spacing w:before="156" w:beforeLines="50" w:after="560" w:line="360" w:lineRule="auto"/>
        <w:ind w:right="-2" w:firstLine="3057" w:firstLineChars="1092"/>
        <w:outlineLvl w:val="9"/>
        <w:rPr>
          <w:color w:val="auto"/>
          <w:sz w:val="28"/>
          <w:szCs w:val="28"/>
          <w:highlight w:val="none"/>
        </w:rPr>
      </w:pPr>
    </w:p>
    <w:p>
      <w:pPr>
        <w:pStyle w:val="101"/>
        <w:widowControl/>
        <w:numPr>
          <w:ilvl w:val="0"/>
          <w:numId w:val="0"/>
        </w:numPr>
        <w:shd w:val="clear" w:color="FFFFFF" w:fill="FFFFFF"/>
        <w:tabs>
          <w:tab w:val="center" w:pos="4200"/>
          <w:tab w:val="right" w:pos="8400"/>
        </w:tabs>
        <w:spacing w:before="156" w:beforeLines="50" w:after="560" w:line="360" w:lineRule="auto"/>
        <w:ind w:right="-2"/>
        <w:outlineLvl w:val="9"/>
        <w:rPr>
          <w:rFonts w:eastAsia="黑体"/>
          <w:color w:val="auto"/>
          <w:sz w:val="24"/>
          <w:highlight w:val="none"/>
        </w:rPr>
      </w:pPr>
    </w:p>
    <w:p>
      <w:pPr>
        <w:tabs>
          <w:tab w:val="center" w:pos="4200"/>
          <w:tab w:val="right" w:pos="8400"/>
        </w:tabs>
        <w:spacing w:line="360" w:lineRule="auto"/>
        <w:ind w:right="-2"/>
        <w:jc w:val="center"/>
        <w:rPr>
          <w:rFonts w:ascii="Times New Roman" w:hAnsi="Times New Roman" w:eastAsia="黑体" w:cs="Times New Roman"/>
          <w:color w:val="auto"/>
          <w:sz w:val="24"/>
          <w:highlight w:val="none"/>
        </w:rPr>
      </w:pPr>
      <w:bookmarkStart w:id="54" w:name="_Toc261597618"/>
      <w:bookmarkStart w:id="55" w:name="_Toc262025715"/>
      <w:bookmarkStart w:id="56" w:name="_Toc258945390"/>
      <w:bookmarkStart w:id="57" w:name="_Toc268531098"/>
      <w:bookmarkStart w:id="58" w:name="_Toc262026332"/>
      <w:bookmarkStart w:id="59" w:name="_Toc261595538"/>
      <w:bookmarkStart w:id="60" w:name="_Toc262026161"/>
      <w:bookmarkStart w:id="61" w:name="_Toc261276416"/>
      <w:r>
        <w:rPr>
          <w:rFonts w:hint="eastAsia" w:ascii="Times New Roman" w:hAnsi="Times New Roman" w:eastAsia="黑体" w:cs="Times New Roman"/>
          <w:color w:val="auto"/>
          <w:sz w:val="24"/>
          <w:highlight w:val="none"/>
        </w:rPr>
        <w:t>X</w:t>
      </w:r>
      <w:r>
        <w:rPr>
          <w:rFonts w:ascii="Times New Roman" w:hAnsi="Times New Roman" w:eastAsia="黑体" w:cs="Times New Roman"/>
          <w:color w:val="auto"/>
          <w:sz w:val="24"/>
          <w:highlight w:val="none"/>
        </w:rPr>
        <w:t>XX</w:t>
      </w:r>
    </w:p>
    <w:p>
      <w:pPr>
        <w:tabs>
          <w:tab w:val="center" w:pos="4200"/>
          <w:tab w:val="right" w:pos="8400"/>
        </w:tabs>
        <w:spacing w:line="360" w:lineRule="auto"/>
        <w:ind w:right="-2"/>
        <w:jc w:val="center"/>
        <w:rPr>
          <w:rFonts w:hint="eastAsia"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20</w:t>
      </w:r>
      <w:r>
        <w:rPr>
          <w:rFonts w:hint="eastAsia" w:ascii="Times New Roman" w:hAnsi="Times New Roman" w:eastAsia="黑体" w:cs="Times New Roman"/>
          <w:color w:val="auto"/>
          <w:sz w:val="24"/>
          <w:highlight w:val="none"/>
          <w:lang w:val="en-US" w:eastAsia="zh-CN"/>
        </w:rPr>
        <w:t>2X</w:t>
      </w:r>
      <w:r>
        <w:rPr>
          <w:rFonts w:hint="eastAsia" w:ascii="Times New Roman" w:hAnsi="Times New Roman" w:eastAsia="黑体" w:cs="Times New Roman"/>
          <w:color w:val="auto"/>
          <w:sz w:val="24"/>
          <w:highlight w:val="none"/>
        </w:rPr>
        <w:t xml:space="preserve">-XX-XX </w:t>
      </w:r>
      <w:bookmarkEnd w:id="54"/>
      <w:bookmarkEnd w:id="55"/>
      <w:bookmarkEnd w:id="56"/>
      <w:bookmarkEnd w:id="57"/>
      <w:bookmarkEnd w:id="58"/>
      <w:bookmarkEnd w:id="59"/>
      <w:bookmarkEnd w:id="60"/>
      <w:bookmarkEnd w:id="61"/>
      <w:r>
        <w:rPr>
          <w:rFonts w:hint="eastAsia" w:ascii="Times New Roman" w:hAnsi="Times New Roman" w:eastAsia="黑体" w:cs="Times New Roman"/>
          <w:color w:val="auto"/>
          <w:sz w:val="24"/>
          <w:highlight w:val="none"/>
        </w:rPr>
        <w:t xml:space="preserve">   成 都</w:t>
      </w:r>
    </w:p>
    <w:bookmarkEnd w:id="0"/>
    <w:bookmarkEnd w:id="1"/>
    <w:bookmarkEnd w:id="2"/>
    <w:bookmarkEnd w:id="3"/>
    <w:bookmarkEnd w:id="4"/>
    <w:bookmarkEnd w:id="5"/>
    <w:bookmarkEnd w:id="6"/>
    <w:p>
      <w:pPr>
        <w:pageBreakBefore/>
        <w:jc w:val="center"/>
        <w:rPr>
          <w:rFonts w:ascii="Times New Roman" w:hAnsi="Times New Roman" w:eastAsia="黑体"/>
          <w:color w:val="auto"/>
          <w:sz w:val="32"/>
          <w:szCs w:val="32"/>
          <w:highlight w:val="none"/>
        </w:rPr>
      </w:pPr>
    </w:p>
    <w:p>
      <w:pPr>
        <w:jc w:val="center"/>
        <w:rPr>
          <w:rFonts w:ascii="Times New Roman" w:hAnsi="Times New Roman"/>
          <w:b/>
          <w:color w:val="auto"/>
          <w:sz w:val="28"/>
          <w:szCs w:val="28"/>
          <w:highlight w:val="none"/>
        </w:rPr>
      </w:pPr>
      <w:r>
        <w:rPr>
          <w:rFonts w:ascii="Times New Roman" w:hAnsi="Times New Roman"/>
          <w:b/>
          <w:color w:val="auto"/>
          <w:sz w:val="28"/>
          <w:szCs w:val="28"/>
          <w:highlight w:val="none"/>
        </w:rPr>
        <w:t>前</w:t>
      </w: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 xml:space="preserve"> 言</w:t>
      </w:r>
    </w:p>
    <w:p>
      <w:pPr>
        <w:spacing w:line="360" w:lineRule="auto"/>
        <w:ind w:firstLine="480" w:firstLineChars="200"/>
        <w:jc w:val="left"/>
        <w:rPr>
          <w:rFonts w:hint="eastAsia" w:ascii="Times New Roman" w:hAnsi="Times New Roman"/>
          <w:color w:val="auto"/>
          <w:sz w:val="24"/>
          <w:szCs w:val="24"/>
          <w:highlight w:val="none"/>
          <w:lang w:val="zh-CN"/>
        </w:rPr>
      </w:pPr>
    </w:p>
    <w:p>
      <w:pPr>
        <w:spacing w:line="360" w:lineRule="auto"/>
        <w:ind w:firstLine="480" w:firstLineChars="200"/>
        <w:jc w:val="both"/>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本</w:t>
      </w:r>
      <w:r>
        <w:rPr>
          <w:rFonts w:hint="eastAsia" w:ascii="Times New Roman" w:hAnsi="Times New Roman"/>
          <w:color w:val="auto"/>
          <w:sz w:val="24"/>
          <w:szCs w:val="24"/>
          <w:highlight w:val="none"/>
          <w:lang w:val="en-US" w:eastAsia="zh-CN"/>
        </w:rPr>
        <w:t>标准</w:t>
      </w:r>
      <w:r>
        <w:rPr>
          <w:rFonts w:ascii="Times New Roman" w:hAnsi="Times New Roman"/>
          <w:color w:val="auto"/>
          <w:sz w:val="24"/>
          <w:szCs w:val="24"/>
          <w:highlight w:val="none"/>
          <w:lang w:val="zh-CN"/>
        </w:rPr>
        <w:t>是根据</w:t>
      </w:r>
      <w:bookmarkStart w:id="62" w:name="OLE_LINK31"/>
      <w:r>
        <w:rPr>
          <w:rFonts w:hint="eastAsia" w:ascii="Times New Roman" w:hAnsi="Times New Roman"/>
          <w:color w:val="auto"/>
          <w:sz w:val="24"/>
          <w:szCs w:val="24"/>
          <w:highlight w:val="none"/>
          <w:lang w:val="zh-CN"/>
        </w:rPr>
        <w:t>《四川省住房和城乡建设厅关于下达2024年工程建设地方标准</w:t>
      </w:r>
      <w:r>
        <w:rPr>
          <w:rFonts w:hint="eastAsia" w:ascii="微软雅黑" w:hAnsi="微软雅黑" w:eastAsia="微软雅黑" w:cs="微软雅黑"/>
          <w:color w:val="auto"/>
          <w:sz w:val="24"/>
          <w:szCs w:val="24"/>
          <w:highlight w:val="none"/>
          <w:lang w:val="zh-CN"/>
        </w:rPr>
        <w:t>〈</w:t>
      </w:r>
      <w:r>
        <w:rPr>
          <w:rFonts w:hint="eastAsia" w:ascii="Times New Roman" w:hAnsi="Times New Roman"/>
          <w:color w:val="auto"/>
          <w:sz w:val="24"/>
          <w:szCs w:val="24"/>
          <w:highlight w:val="none"/>
          <w:lang w:val="zh-CN"/>
        </w:rPr>
        <w:t>四川省建筑垃圾分类减量及资源化利用技术标准</w:t>
      </w:r>
      <w:r>
        <w:rPr>
          <w:rFonts w:hint="eastAsia" w:ascii="微软雅黑" w:hAnsi="微软雅黑" w:eastAsia="微软雅黑" w:cs="微软雅黑"/>
          <w:color w:val="auto"/>
          <w:sz w:val="24"/>
          <w:szCs w:val="24"/>
          <w:highlight w:val="none"/>
          <w:lang w:val="zh-CN"/>
        </w:rPr>
        <w:t>〉</w:t>
      </w:r>
      <w:r>
        <w:rPr>
          <w:rFonts w:hint="eastAsia" w:ascii="Times New Roman" w:hAnsi="Times New Roman"/>
          <w:color w:val="auto"/>
          <w:sz w:val="24"/>
          <w:szCs w:val="24"/>
          <w:highlight w:val="none"/>
          <w:lang w:val="zh-CN"/>
        </w:rPr>
        <w:t>制定计划的通知》（川建标函</w:t>
      </w:r>
      <w:r>
        <w:rPr>
          <w:rFonts w:hint="eastAsia" w:ascii="Times New Roman" w:hAnsi="Times New Roman"/>
          <w:color w:val="auto"/>
          <w:sz w:val="24"/>
          <w:szCs w:val="24"/>
          <w:highlight w:val="none"/>
          <w:lang w:val="zh-CN" w:eastAsia="zh-CN"/>
        </w:rPr>
        <w:t>〔20</w:t>
      </w:r>
      <w:r>
        <w:rPr>
          <w:rFonts w:hint="eastAsia" w:ascii="Times New Roman" w:hAnsi="Times New Roman"/>
          <w:color w:val="auto"/>
          <w:sz w:val="24"/>
          <w:szCs w:val="24"/>
          <w:highlight w:val="none"/>
          <w:lang w:val="en-US" w:eastAsia="zh-CN"/>
        </w:rPr>
        <w:t>24</w:t>
      </w:r>
      <w:r>
        <w:rPr>
          <w:rFonts w:hint="eastAsia" w:ascii="Times New Roman" w:hAnsi="Times New Roman"/>
          <w:color w:val="auto"/>
          <w:sz w:val="24"/>
          <w:szCs w:val="24"/>
          <w:highlight w:val="none"/>
          <w:lang w:val="zh-CN" w:eastAsia="zh-CN"/>
        </w:rPr>
        <w:t>〕</w:t>
      </w:r>
      <w:r>
        <w:rPr>
          <w:rFonts w:hint="eastAsia" w:ascii="Times New Roman" w:hAnsi="Times New Roman"/>
          <w:color w:val="auto"/>
          <w:sz w:val="24"/>
          <w:szCs w:val="24"/>
          <w:highlight w:val="none"/>
          <w:lang w:val="en-US" w:eastAsia="zh-CN"/>
        </w:rPr>
        <w:t>2406</w:t>
      </w:r>
      <w:r>
        <w:rPr>
          <w:rFonts w:hint="eastAsia" w:ascii="Times New Roman" w:hAnsi="Times New Roman"/>
          <w:color w:val="auto"/>
          <w:sz w:val="24"/>
          <w:szCs w:val="24"/>
          <w:highlight w:val="none"/>
          <w:lang w:val="zh-CN"/>
        </w:rPr>
        <w:t>号）的</w:t>
      </w:r>
      <w:r>
        <w:rPr>
          <w:rFonts w:ascii="Times New Roman" w:hAnsi="Times New Roman"/>
          <w:color w:val="auto"/>
          <w:sz w:val="24"/>
          <w:szCs w:val="24"/>
          <w:highlight w:val="none"/>
          <w:lang w:val="zh-CN"/>
        </w:rPr>
        <w:t>要求</w:t>
      </w:r>
      <w:bookmarkEnd w:id="62"/>
      <w:r>
        <w:rPr>
          <w:rFonts w:ascii="Times New Roman" w:hAnsi="Times New Roman"/>
          <w:color w:val="auto"/>
          <w:sz w:val="24"/>
          <w:szCs w:val="24"/>
          <w:highlight w:val="none"/>
          <w:lang w:val="zh-CN"/>
        </w:rPr>
        <w:t>，由四川省建筑科学研究院</w:t>
      </w:r>
      <w:r>
        <w:rPr>
          <w:rFonts w:hint="eastAsia" w:ascii="Times New Roman" w:hAnsi="Times New Roman"/>
          <w:color w:val="auto"/>
          <w:sz w:val="24"/>
          <w:szCs w:val="24"/>
          <w:highlight w:val="none"/>
          <w:lang w:val="zh-CN"/>
        </w:rPr>
        <w:t>有限公司、</w:t>
      </w:r>
      <w:r>
        <w:rPr>
          <w:rFonts w:hint="default" w:ascii="Times New Roman" w:hAnsi="Times New Roman" w:eastAsia="宋体" w:cs="Times New Roman"/>
          <w:color w:val="auto"/>
          <w:sz w:val="24"/>
          <w:szCs w:val="24"/>
          <w:highlight w:val="none"/>
          <w:lang w:val="zh-CN"/>
        </w:rPr>
        <w:t>四川省建设工程消防和勘察设计技术中心</w:t>
      </w:r>
      <w:r>
        <w:rPr>
          <w:rFonts w:ascii="Times New Roman" w:hAnsi="Times New Roman"/>
          <w:color w:val="auto"/>
          <w:sz w:val="24"/>
          <w:szCs w:val="24"/>
          <w:highlight w:val="none"/>
          <w:lang w:val="zh-CN"/>
        </w:rPr>
        <w:t>会同有关单位</w:t>
      </w:r>
      <w:r>
        <w:rPr>
          <w:rFonts w:hint="eastAsia" w:ascii="Times New Roman" w:hAnsi="Times New Roman"/>
          <w:color w:val="auto"/>
          <w:sz w:val="24"/>
          <w:szCs w:val="24"/>
          <w:highlight w:val="none"/>
          <w:lang w:val="zh-CN"/>
        </w:rPr>
        <w:t>共同编制完成。</w:t>
      </w:r>
    </w:p>
    <w:p>
      <w:pPr>
        <w:spacing w:line="360" w:lineRule="auto"/>
        <w:ind w:firstLine="480" w:firstLineChars="20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标准编制组经广泛调查研究，认真总结实践经验，参考国内</w:t>
      </w:r>
      <w:r>
        <w:rPr>
          <w:rFonts w:hint="eastAsia" w:ascii="Times New Roman" w:hAnsi="Times New Roman"/>
          <w:color w:val="auto"/>
          <w:sz w:val="24"/>
          <w:szCs w:val="24"/>
          <w:highlight w:val="none"/>
          <w:lang w:val="en-US" w:eastAsia="zh-CN"/>
        </w:rPr>
        <w:t>相关</w:t>
      </w:r>
      <w:r>
        <w:rPr>
          <w:rFonts w:ascii="Times New Roman" w:hAnsi="Times New Roman"/>
          <w:color w:val="auto"/>
          <w:sz w:val="24"/>
          <w:szCs w:val="24"/>
          <w:highlight w:val="none"/>
          <w:lang w:val="zh-CN"/>
        </w:rPr>
        <w:t>标准，并在广泛征求意见的基础上，制定本</w:t>
      </w:r>
      <w:r>
        <w:rPr>
          <w:rFonts w:hint="default" w:ascii="Times New Roman" w:hAnsi="Times New Roman"/>
          <w:color w:val="auto"/>
          <w:sz w:val="24"/>
          <w:szCs w:val="24"/>
          <w:highlight w:val="none"/>
          <w:lang w:val="zh-CN"/>
        </w:rPr>
        <w:t>标准</w:t>
      </w:r>
      <w:r>
        <w:rPr>
          <w:rFonts w:ascii="Times New Roman" w:hAnsi="Times New Roman"/>
          <w:color w:val="auto"/>
          <w:sz w:val="24"/>
          <w:szCs w:val="24"/>
          <w:highlight w:val="none"/>
          <w:lang w:val="zh-CN"/>
        </w:rPr>
        <w:t>。</w:t>
      </w:r>
    </w:p>
    <w:p>
      <w:pPr>
        <w:spacing w:line="360" w:lineRule="auto"/>
        <w:ind w:firstLine="480" w:firstLineChars="200"/>
        <w:jc w:val="left"/>
        <w:rPr>
          <w:rFonts w:hint="eastAsia" w:ascii="Times New Roman" w:hAnsi="Times New Roman"/>
          <w:color w:val="auto"/>
          <w:sz w:val="24"/>
          <w:szCs w:val="24"/>
          <w:highlight w:val="none"/>
          <w:lang w:val="zh-CN"/>
        </w:rPr>
      </w:pPr>
      <w:r>
        <w:rPr>
          <w:rFonts w:ascii="Times New Roman" w:hAnsi="Times New Roman"/>
          <w:color w:val="auto"/>
          <w:sz w:val="24"/>
          <w:szCs w:val="24"/>
          <w:highlight w:val="none"/>
          <w:lang w:val="zh-CN"/>
        </w:rPr>
        <w:t>本标准共分</w:t>
      </w: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lang w:val="zh-CN"/>
        </w:rPr>
        <w:t>章，主要技术内容是：</w:t>
      </w:r>
      <w:r>
        <w:rPr>
          <w:rFonts w:hint="eastAsia" w:ascii="Times New Roman" w:hAnsi="Times New Roman"/>
          <w:color w:val="auto"/>
          <w:sz w:val="24"/>
          <w:szCs w:val="24"/>
          <w:highlight w:val="none"/>
          <w:lang w:val="zh-CN"/>
        </w:rPr>
        <w:t>1总则；2术语；3基本规定；4源头减量；5分类收集；6就地利用；7</w:t>
      </w:r>
      <w:r>
        <w:rPr>
          <w:rFonts w:hint="eastAsia" w:ascii="Times New Roman" w:hAnsi="Times New Roman"/>
          <w:color w:val="auto"/>
          <w:sz w:val="24"/>
          <w:szCs w:val="24"/>
          <w:highlight w:val="none"/>
          <w:lang w:val="en-US" w:eastAsia="zh-CN"/>
        </w:rPr>
        <w:t>场外</w:t>
      </w:r>
      <w:r>
        <w:rPr>
          <w:rFonts w:hint="eastAsia" w:ascii="Times New Roman" w:hAnsi="Times New Roman"/>
          <w:color w:val="auto"/>
          <w:sz w:val="24"/>
          <w:szCs w:val="24"/>
          <w:highlight w:val="none"/>
          <w:lang w:val="en-US"/>
        </w:rPr>
        <w:t>资源化利用及</w:t>
      </w:r>
      <w:r>
        <w:rPr>
          <w:rFonts w:hint="eastAsia" w:ascii="Times New Roman" w:hAnsi="Times New Roman"/>
          <w:color w:val="auto"/>
          <w:sz w:val="24"/>
          <w:szCs w:val="24"/>
          <w:highlight w:val="none"/>
          <w:lang w:val="en-US" w:eastAsia="zh-CN"/>
        </w:rPr>
        <w:t>处置</w:t>
      </w:r>
      <w:r>
        <w:rPr>
          <w:rFonts w:hint="eastAsia" w:ascii="Times New Roman" w:hAnsi="Times New Roman"/>
          <w:color w:val="auto"/>
          <w:sz w:val="24"/>
          <w:szCs w:val="24"/>
          <w:highlight w:val="none"/>
          <w:lang w:val="zh-CN"/>
        </w:rPr>
        <w:t>。</w:t>
      </w:r>
    </w:p>
    <w:p>
      <w:pPr>
        <w:spacing w:line="360" w:lineRule="auto"/>
        <w:ind w:firstLine="480" w:firstLineChars="20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rPr>
        <w:t>本标准</w:t>
      </w:r>
      <w:r>
        <w:rPr>
          <w:rFonts w:ascii="Times New Roman" w:hAnsi="Times New Roman"/>
          <w:color w:val="auto"/>
          <w:sz w:val="24"/>
          <w:szCs w:val="24"/>
          <w:highlight w:val="none"/>
          <w:lang w:val="zh-CN"/>
        </w:rPr>
        <w:t>由</w:t>
      </w:r>
      <w:r>
        <w:rPr>
          <w:rFonts w:ascii="Times New Roman" w:hAnsi="Times New Roman"/>
          <w:color w:val="auto"/>
          <w:sz w:val="24"/>
          <w:szCs w:val="24"/>
          <w:highlight w:val="none"/>
        </w:rPr>
        <w:t>四川省住房和城乡建设厅</w:t>
      </w:r>
      <w:r>
        <w:rPr>
          <w:rFonts w:ascii="Times New Roman" w:hAnsi="Times New Roman"/>
          <w:color w:val="auto"/>
          <w:sz w:val="24"/>
          <w:szCs w:val="24"/>
          <w:highlight w:val="none"/>
          <w:lang w:val="zh-CN"/>
        </w:rPr>
        <w:t>负责管理，由四川省建筑科学研究院有限公司负责具体技术内容的解释。</w:t>
      </w:r>
      <w:r>
        <w:rPr>
          <w:rFonts w:hint="eastAsia" w:ascii="Times New Roman" w:hAnsi="Times New Roman"/>
          <w:color w:val="auto"/>
          <w:sz w:val="24"/>
          <w:szCs w:val="24"/>
          <w:highlight w:val="none"/>
          <w:lang w:val="zh-CN"/>
        </w:rPr>
        <w:t>在</w:t>
      </w:r>
      <w:r>
        <w:rPr>
          <w:rFonts w:ascii="Times New Roman" w:hAnsi="Times New Roman"/>
          <w:color w:val="auto"/>
          <w:sz w:val="24"/>
          <w:szCs w:val="24"/>
          <w:highlight w:val="none"/>
          <w:lang w:val="zh-CN"/>
        </w:rPr>
        <w:t>执行</w:t>
      </w:r>
      <w:r>
        <w:rPr>
          <w:rFonts w:hint="eastAsia" w:ascii="Times New Roman" w:hAnsi="Times New Roman"/>
          <w:color w:val="auto"/>
          <w:sz w:val="24"/>
          <w:szCs w:val="24"/>
          <w:highlight w:val="none"/>
          <w:lang w:val="zh-CN"/>
        </w:rPr>
        <w:t>本标准</w:t>
      </w:r>
      <w:r>
        <w:rPr>
          <w:rFonts w:ascii="Times New Roman" w:hAnsi="Times New Roman"/>
          <w:color w:val="auto"/>
          <w:sz w:val="24"/>
          <w:szCs w:val="24"/>
          <w:highlight w:val="none"/>
          <w:lang w:val="zh-CN"/>
        </w:rPr>
        <w:t>过程中如有意见或建议，请寄送</w:t>
      </w:r>
      <w:r>
        <w:rPr>
          <w:rFonts w:hint="eastAsia" w:ascii="Times New Roman" w:hAnsi="Times New Roman"/>
          <w:color w:val="auto"/>
          <w:sz w:val="24"/>
          <w:szCs w:val="24"/>
          <w:highlight w:val="none"/>
          <w:lang w:val="zh-CN"/>
        </w:rPr>
        <w:t>至</w:t>
      </w:r>
      <w:r>
        <w:rPr>
          <w:rFonts w:ascii="Times New Roman" w:hAnsi="Times New Roman"/>
          <w:color w:val="auto"/>
          <w:sz w:val="24"/>
          <w:szCs w:val="24"/>
          <w:highlight w:val="none"/>
          <w:lang w:val="zh-CN"/>
        </w:rPr>
        <w:t>四川省建筑科学研究院有限公司（地址：四川省成都市一环路北三段55号</w:t>
      </w:r>
      <w:r>
        <w:rPr>
          <w:rFonts w:hint="eastAsia" w:ascii="Times New Roman" w:hAnsi="Times New Roman"/>
          <w:color w:val="auto"/>
          <w:sz w:val="24"/>
          <w:szCs w:val="24"/>
          <w:highlight w:val="none"/>
          <w:lang w:val="zh-CN"/>
        </w:rPr>
        <w:t>；</w:t>
      </w:r>
      <w:r>
        <w:rPr>
          <w:rFonts w:ascii="Times New Roman" w:hAnsi="Times New Roman"/>
          <w:color w:val="auto"/>
          <w:sz w:val="24"/>
          <w:szCs w:val="24"/>
          <w:highlight w:val="none"/>
          <w:lang w:val="zh-CN"/>
        </w:rPr>
        <w:t>邮编：61008</w:t>
      </w: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zh-CN"/>
        </w:rPr>
        <w:t>；邮箱：</w:t>
      </w:r>
      <w:r>
        <w:rPr>
          <w:rFonts w:hint="eastAsia"/>
          <w:color w:val="auto"/>
          <w:highlight w:val="none"/>
          <w:lang w:val="en-US" w:eastAsia="zh-CN"/>
        </w:rPr>
        <w:fldChar w:fldCharType="begin"/>
      </w:r>
      <w:r>
        <w:rPr>
          <w:rFonts w:hint="eastAsia"/>
          <w:color w:val="auto"/>
          <w:highlight w:val="none"/>
          <w:lang w:val="en-US" w:eastAsia="zh-CN"/>
        </w:rPr>
        <w:instrText xml:space="preserve"> HYPERLINK "mailto:37935011@qq.com" </w:instrText>
      </w:r>
      <w:r>
        <w:rPr>
          <w:rFonts w:hint="eastAsia"/>
          <w:color w:val="auto"/>
          <w:highlight w:val="none"/>
          <w:lang w:val="en-US" w:eastAsia="zh-CN"/>
        </w:rPr>
        <w:fldChar w:fldCharType="separate"/>
      </w:r>
      <w:r>
        <w:rPr>
          <w:rStyle w:val="37"/>
          <w:rFonts w:hint="eastAsia"/>
          <w:color w:val="auto"/>
          <w:highlight w:val="none"/>
          <w:lang w:val="en-US" w:eastAsia="zh-CN"/>
        </w:rPr>
        <w:t>37935011@qq.com</w:t>
      </w:r>
      <w:r>
        <w:rPr>
          <w:rFonts w:hint="eastAsia"/>
          <w:color w:val="auto"/>
          <w:highlight w:val="none"/>
          <w:lang w:val="en-US" w:eastAsia="zh-CN"/>
        </w:rPr>
        <w:fldChar w:fldCharType="end"/>
      </w:r>
      <w:r>
        <w:rPr>
          <w:rFonts w:hint="eastAsia" w:ascii="Times New Roman" w:hAnsi="Times New Roman"/>
          <w:color w:val="auto"/>
          <w:sz w:val="24"/>
          <w:szCs w:val="24"/>
          <w:highlight w:val="none"/>
        </w:rPr>
        <w:t>；</w:t>
      </w:r>
      <w:r>
        <w:rPr>
          <w:rFonts w:ascii="Times New Roman" w:hAnsi="Times New Roman"/>
          <w:color w:val="auto"/>
          <w:sz w:val="24"/>
          <w:szCs w:val="24"/>
          <w:highlight w:val="none"/>
          <w:lang w:val="zh-CN"/>
        </w:rPr>
        <w:t>电话：028-8337</w:t>
      </w:r>
      <w:r>
        <w:rPr>
          <w:rFonts w:hint="eastAsia" w:ascii="Times New Roman" w:hAnsi="Times New Roman"/>
          <w:color w:val="auto"/>
          <w:sz w:val="24"/>
          <w:szCs w:val="24"/>
          <w:highlight w:val="none"/>
        </w:rPr>
        <w:t>2502</w:t>
      </w: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zh-CN"/>
        </w:rPr>
        <w:t>，以便今后修订时参考</w:t>
      </w:r>
      <w:r>
        <w:rPr>
          <w:rFonts w:ascii="Times New Roman" w:hAnsi="Times New Roman"/>
          <w:color w:val="auto"/>
          <w:sz w:val="24"/>
          <w:szCs w:val="24"/>
          <w:highlight w:val="none"/>
          <w:lang w:val="zh-CN"/>
        </w:rPr>
        <w:t>。</w:t>
      </w:r>
    </w:p>
    <w:tbl>
      <w:tblPr>
        <w:tblStyle w:val="31"/>
        <w:tblW w:w="0" w:type="auto"/>
        <w:tblInd w:w="392" w:type="dxa"/>
        <w:tblLayout w:type="autofit"/>
        <w:tblCellMar>
          <w:top w:w="0" w:type="dxa"/>
          <w:left w:w="108" w:type="dxa"/>
          <w:bottom w:w="0" w:type="dxa"/>
          <w:right w:w="108" w:type="dxa"/>
        </w:tblCellMar>
      </w:tblPr>
      <w:tblGrid>
        <w:gridCol w:w="1783"/>
        <w:gridCol w:w="6342"/>
      </w:tblGrid>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r>
              <w:rPr>
                <w:rFonts w:hint="eastAsia" w:ascii="黑体" w:hAnsi="黑体"/>
                <w:b/>
                <w:bCs/>
                <w:color w:val="auto"/>
                <w:sz w:val="24"/>
                <w:szCs w:val="24"/>
                <w:highlight w:val="none"/>
              </w:rPr>
              <w:t>主编单位</w:t>
            </w:r>
            <w:r>
              <w:rPr>
                <w:rFonts w:hint="eastAsia"/>
                <w:b/>
                <w:bCs/>
                <w:color w:val="auto"/>
                <w:sz w:val="24"/>
                <w:szCs w:val="24"/>
                <w:highlight w:val="none"/>
              </w:rPr>
              <w:t>：</w:t>
            </w:r>
          </w:p>
        </w:tc>
        <w:tc>
          <w:tcPr>
            <w:tcW w:w="6342" w:type="dxa"/>
            <w:shd w:val="clear" w:color="auto" w:fill="auto"/>
            <w:noWrap w:val="0"/>
            <w:vAlign w:val="center"/>
          </w:tcPr>
          <w:p>
            <w:pPr>
              <w:autoSpaceDE w:val="0"/>
              <w:autoSpaceDN w:val="0"/>
              <w:adjustRightInd w:val="0"/>
              <w:rPr>
                <w:color w:val="auto"/>
                <w:sz w:val="24"/>
                <w:szCs w:val="24"/>
                <w:highlight w:val="none"/>
              </w:rPr>
            </w:pPr>
          </w:p>
        </w:tc>
      </w:tr>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left"/>
              <w:rPr>
                <w:rFonts w:hint="eastAsia" w:ascii="黑体" w:hAnsi="黑体"/>
                <w:b w:val="0"/>
                <w:bCs w:val="0"/>
                <w:color w:val="auto"/>
                <w:sz w:val="24"/>
                <w:szCs w:val="24"/>
                <w:highlight w:val="none"/>
              </w:rPr>
            </w:pPr>
          </w:p>
        </w:tc>
        <w:tc>
          <w:tcPr>
            <w:tcW w:w="6342" w:type="dxa"/>
            <w:shd w:val="clear" w:color="auto" w:fill="auto"/>
            <w:noWrap w:val="0"/>
            <w:vAlign w:val="center"/>
          </w:tcPr>
          <w:p>
            <w:pPr>
              <w:autoSpaceDE w:val="0"/>
              <w:autoSpaceDN w:val="0"/>
              <w:adjustRightInd w:val="0"/>
              <w:rPr>
                <w:rFonts w:hint="eastAsia" w:ascii="黑体" w:hAnsi="黑体"/>
                <w:b w:val="0"/>
                <w:bCs w:val="0"/>
                <w:color w:val="auto"/>
                <w:sz w:val="24"/>
                <w:szCs w:val="24"/>
                <w:highlight w:val="none"/>
                <w:lang w:val="en-US" w:eastAsia="zh-CN"/>
              </w:rPr>
            </w:pPr>
          </w:p>
        </w:tc>
      </w:tr>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r>
              <w:rPr>
                <w:rFonts w:hint="eastAsia" w:ascii="黑体" w:hAnsi="黑体"/>
                <w:b/>
                <w:bCs/>
                <w:color w:val="auto"/>
                <w:sz w:val="24"/>
                <w:szCs w:val="24"/>
                <w:highlight w:val="none"/>
              </w:rPr>
              <w:t>参编单位：</w:t>
            </w:r>
          </w:p>
        </w:tc>
        <w:tc>
          <w:tcPr>
            <w:tcW w:w="6342" w:type="dxa"/>
            <w:shd w:val="clear" w:color="auto" w:fill="auto"/>
            <w:noWrap w:val="0"/>
            <w:vAlign w:val="center"/>
          </w:tcPr>
          <w:p>
            <w:pPr>
              <w:autoSpaceDE w:val="0"/>
              <w:autoSpaceDN w:val="0"/>
              <w:adjustRightInd w:val="0"/>
              <w:rPr>
                <w:color w:val="auto"/>
                <w:sz w:val="24"/>
                <w:szCs w:val="24"/>
                <w:highlight w:val="none"/>
              </w:rPr>
            </w:pPr>
          </w:p>
        </w:tc>
      </w:tr>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r>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r>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r>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r>
        <w:tblPrEx>
          <w:tblCellMar>
            <w:top w:w="0" w:type="dxa"/>
            <w:left w:w="108" w:type="dxa"/>
            <w:bottom w:w="0" w:type="dxa"/>
            <w:right w:w="108" w:type="dxa"/>
          </w:tblCellMar>
        </w:tblPrEx>
        <w:trPr>
          <w:trHeight w:val="624" w:hRule="atLeast"/>
        </w:trPr>
        <w:tc>
          <w:tcPr>
            <w:tcW w:w="1783" w:type="dxa"/>
            <w:shd w:val="clear" w:color="auto" w:fill="auto"/>
            <w:noWrap w:val="0"/>
            <w:vAlign w:val="center"/>
          </w:tcPr>
          <w:p>
            <w:pPr>
              <w:autoSpaceDE w:val="0"/>
              <w:autoSpaceDN w:val="0"/>
              <w:adjustRightInd w:val="0"/>
              <w:jc w:val="center"/>
              <w:rPr>
                <w:rFonts w:ascii="黑体" w:hAnsi="黑体"/>
                <w:b/>
                <w:bCs/>
                <w:color w:val="auto"/>
                <w:sz w:val="24"/>
                <w:szCs w:val="24"/>
                <w:highlight w:val="none"/>
              </w:rPr>
            </w:pPr>
          </w:p>
        </w:tc>
        <w:tc>
          <w:tcPr>
            <w:tcW w:w="6342" w:type="dxa"/>
            <w:shd w:val="clear" w:color="auto" w:fill="auto"/>
            <w:noWrap w:val="0"/>
            <w:vAlign w:val="center"/>
          </w:tcPr>
          <w:p>
            <w:pPr>
              <w:autoSpaceDE w:val="0"/>
              <w:autoSpaceDN w:val="0"/>
              <w:adjustRightInd w:val="0"/>
              <w:rPr>
                <w:color w:val="auto"/>
                <w:sz w:val="24"/>
                <w:szCs w:val="24"/>
                <w:highlight w:val="none"/>
              </w:rPr>
            </w:pPr>
          </w:p>
        </w:tc>
      </w:tr>
    </w:tbl>
    <w:tbl>
      <w:tblPr>
        <w:tblStyle w:val="31"/>
        <w:tblpPr w:leftFromText="180" w:rightFromText="180" w:vertAnchor="text" w:horzAnchor="page" w:tblpX="2208" w:tblpY="412"/>
        <w:tblOverlap w:val="never"/>
        <w:tblW w:w="0" w:type="auto"/>
        <w:tblInd w:w="0" w:type="dxa"/>
        <w:tblLayout w:type="autofit"/>
        <w:tblCellMar>
          <w:top w:w="0" w:type="dxa"/>
          <w:left w:w="113" w:type="dxa"/>
          <w:bottom w:w="0" w:type="dxa"/>
          <w:right w:w="113" w:type="dxa"/>
        </w:tblCellMar>
      </w:tblPr>
      <w:tblGrid>
        <w:gridCol w:w="1621"/>
        <w:gridCol w:w="1300"/>
        <w:gridCol w:w="1300"/>
        <w:gridCol w:w="1300"/>
        <w:gridCol w:w="1301"/>
        <w:gridCol w:w="1301"/>
      </w:tblGrid>
      <w:tr>
        <w:tblPrEx>
          <w:tblCellMar>
            <w:top w:w="0" w:type="dxa"/>
            <w:left w:w="113" w:type="dxa"/>
            <w:bottom w:w="0" w:type="dxa"/>
            <w:right w:w="113" w:type="dxa"/>
          </w:tblCellMar>
        </w:tblPrEx>
        <w:trPr>
          <w:trHeight w:val="624" w:hRule="atLeast"/>
        </w:trPr>
        <w:tc>
          <w:tcPr>
            <w:tcW w:w="1621" w:type="dxa"/>
            <w:noWrap w:val="0"/>
            <w:vAlign w:val="center"/>
          </w:tcPr>
          <w:p>
            <w:pPr>
              <w:autoSpaceDE w:val="0"/>
              <w:autoSpaceDN w:val="0"/>
              <w:adjustRightInd w:val="0"/>
              <w:jc w:val="center"/>
              <w:rPr>
                <w:rFonts w:hint="eastAsia" w:ascii="黑体" w:hAnsi="黑体"/>
                <w:b/>
                <w:bCs/>
                <w:color w:val="auto"/>
                <w:sz w:val="24"/>
                <w:szCs w:val="24"/>
                <w:highlight w:val="none"/>
              </w:rPr>
            </w:pPr>
            <w:r>
              <w:rPr>
                <w:rFonts w:hint="eastAsia" w:ascii="黑体" w:hAnsi="黑体"/>
                <w:b/>
                <w:bCs/>
                <w:color w:val="auto"/>
                <w:sz w:val="24"/>
                <w:szCs w:val="24"/>
                <w:highlight w:val="none"/>
              </w:rPr>
              <w:t>主要起草人：</w:t>
            </w: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r>
      <w:tr>
        <w:tblPrEx>
          <w:tblCellMar>
            <w:top w:w="0" w:type="dxa"/>
            <w:left w:w="113" w:type="dxa"/>
            <w:bottom w:w="0" w:type="dxa"/>
            <w:right w:w="113" w:type="dxa"/>
          </w:tblCellMar>
        </w:tblPrEx>
        <w:trPr>
          <w:trHeight w:val="624" w:hRule="atLeast"/>
        </w:trPr>
        <w:tc>
          <w:tcPr>
            <w:tcW w:w="1621" w:type="dxa"/>
            <w:vMerge w:val="restart"/>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r>
      <w:tr>
        <w:tblPrEx>
          <w:tblCellMar>
            <w:top w:w="0" w:type="dxa"/>
            <w:left w:w="113" w:type="dxa"/>
            <w:bottom w:w="0" w:type="dxa"/>
            <w:right w:w="113" w:type="dxa"/>
          </w:tblCellMar>
        </w:tblPrEx>
        <w:trPr>
          <w:trHeight w:val="624" w:hRule="atLeast"/>
        </w:trPr>
        <w:tc>
          <w:tcPr>
            <w:tcW w:w="1621" w:type="dxa"/>
            <w:vMerge w:val="continue"/>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r>
      <w:tr>
        <w:tblPrEx>
          <w:tblCellMar>
            <w:top w:w="0" w:type="dxa"/>
            <w:left w:w="113" w:type="dxa"/>
            <w:bottom w:w="0" w:type="dxa"/>
            <w:right w:w="113" w:type="dxa"/>
          </w:tblCellMar>
        </w:tblPrEx>
        <w:trPr>
          <w:trHeight w:val="624" w:hRule="atLeast"/>
        </w:trPr>
        <w:tc>
          <w:tcPr>
            <w:tcW w:w="1621" w:type="dxa"/>
            <w:vMerge w:val="continue"/>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r>
      <w:tr>
        <w:tblPrEx>
          <w:tblCellMar>
            <w:top w:w="0" w:type="dxa"/>
            <w:left w:w="113" w:type="dxa"/>
            <w:bottom w:w="0" w:type="dxa"/>
            <w:right w:w="113" w:type="dxa"/>
          </w:tblCellMar>
        </w:tblPrEx>
        <w:trPr>
          <w:trHeight w:val="624" w:hRule="atLeast"/>
        </w:trPr>
        <w:tc>
          <w:tcPr>
            <w:tcW w:w="1621" w:type="dxa"/>
            <w:vMerge w:val="continue"/>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r>
      <w:tr>
        <w:tblPrEx>
          <w:tblCellMar>
            <w:top w:w="0" w:type="dxa"/>
            <w:left w:w="113" w:type="dxa"/>
            <w:bottom w:w="0" w:type="dxa"/>
            <w:right w:w="113" w:type="dxa"/>
          </w:tblCellMar>
        </w:tblPrEx>
        <w:trPr>
          <w:trHeight w:val="624" w:hRule="atLeast"/>
        </w:trPr>
        <w:tc>
          <w:tcPr>
            <w:tcW w:w="1621" w:type="dxa"/>
            <w:vMerge w:val="continue"/>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0"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c>
          <w:tcPr>
            <w:tcW w:w="1301" w:type="dxa"/>
            <w:noWrap w:val="0"/>
            <w:vAlign w:val="center"/>
          </w:tcPr>
          <w:p>
            <w:pPr>
              <w:autoSpaceDE w:val="0"/>
              <w:autoSpaceDN w:val="0"/>
              <w:adjustRightInd w:val="0"/>
              <w:jc w:val="center"/>
              <w:rPr>
                <w:rFonts w:hint="eastAsia" w:ascii="黑体" w:hAnsi="黑体"/>
                <w:b/>
                <w:bCs/>
                <w:color w:val="auto"/>
                <w:sz w:val="24"/>
                <w:szCs w:val="24"/>
                <w:highlight w:val="none"/>
              </w:rPr>
            </w:pPr>
          </w:p>
        </w:tc>
      </w:tr>
    </w:tbl>
    <w:p>
      <w:pPr>
        <w:spacing w:line="360" w:lineRule="auto"/>
        <w:ind w:firstLine="480" w:firstLineChars="200"/>
        <w:rPr>
          <w:rFonts w:ascii="Times New Roman" w:hAnsi="Times New Roman"/>
          <w:color w:val="auto"/>
          <w:sz w:val="24"/>
          <w:szCs w:val="24"/>
          <w:highlight w:val="none"/>
        </w:rPr>
      </w:pPr>
    </w:p>
    <w:tbl>
      <w:tblPr>
        <w:tblStyle w:val="31"/>
        <w:tblpPr w:leftFromText="180" w:rightFromText="180" w:vertAnchor="text" w:horzAnchor="page" w:tblpX="2189" w:tblpY="413"/>
        <w:tblOverlap w:val="never"/>
        <w:tblW w:w="0" w:type="auto"/>
        <w:tblInd w:w="0" w:type="dxa"/>
        <w:tblLayout w:type="autofit"/>
        <w:tblCellMar>
          <w:top w:w="0" w:type="dxa"/>
          <w:left w:w="113" w:type="dxa"/>
          <w:bottom w:w="0" w:type="dxa"/>
          <w:right w:w="113" w:type="dxa"/>
        </w:tblCellMar>
      </w:tblPr>
      <w:tblGrid>
        <w:gridCol w:w="1661"/>
        <w:gridCol w:w="1266"/>
        <w:gridCol w:w="1266"/>
        <w:gridCol w:w="1266"/>
        <w:gridCol w:w="1266"/>
        <w:gridCol w:w="1434"/>
      </w:tblGrid>
      <w:tr>
        <w:tblPrEx>
          <w:tblCellMar>
            <w:top w:w="0" w:type="dxa"/>
            <w:left w:w="113" w:type="dxa"/>
            <w:bottom w:w="0" w:type="dxa"/>
            <w:right w:w="113" w:type="dxa"/>
          </w:tblCellMar>
        </w:tblPrEx>
        <w:trPr>
          <w:trHeight w:val="624" w:hRule="atLeast"/>
        </w:trPr>
        <w:tc>
          <w:tcPr>
            <w:tcW w:w="1661" w:type="dxa"/>
            <w:noWrap w:val="0"/>
            <w:vAlign w:val="center"/>
          </w:tcPr>
          <w:p>
            <w:pPr>
              <w:autoSpaceDE w:val="0"/>
              <w:autoSpaceDN w:val="0"/>
              <w:adjustRightInd w:val="0"/>
              <w:jc w:val="center"/>
              <w:rPr>
                <w:b/>
                <w:bCs/>
                <w:color w:val="auto"/>
                <w:sz w:val="24"/>
                <w:szCs w:val="24"/>
                <w:highlight w:val="none"/>
              </w:rPr>
            </w:pPr>
            <w:r>
              <w:rPr>
                <w:rFonts w:ascii="Times New Roman" w:hAnsi="Times New Roman"/>
                <w:b/>
                <w:color w:val="auto"/>
                <w:sz w:val="24"/>
                <w:szCs w:val="24"/>
                <w:highlight w:val="none"/>
              </w:rPr>
              <w:t>主要审查人：</w:t>
            </w:r>
          </w:p>
        </w:tc>
        <w:tc>
          <w:tcPr>
            <w:tcW w:w="1266"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434" w:type="dxa"/>
            <w:noWrap w:val="0"/>
            <w:vAlign w:val="center"/>
          </w:tcPr>
          <w:p>
            <w:pPr>
              <w:autoSpaceDE w:val="0"/>
              <w:autoSpaceDN w:val="0"/>
              <w:adjustRightInd w:val="0"/>
              <w:jc w:val="center"/>
              <w:rPr>
                <w:color w:val="auto"/>
                <w:sz w:val="24"/>
                <w:szCs w:val="24"/>
                <w:highlight w:val="none"/>
              </w:rPr>
            </w:pPr>
          </w:p>
        </w:tc>
      </w:tr>
      <w:tr>
        <w:tblPrEx>
          <w:tblCellMar>
            <w:top w:w="0" w:type="dxa"/>
            <w:left w:w="113" w:type="dxa"/>
            <w:bottom w:w="0" w:type="dxa"/>
            <w:right w:w="113" w:type="dxa"/>
          </w:tblCellMar>
        </w:tblPrEx>
        <w:trPr>
          <w:trHeight w:val="624" w:hRule="atLeast"/>
        </w:trPr>
        <w:tc>
          <w:tcPr>
            <w:tcW w:w="1661"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266" w:type="dxa"/>
            <w:noWrap w:val="0"/>
            <w:vAlign w:val="center"/>
          </w:tcPr>
          <w:p>
            <w:pPr>
              <w:autoSpaceDE w:val="0"/>
              <w:autoSpaceDN w:val="0"/>
              <w:adjustRightInd w:val="0"/>
              <w:jc w:val="center"/>
              <w:rPr>
                <w:color w:val="auto"/>
                <w:sz w:val="24"/>
                <w:szCs w:val="24"/>
                <w:highlight w:val="none"/>
              </w:rPr>
            </w:pPr>
          </w:p>
        </w:tc>
        <w:tc>
          <w:tcPr>
            <w:tcW w:w="1434" w:type="dxa"/>
            <w:noWrap w:val="0"/>
            <w:vAlign w:val="center"/>
          </w:tcPr>
          <w:p>
            <w:pPr>
              <w:autoSpaceDE w:val="0"/>
              <w:autoSpaceDN w:val="0"/>
              <w:adjustRightInd w:val="0"/>
              <w:jc w:val="center"/>
              <w:rPr>
                <w:color w:val="auto"/>
                <w:sz w:val="24"/>
                <w:szCs w:val="24"/>
                <w:highlight w:val="none"/>
              </w:rPr>
            </w:pPr>
          </w:p>
        </w:tc>
      </w:tr>
    </w:tbl>
    <w:p>
      <w:pPr>
        <w:spacing w:line="360" w:lineRule="auto"/>
        <w:ind w:firstLine="480" w:firstLineChars="200"/>
        <w:rPr>
          <w:rFonts w:ascii="Times New Roman" w:hAnsi="Times New Roman"/>
          <w:color w:val="auto"/>
          <w:sz w:val="24"/>
          <w:szCs w:val="24"/>
          <w:highlight w:val="none"/>
        </w:rPr>
      </w:pPr>
    </w:p>
    <w:sdt>
      <w:sdtPr>
        <w:rPr>
          <w:rFonts w:ascii="宋体" w:hAnsi="宋体" w:eastAsia="宋体" w:cs="Times New Roman"/>
          <w:color w:val="auto"/>
          <w:kern w:val="2"/>
          <w:sz w:val="21"/>
          <w:szCs w:val="22"/>
          <w:highlight w:val="none"/>
          <w:lang w:val="en-US" w:eastAsia="zh-CN" w:bidi="ar-SA"/>
        </w:rPr>
        <w:id w:val="147470793"/>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p>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color w:val="auto"/>
              <w:highlight w:val="none"/>
            </w:rPr>
          </w:pPr>
          <w:r>
            <w:rPr>
              <w:rFonts w:ascii="宋体" w:hAnsi="宋体" w:eastAsia="宋体"/>
              <w:color w:val="auto"/>
              <w:sz w:val="40"/>
              <w:szCs w:val="40"/>
              <w:highlight w:val="none"/>
            </w:rPr>
            <w:t>目录</w:t>
          </w:r>
        </w:p>
        <w:p>
          <w:pPr>
            <w:pStyle w:val="22"/>
            <w:tabs>
              <w:tab w:val="right" w:leader="dot" w:pos="8301"/>
              <w:tab w:val="clear" w:pos="9016"/>
            </w:tabs>
          </w:pPr>
          <w:r>
            <w:rPr>
              <w:color w:val="auto"/>
              <w:highlight w:val="none"/>
            </w:rPr>
            <w:fldChar w:fldCharType="begin"/>
          </w:r>
          <w:r>
            <w:rPr>
              <w:color w:val="auto"/>
              <w:highlight w:val="none"/>
            </w:rPr>
            <w:instrText xml:space="preserve">TOC \o "1-1" \h \u </w:instrText>
          </w:r>
          <w:r>
            <w:rPr>
              <w:color w:val="auto"/>
              <w:highlight w:val="none"/>
            </w:rPr>
            <w:fldChar w:fldCharType="separate"/>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_Toc14028 </w:instrText>
          </w:r>
          <w:r>
            <w:rPr>
              <w:sz w:val="28"/>
              <w:szCs w:val="28"/>
              <w:highlight w:val="none"/>
            </w:rPr>
            <w:fldChar w:fldCharType="separate"/>
          </w:r>
          <w:r>
            <w:rPr>
              <w:rFonts w:hint="eastAsia"/>
              <w:sz w:val="28"/>
              <w:szCs w:val="28"/>
              <w:highlight w:val="none"/>
            </w:rPr>
            <w:t>1</w:t>
          </w:r>
          <w:r>
            <w:rPr>
              <w:sz w:val="28"/>
              <w:szCs w:val="28"/>
              <w:highlight w:val="none"/>
            </w:rPr>
            <w:t>总则</w:t>
          </w:r>
          <w:r>
            <w:rPr>
              <w:sz w:val="28"/>
              <w:szCs w:val="28"/>
            </w:rPr>
            <w:tab/>
          </w:r>
          <w:r>
            <w:rPr>
              <w:sz w:val="28"/>
              <w:szCs w:val="28"/>
            </w:rPr>
            <w:fldChar w:fldCharType="begin"/>
          </w:r>
          <w:r>
            <w:rPr>
              <w:sz w:val="28"/>
              <w:szCs w:val="28"/>
            </w:rPr>
            <w:instrText xml:space="preserve"> PAGEREF _Toc14028 \h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_Toc21916 </w:instrText>
          </w:r>
          <w:r>
            <w:rPr>
              <w:sz w:val="28"/>
              <w:szCs w:val="28"/>
              <w:highlight w:val="none"/>
            </w:rPr>
            <w:fldChar w:fldCharType="separate"/>
          </w:r>
          <w:r>
            <w:rPr>
              <w:rFonts w:hint="eastAsia" w:ascii="Times New Roman" w:hAnsi="Times New Roman"/>
              <w:sz w:val="28"/>
              <w:szCs w:val="28"/>
              <w:highlight w:val="none"/>
            </w:rPr>
            <w:t>2</w:t>
          </w:r>
          <w:r>
            <w:rPr>
              <w:rFonts w:ascii="Times New Roman" w:hAnsi="Times New Roman"/>
              <w:sz w:val="28"/>
              <w:szCs w:val="28"/>
              <w:highlight w:val="none"/>
            </w:rPr>
            <w:t>术语</w:t>
          </w:r>
          <w:r>
            <w:rPr>
              <w:sz w:val="28"/>
              <w:szCs w:val="28"/>
            </w:rPr>
            <w:tab/>
          </w:r>
          <w:r>
            <w:rPr>
              <w:sz w:val="28"/>
              <w:szCs w:val="28"/>
            </w:rPr>
            <w:fldChar w:fldCharType="begin"/>
          </w:r>
          <w:r>
            <w:rPr>
              <w:sz w:val="28"/>
              <w:szCs w:val="28"/>
            </w:rPr>
            <w:instrText xml:space="preserve"> PAGEREF _Toc21916 \h </w:instrText>
          </w:r>
          <w:r>
            <w:rPr>
              <w:sz w:val="28"/>
              <w:szCs w:val="28"/>
            </w:rPr>
            <w:fldChar w:fldCharType="separate"/>
          </w:r>
          <w:r>
            <w:rPr>
              <w:sz w:val="28"/>
              <w:szCs w:val="28"/>
            </w:rPr>
            <w:t>2</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_Toc19615 </w:instrText>
          </w:r>
          <w:r>
            <w:rPr>
              <w:sz w:val="28"/>
              <w:szCs w:val="28"/>
              <w:highlight w:val="none"/>
            </w:rPr>
            <w:fldChar w:fldCharType="separate"/>
          </w:r>
          <w:r>
            <w:rPr>
              <w:rFonts w:ascii="Times New Roman" w:hAnsi="Times New Roman"/>
              <w:sz w:val="28"/>
              <w:szCs w:val="28"/>
              <w:highlight w:val="none"/>
            </w:rPr>
            <w:t>3基本规定</w:t>
          </w:r>
          <w:r>
            <w:rPr>
              <w:sz w:val="28"/>
              <w:szCs w:val="28"/>
            </w:rPr>
            <w:tab/>
          </w:r>
          <w:r>
            <w:rPr>
              <w:sz w:val="28"/>
              <w:szCs w:val="28"/>
            </w:rPr>
            <w:fldChar w:fldCharType="begin"/>
          </w:r>
          <w:r>
            <w:rPr>
              <w:sz w:val="28"/>
              <w:szCs w:val="28"/>
            </w:rPr>
            <w:instrText xml:space="preserve"> PAGEREF _Toc19615 \h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_Toc9645 </w:instrText>
          </w:r>
          <w:r>
            <w:rPr>
              <w:sz w:val="28"/>
              <w:szCs w:val="28"/>
              <w:highlight w:val="none"/>
            </w:rPr>
            <w:fldChar w:fldCharType="separate"/>
          </w:r>
          <w:r>
            <w:rPr>
              <w:sz w:val="28"/>
              <w:szCs w:val="28"/>
              <w:highlight w:val="none"/>
            </w:rPr>
            <w:t>4</w:t>
          </w:r>
          <w:r>
            <w:rPr>
              <w:rFonts w:hint="eastAsia" w:ascii="Calibri" w:hAnsi="Calibri"/>
              <w:sz w:val="28"/>
              <w:szCs w:val="28"/>
              <w:highlight w:val="none"/>
              <w:lang w:val="en-US"/>
            </w:rPr>
            <w:t>源头减量</w:t>
          </w:r>
          <w:r>
            <w:rPr>
              <w:sz w:val="28"/>
              <w:szCs w:val="28"/>
            </w:rPr>
            <w:tab/>
          </w:r>
          <w:r>
            <w:rPr>
              <w:sz w:val="28"/>
              <w:szCs w:val="28"/>
            </w:rPr>
            <w:fldChar w:fldCharType="begin"/>
          </w:r>
          <w:r>
            <w:rPr>
              <w:sz w:val="28"/>
              <w:szCs w:val="28"/>
            </w:rPr>
            <w:instrText xml:space="preserve"> PAGEREF _Toc9645 \h </w:instrText>
          </w:r>
          <w:r>
            <w:rPr>
              <w:sz w:val="28"/>
              <w:szCs w:val="28"/>
            </w:rPr>
            <w:fldChar w:fldCharType="separate"/>
          </w:r>
          <w:r>
            <w:rPr>
              <w:sz w:val="28"/>
              <w:szCs w:val="28"/>
            </w:rPr>
            <w:t>5</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ind w:firstLine="280" w:firstLineChars="100"/>
            <w:textAlignment w:val="auto"/>
            <w:rPr>
              <w:sz w:val="28"/>
              <w:szCs w:val="28"/>
            </w:rPr>
          </w:pPr>
          <w:r>
            <w:rPr>
              <w:color w:val="auto"/>
              <w:sz w:val="28"/>
              <w:szCs w:val="28"/>
              <w:highlight w:val="none"/>
            </w:rPr>
            <w:fldChar w:fldCharType="begin"/>
          </w:r>
          <w:r>
            <w:rPr>
              <w:sz w:val="28"/>
              <w:szCs w:val="28"/>
              <w:highlight w:val="none"/>
            </w:rPr>
            <w:instrText xml:space="preserve"> HYPERLINK \l _Toc30451 </w:instrText>
          </w:r>
          <w:r>
            <w:rPr>
              <w:sz w:val="28"/>
              <w:szCs w:val="28"/>
              <w:highlight w:val="none"/>
            </w:rPr>
            <w:fldChar w:fldCharType="separate"/>
          </w:r>
          <w:r>
            <w:rPr>
              <w:rFonts w:hint="eastAsia" w:ascii="Times New Roman" w:hAnsi="Times New Roman"/>
              <w:sz w:val="28"/>
              <w:szCs w:val="28"/>
              <w:highlight w:val="none"/>
              <w:lang w:val="en-US" w:eastAsia="zh-CN"/>
            </w:rPr>
            <w:t>4</w:t>
          </w:r>
          <w:r>
            <w:rPr>
              <w:rFonts w:hint="eastAsia" w:ascii="Times New Roman" w:hAnsi="Times New Roman"/>
              <w:sz w:val="28"/>
              <w:szCs w:val="28"/>
              <w:highlight w:val="none"/>
            </w:rPr>
            <w:t>.1一般规定</w:t>
          </w:r>
          <w:r>
            <w:rPr>
              <w:sz w:val="28"/>
              <w:szCs w:val="28"/>
            </w:rPr>
            <w:tab/>
          </w:r>
          <w:r>
            <w:rPr>
              <w:sz w:val="28"/>
              <w:szCs w:val="28"/>
            </w:rPr>
            <w:fldChar w:fldCharType="begin"/>
          </w:r>
          <w:r>
            <w:rPr>
              <w:sz w:val="28"/>
              <w:szCs w:val="28"/>
            </w:rPr>
            <w:instrText xml:space="preserve"> PAGEREF _Toc30451 \h </w:instrText>
          </w:r>
          <w:r>
            <w:rPr>
              <w:sz w:val="28"/>
              <w:szCs w:val="28"/>
            </w:rPr>
            <w:fldChar w:fldCharType="separate"/>
          </w:r>
          <w:r>
            <w:rPr>
              <w:sz w:val="28"/>
              <w:szCs w:val="28"/>
            </w:rPr>
            <w:t>5</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ind w:firstLine="280" w:firstLineChars="100"/>
            <w:textAlignment w:val="auto"/>
            <w:rPr>
              <w:sz w:val="28"/>
              <w:szCs w:val="28"/>
            </w:rPr>
          </w:pPr>
          <w:r>
            <w:rPr>
              <w:color w:val="auto"/>
              <w:sz w:val="28"/>
              <w:szCs w:val="28"/>
              <w:highlight w:val="none"/>
            </w:rPr>
            <w:fldChar w:fldCharType="begin"/>
          </w:r>
          <w:r>
            <w:rPr>
              <w:sz w:val="28"/>
              <w:szCs w:val="28"/>
              <w:highlight w:val="none"/>
            </w:rPr>
            <w:instrText xml:space="preserve"> HYPERLINK \l _Toc27078 </w:instrText>
          </w:r>
          <w:r>
            <w:rPr>
              <w:sz w:val="28"/>
              <w:szCs w:val="28"/>
              <w:highlight w:val="none"/>
            </w:rPr>
            <w:fldChar w:fldCharType="separate"/>
          </w:r>
          <w:r>
            <w:rPr>
              <w:rFonts w:hint="eastAsia" w:ascii="Times New Roman" w:hAnsi="Times New Roman"/>
              <w:sz w:val="28"/>
              <w:szCs w:val="28"/>
              <w:highlight w:val="none"/>
              <w:lang w:val="en-US" w:eastAsia="zh-CN"/>
            </w:rPr>
            <w:t>4.2设计阶段</w:t>
          </w:r>
          <w:r>
            <w:rPr>
              <w:sz w:val="28"/>
              <w:szCs w:val="28"/>
            </w:rPr>
            <w:tab/>
          </w:r>
          <w:r>
            <w:rPr>
              <w:sz w:val="28"/>
              <w:szCs w:val="28"/>
            </w:rPr>
            <w:fldChar w:fldCharType="begin"/>
          </w:r>
          <w:r>
            <w:rPr>
              <w:sz w:val="28"/>
              <w:szCs w:val="28"/>
            </w:rPr>
            <w:instrText xml:space="preserve"> PAGEREF _Toc27078 \h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ind w:firstLine="280" w:firstLineChars="100"/>
            <w:textAlignment w:val="auto"/>
            <w:rPr>
              <w:sz w:val="28"/>
              <w:szCs w:val="28"/>
            </w:rPr>
          </w:pPr>
          <w:r>
            <w:rPr>
              <w:color w:val="auto"/>
              <w:sz w:val="28"/>
              <w:szCs w:val="28"/>
              <w:highlight w:val="none"/>
            </w:rPr>
            <w:fldChar w:fldCharType="begin"/>
          </w:r>
          <w:r>
            <w:rPr>
              <w:sz w:val="28"/>
              <w:szCs w:val="28"/>
              <w:highlight w:val="none"/>
            </w:rPr>
            <w:instrText xml:space="preserve"> HYPERLINK \l _Toc10636 </w:instrText>
          </w:r>
          <w:r>
            <w:rPr>
              <w:sz w:val="28"/>
              <w:szCs w:val="28"/>
              <w:highlight w:val="none"/>
            </w:rPr>
            <w:fldChar w:fldCharType="separate"/>
          </w:r>
          <w:r>
            <w:rPr>
              <w:rFonts w:hint="eastAsia" w:ascii="Times New Roman" w:hAnsi="Times New Roman"/>
              <w:sz w:val="28"/>
              <w:szCs w:val="28"/>
              <w:highlight w:val="none"/>
              <w:lang w:val="en-US" w:eastAsia="zh-CN"/>
            </w:rPr>
            <w:t>4.3</w:t>
          </w:r>
          <w:r>
            <w:rPr>
              <w:rFonts w:hint="eastAsia" w:ascii="Times New Roman" w:hAnsi="Times New Roman"/>
              <w:sz w:val="28"/>
              <w:szCs w:val="28"/>
              <w:highlight w:val="none"/>
            </w:rPr>
            <w:t>施工阶段</w:t>
          </w:r>
          <w:r>
            <w:rPr>
              <w:sz w:val="28"/>
              <w:szCs w:val="28"/>
            </w:rPr>
            <w:tab/>
          </w:r>
          <w:r>
            <w:rPr>
              <w:sz w:val="28"/>
              <w:szCs w:val="28"/>
            </w:rPr>
            <w:fldChar w:fldCharType="begin"/>
          </w:r>
          <w:r>
            <w:rPr>
              <w:sz w:val="28"/>
              <w:szCs w:val="28"/>
            </w:rPr>
            <w:instrText xml:space="preserve"> PAGEREF _Toc10636 \h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_Toc31978 </w:instrText>
          </w:r>
          <w:r>
            <w:rPr>
              <w:sz w:val="28"/>
              <w:szCs w:val="28"/>
              <w:highlight w:val="none"/>
            </w:rPr>
            <w:fldChar w:fldCharType="separate"/>
          </w:r>
          <w:r>
            <w:rPr>
              <w:rFonts w:ascii="Times New Roman" w:hAnsi="Times New Roman"/>
              <w:sz w:val="28"/>
              <w:szCs w:val="28"/>
              <w:highlight w:val="none"/>
            </w:rPr>
            <w:t>5</w:t>
          </w:r>
          <w:r>
            <w:rPr>
              <w:rFonts w:hint="eastAsia" w:ascii="Times New Roman" w:hAnsi="宋体"/>
              <w:sz w:val="28"/>
              <w:szCs w:val="28"/>
              <w:highlight w:val="none"/>
              <w:lang w:val="en-US"/>
            </w:rPr>
            <w:t>分类收集</w:t>
          </w:r>
          <w:r>
            <w:rPr>
              <w:sz w:val="28"/>
              <w:szCs w:val="28"/>
            </w:rPr>
            <w:tab/>
          </w:r>
          <w:r>
            <w:rPr>
              <w:sz w:val="28"/>
              <w:szCs w:val="28"/>
            </w:rPr>
            <w:fldChar w:fldCharType="begin"/>
          </w:r>
          <w:r>
            <w:rPr>
              <w:sz w:val="28"/>
              <w:szCs w:val="28"/>
            </w:rPr>
            <w:instrText xml:space="preserve"> PAGEREF _Toc31978 \h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_Toc30832 </w:instrText>
          </w:r>
          <w:r>
            <w:rPr>
              <w:sz w:val="28"/>
              <w:szCs w:val="28"/>
              <w:highlight w:val="none"/>
            </w:rPr>
            <w:fldChar w:fldCharType="separate"/>
          </w:r>
          <w:r>
            <w:rPr>
              <w:rFonts w:ascii="Times New Roman" w:hAnsi="Times New Roman"/>
              <w:sz w:val="28"/>
              <w:szCs w:val="28"/>
              <w:highlight w:val="none"/>
            </w:rPr>
            <w:t>6</w:t>
          </w:r>
          <w:r>
            <w:rPr>
              <w:rFonts w:hint="eastAsia" w:ascii="Times New Roman" w:hAnsi="宋体"/>
              <w:sz w:val="28"/>
              <w:szCs w:val="28"/>
              <w:highlight w:val="none"/>
              <w:lang w:val="en-US"/>
            </w:rPr>
            <w:t>就地利用</w:t>
          </w:r>
          <w:r>
            <w:rPr>
              <w:sz w:val="28"/>
              <w:szCs w:val="28"/>
            </w:rPr>
            <w:tab/>
          </w:r>
          <w:r>
            <w:rPr>
              <w:sz w:val="28"/>
              <w:szCs w:val="28"/>
            </w:rPr>
            <w:fldChar w:fldCharType="begin"/>
          </w:r>
          <w:r>
            <w:rPr>
              <w:sz w:val="28"/>
              <w:szCs w:val="28"/>
            </w:rPr>
            <w:instrText xml:space="preserve"> PAGEREF _Toc30832 \h </w:instrText>
          </w:r>
          <w:r>
            <w:rPr>
              <w:sz w:val="28"/>
              <w:szCs w:val="28"/>
            </w:rPr>
            <w:fldChar w:fldCharType="separate"/>
          </w:r>
          <w:r>
            <w:rPr>
              <w:sz w:val="28"/>
              <w:szCs w:val="28"/>
            </w:rPr>
            <w:t>14</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_Toc23533 </w:instrText>
          </w:r>
          <w:r>
            <w:rPr>
              <w:sz w:val="28"/>
              <w:szCs w:val="28"/>
              <w:highlight w:val="none"/>
            </w:rPr>
            <w:fldChar w:fldCharType="separate"/>
          </w:r>
          <w:r>
            <w:rPr>
              <w:rFonts w:hint="eastAsia" w:ascii="Times New Roman" w:hAnsi="Times New Roman"/>
              <w:sz w:val="28"/>
              <w:szCs w:val="28"/>
              <w:highlight w:val="none"/>
              <w:lang w:val="en-US" w:eastAsia="zh-CN"/>
            </w:rPr>
            <w:t>7</w:t>
          </w:r>
          <w:r>
            <w:rPr>
              <w:rFonts w:hint="eastAsia" w:ascii="Times New Roman" w:hAnsi="宋体"/>
              <w:sz w:val="28"/>
              <w:szCs w:val="28"/>
              <w:highlight w:val="none"/>
              <w:lang w:val="en-US" w:eastAsia="zh-CN"/>
            </w:rPr>
            <w:t>场外</w:t>
          </w:r>
          <w:r>
            <w:rPr>
              <w:rFonts w:hint="eastAsia" w:ascii="Times New Roman" w:hAnsi="宋体"/>
              <w:sz w:val="28"/>
              <w:szCs w:val="28"/>
              <w:highlight w:val="none"/>
              <w:lang w:val="en-US"/>
            </w:rPr>
            <w:t>资源化利用及</w:t>
          </w:r>
          <w:r>
            <w:rPr>
              <w:rFonts w:hint="eastAsia" w:ascii="Times New Roman" w:hAnsi="宋体"/>
              <w:sz w:val="28"/>
              <w:szCs w:val="28"/>
              <w:highlight w:val="none"/>
              <w:lang w:val="en-US" w:eastAsia="zh-CN"/>
            </w:rPr>
            <w:t>处置</w:t>
          </w:r>
          <w:r>
            <w:rPr>
              <w:sz w:val="28"/>
              <w:szCs w:val="28"/>
            </w:rPr>
            <w:tab/>
          </w:r>
          <w:r>
            <w:rPr>
              <w:sz w:val="28"/>
              <w:szCs w:val="28"/>
            </w:rPr>
            <w:fldChar w:fldCharType="begin"/>
          </w:r>
          <w:r>
            <w:rPr>
              <w:sz w:val="28"/>
              <w:szCs w:val="28"/>
            </w:rPr>
            <w:instrText xml:space="preserve"> PAGEREF _Toc23533 \h </w:instrText>
          </w:r>
          <w:r>
            <w:rPr>
              <w:sz w:val="28"/>
              <w:szCs w:val="28"/>
            </w:rPr>
            <w:fldChar w:fldCharType="separate"/>
          </w:r>
          <w:r>
            <w:rPr>
              <w:sz w:val="28"/>
              <w:szCs w:val="28"/>
            </w:rPr>
            <w:t>16</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sz w:val="28"/>
              <w:szCs w:val="28"/>
            </w:rPr>
          </w:pPr>
          <w:r>
            <w:rPr>
              <w:color w:val="auto"/>
              <w:sz w:val="28"/>
              <w:szCs w:val="28"/>
              <w:highlight w:val="none"/>
            </w:rPr>
            <w:fldChar w:fldCharType="begin"/>
          </w:r>
          <w:r>
            <w:rPr>
              <w:sz w:val="28"/>
              <w:szCs w:val="28"/>
              <w:highlight w:val="none"/>
            </w:rPr>
            <w:instrText xml:space="preserve"> HYPERLINK \l _Toc8738 </w:instrText>
          </w:r>
          <w:r>
            <w:rPr>
              <w:sz w:val="28"/>
              <w:szCs w:val="28"/>
              <w:highlight w:val="none"/>
            </w:rPr>
            <w:fldChar w:fldCharType="separate"/>
          </w:r>
          <w:r>
            <w:rPr>
              <w:rFonts w:ascii="Times New Roman" w:hAnsi="Times New Roman"/>
              <w:sz w:val="28"/>
              <w:szCs w:val="28"/>
              <w:highlight w:val="none"/>
            </w:rPr>
            <w:t>本</w:t>
          </w:r>
          <w:r>
            <w:rPr>
              <w:rFonts w:hint="eastAsia" w:ascii="Times New Roman" w:hAnsi="Times New Roman"/>
              <w:sz w:val="28"/>
              <w:szCs w:val="28"/>
              <w:highlight w:val="none"/>
            </w:rPr>
            <w:t>标准</w:t>
          </w:r>
          <w:r>
            <w:rPr>
              <w:rFonts w:ascii="Times New Roman" w:hAnsi="Times New Roman"/>
              <w:sz w:val="28"/>
              <w:szCs w:val="28"/>
              <w:highlight w:val="none"/>
            </w:rPr>
            <w:t>用词说明</w:t>
          </w:r>
          <w:r>
            <w:rPr>
              <w:sz w:val="28"/>
              <w:szCs w:val="28"/>
            </w:rPr>
            <w:tab/>
          </w:r>
          <w:r>
            <w:rPr>
              <w:sz w:val="28"/>
              <w:szCs w:val="28"/>
            </w:rPr>
            <w:fldChar w:fldCharType="begin"/>
          </w:r>
          <w:r>
            <w:rPr>
              <w:sz w:val="28"/>
              <w:szCs w:val="28"/>
            </w:rPr>
            <w:instrText xml:space="preserve"> PAGEREF _Toc8738 \h </w:instrText>
          </w:r>
          <w:r>
            <w:rPr>
              <w:sz w:val="28"/>
              <w:szCs w:val="28"/>
            </w:rPr>
            <w:fldChar w:fldCharType="separate"/>
          </w:r>
          <w:r>
            <w:rPr>
              <w:sz w:val="28"/>
              <w:szCs w:val="28"/>
            </w:rPr>
            <w:t>19</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sz w:val="28"/>
              <w:szCs w:val="28"/>
              <w:highlight w:val="none"/>
            </w:rPr>
            <w:instrText xml:space="preserve"> HYPERLINK \l _Toc9699 </w:instrText>
          </w:r>
          <w:r>
            <w:rPr>
              <w:sz w:val="28"/>
              <w:szCs w:val="28"/>
              <w:highlight w:val="none"/>
            </w:rPr>
            <w:fldChar w:fldCharType="separate"/>
          </w:r>
          <w:r>
            <w:rPr>
              <w:rFonts w:ascii="Times New Roman" w:hAnsi="Times New Roman"/>
              <w:sz w:val="28"/>
              <w:szCs w:val="28"/>
              <w:highlight w:val="none"/>
            </w:rPr>
            <w:t>引用标准目录</w:t>
          </w:r>
          <w:r>
            <w:rPr>
              <w:sz w:val="28"/>
              <w:szCs w:val="28"/>
            </w:rPr>
            <w:tab/>
          </w:r>
          <w:r>
            <w:rPr>
              <w:sz w:val="28"/>
              <w:szCs w:val="28"/>
            </w:rPr>
            <w:fldChar w:fldCharType="begin"/>
          </w:r>
          <w:r>
            <w:rPr>
              <w:sz w:val="28"/>
              <w:szCs w:val="28"/>
            </w:rPr>
            <w:instrText xml:space="preserve"> PAGEREF _Toc9699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pPr>
          <w:r>
            <w:rPr>
              <w:rFonts w:hint="eastAsia"/>
              <w:color w:val="auto"/>
              <w:sz w:val="28"/>
              <w:szCs w:val="28"/>
              <w:highlight w:val="none"/>
              <w:lang w:val="en-US" w:eastAsia="zh-CN"/>
            </w:rPr>
            <w:t>附：</w:t>
          </w:r>
          <w:r>
            <w:rPr>
              <w:color w:val="auto"/>
              <w:sz w:val="28"/>
              <w:szCs w:val="28"/>
              <w:highlight w:val="none"/>
            </w:rPr>
            <w:fldChar w:fldCharType="begin"/>
          </w:r>
          <w:r>
            <w:rPr>
              <w:sz w:val="28"/>
              <w:szCs w:val="28"/>
              <w:highlight w:val="none"/>
            </w:rPr>
            <w:instrText xml:space="preserve"> HYPERLINK \l _Toc28393 </w:instrText>
          </w:r>
          <w:r>
            <w:rPr>
              <w:sz w:val="28"/>
              <w:szCs w:val="28"/>
              <w:highlight w:val="none"/>
            </w:rPr>
            <w:fldChar w:fldCharType="separate"/>
          </w:r>
          <w:r>
            <w:rPr>
              <w:rFonts w:hint="eastAsia" w:ascii="Times New Roman" w:hAnsi="Times New Roman"/>
              <w:sz w:val="28"/>
              <w:szCs w:val="28"/>
              <w:highlight w:val="none"/>
            </w:rPr>
            <w:t>条文说明</w:t>
          </w:r>
          <w:r>
            <w:rPr>
              <w:sz w:val="28"/>
              <w:szCs w:val="28"/>
            </w:rPr>
            <w:tab/>
          </w:r>
          <w:r>
            <w:rPr>
              <w:sz w:val="28"/>
              <w:szCs w:val="28"/>
            </w:rPr>
            <w:fldChar w:fldCharType="begin"/>
          </w:r>
          <w:r>
            <w:rPr>
              <w:sz w:val="28"/>
              <w:szCs w:val="28"/>
            </w:rPr>
            <w:instrText xml:space="preserve"> PAGEREF _Toc28393 \h </w:instrText>
          </w:r>
          <w:r>
            <w:rPr>
              <w:sz w:val="28"/>
              <w:szCs w:val="28"/>
            </w:rPr>
            <w:fldChar w:fldCharType="separate"/>
          </w:r>
          <w:r>
            <w:rPr>
              <w:sz w:val="28"/>
              <w:szCs w:val="28"/>
            </w:rPr>
            <w:t>22</w:t>
          </w:r>
          <w:r>
            <w:rPr>
              <w:sz w:val="28"/>
              <w:szCs w:val="28"/>
            </w:rPr>
            <w:fldChar w:fldCharType="end"/>
          </w:r>
          <w:r>
            <w:rPr>
              <w:color w:val="auto"/>
              <w:sz w:val="28"/>
              <w:szCs w:val="28"/>
              <w:highlight w:val="none"/>
            </w:rPr>
            <w:fldChar w:fldCharType="end"/>
          </w:r>
        </w:p>
        <w:p>
          <w:pPr>
            <w:rPr>
              <w:color w:val="auto"/>
              <w:highlight w:val="none"/>
            </w:rPr>
          </w:pPr>
          <w:r>
            <w:rPr>
              <w:color w:val="auto"/>
              <w:highlight w:val="none"/>
            </w:rPr>
            <w:fldChar w:fldCharType="end"/>
          </w:r>
        </w:p>
      </w:sdtContent>
    </w:sdt>
    <w:p>
      <w:pPr>
        <w:pStyle w:val="2"/>
        <w:pageBreakBefore/>
        <w:spacing w:line="360" w:lineRule="auto"/>
        <w:rPr>
          <w:rFonts w:hint="eastAsia" w:ascii="Times New Roman" w:hAnsi="Times New Roman"/>
          <w:color w:val="auto"/>
          <w:szCs w:val="32"/>
          <w:highlight w:val="none"/>
        </w:rPr>
        <w:sectPr>
          <w:footerReference r:id="rId3" w:type="default"/>
          <w:pgSz w:w="11907" w:h="16840"/>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p>
    <w:sdt>
      <w:sdtPr>
        <w:rPr>
          <w:rFonts w:ascii="宋体" w:hAnsi="宋体" w:eastAsia="宋体" w:cs="Times New Roman"/>
          <w:color w:val="auto"/>
          <w:kern w:val="2"/>
          <w:sz w:val="21"/>
          <w:szCs w:val="22"/>
          <w:highlight w:val="none"/>
          <w:lang w:val="en-US" w:eastAsia="zh-CN" w:bidi="ar-SA"/>
        </w:rPr>
        <w:id w:val="147476919"/>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p>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color w:val="auto"/>
              <w:highlight w:val="none"/>
            </w:rPr>
          </w:pPr>
          <w:r>
            <w:rPr>
              <w:rFonts w:hint="eastAsia" w:ascii="Times New Roman" w:hAnsi="Times New Roman"/>
              <w:b/>
              <w:bCs/>
              <w:color w:val="auto"/>
              <w:sz w:val="44"/>
              <w:szCs w:val="44"/>
              <w:highlight w:val="none"/>
            </w:rPr>
            <w:t>Contents</w:t>
          </w:r>
        </w:p>
        <w:p>
          <w:pPr>
            <w:pStyle w:val="22"/>
            <w:tabs>
              <w:tab w:val="right" w:leader="dot" w:pos="8301"/>
              <w:tab w:val="clear" w:pos="901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_Toc7681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 xml:space="preserve"> </w:t>
          </w:r>
          <w:r>
            <w:rPr>
              <w:rStyle w:val="37"/>
              <w:rFonts w:hint="default" w:ascii="Times New Roman" w:hAnsi="Times New Roman" w:cs="Times New Roman"/>
              <w:color w:val="auto"/>
              <w:sz w:val="28"/>
              <w:szCs w:val="28"/>
              <w:highlight w:val="none"/>
            </w:rPr>
            <w:t>General Provisions</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_Toc23547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 xml:space="preserve"> </w:t>
          </w:r>
          <w:r>
            <w:rPr>
              <w:rStyle w:val="37"/>
              <w:rFonts w:hint="default" w:ascii="Times New Roman" w:hAnsi="Times New Roman" w:cs="Times New Roman"/>
              <w:color w:val="auto"/>
              <w:sz w:val="28"/>
              <w:szCs w:val="28"/>
              <w:highlight w:val="none"/>
            </w:rPr>
            <w:t>Terms</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en-US" w:eastAsia="zh-CN"/>
            </w:rPr>
            <w:t>2</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 xml:space="preserve"> </w:t>
          </w:r>
          <w:r>
            <w:rPr>
              <w:rStyle w:val="37"/>
              <w:rFonts w:hint="default" w:ascii="Times New Roman" w:hAnsi="Times New Roman" w:cs="Times New Roman"/>
              <w:color w:val="auto"/>
              <w:sz w:val="28"/>
              <w:szCs w:val="28"/>
              <w:highlight w:val="none"/>
            </w:rPr>
            <w:t>Basic Requirements</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en-US" w:eastAsia="zh-CN"/>
            </w:rPr>
            <w:t>3</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_Toc18502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 xml:space="preserve"> Source Reduction of Construction Waste</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en-US" w:eastAsia="zh-CN"/>
            </w:rPr>
            <w:t>5</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_Toc30451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.1General Provisions</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_Toc30451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_Toc27078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lang w:val="en-US" w:eastAsia="zh-CN"/>
            </w:rPr>
            <w:t>4.2Design Phase</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_Toc27078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_Toc10636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lang w:val="en-US" w:eastAsia="zh-CN"/>
            </w:rPr>
            <w:t>4.3</w:t>
          </w:r>
          <w:r>
            <w:rPr>
              <w:rFonts w:hint="default" w:ascii="Times New Roman" w:hAnsi="Times New Roman" w:cs="Times New Roman"/>
              <w:color w:val="auto"/>
              <w:sz w:val="28"/>
              <w:szCs w:val="28"/>
              <w:highlight w:val="none"/>
            </w:rPr>
            <w:t xml:space="preserve">Construction </w:t>
          </w:r>
          <w:r>
            <w:rPr>
              <w:rFonts w:hint="default" w:ascii="Times New Roman" w:hAnsi="Times New Roman" w:cs="Times New Roman"/>
              <w:color w:val="auto"/>
              <w:sz w:val="28"/>
              <w:szCs w:val="28"/>
              <w:highlight w:val="none"/>
              <w:lang w:val="en-US" w:eastAsia="zh-CN"/>
            </w:rPr>
            <w:t>P</w:t>
          </w:r>
          <w:r>
            <w:rPr>
              <w:rFonts w:hint="default" w:ascii="Times New Roman" w:hAnsi="Times New Roman" w:cs="Times New Roman"/>
              <w:color w:val="auto"/>
              <w:sz w:val="28"/>
              <w:szCs w:val="28"/>
              <w:highlight w:val="none"/>
            </w:rPr>
            <w:t>hase</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_Toc10636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_Toc9987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w:t>
          </w:r>
          <w:r>
            <w:rPr>
              <w:rFonts w:hint="default" w:ascii="Times New Roman" w:hAnsi="Times New Roman" w:cs="Times New Roman"/>
              <w:color w:val="auto"/>
              <w:sz w:val="28"/>
              <w:szCs w:val="28"/>
              <w:highlight w:val="none"/>
              <w:lang w:val="en-US" w:eastAsia="zh-CN"/>
            </w:rPr>
            <w:t xml:space="preserve"> Collection and Storage </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11</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_Toc16354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lang w:val="en-US" w:eastAsia="zh-CN"/>
            </w:rPr>
            <w:t xml:space="preserve"> </w:t>
          </w:r>
          <w:r>
            <w:rPr>
              <w:rFonts w:hint="eastAsia" w:ascii="Times New Roman" w:hAnsi="Times New Roman" w:cs="Times New Roman"/>
              <w:i w:val="0"/>
              <w:iCs w:val="0"/>
              <w:caps w:val="0"/>
              <w:color w:val="auto"/>
              <w:spacing w:val="0"/>
              <w:kern w:val="2"/>
              <w:sz w:val="28"/>
              <w:szCs w:val="28"/>
              <w:highlight w:val="none"/>
              <w:u w:val="none"/>
              <w:lang w:val="en-US" w:eastAsia="zh-CN"/>
            </w:rPr>
            <w:t>I</w:t>
          </w:r>
          <w:r>
            <w:rPr>
              <w:rFonts w:hint="default" w:ascii="Times New Roman" w:hAnsi="Times New Roman" w:eastAsia="宋体" w:cs="Times New Roman"/>
              <w:i w:val="0"/>
              <w:iCs w:val="0"/>
              <w:caps w:val="0"/>
              <w:color w:val="auto"/>
              <w:spacing w:val="0"/>
              <w:kern w:val="2"/>
              <w:sz w:val="28"/>
              <w:szCs w:val="28"/>
              <w:highlight w:val="none"/>
              <w:u w:val="none"/>
            </w:rPr>
            <w:t>n situ recycling</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14</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8"/>
              <w:szCs w:val="28"/>
              <w:highlight w:val="none"/>
              <w:lang w:val="en-US"/>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_Toc30142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lang w:val="en-US" w:eastAsia="zh-CN"/>
            </w:rPr>
            <w:t xml:space="preserve">7 </w:t>
          </w:r>
          <w:r>
            <w:rPr>
              <w:rFonts w:hint="default" w:ascii="Times New Roman" w:hAnsi="Times New Roman" w:eastAsia="宋体" w:cs="Times New Roman"/>
              <w:color w:val="000000"/>
              <w:kern w:val="0"/>
              <w:sz w:val="28"/>
              <w:szCs w:val="28"/>
              <w:lang w:val="en-US" w:eastAsia="zh-CN" w:bidi="ar"/>
            </w:rPr>
            <w:t>Off-Site</w:t>
          </w:r>
          <w:r>
            <w:rPr>
              <w:rFonts w:hint="eastAsia" w:ascii="宋体" w:hAnsi="宋体" w:cs="宋体"/>
              <w:color w:val="000000"/>
              <w:kern w:val="0"/>
              <w:sz w:val="24"/>
              <w:szCs w:val="24"/>
              <w:lang w:val="en-US" w:eastAsia="zh-CN" w:bidi="ar"/>
            </w:rPr>
            <w:t xml:space="preserve"> </w:t>
          </w:r>
          <w:r>
            <w:rPr>
              <w:rFonts w:hint="default" w:ascii="Times New Roman" w:hAnsi="Times New Roman" w:cs="Times New Roman"/>
              <w:color w:val="auto"/>
              <w:sz w:val="28"/>
              <w:szCs w:val="28"/>
              <w:highlight w:val="none"/>
              <w:lang w:val="en-US" w:eastAsia="zh-CN"/>
            </w:rPr>
            <w:t xml:space="preserve">Resource Utilization and </w:t>
          </w:r>
          <w:r>
            <w:rPr>
              <w:rFonts w:hint="default" w:ascii="Times New Roman" w:hAnsi="Times New Roman" w:eastAsia="宋体" w:cs="Times New Roman"/>
              <w:color w:val="000000"/>
              <w:kern w:val="0"/>
              <w:sz w:val="28"/>
              <w:szCs w:val="28"/>
              <w:lang w:val="en-US" w:eastAsia="zh-CN" w:bidi="ar"/>
            </w:rPr>
            <w:t>Disposal</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16</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_Toc13842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Explanation of Wording in This Specification</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19</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_Toc32265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List of Quoted Standards</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20</w:t>
          </w:r>
        </w:p>
        <w:p>
          <w:pPr>
            <w:pStyle w:val="22"/>
            <w:keepNext w:val="0"/>
            <w:keepLines w:val="0"/>
            <w:pageBreakBefore w:val="0"/>
            <w:widowControl w:val="0"/>
            <w:tabs>
              <w:tab w:val="right" w:leader="dot" w:pos="8301"/>
              <w:tab w:val="clear" w:pos="9016"/>
            </w:tabs>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_Toc24295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Addition</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 xml:space="preserve"> Explanation of Provisions</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22</w:t>
          </w:r>
        </w:p>
        <w:p>
          <w:pPr>
            <w:rPr>
              <w:color w:val="auto"/>
              <w:highlight w:val="none"/>
            </w:rPr>
          </w:pPr>
          <w:r>
            <w:rPr>
              <w:color w:val="auto"/>
              <w:highlight w:val="none"/>
            </w:rPr>
            <w:fldChar w:fldCharType="end"/>
          </w:r>
        </w:p>
      </w:sdtContent>
    </w:sdt>
    <w:p>
      <w:pPr>
        <w:pStyle w:val="2"/>
        <w:pageBreakBefore/>
        <w:spacing w:line="240" w:lineRule="auto"/>
        <w:rPr>
          <w:rFonts w:hint="eastAsia"/>
          <w:color w:val="auto"/>
          <w:highlight w:val="none"/>
        </w:rPr>
        <w:sectPr>
          <w:footerReference r:id="rId4" w:type="default"/>
          <w:pgSz w:w="11907" w:h="16840"/>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pPr>
      <w:sdt>
        <w:sdtPr>
          <w:rPr>
            <w:rFonts w:ascii="宋体" w:hAnsi="宋体" w:eastAsia="宋体" w:cs="Times New Roman"/>
            <w:color w:val="auto"/>
            <w:kern w:val="2"/>
            <w:sz w:val="21"/>
            <w:szCs w:val="22"/>
            <w:highlight w:val="none"/>
            <w:lang w:val="en-US" w:eastAsia="zh-CN" w:bidi="ar-SA"/>
          </w:rPr>
          <w:id w:val="147471256"/>
          <w:showingPlcHdr/>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bookmarkStart w:id="63" w:name="_Toc30442"/>
          <w:bookmarkStart w:id="64" w:name="_Toc24450"/>
          <w:bookmarkStart w:id="65" w:name="_Toc14028"/>
          <w:bookmarkStart w:id="66" w:name="_Toc26684"/>
          <w:bookmarkStart w:id="67" w:name="_Toc3985"/>
        </w:sdtContent>
      </w:sdt>
    </w:p>
    <w:p>
      <w:pPr>
        <w:pStyle w:val="2"/>
        <w:pageBreakBefore w:val="0"/>
        <w:spacing w:line="240" w:lineRule="auto"/>
        <w:rPr>
          <w:color w:val="auto"/>
          <w:highlight w:val="none"/>
        </w:rPr>
      </w:pPr>
      <w:r>
        <w:rPr>
          <w:rFonts w:hint="eastAsia"/>
          <w:color w:val="auto"/>
          <w:highlight w:val="none"/>
        </w:rPr>
        <w:t>1</w:t>
      </w:r>
      <w:r>
        <w:rPr>
          <w:color w:val="auto"/>
          <w:highlight w:val="none"/>
        </w:rPr>
        <w:t>总则</w:t>
      </w:r>
      <w:bookmarkEnd w:id="7"/>
      <w:bookmarkEnd w:id="8"/>
      <w:bookmarkEnd w:id="9"/>
      <w:bookmarkEnd w:id="10"/>
      <w:bookmarkEnd w:id="11"/>
      <w:bookmarkEnd w:id="12"/>
      <w:bookmarkEnd w:id="13"/>
      <w:bookmarkEnd w:id="63"/>
      <w:bookmarkEnd w:id="64"/>
      <w:bookmarkEnd w:id="65"/>
      <w:bookmarkEnd w:id="66"/>
      <w:bookmarkEnd w:id="67"/>
    </w:p>
    <w:p>
      <w:pPr>
        <w:pStyle w:val="12"/>
        <w:widowControl/>
        <w:spacing w:after="0" w:line="360" w:lineRule="auto"/>
        <w:rPr>
          <w:rFonts w:hint="eastAsia" w:ascii="Times New Roman" w:hAnsi="HiddenHorzOCR-Identity-H" w:eastAsia="宋体"/>
          <w:color w:val="auto"/>
          <w:sz w:val="24"/>
          <w:szCs w:val="24"/>
          <w:highlight w:val="none"/>
          <w:u w:val="none"/>
        </w:rPr>
      </w:pPr>
      <w:r>
        <w:rPr>
          <w:rFonts w:hint="eastAsia" w:ascii="Times New Roman" w:hAnsi="HiddenHorzOCR-Identity-H" w:eastAsia="宋体"/>
          <w:b/>
          <w:bCs/>
          <w:color w:val="auto"/>
          <w:sz w:val="24"/>
          <w:szCs w:val="24"/>
          <w:highlight w:val="none"/>
          <w:u w:val="none"/>
        </w:rPr>
        <w:t>1.0.1</w:t>
      </w:r>
      <w:r>
        <w:rPr>
          <w:rFonts w:hint="eastAsia" w:ascii="Times New Roman" w:hAnsi="HiddenHorzOCR-Identity-H"/>
          <w:color w:val="auto"/>
          <w:sz w:val="24"/>
          <w:szCs w:val="24"/>
          <w:highlight w:val="none"/>
          <w:u w:val="none"/>
          <w:lang w:val="en-US" w:eastAsia="zh-CN"/>
        </w:rPr>
        <w:t xml:space="preserve">  </w:t>
      </w:r>
      <w:r>
        <w:rPr>
          <w:rFonts w:hint="eastAsia" w:ascii="Times New Roman" w:hAnsi="HiddenHorzOCR-Identity-H" w:eastAsia="宋体"/>
          <w:color w:val="auto"/>
          <w:sz w:val="24"/>
          <w:szCs w:val="24"/>
          <w:highlight w:val="none"/>
          <w:u w:val="none"/>
        </w:rPr>
        <w:t>为推动城乡建设领域绿色发展，实现资源节约和环境保护，规范和</w:t>
      </w:r>
      <w:r>
        <w:rPr>
          <w:rFonts w:hint="eastAsia" w:ascii="Times New Roman" w:hAnsi="HiddenHorzOCR-Identity-H"/>
          <w:color w:val="auto"/>
          <w:sz w:val="24"/>
          <w:szCs w:val="24"/>
          <w:highlight w:val="none"/>
          <w:u w:val="none"/>
          <w:lang w:val="en-US" w:eastAsia="zh-CN"/>
        </w:rPr>
        <w:t>指导</w:t>
      </w:r>
      <w:r>
        <w:rPr>
          <w:rFonts w:hint="eastAsia" w:ascii="Times New Roman" w:hAnsi="HiddenHorzOCR-Identity-H" w:eastAsia="宋体"/>
          <w:color w:val="auto"/>
          <w:sz w:val="24"/>
          <w:szCs w:val="24"/>
          <w:highlight w:val="none"/>
          <w:u w:val="none"/>
        </w:rPr>
        <w:t>建筑垃圾</w:t>
      </w:r>
      <w:r>
        <w:rPr>
          <w:rFonts w:hint="eastAsia" w:ascii="Times New Roman" w:hAnsi="HiddenHorzOCR-Identity-H" w:eastAsia="宋体" w:cs="Times New Roman"/>
          <w:b w:val="0"/>
          <w:bCs w:val="0"/>
          <w:color w:val="auto"/>
          <w:sz w:val="24"/>
          <w:szCs w:val="24"/>
          <w:highlight w:val="none"/>
          <w:u w:val="none"/>
        </w:rPr>
        <w:t>分类减量及资源化利用</w:t>
      </w:r>
      <w:r>
        <w:rPr>
          <w:rFonts w:hint="eastAsia" w:ascii="Times New Roman" w:hAnsi="HiddenHorzOCR-Identity-H" w:cs="Times New Roman"/>
          <w:b w:val="0"/>
          <w:bCs w:val="0"/>
          <w:color w:val="auto"/>
          <w:sz w:val="24"/>
          <w:szCs w:val="24"/>
          <w:highlight w:val="none"/>
          <w:u w:val="none"/>
          <w:lang w:val="en-US" w:eastAsia="zh-CN"/>
        </w:rPr>
        <w:t>工作</w:t>
      </w:r>
      <w:r>
        <w:rPr>
          <w:rFonts w:hint="eastAsia" w:ascii="Times New Roman" w:hAnsi="HiddenHorzOCR-Identity-H" w:eastAsia="宋体"/>
          <w:color w:val="auto"/>
          <w:sz w:val="24"/>
          <w:szCs w:val="24"/>
          <w:highlight w:val="none"/>
          <w:u w:val="none"/>
        </w:rPr>
        <w:t>，制定本标准。</w:t>
      </w:r>
    </w:p>
    <w:p>
      <w:pPr>
        <w:widowControl/>
        <w:spacing w:line="360" w:lineRule="auto"/>
        <w:jc w:val="both"/>
        <w:rPr>
          <w:rFonts w:hint="default" w:ascii="Times New Roman" w:hAnsi="Times New Roman" w:eastAsia="楷体"/>
          <w:sz w:val="24"/>
          <w:highlight w:val="yellow"/>
          <w:u w:val="none"/>
          <w:lang w:val="en-US" w:eastAsia="zh-CN"/>
        </w:rPr>
      </w:pPr>
      <w:r>
        <w:rPr>
          <w:rFonts w:hint="eastAsia" w:ascii="楷体" w:hAnsi="楷体" w:eastAsia="楷体" w:cs="Times New Roman"/>
          <w:b w:val="0"/>
          <w:bCs w:val="0"/>
          <w:sz w:val="24"/>
          <w:szCs w:val="24"/>
        </w:rPr>
        <w:t>【条文说明】</w:t>
      </w:r>
      <w:r>
        <w:rPr>
          <w:rFonts w:hint="eastAsia" w:ascii="Times New Roman" w:hAnsi="Times New Roman" w:eastAsia="楷体"/>
          <w:sz w:val="24"/>
          <w:u w:val="none"/>
          <w:lang w:val="en-US" w:eastAsia="zh-CN"/>
        </w:rPr>
        <w:t>本标准的编制旨在贯彻新发展理念，落实党中央、国务院“双碳”决策部署，规范建筑垃圾分类，实现建筑垃圾源头减量化、资源化处理，进一步提升建筑垃圾治理水平。依据《中华人民共和国固体废物污染环境防治法》《住房和城乡建设部关于推进建筑垃圾减量化的指导意见》等要求，四川省出台《四川省城市建筑垃圾管理办法》《关于加强城市建筑垃圾管理与资源化利用的指导意见》等政策文件，制定了《</w:t>
      </w:r>
      <w:r>
        <w:rPr>
          <w:rFonts w:hint="eastAsia" w:ascii="Times New Roman" w:hAnsi="Times New Roman" w:eastAsia="楷体"/>
          <w:b w:val="0"/>
          <w:bCs w:val="0"/>
          <w:color w:val="auto"/>
          <w:sz w:val="24"/>
          <w:szCs w:val="22"/>
          <w:highlight w:val="none"/>
          <w:u w:val="none"/>
        </w:rPr>
        <w:t>四川省建筑垃圾资源化利用及处置场所建设标准</w:t>
      </w:r>
      <w:r>
        <w:rPr>
          <w:rFonts w:hint="eastAsia" w:ascii="Times New Roman" w:hAnsi="Times New Roman" w:eastAsia="楷体"/>
          <w:sz w:val="24"/>
          <w:u w:val="none"/>
          <w:lang w:val="en-US" w:eastAsia="zh-CN"/>
        </w:rPr>
        <w:t>》</w:t>
      </w:r>
      <w:r>
        <w:rPr>
          <w:rFonts w:hint="eastAsia" w:ascii="Times New Roman" w:hAnsi="Times New Roman" w:eastAsia="楷体" w:cs="Times New Roman"/>
          <w:b w:val="0"/>
          <w:bCs w:val="0"/>
          <w:color w:val="auto"/>
          <w:sz w:val="24"/>
          <w:szCs w:val="22"/>
          <w:highlight w:val="none"/>
          <w:u w:val="none"/>
          <w:lang w:val="en-US" w:eastAsia="zh-CN"/>
        </w:rPr>
        <w:t>《四川省再生骨料混凝土及制品应用技术规程》</w:t>
      </w:r>
      <w:r>
        <w:rPr>
          <w:rFonts w:hint="eastAsia" w:ascii="Times New Roman" w:hAnsi="Times New Roman" w:eastAsia="楷体"/>
          <w:sz w:val="24"/>
          <w:u w:val="none"/>
          <w:lang w:val="en-US" w:eastAsia="zh-CN"/>
        </w:rPr>
        <w:t>等标准规程。本标准的编制是对上述标准的有效补充，助力四川省形成完善的建筑垃圾资源化利用与处置标准体系。</w:t>
      </w:r>
    </w:p>
    <w:p>
      <w:pPr>
        <w:pStyle w:val="12"/>
        <w:widowControl/>
        <w:spacing w:after="0" w:line="360" w:lineRule="auto"/>
        <w:rPr>
          <w:rFonts w:hint="eastAsia" w:ascii="Times New Roman" w:hAnsi="HiddenHorzOCR-Identity-H" w:eastAsia="宋体"/>
          <w:color w:val="auto"/>
          <w:sz w:val="24"/>
          <w:szCs w:val="24"/>
          <w:highlight w:val="yellow"/>
          <w:u w:val="none"/>
        </w:rPr>
      </w:pPr>
      <w:r>
        <w:rPr>
          <w:rFonts w:hint="eastAsia" w:ascii="Times New Roman" w:hAnsi="HiddenHorzOCR-Identity-H" w:eastAsia="宋体"/>
          <w:b/>
          <w:bCs/>
          <w:color w:val="auto"/>
          <w:sz w:val="24"/>
          <w:szCs w:val="24"/>
          <w:highlight w:val="none"/>
          <w:u w:val="none"/>
        </w:rPr>
        <w:t>1.0.2</w:t>
      </w:r>
      <w:r>
        <w:rPr>
          <w:rFonts w:hint="eastAsia" w:ascii="Times New Roman" w:hAnsi="HiddenHorzOCR-Identity-H"/>
          <w:color w:val="auto"/>
          <w:sz w:val="24"/>
          <w:szCs w:val="24"/>
          <w:highlight w:val="none"/>
          <w:u w:val="none"/>
          <w:lang w:val="en-US" w:eastAsia="zh-CN"/>
        </w:rPr>
        <w:t xml:space="preserve">  </w:t>
      </w:r>
      <w:r>
        <w:rPr>
          <w:rFonts w:hint="eastAsia" w:ascii="Times New Roman" w:hAnsi="HiddenHorzOCR-Identity-H" w:eastAsia="宋体"/>
          <w:color w:val="auto"/>
          <w:sz w:val="24"/>
          <w:szCs w:val="24"/>
          <w:highlight w:val="none"/>
          <w:u w:val="none"/>
        </w:rPr>
        <w:t>本标准适用于</w:t>
      </w:r>
      <w:r>
        <w:rPr>
          <w:rFonts w:hint="eastAsia" w:ascii="Times New Roman" w:hAnsi="HiddenHorzOCR-Identity-H"/>
          <w:color w:val="auto"/>
          <w:sz w:val="24"/>
          <w:szCs w:val="24"/>
          <w:highlight w:val="none"/>
          <w:u w:val="none"/>
          <w:lang w:val="en-US" w:eastAsia="zh-CN"/>
        </w:rPr>
        <w:t>四川省内</w:t>
      </w:r>
      <w:r>
        <w:rPr>
          <w:rFonts w:hint="eastAsia" w:ascii="Times New Roman" w:hAnsi="HiddenHorzOCR-Identity-H" w:eastAsia="宋体"/>
          <w:color w:val="auto"/>
          <w:sz w:val="24"/>
          <w:szCs w:val="24"/>
          <w:highlight w:val="none"/>
          <w:u w:val="none"/>
        </w:rPr>
        <w:t>建筑垃圾</w:t>
      </w:r>
      <w:r>
        <w:rPr>
          <w:rFonts w:hint="eastAsia" w:ascii="Times New Roman" w:hAnsi="HiddenHorzOCR-Identity-H"/>
          <w:color w:val="auto"/>
          <w:sz w:val="24"/>
          <w:szCs w:val="24"/>
          <w:highlight w:val="none"/>
          <w:u w:val="none"/>
          <w:lang w:val="en-US" w:eastAsia="zh-CN"/>
        </w:rPr>
        <w:t>的</w:t>
      </w:r>
      <w:r>
        <w:rPr>
          <w:rFonts w:hint="eastAsia" w:ascii="Times New Roman" w:hAnsi="HiddenHorzOCR-Identity-H" w:eastAsia="宋体" w:cs="Times New Roman"/>
          <w:b w:val="0"/>
          <w:bCs w:val="0"/>
          <w:color w:val="auto"/>
          <w:sz w:val="24"/>
          <w:szCs w:val="24"/>
          <w:highlight w:val="none"/>
          <w:u w:val="none"/>
        </w:rPr>
        <w:t>分类减量及资源化利用</w:t>
      </w:r>
      <w:r>
        <w:rPr>
          <w:rFonts w:hint="eastAsia" w:ascii="Times New Roman" w:hAnsi="HiddenHorzOCR-Identity-H" w:eastAsia="宋体"/>
          <w:color w:val="auto"/>
          <w:sz w:val="24"/>
          <w:szCs w:val="24"/>
          <w:highlight w:val="none"/>
          <w:u w:val="none"/>
        </w:rPr>
        <w:t>。</w:t>
      </w:r>
    </w:p>
    <w:p>
      <w:pPr>
        <w:pStyle w:val="12"/>
        <w:widowControl/>
        <w:spacing w:after="0" w:line="360" w:lineRule="auto"/>
        <w:rPr>
          <w:rFonts w:hint="eastAsia" w:ascii="Times New Roman" w:hAnsi="HiddenHorzOCR-Identity-H" w:eastAsia="宋体"/>
          <w:color w:val="auto"/>
          <w:sz w:val="24"/>
          <w:szCs w:val="24"/>
          <w:highlight w:val="none"/>
          <w:u w:val="none"/>
        </w:rPr>
      </w:pPr>
      <w:r>
        <w:rPr>
          <w:rFonts w:hint="eastAsia" w:ascii="Times New Roman" w:hAnsi="HiddenHorzOCR-Identity-H" w:eastAsia="宋体"/>
          <w:b/>
          <w:bCs/>
          <w:color w:val="auto"/>
          <w:sz w:val="24"/>
          <w:szCs w:val="24"/>
          <w:highlight w:val="none"/>
          <w:u w:val="none"/>
        </w:rPr>
        <w:t>1.0.3</w:t>
      </w:r>
      <w:r>
        <w:rPr>
          <w:rFonts w:hint="eastAsia" w:ascii="Times New Roman" w:hAnsi="HiddenHorzOCR-Identity-H"/>
          <w:color w:val="auto"/>
          <w:sz w:val="24"/>
          <w:szCs w:val="24"/>
          <w:highlight w:val="none"/>
          <w:u w:val="none"/>
          <w:lang w:val="en-US" w:eastAsia="zh-CN"/>
        </w:rPr>
        <w:t xml:space="preserve">  </w:t>
      </w:r>
      <w:r>
        <w:rPr>
          <w:rFonts w:hint="eastAsia" w:ascii="Times New Roman" w:hAnsi="HiddenHorzOCR-Identity-H" w:eastAsia="宋体"/>
          <w:color w:val="auto"/>
          <w:sz w:val="24"/>
          <w:szCs w:val="24"/>
          <w:highlight w:val="none"/>
          <w:u w:val="none"/>
        </w:rPr>
        <w:t>建筑垃圾</w:t>
      </w:r>
      <w:r>
        <w:rPr>
          <w:rFonts w:hint="eastAsia" w:ascii="Times New Roman" w:hAnsi="HiddenHorzOCR-Identity-H" w:eastAsia="宋体" w:cs="Times New Roman"/>
          <w:b w:val="0"/>
          <w:bCs w:val="0"/>
          <w:color w:val="auto"/>
          <w:sz w:val="24"/>
          <w:szCs w:val="24"/>
          <w:highlight w:val="none"/>
          <w:u w:val="none"/>
        </w:rPr>
        <w:t>分类减量及资源化利用</w:t>
      </w:r>
      <w:r>
        <w:rPr>
          <w:rFonts w:hint="eastAsia" w:ascii="Times New Roman" w:hAnsi="HiddenHorzOCR-Identity-H" w:eastAsia="宋体"/>
          <w:color w:val="auto"/>
          <w:sz w:val="24"/>
          <w:szCs w:val="24"/>
          <w:highlight w:val="none"/>
          <w:u w:val="none"/>
        </w:rPr>
        <w:t>，除应符合本标准</w:t>
      </w:r>
      <w:r>
        <w:rPr>
          <w:rFonts w:ascii="Times New Roman" w:hAnsi="Times New Roman"/>
          <w:color w:val="auto"/>
          <w:sz w:val="24"/>
          <w:highlight w:val="none"/>
        </w:rPr>
        <w:t>的要求</w:t>
      </w:r>
      <w:r>
        <w:rPr>
          <w:rFonts w:hint="eastAsia" w:ascii="Times New Roman" w:hAnsi="HiddenHorzOCR-Identity-H" w:eastAsia="宋体"/>
          <w:color w:val="auto"/>
          <w:sz w:val="24"/>
          <w:szCs w:val="24"/>
          <w:highlight w:val="none"/>
          <w:u w:val="none"/>
        </w:rPr>
        <w:t>外，尚应符合国家和四川省现行有关标准的规定。</w:t>
      </w:r>
    </w:p>
    <w:p>
      <w:pPr>
        <w:pStyle w:val="12"/>
        <w:widowControl/>
        <w:spacing w:after="0" w:line="360" w:lineRule="auto"/>
        <w:rPr>
          <w:rFonts w:hint="eastAsia" w:ascii="Times New Roman" w:hAnsi="HiddenHorzOCR-Identity-H" w:eastAsia="宋体"/>
          <w:color w:val="auto"/>
          <w:sz w:val="24"/>
          <w:szCs w:val="24"/>
          <w:highlight w:val="none"/>
          <w:u w:val="none"/>
        </w:rPr>
      </w:pPr>
    </w:p>
    <w:p>
      <w:pPr>
        <w:pStyle w:val="2"/>
        <w:pageBreakBefore/>
        <w:spacing w:line="360" w:lineRule="auto"/>
        <w:rPr>
          <w:rFonts w:ascii="Times New Roman" w:hAnsi="Times New Roman"/>
          <w:color w:val="auto"/>
          <w:szCs w:val="32"/>
          <w:highlight w:val="none"/>
        </w:rPr>
      </w:pPr>
      <w:bookmarkStart w:id="68" w:name="_Toc14021"/>
      <w:bookmarkStart w:id="69" w:name="_Toc16100"/>
      <w:bookmarkStart w:id="70" w:name="_Toc16737"/>
      <w:bookmarkStart w:id="71" w:name="_Toc7396"/>
      <w:bookmarkStart w:id="72" w:name="_Toc140769643"/>
      <w:bookmarkStart w:id="73" w:name="_Toc31732"/>
      <w:bookmarkStart w:id="74" w:name="_Toc13471"/>
      <w:bookmarkStart w:id="75" w:name="_Toc136502130"/>
      <w:bookmarkStart w:id="76" w:name="_Toc21916"/>
      <w:bookmarkStart w:id="77" w:name="_Toc9576"/>
      <w:bookmarkStart w:id="78" w:name="_Toc17640"/>
      <w:bookmarkStart w:id="79" w:name="_Toc140769510"/>
      <w:r>
        <w:rPr>
          <w:rFonts w:hint="eastAsia" w:ascii="Times New Roman" w:hAnsi="Times New Roman"/>
          <w:color w:val="auto"/>
          <w:szCs w:val="32"/>
          <w:highlight w:val="none"/>
        </w:rPr>
        <w:t>2</w:t>
      </w:r>
      <w:r>
        <w:rPr>
          <w:rFonts w:ascii="Times New Roman" w:hAnsi="Times New Roman"/>
          <w:color w:val="auto"/>
          <w:szCs w:val="32"/>
          <w:highlight w:val="none"/>
        </w:rPr>
        <w:t>术语</w:t>
      </w:r>
      <w:bookmarkEnd w:id="68"/>
      <w:bookmarkEnd w:id="69"/>
      <w:bookmarkEnd w:id="70"/>
      <w:bookmarkEnd w:id="71"/>
      <w:bookmarkEnd w:id="72"/>
      <w:bookmarkEnd w:id="73"/>
      <w:bookmarkEnd w:id="74"/>
      <w:bookmarkEnd w:id="75"/>
      <w:bookmarkEnd w:id="76"/>
      <w:bookmarkEnd w:id="77"/>
      <w:bookmarkEnd w:id="78"/>
      <w:bookmarkEnd w:id="79"/>
    </w:p>
    <w:p>
      <w:pPr>
        <w:pStyle w:val="12"/>
        <w:spacing w:after="0" w:line="360" w:lineRule="auto"/>
        <w:ind w:firstLine="0" w:firstLineChars="0"/>
        <w:rPr>
          <w:rFonts w:hint="eastAsia" w:ascii="Times New Roman" w:hAnsi="Times New Roman"/>
          <w:b/>
          <w:color w:val="auto"/>
          <w:sz w:val="24"/>
          <w:szCs w:val="24"/>
          <w:highlight w:val="none"/>
          <w:lang w:eastAsia="zh-CN"/>
        </w:rPr>
      </w:pPr>
    </w:p>
    <w:p>
      <w:pPr>
        <w:spacing w:line="360" w:lineRule="auto"/>
        <w:rPr>
          <w:rFonts w:ascii="Times New Roman" w:hAnsi="Times New Roman"/>
          <w:color w:val="auto"/>
          <w:sz w:val="24"/>
          <w:szCs w:val="24"/>
          <w:highlight w:val="none"/>
        </w:rPr>
      </w:pPr>
      <w:r>
        <w:rPr>
          <w:rFonts w:ascii="Times New Roman" w:hAnsi="Times New Roman"/>
          <w:b/>
          <w:color w:val="auto"/>
          <w:sz w:val="24"/>
          <w:szCs w:val="24"/>
          <w:highlight w:val="none"/>
        </w:rPr>
        <w:t xml:space="preserve">2.0.1  </w:t>
      </w:r>
      <w:r>
        <w:rPr>
          <w:rFonts w:ascii="Times New Roman" w:hAnsi="Times New Roman"/>
          <w:color w:val="auto"/>
          <w:sz w:val="24"/>
          <w:szCs w:val="24"/>
          <w:highlight w:val="none"/>
        </w:rPr>
        <w:t>建筑垃圾  construction waste</w:t>
      </w:r>
    </w:p>
    <w:p>
      <w:pPr>
        <w:widowControl/>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新建、改建、扩建和拆除各类建筑物、构筑物、管网等以及</w:t>
      </w:r>
      <w:r>
        <w:rPr>
          <w:rFonts w:hint="eastAsia" w:ascii="Times New Roman" w:hAnsi="Times New Roman" w:eastAsia="宋体" w:cs="Times New Roman"/>
          <w:color w:val="auto"/>
          <w:kern w:val="2"/>
          <w:sz w:val="24"/>
          <w:szCs w:val="24"/>
          <w:highlight w:val="none"/>
          <w:lang w:val="en-US" w:eastAsia="zh-CN" w:bidi="ar"/>
        </w:rPr>
        <w:t>居民装饰装修房屋过程中</w:t>
      </w:r>
      <w:r>
        <w:rPr>
          <w:rFonts w:hint="eastAsia" w:ascii="Times New Roman" w:hAnsi="Times New Roman"/>
          <w:color w:val="auto"/>
          <w:sz w:val="24"/>
          <w:szCs w:val="24"/>
          <w:highlight w:val="none"/>
        </w:rPr>
        <w:t>所产生的弃土、弃料及其他废弃物。</w:t>
      </w:r>
    </w:p>
    <w:p>
      <w:pPr>
        <w:widowControl/>
        <w:spacing w:line="360" w:lineRule="auto"/>
        <w:ind w:firstLine="0" w:firstLineChars="0"/>
        <w:rPr>
          <w:rFonts w:ascii="Times New Roman" w:hAnsi="Times New Roman"/>
          <w:color w:val="auto"/>
          <w:sz w:val="24"/>
          <w:szCs w:val="24"/>
          <w:highlight w:val="none"/>
        </w:rPr>
      </w:pPr>
      <w:r>
        <w:rPr>
          <w:rFonts w:hint="eastAsia" w:ascii="楷体" w:hAnsi="楷体" w:eastAsia="楷体" w:cs="Times New Roman"/>
          <w:b w:val="0"/>
          <w:bCs w:val="0"/>
          <w:sz w:val="24"/>
          <w:szCs w:val="24"/>
        </w:rPr>
        <w:t>【条文说明】</w:t>
      </w:r>
      <w:r>
        <w:rPr>
          <w:rFonts w:hint="eastAsia" w:ascii="楷体" w:hAnsi="楷体" w:eastAsia="楷体"/>
          <w:color w:val="auto"/>
          <w:sz w:val="24"/>
          <w:szCs w:val="24"/>
          <w:highlight w:val="none"/>
        </w:rPr>
        <w:t>建筑垃圾</w:t>
      </w:r>
      <w:r>
        <w:rPr>
          <w:rFonts w:hint="eastAsia" w:ascii="楷体" w:hAnsi="楷体" w:eastAsia="楷体"/>
          <w:color w:val="auto"/>
          <w:sz w:val="24"/>
          <w:szCs w:val="24"/>
          <w:highlight w:val="none"/>
          <w:u w:val="none"/>
        </w:rPr>
        <w:t>是工程渣土、工程泥浆、工程垃圾、拆除垃圾和装修垃圾等的总称</w:t>
      </w:r>
      <w:r>
        <w:rPr>
          <w:rFonts w:hint="eastAsia" w:ascii="楷体" w:hAnsi="楷体" w:eastAsia="楷体"/>
          <w:color w:val="auto"/>
          <w:sz w:val="24"/>
          <w:szCs w:val="24"/>
          <w:highlight w:val="none"/>
          <w:u w:val="none"/>
          <w:lang w:eastAsia="zh-CN"/>
        </w:rPr>
        <w:t>，</w:t>
      </w:r>
      <w:r>
        <w:rPr>
          <w:rFonts w:hint="eastAsia" w:ascii="楷体" w:hAnsi="楷体" w:eastAsia="楷体"/>
          <w:color w:val="auto"/>
          <w:sz w:val="24"/>
          <w:szCs w:val="24"/>
          <w:highlight w:val="none"/>
        </w:rPr>
        <w:t>不包括经检验、鉴定为危险废物的垃圾。</w:t>
      </w:r>
    </w:p>
    <w:p>
      <w:pPr>
        <w:widowControl/>
        <w:spacing w:line="360" w:lineRule="auto"/>
        <w:ind w:firstLine="0" w:firstLineChars="0"/>
        <w:rPr>
          <w:rFonts w:hint="eastAsia" w:ascii="Times New Roman" w:hAnsi="Times New Roman"/>
          <w:color w:val="auto"/>
          <w:sz w:val="24"/>
          <w:szCs w:val="24"/>
          <w:highlight w:val="none"/>
        </w:rPr>
      </w:pPr>
      <w:r>
        <w:rPr>
          <w:rFonts w:hint="eastAsia" w:ascii="Times New Roman" w:hAnsi="Times New Roman"/>
          <w:b/>
          <w:bCs/>
          <w:color w:val="auto"/>
          <w:sz w:val="24"/>
          <w:szCs w:val="24"/>
          <w:highlight w:val="none"/>
        </w:rPr>
        <w:t>2.0.2</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工程渣土engineering sediment</w:t>
      </w:r>
    </w:p>
    <w:p>
      <w:pPr>
        <w:widowControl/>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各类建筑物、构筑物、管网等基础开挖过程中产生的弃土。</w:t>
      </w:r>
    </w:p>
    <w:p>
      <w:pPr>
        <w:widowControl/>
        <w:spacing w:line="360" w:lineRule="auto"/>
        <w:ind w:firstLine="0" w:firstLineChars="0"/>
        <w:rPr>
          <w:rFonts w:hint="eastAsia" w:ascii="Times New Roman" w:hAnsi="Times New Roman"/>
          <w:color w:val="auto"/>
          <w:sz w:val="24"/>
          <w:szCs w:val="24"/>
          <w:highlight w:val="none"/>
        </w:rPr>
      </w:pPr>
      <w:r>
        <w:rPr>
          <w:rFonts w:hint="eastAsia" w:ascii="Times New Roman" w:hAnsi="Times New Roman"/>
          <w:b/>
          <w:bCs/>
          <w:color w:val="auto"/>
          <w:sz w:val="24"/>
          <w:szCs w:val="24"/>
          <w:highlight w:val="none"/>
        </w:rPr>
        <w:t>2.0.3</w:t>
      </w:r>
      <w:r>
        <w:rPr>
          <w:rFonts w:hint="eastAsia" w:ascii="Times New Roman" w:hAnsi="Times New Roman"/>
          <w:b/>
          <w:bCs/>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工程泥浆engineering mud</w:t>
      </w:r>
    </w:p>
    <w:p>
      <w:pPr>
        <w:widowControl/>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钻孔桩基施工、地下连续墙施工、泥水盾构施工、水平定向钻及泥水顶管等施工产生的泥浆。</w:t>
      </w:r>
    </w:p>
    <w:p>
      <w:pPr>
        <w:widowControl/>
        <w:spacing w:line="360" w:lineRule="auto"/>
        <w:ind w:firstLine="0" w:firstLineChars="0"/>
        <w:rPr>
          <w:rFonts w:hint="eastAsia" w:ascii="Times New Roman" w:hAnsi="Times New Roman"/>
          <w:color w:val="auto"/>
          <w:sz w:val="24"/>
          <w:szCs w:val="24"/>
          <w:highlight w:val="none"/>
        </w:rPr>
      </w:pPr>
      <w:r>
        <w:rPr>
          <w:rFonts w:hint="eastAsia" w:ascii="Times New Roman" w:hAnsi="Times New Roman"/>
          <w:b/>
          <w:bCs/>
          <w:color w:val="auto"/>
          <w:sz w:val="24"/>
          <w:szCs w:val="24"/>
          <w:highlight w:val="none"/>
        </w:rPr>
        <w:t>2.0.4</w:t>
      </w:r>
      <w:r>
        <w:rPr>
          <w:rFonts w:hint="eastAsia" w:ascii="Times New Roman" w:hAnsi="Times New Roman"/>
          <w:b/>
          <w:bCs/>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工</w:t>
      </w:r>
      <w:r>
        <w:rPr>
          <w:rFonts w:hint="eastAsia" w:ascii="Times New Roman" w:hAnsi="Times New Roman"/>
          <w:color w:val="auto"/>
          <w:sz w:val="24"/>
          <w:szCs w:val="24"/>
          <w:highlight w:val="none"/>
        </w:rPr>
        <w:t>程垃圾engineering waste</w:t>
      </w:r>
    </w:p>
    <w:p>
      <w:pPr>
        <w:widowControl/>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各类建筑物、构筑物等建设过程中产生的弃料。</w:t>
      </w:r>
    </w:p>
    <w:p>
      <w:pPr>
        <w:widowControl/>
        <w:spacing w:line="360" w:lineRule="auto"/>
        <w:ind w:firstLine="0" w:firstLineChars="0"/>
        <w:rPr>
          <w:rFonts w:hint="eastAsia" w:ascii="Times New Roman" w:hAnsi="Times New Roman"/>
          <w:color w:val="auto"/>
          <w:sz w:val="24"/>
          <w:szCs w:val="24"/>
          <w:highlight w:val="none"/>
        </w:rPr>
      </w:pPr>
      <w:r>
        <w:rPr>
          <w:rFonts w:hint="eastAsia" w:ascii="Times New Roman" w:hAnsi="Times New Roman"/>
          <w:b/>
          <w:bCs/>
          <w:color w:val="auto"/>
          <w:sz w:val="24"/>
          <w:szCs w:val="24"/>
          <w:highlight w:val="none"/>
        </w:rPr>
        <w:t>2.0.5</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拆除垃圾demolition waste</w:t>
      </w:r>
    </w:p>
    <w:p>
      <w:pPr>
        <w:widowControl/>
        <w:spacing w:line="360" w:lineRule="auto"/>
        <w:ind w:firstLine="480" w:firstLineChars="200"/>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各类建筑物、构筑物等拆除过程中产生的弃料</w:t>
      </w:r>
      <w:r>
        <w:rPr>
          <w:rFonts w:hint="eastAsia" w:ascii="Times New Roman" w:hAnsi="Times New Roman"/>
          <w:color w:val="auto"/>
          <w:sz w:val="24"/>
          <w:szCs w:val="24"/>
          <w:highlight w:val="none"/>
          <w:lang w:eastAsia="zh-CN"/>
        </w:rPr>
        <w:t>。</w:t>
      </w:r>
    </w:p>
    <w:p>
      <w:pPr>
        <w:widowControl/>
        <w:spacing w:line="360" w:lineRule="auto"/>
        <w:ind w:firstLine="0" w:firstLineChars="0"/>
        <w:rPr>
          <w:rFonts w:hint="eastAsia" w:ascii="Times New Roman" w:hAnsi="Times New Roman"/>
          <w:color w:val="auto"/>
          <w:sz w:val="24"/>
          <w:szCs w:val="24"/>
          <w:highlight w:val="none"/>
        </w:rPr>
      </w:pPr>
      <w:r>
        <w:rPr>
          <w:rFonts w:hint="eastAsia" w:ascii="Times New Roman" w:hAnsi="Times New Roman"/>
          <w:b/>
          <w:bCs/>
          <w:color w:val="auto"/>
          <w:sz w:val="24"/>
          <w:szCs w:val="24"/>
          <w:highlight w:val="none"/>
        </w:rPr>
        <w:t>2.0.6</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装修垃圾decoration waste</w:t>
      </w:r>
    </w:p>
    <w:p>
      <w:pPr>
        <w:widowControl/>
        <w:spacing w:line="360" w:lineRule="auto"/>
        <w:ind w:firstLine="480" w:firstLineChars="200"/>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装饰装修房屋过程中产生的废弃物</w:t>
      </w:r>
      <w:r>
        <w:rPr>
          <w:rFonts w:hint="eastAsia" w:ascii="Times New Roman" w:hAnsi="Times New Roman"/>
          <w:color w:val="auto"/>
          <w:sz w:val="24"/>
          <w:szCs w:val="24"/>
          <w:highlight w:val="none"/>
          <w:lang w:eastAsia="zh-CN"/>
        </w:rPr>
        <w:t>。</w:t>
      </w:r>
    </w:p>
    <w:p>
      <w:pPr>
        <w:pStyle w:val="28"/>
        <w:keepNext w:val="0"/>
        <w:keepLines w:val="0"/>
        <w:widowControl/>
        <w:suppressLineNumbers w:val="0"/>
        <w:spacing w:before="0" w:beforeAutospacing="0" w:after="0" w:afterAutospacing="0" w:line="360" w:lineRule="auto"/>
        <w:ind w:left="0" w:firstLine="0"/>
        <w:rPr>
          <w:rFonts w:hint="eastAsia" w:ascii="Times New Roman" w:hAnsi="Times New Roman" w:eastAsia="宋体" w:cs="Times New Roman"/>
          <w:i w:val="0"/>
          <w:iCs w:val="0"/>
          <w:caps w:val="0"/>
          <w:color w:val="auto"/>
          <w:spacing w:val="0"/>
          <w:kern w:val="2"/>
          <w:sz w:val="24"/>
          <w:szCs w:val="24"/>
          <w:highlight w:val="none"/>
        </w:rPr>
      </w:pPr>
      <w:r>
        <w:rPr>
          <w:rFonts w:hint="default" w:ascii="Times New Roman" w:hAnsi="Times New Roman" w:eastAsia="宋体" w:cs="Times New Roman"/>
          <w:b/>
          <w:i w:val="0"/>
          <w:iCs w:val="0"/>
          <w:caps w:val="0"/>
          <w:color w:val="auto"/>
          <w:spacing w:val="0"/>
          <w:kern w:val="2"/>
          <w:sz w:val="24"/>
          <w:szCs w:val="24"/>
          <w:highlight w:val="none"/>
          <w:u w:val="none"/>
        </w:rPr>
        <w:t>2.0.</w:t>
      </w:r>
      <w:r>
        <w:rPr>
          <w:rFonts w:hint="eastAsia" w:ascii="Times New Roman" w:hAnsi="Times New Roman" w:cs="Times New Roman"/>
          <w:b/>
          <w:i w:val="0"/>
          <w:iCs w:val="0"/>
          <w:caps w:val="0"/>
          <w:color w:val="auto"/>
          <w:spacing w:val="0"/>
          <w:kern w:val="2"/>
          <w:sz w:val="24"/>
          <w:szCs w:val="24"/>
          <w:highlight w:val="none"/>
          <w:u w:val="none"/>
          <w:lang w:val="en-US" w:eastAsia="zh-CN"/>
        </w:rPr>
        <w:t>7</w:t>
      </w:r>
      <w:r>
        <w:rPr>
          <w:rFonts w:hint="eastAsia" w:ascii="Times New Roman" w:hAnsi="Times New Roman" w:eastAsia="宋体" w:cs="Times New Roman"/>
          <w:i w:val="0"/>
          <w:iCs w:val="0"/>
          <w:caps w:val="0"/>
          <w:color w:val="auto"/>
          <w:spacing w:val="0"/>
          <w:kern w:val="2"/>
          <w:sz w:val="24"/>
          <w:szCs w:val="24"/>
          <w:highlight w:val="none"/>
        </w:rPr>
        <w:t xml:space="preserve"> </w:t>
      </w:r>
      <w:r>
        <w:rPr>
          <w:rFonts w:hint="eastAsia" w:ascii="Times New Roman" w:hAnsi="Times New Roman" w:cs="Times New Roman"/>
          <w:i w:val="0"/>
          <w:iCs w:val="0"/>
          <w:caps w:val="0"/>
          <w:color w:val="auto"/>
          <w:spacing w:val="0"/>
          <w:kern w:val="2"/>
          <w:sz w:val="24"/>
          <w:szCs w:val="24"/>
          <w:highlight w:val="non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rPr>
        <w:t>就地利用 in situ recycling</w:t>
      </w:r>
    </w:p>
    <w:p>
      <w:pPr>
        <w:pStyle w:val="28"/>
        <w:keepNext w:val="0"/>
        <w:keepLines w:val="0"/>
        <w:widowControl/>
        <w:suppressLineNumbers w:val="0"/>
        <w:spacing w:before="0" w:beforeAutospacing="0" w:after="0" w:afterAutospacing="0" w:line="360" w:lineRule="auto"/>
        <w:ind w:left="0" w:firstLine="480" w:firstLineChars="200"/>
        <w:rPr>
          <w:rFonts w:hint="eastAsia" w:ascii="Times New Roman" w:hAnsi="Times New Roman" w:eastAsia="宋体" w:cs="Times New Roman"/>
          <w:i w:val="0"/>
          <w:iCs w:val="0"/>
          <w:caps w:val="0"/>
          <w:color w:val="auto"/>
          <w:spacing w:val="0"/>
          <w:kern w:val="2"/>
          <w:sz w:val="24"/>
          <w:szCs w:val="24"/>
          <w:highlight w:val="none"/>
        </w:rPr>
      </w:pPr>
      <w:r>
        <w:rPr>
          <w:rFonts w:hint="eastAsia" w:ascii="Times New Roman" w:hAnsi="Times New Roman" w:eastAsia="宋体" w:cs="Times New Roman"/>
          <w:i w:val="0"/>
          <w:iCs w:val="0"/>
          <w:caps w:val="0"/>
          <w:color w:val="auto"/>
          <w:spacing w:val="0"/>
          <w:kern w:val="2"/>
          <w:sz w:val="24"/>
          <w:szCs w:val="24"/>
          <w:highlight w:val="none"/>
        </w:rPr>
        <w:t>在建筑垃圾产生场所，对建筑垃圾进行再利用或资源化利用。</w:t>
      </w:r>
    </w:p>
    <w:p>
      <w:pPr>
        <w:widowControl/>
        <w:spacing w:line="360" w:lineRule="auto"/>
        <w:rPr>
          <w:rFonts w:ascii="Times New Roman" w:hAnsi="Times New Roman"/>
          <w:color w:val="auto"/>
          <w:sz w:val="24"/>
          <w:szCs w:val="24"/>
          <w:highlight w:val="none"/>
        </w:rPr>
      </w:pPr>
      <w:r>
        <w:rPr>
          <w:rFonts w:ascii="Times New Roman" w:hAnsi="Times New Roman"/>
          <w:b/>
          <w:color w:val="auto"/>
          <w:sz w:val="24"/>
          <w:szCs w:val="24"/>
          <w:highlight w:val="none"/>
        </w:rPr>
        <w:t>2.0.</w:t>
      </w:r>
      <w:r>
        <w:rPr>
          <w:rFonts w:hint="eastAsia" w:ascii="Times New Roman" w:hAnsi="Times New Roman"/>
          <w:b/>
          <w:color w:val="auto"/>
          <w:sz w:val="24"/>
          <w:szCs w:val="24"/>
          <w:highlight w:val="none"/>
          <w:lang w:val="en-US" w:eastAsia="zh-CN"/>
        </w:rPr>
        <w:t>8</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资源</w:t>
      </w:r>
      <w:r>
        <w:rPr>
          <w:rFonts w:ascii="Times New Roman" w:hAnsi="Times New Roman"/>
          <w:color w:val="auto"/>
          <w:sz w:val="24"/>
          <w:szCs w:val="24"/>
          <w:highlight w:val="none"/>
        </w:rPr>
        <w:t xml:space="preserve">化利用 resource </w:t>
      </w:r>
      <w:r>
        <w:rPr>
          <w:rFonts w:hint="eastAsia" w:ascii="Times New Roman" w:hAnsi="Times New Roman"/>
          <w:color w:val="auto"/>
          <w:sz w:val="24"/>
          <w:szCs w:val="24"/>
          <w:highlight w:val="none"/>
        </w:rPr>
        <w:t>utilization</w:t>
      </w:r>
    </w:p>
    <w:p>
      <w:pPr>
        <w:widowControl/>
        <w:spacing w:line="360" w:lineRule="auto"/>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通过工艺处理，将</w:t>
      </w:r>
      <w:r>
        <w:rPr>
          <w:rFonts w:ascii="Times New Roman" w:hAnsi="Times New Roman"/>
          <w:color w:val="auto"/>
          <w:sz w:val="24"/>
          <w:szCs w:val="24"/>
          <w:highlight w:val="none"/>
        </w:rPr>
        <w:t>建筑垃圾处理转化为</w:t>
      </w:r>
      <w:r>
        <w:rPr>
          <w:rFonts w:hint="eastAsia" w:ascii="Times New Roman" w:hAnsi="Times New Roman"/>
          <w:color w:val="auto"/>
          <w:sz w:val="24"/>
          <w:szCs w:val="24"/>
          <w:highlight w:val="none"/>
          <w:lang w:val="en-US" w:eastAsia="zh-CN"/>
        </w:rPr>
        <w:t>再生</w:t>
      </w:r>
      <w:r>
        <w:rPr>
          <w:rFonts w:hint="eastAsia" w:ascii="Times New Roman" w:hAnsi="Times New Roman"/>
          <w:color w:val="auto"/>
          <w:sz w:val="24"/>
          <w:szCs w:val="24"/>
          <w:highlight w:val="none"/>
        </w:rPr>
        <w:t>材料或产品</w:t>
      </w:r>
      <w:r>
        <w:rPr>
          <w:rFonts w:ascii="Times New Roman" w:hAnsi="Times New Roman"/>
          <w:color w:val="auto"/>
          <w:sz w:val="24"/>
          <w:szCs w:val="24"/>
          <w:highlight w:val="none"/>
        </w:rPr>
        <w:t>的</w:t>
      </w:r>
      <w:r>
        <w:rPr>
          <w:rFonts w:hint="eastAsia" w:ascii="Times New Roman" w:hAnsi="Times New Roman"/>
          <w:color w:val="auto"/>
          <w:sz w:val="24"/>
          <w:szCs w:val="24"/>
          <w:highlight w:val="none"/>
          <w:lang w:val="en-US" w:eastAsia="zh-CN"/>
        </w:rPr>
        <w:t>方法</w:t>
      </w:r>
      <w:r>
        <w:rPr>
          <w:rFonts w:ascii="Times New Roman" w:hAnsi="Times New Roman"/>
          <w:color w:val="auto"/>
          <w:sz w:val="24"/>
          <w:szCs w:val="24"/>
          <w:highlight w:val="none"/>
        </w:rPr>
        <w:t>。</w:t>
      </w:r>
    </w:p>
    <w:p>
      <w:pPr>
        <w:widowControl/>
        <w:spacing w:line="360" w:lineRule="auto"/>
        <w:ind w:firstLine="0" w:firstLineChars="0"/>
        <w:rPr>
          <w:rFonts w:hint="eastAsia" w:ascii="Times New Roman" w:hAnsi="HiddenHorzOCR-Identity-H"/>
          <w:color w:val="auto"/>
          <w:sz w:val="24"/>
          <w:szCs w:val="24"/>
          <w:highlight w:val="none"/>
          <w:vertAlign w:val="baseline"/>
        </w:rPr>
      </w:pPr>
      <w:r>
        <w:rPr>
          <w:rFonts w:ascii="Times New Roman" w:hAnsi="Times New Roman"/>
          <w:b/>
          <w:color w:val="auto"/>
          <w:sz w:val="24"/>
          <w:szCs w:val="24"/>
          <w:highlight w:val="none"/>
        </w:rPr>
        <w:t>2.0.</w:t>
      </w:r>
      <w:r>
        <w:rPr>
          <w:rFonts w:hint="eastAsia" w:ascii="Times New Roman" w:hAnsi="Times New Roman"/>
          <w:b/>
          <w:color w:val="auto"/>
          <w:sz w:val="24"/>
          <w:szCs w:val="24"/>
          <w:highlight w:val="none"/>
          <w:lang w:val="en-US" w:eastAsia="zh-CN"/>
        </w:rPr>
        <w:t>9</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vertAlign w:val="baseline"/>
        </w:rPr>
        <w:t>填埋 landfi</w:t>
      </w:r>
      <w:r>
        <w:rPr>
          <w:rFonts w:hint="eastAsia" w:ascii="Times New Roman" w:hAnsi="Times New Roman"/>
          <w:color w:val="auto"/>
          <w:sz w:val="24"/>
          <w:szCs w:val="24"/>
          <w:highlight w:val="none"/>
          <w:vertAlign w:val="baseline"/>
          <w:lang w:val="en-US" w:eastAsia="zh-CN"/>
        </w:rPr>
        <w:t>l</w:t>
      </w:r>
      <w:r>
        <w:rPr>
          <w:rFonts w:hint="eastAsia" w:ascii="Times New Roman" w:hAnsi="Times New Roman"/>
          <w:color w:val="auto"/>
          <w:sz w:val="24"/>
          <w:szCs w:val="24"/>
          <w:highlight w:val="none"/>
          <w:vertAlign w:val="baseline"/>
        </w:rPr>
        <w:t>l</w:t>
      </w:r>
    </w:p>
    <w:p>
      <w:pPr>
        <w:widowControl/>
        <w:spacing w:line="360" w:lineRule="auto"/>
        <w:ind w:firstLine="480" w:firstLineChars="200"/>
        <w:rPr>
          <w:rFonts w:hint="eastAsia" w:ascii="Times New Roman" w:hAnsi="HiddenHorzOCR-Identity-H"/>
          <w:color w:val="auto"/>
          <w:sz w:val="24"/>
          <w:szCs w:val="24"/>
          <w:highlight w:val="none"/>
          <w:vertAlign w:val="baseline"/>
        </w:rPr>
      </w:pPr>
      <w:r>
        <w:rPr>
          <w:rFonts w:hint="eastAsia" w:ascii="Times New Roman" w:hAnsi="HiddenHorzOCR-Identity-H"/>
          <w:color w:val="auto"/>
          <w:sz w:val="24"/>
          <w:szCs w:val="24"/>
          <w:highlight w:val="none"/>
          <w:vertAlign w:val="baseline"/>
        </w:rPr>
        <w:t>采取防渗、铺平、压实、覆盖等对建筑垃圾进行处理和对污水等进行治理的处理方法。</w:t>
      </w:r>
    </w:p>
    <w:p>
      <w:pPr>
        <w:keepNext w:val="0"/>
        <w:keepLines w:val="0"/>
        <w:widowControl/>
        <w:suppressLineNumbers w:val="0"/>
        <w:spacing w:line="360" w:lineRule="auto"/>
        <w:jc w:val="left"/>
      </w:pPr>
      <w:r>
        <w:rPr>
          <w:rFonts w:ascii="Times New Roman" w:hAnsi="Times New Roman"/>
          <w:b/>
          <w:color w:val="auto"/>
          <w:sz w:val="24"/>
          <w:szCs w:val="24"/>
          <w:highlight w:val="none"/>
        </w:rPr>
        <w:t>2.0.</w:t>
      </w:r>
      <w:r>
        <w:rPr>
          <w:rFonts w:hint="eastAsia" w:ascii="Times New Roman" w:hAnsi="Times New Roman"/>
          <w:b/>
          <w:color w:val="auto"/>
          <w:sz w:val="24"/>
          <w:szCs w:val="24"/>
          <w:highlight w:val="none"/>
          <w:lang w:val="en-US" w:eastAsia="zh-CN"/>
        </w:rPr>
        <w:t>10</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资源化利用</w:t>
      </w:r>
      <w:r>
        <w:rPr>
          <w:rFonts w:hint="eastAsia" w:ascii="Times New Roman" w:hAnsi="HiddenHorzOCR-Identity-H"/>
          <w:color w:val="auto"/>
          <w:sz w:val="24"/>
          <w:szCs w:val="24"/>
          <w:highlight w:val="none"/>
          <w:lang w:val="en-US" w:eastAsia="zh-CN"/>
        </w:rPr>
        <w:t>工厂</w:t>
      </w:r>
      <w:r>
        <w:rPr>
          <w:rFonts w:hint="eastAsia" w:ascii="Times New Roman" w:hAnsi="Times New Roman" w:eastAsia="宋体" w:cs="Times New Roman"/>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esource utilization factory</w:t>
      </w:r>
    </w:p>
    <w:p>
      <w:pPr>
        <w:pStyle w:val="12"/>
        <w:numPr>
          <w:ilvl w:val="0"/>
          <w:numId w:val="0"/>
        </w:numPr>
        <w:spacing w:before="0" w:after="0" w:line="360" w:lineRule="auto"/>
        <w:ind w:leftChars="0" w:firstLine="480" w:firstLineChars="200"/>
        <w:rPr>
          <w:rFonts w:hint="eastAsia" w:ascii="Times New Roman" w:hAnsi="HiddenHorzOCR-Identity-H"/>
          <w:color w:val="auto"/>
          <w:sz w:val="24"/>
          <w:szCs w:val="24"/>
          <w:highlight w:val="none"/>
        </w:rPr>
      </w:pPr>
      <w:r>
        <w:rPr>
          <w:rFonts w:hint="eastAsia" w:ascii="Times New Roman" w:hAnsi="HiddenHorzOCR-Identity-H"/>
          <w:color w:val="auto"/>
          <w:sz w:val="24"/>
          <w:szCs w:val="24"/>
          <w:highlight w:val="none"/>
        </w:rPr>
        <w:t>对建筑垃圾实施资源化处理，生产各类</w:t>
      </w:r>
      <w:r>
        <w:rPr>
          <w:rFonts w:hint="eastAsia" w:ascii="Times New Roman" w:hAnsi="Times New Roman"/>
          <w:color w:val="auto"/>
          <w:sz w:val="24"/>
          <w:szCs w:val="24"/>
          <w:highlight w:val="none"/>
        </w:rPr>
        <w:t>再生材料</w:t>
      </w:r>
      <w:r>
        <w:rPr>
          <w:rFonts w:hint="eastAsia" w:ascii="Times New Roman" w:hAnsi="Times New Roman"/>
          <w:color w:val="auto"/>
          <w:sz w:val="24"/>
          <w:szCs w:val="24"/>
          <w:highlight w:val="none"/>
          <w:lang w:eastAsia="zh-CN"/>
        </w:rPr>
        <w:t>、</w:t>
      </w:r>
      <w:r>
        <w:rPr>
          <w:rFonts w:hint="eastAsia" w:ascii="Times New Roman" w:hAnsi="HiddenHorzOCR-Identity-H"/>
          <w:color w:val="auto"/>
          <w:sz w:val="24"/>
          <w:szCs w:val="24"/>
          <w:highlight w:val="none"/>
        </w:rPr>
        <w:t>再生产品的场所。</w:t>
      </w:r>
    </w:p>
    <w:p>
      <w:pPr>
        <w:widowControl/>
        <w:spacing w:line="360" w:lineRule="auto"/>
        <w:rPr>
          <w:rFonts w:ascii="Times New Roman" w:hAnsi="Times New Roman"/>
          <w:color w:val="auto"/>
          <w:sz w:val="24"/>
          <w:szCs w:val="24"/>
          <w:highlight w:val="none"/>
        </w:rPr>
      </w:pPr>
      <w:r>
        <w:rPr>
          <w:rFonts w:ascii="Times New Roman" w:hAnsi="Times New Roman"/>
          <w:b/>
          <w:color w:val="auto"/>
          <w:sz w:val="24"/>
          <w:szCs w:val="24"/>
          <w:highlight w:val="none"/>
        </w:rPr>
        <w:t>2.0.</w:t>
      </w:r>
      <w:r>
        <w:rPr>
          <w:rFonts w:hint="eastAsia" w:ascii="Times New Roman" w:hAnsi="Times New Roman"/>
          <w:b/>
          <w:color w:val="auto"/>
          <w:sz w:val="24"/>
          <w:szCs w:val="24"/>
          <w:highlight w:val="none"/>
          <w:lang w:val="en-US" w:eastAsia="zh-CN"/>
        </w:rPr>
        <w:t>11</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再生材料</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recycled</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materials</w:t>
      </w:r>
    </w:p>
    <w:p>
      <w:pPr>
        <w:widowControl/>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建筑垃圾经过资源化利用工厂处理后，得到的可以再次使用的材料。</w:t>
      </w:r>
    </w:p>
    <w:p>
      <w:pPr>
        <w:widowControl/>
        <w:spacing w:line="360" w:lineRule="auto"/>
        <w:rPr>
          <w:rFonts w:ascii="Times New Roman" w:hAnsi="Times New Roman"/>
          <w:color w:val="auto"/>
          <w:sz w:val="24"/>
          <w:szCs w:val="24"/>
          <w:highlight w:val="none"/>
        </w:rPr>
      </w:pPr>
      <w:r>
        <w:rPr>
          <w:rFonts w:hint="eastAsia" w:ascii="Times New Roman" w:hAnsi="Times New Roman"/>
          <w:b/>
          <w:bCs/>
          <w:color w:val="auto"/>
          <w:sz w:val="24"/>
          <w:szCs w:val="24"/>
          <w:highlight w:val="none"/>
        </w:rPr>
        <w:t>2</w:t>
      </w:r>
      <w:r>
        <w:rPr>
          <w:rFonts w:ascii="Times New Roman" w:hAnsi="Times New Roman"/>
          <w:b/>
          <w:bCs/>
          <w:color w:val="auto"/>
          <w:sz w:val="24"/>
          <w:szCs w:val="24"/>
          <w:highlight w:val="none"/>
        </w:rPr>
        <w:t>.0.</w:t>
      </w:r>
      <w:r>
        <w:rPr>
          <w:rFonts w:hint="eastAsia" w:ascii="Times New Roman" w:hAnsi="Times New Roman"/>
          <w:b/>
          <w:bCs/>
          <w:color w:val="auto"/>
          <w:sz w:val="24"/>
          <w:szCs w:val="24"/>
          <w:highlight w:val="none"/>
          <w:lang w:val="en-US" w:eastAsia="zh-CN"/>
        </w:rPr>
        <w:t>12</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 xml:space="preserve">再生产品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recycled</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product</w:t>
      </w:r>
    </w:p>
    <w:p>
      <w:pPr>
        <w:widowControl/>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利用部分或全部再生材料制造的产品</w:t>
      </w:r>
      <w:r>
        <w:rPr>
          <w:rFonts w:ascii="Times New Roman" w:hAnsi="Times New Roman"/>
          <w:color w:val="auto"/>
          <w:sz w:val="24"/>
          <w:szCs w:val="24"/>
          <w:highlight w:val="none"/>
        </w:rPr>
        <w:t>。</w:t>
      </w:r>
    </w:p>
    <w:p>
      <w:pPr>
        <w:widowControl/>
        <w:spacing w:line="360" w:lineRule="auto"/>
        <w:ind w:firstLine="480" w:firstLineChars="200"/>
        <w:rPr>
          <w:rFonts w:ascii="Times New Roman" w:hAnsi="Times New Roman"/>
          <w:color w:val="auto"/>
          <w:sz w:val="24"/>
          <w:szCs w:val="24"/>
          <w:highlight w:val="none"/>
        </w:rPr>
      </w:pPr>
    </w:p>
    <w:p>
      <w:pPr>
        <w:pStyle w:val="2"/>
        <w:pageBreakBefore/>
        <w:spacing w:line="360" w:lineRule="auto"/>
        <w:rPr>
          <w:rFonts w:hint="eastAsia" w:ascii="Times New Roman" w:hAnsi="Times New Roman"/>
          <w:color w:val="FF0000"/>
          <w:szCs w:val="32"/>
          <w:highlight w:val="none"/>
          <w:lang w:eastAsia="zh-CN"/>
        </w:rPr>
      </w:pPr>
      <w:bookmarkStart w:id="80" w:name="_Toc19615"/>
      <w:bookmarkStart w:id="81" w:name="_Toc140769644"/>
      <w:bookmarkStart w:id="82" w:name="_Toc7947"/>
      <w:bookmarkStart w:id="83" w:name="_Toc3251"/>
      <w:bookmarkStart w:id="84" w:name="_Toc11453"/>
      <w:bookmarkStart w:id="85" w:name="_Toc27583"/>
      <w:bookmarkStart w:id="86" w:name="_Toc136502131"/>
      <w:bookmarkStart w:id="87" w:name="_Toc140769511"/>
      <w:bookmarkStart w:id="88" w:name="_Toc13988"/>
      <w:bookmarkStart w:id="89" w:name="_Toc24798"/>
      <w:bookmarkStart w:id="90" w:name="_Toc16963"/>
      <w:bookmarkStart w:id="91" w:name="_Toc26663"/>
      <w:r>
        <w:rPr>
          <w:rFonts w:ascii="Times New Roman" w:hAnsi="Times New Roman"/>
          <w:color w:val="auto"/>
          <w:szCs w:val="32"/>
          <w:highlight w:val="none"/>
        </w:rPr>
        <w:t>3</w:t>
      </w:r>
      <w:bookmarkStart w:id="92" w:name="_Hlk117782462"/>
      <w:r>
        <w:rPr>
          <w:rFonts w:ascii="Times New Roman" w:hAnsi="Times New Roman"/>
          <w:color w:val="auto"/>
          <w:szCs w:val="32"/>
          <w:highlight w:val="none"/>
        </w:rPr>
        <w:t>基本规定</w:t>
      </w:r>
      <w:bookmarkEnd w:id="14"/>
      <w:bookmarkEnd w:id="15"/>
      <w:bookmarkEnd w:id="16"/>
      <w:bookmarkEnd w:id="17"/>
      <w:bookmarkEnd w:id="18"/>
      <w:bookmarkEnd w:id="19"/>
      <w:bookmarkEnd w:id="20"/>
      <w:bookmarkEnd w:id="21"/>
      <w:bookmarkEnd w:id="22"/>
      <w:bookmarkEnd w:id="80"/>
      <w:bookmarkEnd w:id="81"/>
      <w:bookmarkEnd w:id="82"/>
      <w:bookmarkEnd w:id="83"/>
      <w:bookmarkEnd w:id="84"/>
      <w:bookmarkEnd w:id="85"/>
      <w:bookmarkEnd w:id="86"/>
      <w:bookmarkEnd w:id="87"/>
      <w:bookmarkEnd w:id="88"/>
      <w:bookmarkEnd w:id="89"/>
      <w:bookmarkEnd w:id="90"/>
      <w:bookmarkEnd w:id="91"/>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360" w:lineRule="auto"/>
        <w:ind w:right="0"/>
        <w:jc w:val="both"/>
        <w:textAlignment w:val="auto"/>
        <w:rPr>
          <w:rFonts w:hint="eastAsia" w:ascii="Times New Roman" w:hAnsi="HiddenHorzOCR-Identity-H"/>
          <w:b w:val="0"/>
          <w:bCs w:val="0"/>
          <w:color w:val="auto"/>
          <w:sz w:val="24"/>
          <w:szCs w:val="24"/>
          <w:highlight w:val="none"/>
          <w:lang w:eastAsia="zh-CN"/>
        </w:rPr>
      </w:pPr>
      <w:r>
        <w:rPr>
          <w:rFonts w:hint="eastAsia" w:ascii="Times New Roman" w:hAnsi="HiddenHorzOCR-Identity-H"/>
          <w:b/>
          <w:bCs/>
          <w:color w:val="auto"/>
          <w:sz w:val="24"/>
          <w:szCs w:val="24"/>
          <w:highlight w:val="none"/>
        </w:rPr>
        <w:t>3.0.1</w:t>
      </w:r>
      <w:r>
        <w:rPr>
          <w:rFonts w:hint="eastAsia" w:ascii="Times New Roman" w:hAnsi="HiddenHorzOCR-Identity-H"/>
          <w:b w:val="0"/>
          <w:bCs w:val="0"/>
          <w:color w:val="auto"/>
          <w:sz w:val="24"/>
          <w:szCs w:val="24"/>
          <w:highlight w:val="none"/>
          <w:lang w:val="en-US" w:eastAsia="zh-CN"/>
        </w:rPr>
        <w:t xml:space="preserve">  </w:t>
      </w:r>
      <w:bookmarkStart w:id="93" w:name="OLE_LINK1"/>
      <w:r>
        <w:rPr>
          <w:rFonts w:hint="eastAsia" w:ascii="Times New Roman" w:hAnsi="HiddenHorzOCR-Identity-H"/>
          <w:b w:val="0"/>
          <w:bCs w:val="0"/>
          <w:color w:val="auto"/>
          <w:sz w:val="24"/>
          <w:szCs w:val="24"/>
          <w:highlight w:val="none"/>
        </w:rPr>
        <w:t>建筑垃圾</w:t>
      </w:r>
      <w:r>
        <w:rPr>
          <w:rFonts w:hint="eastAsia" w:ascii="Times New Roman" w:hAnsi="HiddenHorzOCR-Identity-H"/>
          <w:color w:val="auto"/>
          <w:spacing w:val="0"/>
          <w:sz w:val="24"/>
          <w:szCs w:val="24"/>
          <w:highlight w:val="none"/>
          <w:lang w:val="en-US" w:eastAsia="zh-CN"/>
        </w:rPr>
        <w:t>分类减量</w:t>
      </w:r>
      <w:r>
        <w:rPr>
          <w:rFonts w:hint="eastAsia" w:ascii="Times New Roman" w:hAnsi="HiddenHorzOCR-Identity-H"/>
          <w:color w:val="auto"/>
          <w:sz w:val="24"/>
          <w:szCs w:val="24"/>
          <w:highlight w:val="none"/>
          <w:lang w:val="en-US" w:eastAsia="zh-CN"/>
        </w:rPr>
        <w:t>与资源化利用</w:t>
      </w:r>
      <w:r>
        <w:rPr>
          <w:rFonts w:hint="eastAsia" w:ascii="Times New Roman" w:hAnsi="HiddenHorzOCR-Identity-H"/>
          <w:b w:val="0"/>
          <w:bCs w:val="0"/>
          <w:color w:val="auto"/>
          <w:sz w:val="24"/>
          <w:szCs w:val="24"/>
          <w:highlight w:val="none"/>
        </w:rPr>
        <w:t>应遵循谁产生、谁承担</w:t>
      </w:r>
      <w:r>
        <w:rPr>
          <w:rFonts w:hint="eastAsia" w:ascii="Times New Roman" w:hAnsi="HiddenHorzOCR-Identity-H"/>
          <w:b w:val="0"/>
          <w:bCs w:val="0"/>
          <w:color w:val="auto"/>
          <w:sz w:val="24"/>
          <w:szCs w:val="24"/>
          <w:highlight w:val="none"/>
          <w:lang w:val="en-US" w:eastAsia="zh-CN"/>
        </w:rPr>
        <w:t>处置责任</w:t>
      </w:r>
      <w:r>
        <w:rPr>
          <w:rFonts w:hint="eastAsia" w:ascii="Times New Roman" w:hAnsi="HiddenHorzOCR-Identity-H"/>
          <w:b w:val="0"/>
          <w:bCs w:val="0"/>
          <w:color w:val="auto"/>
          <w:sz w:val="24"/>
          <w:szCs w:val="24"/>
          <w:highlight w:val="none"/>
        </w:rPr>
        <w:t>的原则</w:t>
      </w:r>
      <w:bookmarkEnd w:id="93"/>
      <w:r>
        <w:rPr>
          <w:rFonts w:hint="eastAsia" w:ascii="Times New Roman" w:hAnsi="HiddenHorzOCR-Identity-H"/>
          <w:b w:val="0"/>
          <w:bCs w:val="0"/>
          <w:color w:val="auto"/>
          <w:sz w:val="24"/>
          <w:szCs w:val="24"/>
          <w:highlight w:val="none"/>
          <w:lang w:eastAsia="zh-CN"/>
        </w:rPr>
        <w:t>。</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360" w:lineRule="auto"/>
        <w:ind w:right="0"/>
        <w:jc w:val="both"/>
        <w:textAlignment w:val="auto"/>
        <w:rPr>
          <w:rFonts w:hint="eastAsia" w:ascii="Times New Roman" w:hAnsi="HiddenHorzOCR-Identity-H" w:eastAsia="宋体"/>
          <w:b w:val="0"/>
          <w:bCs w:val="0"/>
          <w:color w:val="auto"/>
          <w:sz w:val="24"/>
          <w:szCs w:val="24"/>
          <w:highlight w:val="none"/>
          <w:lang w:eastAsia="zh-CN"/>
        </w:rPr>
      </w:pPr>
      <w:r>
        <w:rPr>
          <w:rFonts w:hint="eastAsia" w:ascii="楷体" w:hAnsi="楷体" w:eastAsia="楷体" w:cs="Times New Roman"/>
          <w:b w:val="0"/>
          <w:bCs w:val="0"/>
          <w:sz w:val="24"/>
          <w:szCs w:val="24"/>
          <w:lang w:bidi="ar"/>
        </w:rPr>
        <w:t>【条文说明】</w:t>
      </w:r>
      <w:r>
        <w:rPr>
          <w:rFonts w:hint="eastAsia" w:ascii="楷体" w:hAnsi="楷体" w:eastAsia="楷体" w:cs="Times New Roman"/>
          <w:i w:val="0"/>
          <w:iCs w:val="0"/>
          <w:caps w:val="0"/>
          <w:spacing w:val="0"/>
          <w:sz w:val="24"/>
          <w:szCs w:val="24"/>
          <w:shd w:val="clear"/>
          <w:lang w:bidi="ar"/>
        </w:rPr>
        <w:t>本条明确建筑垃圾分类减量与资源化利用的责任主体</w:t>
      </w:r>
      <w:r>
        <w:rPr>
          <w:rFonts w:hint="eastAsia" w:ascii="楷体" w:hAnsi="楷体" w:eastAsia="楷体" w:cs="Times New Roman"/>
          <w:i w:val="0"/>
          <w:iCs w:val="0"/>
          <w:caps w:val="0"/>
          <w:spacing w:val="0"/>
          <w:sz w:val="24"/>
          <w:szCs w:val="24"/>
          <w:shd w:val="clear"/>
          <w:lang w:val="en-US" w:eastAsia="zh-CN" w:bidi="ar"/>
        </w:rPr>
        <w:t>与</w:t>
      </w:r>
      <w:r>
        <w:rPr>
          <w:rFonts w:hint="eastAsia" w:ascii="楷体" w:hAnsi="楷体" w:eastAsia="楷体" w:cs="Times New Roman"/>
          <w:i w:val="0"/>
          <w:iCs w:val="0"/>
          <w:caps w:val="0"/>
          <w:spacing w:val="0"/>
          <w:sz w:val="24"/>
          <w:szCs w:val="24"/>
          <w:shd w:val="clear"/>
          <w:lang w:bidi="ar"/>
        </w:rPr>
        <w:t>原则。旨在促使建筑垃圾产生者，积极采取措施减少垃圾产生，合理分类、收集、运输、消纳建筑垃圾，并推动其资源化利用。</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360" w:lineRule="auto"/>
        <w:ind w:right="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rPr>
        <w:t>3.0.2</w:t>
      </w:r>
      <w:r>
        <w:rPr>
          <w:rFonts w:hint="eastAsia" w:ascii="Times New Roman" w:hAnsi="HiddenHorzOCR-Identity-H"/>
          <w:color w:val="auto"/>
          <w:sz w:val="24"/>
          <w:szCs w:val="24"/>
          <w:highlight w:val="none"/>
        </w:rPr>
        <w:t xml:space="preserve"> </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建筑垃圾应按照工程渣土、工程泥浆、工程垃圾、拆除垃圾和装修垃圾</w:t>
      </w:r>
      <w:r>
        <w:rPr>
          <w:rFonts w:hint="eastAsia" w:ascii="Times New Roman" w:hAnsi="HiddenHorzOCR-Identity-H"/>
          <w:color w:val="auto"/>
          <w:sz w:val="24"/>
          <w:szCs w:val="24"/>
          <w:highlight w:val="none"/>
          <w:lang w:val="en-US" w:eastAsia="zh-CN"/>
        </w:rPr>
        <w:t>等从源头</w:t>
      </w:r>
      <w:r>
        <w:rPr>
          <w:rFonts w:hint="eastAsia" w:ascii="Times New Roman" w:hAnsi="HiddenHorzOCR-Identity-H"/>
          <w:color w:val="auto"/>
          <w:sz w:val="24"/>
          <w:szCs w:val="24"/>
          <w:highlight w:val="none"/>
        </w:rPr>
        <w:t>分类收集、分类运输、分类处置。</w:t>
      </w:r>
    </w:p>
    <w:p>
      <w:pPr>
        <w:pStyle w:val="12"/>
        <w:widowControl w:val="0"/>
        <w:numPr>
          <w:ilvl w:val="0"/>
          <w:numId w:val="0"/>
        </w:numPr>
        <w:overflowPunct w:val="0"/>
        <w:spacing w:after="0" w:line="360" w:lineRule="auto"/>
        <w:jc w:val="both"/>
        <w:rPr>
          <w:rFonts w:hint="eastAsia" w:ascii="楷体" w:hAnsi="楷体" w:eastAsia="楷体"/>
          <w:sz w:val="24"/>
          <w:szCs w:val="24"/>
          <w:lang w:bidi="ar"/>
        </w:rPr>
      </w:pPr>
      <w:r>
        <w:rPr>
          <w:rFonts w:hint="eastAsia" w:ascii="楷体" w:hAnsi="楷体" w:eastAsia="楷体" w:cs="Times New Roman"/>
          <w:b w:val="0"/>
          <w:bCs w:val="0"/>
          <w:sz w:val="24"/>
          <w:szCs w:val="24"/>
          <w:lang w:bidi="ar"/>
        </w:rPr>
        <w:t>【条文说明】</w:t>
      </w:r>
      <w:r>
        <w:rPr>
          <w:rFonts w:hint="eastAsia" w:ascii="楷体" w:hAnsi="楷体" w:eastAsia="楷体" w:cs="Times New Roman"/>
          <w:kern w:val="2"/>
          <w:sz w:val="24"/>
          <w:szCs w:val="24"/>
          <w:lang w:val="en-US" w:eastAsia="zh-CN" w:bidi="ar"/>
        </w:rPr>
        <w:t>建筑垃圾源头分类，实行就地分类和非就地分类相结合的建筑垃圾分类方式。建筑垃圾产生单位在施工现场按不同产生源、组分、性质分别堆放，对能现场回收利用的建筑垃圾就地消化，对不可现场利用的垃圾运送到指定地点综合利用或处置，从源头增加对垃圾的回收利用率。</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right="0" w:firstLine="480" w:firstLineChars="200"/>
        <w:jc w:val="both"/>
        <w:textAlignment w:val="auto"/>
        <w:rPr>
          <w:rFonts w:hint="eastAsia" w:ascii="楷体" w:hAnsi="楷体" w:eastAsia="楷体"/>
          <w:sz w:val="24"/>
          <w:szCs w:val="24"/>
        </w:rPr>
      </w:pPr>
      <w:r>
        <w:rPr>
          <w:rFonts w:hint="eastAsia" w:ascii="楷体" w:hAnsi="楷体" w:eastAsia="楷体" w:cs="Times New Roman"/>
          <w:kern w:val="2"/>
          <w:sz w:val="24"/>
          <w:szCs w:val="24"/>
          <w:lang w:val="en-US" w:eastAsia="zh-CN" w:bidi="ar"/>
        </w:rPr>
        <w:t>根据产生源，建筑垃圾可分为工程渣土、工程泥浆、工程垃圾、拆除垃圾和装修垃圾;根据组分特性，拆除垃圾和装修垃圾又可细分为砖瓦混凝土类、木类、塑料类、纸类、织物类、金属类、其他类等。建筑垃圾分类收集、运输原则:产生源不同，应分开收集、运输;同源建筑垃圾，收集前宜根据组分分类，分开运输。</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lang w:val="en-US" w:eastAsia="zh-CN"/>
        </w:rPr>
        <w:t>3.0.3</w:t>
      </w:r>
      <w:r>
        <w:rPr>
          <w:rFonts w:hint="eastAsia" w:ascii="Times New Roman" w:hAnsi="HiddenHorzOCR-Identity-H"/>
          <w:color w:val="auto"/>
          <w:sz w:val="24"/>
          <w:szCs w:val="24"/>
          <w:highlight w:val="none"/>
          <w:lang w:val="en-US" w:eastAsia="zh-CN"/>
        </w:rPr>
        <w:t xml:space="preserve">  建筑垃圾</w:t>
      </w:r>
      <w:r>
        <w:rPr>
          <w:rFonts w:hint="eastAsia" w:ascii="Times New Roman" w:hAnsi="HiddenHorzOCR-Identity-H"/>
          <w:color w:val="auto"/>
          <w:spacing w:val="0"/>
          <w:sz w:val="24"/>
          <w:szCs w:val="24"/>
          <w:highlight w:val="none"/>
          <w:lang w:val="en-US" w:eastAsia="zh-CN"/>
        </w:rPr>
        <w:t>分类减量</w:t>
      </w:r>
      <w:r>
        <w:rPr>
          <w:rFonts w:hint="eastAsia" w:ascii="Times New Roman" w:hAnsi="HiddenHorzOCR-Identity-H"/>
          <w:color w:val="auto"/>
          <w:sz w:val="24"/>
          <w:szCs w:val="24"/>
          <w:highlight w:val="none"/>
          <w:lang w:val="en-US" w:eastAsia="zh-CN"/>
        </w:rPr>
        <w:t>与资源化利用模式分为就地利用、场外资源化利用和场外处置，宜以就地利用与场外资源化利用为主，场外处置为辅。</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default" w:ascii="Times New Roman" w:hAnsi="HiddenHorzOCR-Identity-H"/>
          <w:color w:val="auto"/>
          <w:sz w:val="24"/>
          <w:szCs w:val="24"/>
          <w:highlight w:val="none"/>
          <w:lang w:val="en-US" w:eastAsia="zh-CN"/>
        </w:rPr>
      </w:pPr>
      <w:r>
        <w:rPr>
          <w:rFonts w:hint="eastAsia" w:ascii="楷体" w:hAnsi="楷体" w:eastAsia="楷体" w:cs="Times New Roman"/>
          <w:b w:val="0"/>
          <w:bCs w:val="0"/>
          <w:sz w:val="24"/>
          <w:szCs w:val="24"/>
        </w:rPr>
        <w:t>【条文说明】</w:t>
      </w:r>
      <w:r>
        <w:rPr>
          <w:rFonts w:hint="eastAsia" w:ascii="楷体" w:hAnsi="楷体" w:eastAsia="楷体"/>
          <w:color w:val="auto"/>
          <w:sz w:val="24"/>
          <w:szCs w:val="24"/>
          <w:highlight w:val="none"/>
          <w:lang w:val="en-US" w:eastAsia="zh-CN"/>
        </w:rPr>
        <w:t>场外处置是指</w:t>
      </w:r>
      <w:r>
        <w:rPr>
          <w:rFonts w:hint="eastAsia" w:ascii="楷体" w:hAnsi="楷体" w:eastAsia="楷体"/>
          <w:sz w:val="24"/>
          <w:szCs w:val="24"/>
          <w:lang w:val="en-US" w:eastAsia="zh-CN"/>
        </w:rPr>
        <w:t>未经</w:t>
      </w:r>
      <w:r>
        <w:rPr>
          <w:rFonts w:hint="eastAsia" w:ascii="楷体" w:hAnsi="楷体" w:eastAsia="楷体"/>
          <w:color w:val="auto"/>
          <w:sz w:val="24"/>
          <w:szCs w:val="24"/>
          <w:highlight w:val="none"/>
          <w:lang w:val="en-US" w:eastAsia="zh-CN"/>
        </w:rPr>
        <w:t>就地利用的</w:t>
      </w:r>
      <w:r>
        <w:rPr>
          <w:rFonts w:hint="eastAsia" w:ascii="楷体" w:hAnsi="楷体" w:eastAsia="楷体"/>
          <w:sz w:val="24"/>
          <w:szCs w:val="24"/>
          <w:lang w:val="en-US" w:eastAsia="zh-CN"/>
        </w:rPr>
        <w:t>建筑垃圾</w:t>
      </w:r>
      <w:r>
        <w:rPr>
          <w:rFonts w:hint="eastAsia" w:ascii="楷体" w:hAnsi="楷体" w:eastAsia="楷体"/>
          <w:color w:val="auto"/>
          <w:sz w:val="24"/>
          <w:szCs w:val="24"/>
          <w:highlight w:val="none"/>
          <w:lang w:val="en-US" w:eastAsia="zh-CN"/>
        </w:rPr>
        <w:t>，在场外采用堆填、填埋等资源化利用</w:t>
      </w:r>
      <w:r>
        <w:rPr>
          <w:rFonts w:hint="eastAsia" w:ascii="楷体" w:hAnsi="楷体" w:eastAsia="楷体"/>
          <w:sz w:val="24"/>
          <w:szCs w:val="24"/>
          <w:lang w:val="en-US" w:eastAsia="zh-CN"/>
        </w:rPr>
        <w:t>以外的方式</w:t>
      </w:r>
      <w:r>
        <w:rPr>
          <w:rFonts w:hint="eastAsia" w:ascii="楷体" w:hAnsi="楷体" w:eastAsia="楷体"/>
          <w:color w:val="auto"/>
          <w:sz w:val="24"/>
          <w:szCs w:val="24"/>
          <w:highlight w:val="none"/>
          <w:lang w:val="en-US" w:eastAsia="zh-CN"/>
        </w:rPr>
        <w:t>处理</w:t>
      </w:r>
      <w:r>
        <w:rPr>
          <w:rFonts w:hint="eastAsia" w:ascii="楷体" w:hAnsi="楷体" w:eastAsia="楷体"/>
          <w:sz w:val="24"/>
          <w:szCs w:val="24"/>
          <w:lang w:val="en-US" w:eastAsia="zh-CN"/>
        </w:rPr>
        <w:t>。</w:t>
      </w:r>
      <w:r>
        <w:rPr>
          <w:rFonts w:hint="eastAsia" w:ascii="楷体" w:hAnsi="楷体" w:eastAsia="楷体"/>
          <w:color w:val="auto"/>
          <w:sz w:val="24"/>
          <w:szCs w:val="24"/>
          <w:highlight w:val="none"/>
        </w:rPr>
        <w:t>工程渣土、工程泥浆、工程垃圾和拆除垃圾应优先就地利用。</w:t>
      </w:r>
      <w:r>
        <w:rPr>
          <w:rFonts w:hint="eastAsia" w:ascii="楷体" w:hAnsi="楷体" w:eastAsia="楷体"/>
          <w:strike w:val="0"/>
          <w:color w:val="auto"/>
          <w:sz w:val="24"/>
          <w:szCs w:val="24"/>
          <w:highlight w:val="none"/>
        </w:rPr>
        <w:t>拆除垃圾和装修垃圾宜按金属、木材、塑料、其他等分类收集、分类运输、分类处置。</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3.0.4</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pacing w:val="0"/>
          <w:sz w:val="24"/>
          <w:szCs w:val="24"/>
          <w:highlight w:val="none"/>
        </w:rPr>
        <w:t>建筑垃圾</w:t>
      </w:r>
      <w:r>
        <w:rPr>
          <w:rFonts w:hint="eastAsia" w:ascii="Times New Roman" w:hAnsi="HiddenHorzOCR-Identity-H"/>
          <w:color w:val="auto"/>
          <w:spacing w:val="0"/>
          <w:sz w:val="24"/>
          <w:szCs w:val="24"/>
          <w:highlight w:val="none"/>
          <w:lang w:val="en-US" w:eastAsia="zh-CN"/>
        </w:rPr>
        <w:t>分类减量</w:t>
      </w:r>
      <w:r>
        <w:rPr>
          <w:rFonts w:hint="eastAsia" w:ascii="Times New Roman" w:hAnsi="HiddenHorzOCR-Identity-H"/>
          <w:color w:val="auto"/>
          <w:spacing w:val="0"/>
          <w:sz w:val="24"/>
          <w:szCs w:val="24"/>
          <w:highlight w:val="none"/>
        </w:rPr>
        <w:t>和资源化利用应采用技术可靠、经济合理</w:t>
      </w:r>
      <w:r>
        <w:rPr>
          <w:rFonts w:hint="eastAsia" w:ascii="Times New Roman" w:hAnsi="HiddenHorzOCR-Identity-H"/>
          <w:color w:val="auto"/>
          <w:sz w:val="24"/>
          <w:szCs w:val="24"/>
          <w:highlight w:val="none"/>
        </w:rPr>
        <w:t>的工艺和</w:t>
      </w:r>
      <w:r>
        <w:rPr>
          <w:rFonts w:hint="eastAsia" w:ascii="Times New Roman" w:hAnsi="HiddenHorzOCR-Identity-H"/>
          <w:color w:val="auto"/>
          <w:sz w:val="24"/>
          <w:szCs w:val="24"/>
          <w:highlight w:val="none"/>
          <w:lang w:val="en-US" w:eastAsia="zh-CN"/>
        </w:rPr>
        <w:t>装备</w:t>
      </w:r>
      <w:r>
        <w:rPr>
          <w:rFonts w:hint="eastAsia" w:ascii="Times New Roman" w:hAnsi="HiddenHorzOCR-Identity-H"/>
          <w:color w:val="auto"/>
          <w:sz w:val="24"/>
          <w:szCs w:val="24"/>
          <w:highlight w:val="none"/>
        </w:rPr>
        <w:t>，鼓励采用新工艺、新技术、新材料和新设备。</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rPr>
        <w:t>3.0.5</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 xml:space="preserve"> 建筑垃圾收运、处理全过程不得混</w:t>
      </w:r>
      <w:r>
        <w:rPr>
          <w:rFonts w:hint="eastAsia" w:ascii="Times New Roman" w:hAnsi="HiddenHorzOCR-Identity-H"/>
          <w:color w:val="auto"/>
          <w:sz w:val="24"/>
          <w:szCs w:val="24"/>
          <w:highlight w:val="none"/>
          <w:lang w:val="en-US" w:eastAsia="zh-CN"/>
        </w:rPr>
        <w:t>入</w:t>
      </w:r>
      <w:r>
        <w:rPr>
          <w:rFonts w:hint="eastAsia" w:ascii="Times New Roman" w:hAnsi="HiddenHorzOCR-Identity-H"/>
          <w:color w:val="auto"/>
          <w:sz w:val="24"/>
          <w:szCs w:val="24"/>
          <w:highlight w:val="none"/>
        </w:rPr>
        <w:t>生活垃圾、污泥、河道疏浚底泥、工业垃圾和危险废物等。</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eastAsia" w:ascii="楷体" w:hAnsi="楷体" w:eastAsia="楷体"/>
          <w:strike w:val="0"/>
          <w:color w:val="auto"/>
          <w:sz w:val="24"/>
          <w:szCs w:val="24"/>
          <w:highlight w:val="none"/>
          <w:lang w:val="en-US" w:eastAsia="zh-CN"/>
        </w:rPr>
      </w:pPr>
      <w:r>
        <w:rPr>
          <w:rFonts w:hint="eastAsia" w:ascii="楷体" w:hAnsi="楷体" w:eastAsia="楷体" w:cs="Times New Roman"/>
          <w:b w:val="0"/>
          <w:bCs w:val="0"/>
          <w:color w:val="auto"/>
          <w:sz w:val="24"/>
          <w:szCs w:val="24"/>
          <w:highlight w:val="none"/>
        </w:rPr>
        <w:t>【条文说明】</w:t>
      </w:r>
      <w:r>
        <w:rPr>
          <w:rFonts w:hint="eastAsia" w:ascii="楷体" w:hAnsi="楷体" w:eastAsia="楷体"/>
          <w:strike w:val="0"/>
          <w:color w:val="auto"/>
          <w:sz w:val="24"/>
          <w:szCs w:val="24"/>
          <w:highlight w:val="none"/>
          <w:lang w:val="en-US" w:eastAsia="zh-CN"/>
        </w:rPr>
        <w:t>条文中的“生活垃圾”是指人们在日常生活中或者为日常生活提供服务的活动中产生的固体废物，以及法律、行政法规规定视为生活垃圾的固体废物，主要包括居民生活垃圾、集市贸易商业垃圾、公共场所垃圾、街道清扫垃圾及企事业单位垃圾等;“污泥”是指城镇污水处理厂在污水处理过程中产生的半固态或固态物质，包括初沉污泥、活性污泥、腐殖污泥等;“河道疏浚淤泥”是指为恢复河道正常功能进行河道清淤疏浚工程中产生的淤泥;“工业垃圾”是指机械、轻工及其他工业在生产过程中所排出的固体废弃物;“危险废物”是指列入国家危险废物名录或者根据国家规定的危险废物鉴别标准和鉴别方法认定的具有危险特性的废物。</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480" w:firstLineChars="200"/>
        <w:jc w:val="both"/>
        <w:textAlignment w:val="auto"/>
        <w:rPr>
          <w:rFonts w:hint="eastAsia" w:ascii="Times New Roman" w:hAnsi="HiddenHorzOCR-Identity-H"/>
          <w:color w:val="auto"/>
          <w:sz w:val="24"/>
          <w:szCs w:val="24"/>
          <w:highlight w:val="none"/>
        </w:rPr>
      </w:pPr>
      <w:r>
        <w:rPr>
          <w:rFonts w:hint="eastAsia" w:ascii="楷体" w:hAnsi="楷体" w:eastAsia="楷体"/>
          <w:strike w:val="0"/>
          <w:color w:val="auto"/>
          <w:sz w:val="24"/>
          <w:szCs w:val="24"/>
          <w:highlight w:val="none"/>
          <w:lang w:val="en-US" w:eastAsia="zh-CN"/>
        </w:rPr>
        <w:t>建筑垃圾处理的操作人员应检查进场垃圾成分，一旦发现混有危险废物，应严禁进场。</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360" w:lineRule="auto"/>
        <w:ind w:right="0"/>
        <w:jc w:val="both"/>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3.0.6</w:t>
      </w:r>
      <w:r>
        <w:rPr>
          <w:rFonts w:hint="eastAsia" w:ascii="Times New Roman" w:hAnsi="HiddenHorzOCR-Identity-H"/>
          <w:color w:val="auto"/>
          <w:sz w:val="24"/>
          <w:szCs w:val="24"/>
          <w:highlight w:val="none"/>
          <w:lang w:val="en-US" w:eastAsia="zh-CN"/>
        </w:rPr>
        <w:t xml:space="preserve">  建筑垃圾原料堆场、产品储存堆场应确保堆体的稳定安全性。</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right="0"/>
        <w:jc w:val="both"/>
        <w:textAlignment w:val="auto"/>
        <w:rPr>
          <w:rFonts w:hint="eastAsia" w:ascii="楷体" w:hAnsi="楷体" w:eastAsia="楷体"/>
          <w:color w:val="auto"/>
          <w:sz w:val="24"/>
          <w:szCs w:val="24"/>
          <w:highlight w:val="none"/>
          <w:lang w:val="en-US" w:eastAsia="zh-CN"/>
        </w:rPr>
      </w:pPr>
      <w:r>
        <w:rPr>
          <w:rFonts w:hint="eastAsia" w:ascii="楷体" w:hAnsi="楷体" w:eastAsia="楷体" w:cs="Times New Roman"/>
          <w:b w:val="0"/>
          <w:bCs w:val="0"/>
          <w:color w:val="auto"/>
          <w:sz w:val="24"/>
          <w:szCs w:val="24"/>
          <w:highlight w:val="none"/>
        </w:rPr>
        <w:t>【条文说明】</w:t>
      </w:r>
      <w:r>
        <w:rPr>
          <w:rFonts w:hint="eastAsia" w:ascii="楷体" w:hAnsi="楷体" w:eastAsia="楷体" w:cs="Times New Roman"/>
          <w:color w:val="auto"/>
          <w:kern w:val="2"/>
          <w:sz w:val="24"/>
          <w:szCs w:val="24"/>
          <w:highlight w:val="none"/>
          <w:lang w:val="en-US" w:eastAsia="zh-CN" w:bidi="ar-SA"/>
        </w:rPr>
        <w:t>建筑垃圾原料及产品储存堆场首先要保证堆体的安全稳定性，建筑垃圾堆放高度不宜过高，具体高度可根据地基承载力和边坡稳定性计算，并考虑机械的作业半径合理设置堆场进出口。</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360" w:lineRule="auto"/>
        <w:ind w:right="0"/>
        <w:jc w:val="both"/>
        <w:textAlignment w:val="auto"/>
        <w:rPr>
          <w:rFonts w:hint="eastAsia" w:ascii="Times New Roman" w:hAnsi="HiddenHorzOCR-Identity-H" w:eastAsia="宋体"/>
          <w:color w:val="auto"/>
          <w:sz w:val="24"/>
          <w:szCs w:val="24"/>
          <w:highlight w:val="none"/>
          <w:u w:val="none"/>
          <w:lang w:eastAsia="zh-CN"/>
        </w:rPr>
      </w:pPr>
      <w:r>
        <w:rPr>
          <w:rFonts w:hint="eastAsia" w:ascii="Times New Roman" w:hAnsi="HiddenHorzOCR-Identity-H"/>
          <w:b/>
          <w:bCs/>
          <w:color w:val="auto"/>
          <w:sz w:val="24"/>
          <w:szCs w:val="24"/>
          <w:highlight w:val="none"/>
          <w:u w:val="none"/>
          <w:lang w:val="en-US" w:eastAsia="zh-CN"/>
        </w:rPr>
        <w:t>3.0.7</w:t>
      </w:r>
      <w:r>
        <w:rPr>
          <w:rFonts w:hint="eastAsia" w:ascii="Times New Roman" w:hAnsi="HiddenHorzOCR-Identity-H"/>
          <w:color w:val="auto"/>
          <w:sz w:val="24"/>
          <w:szCs w:val="24"/>
          <w:highlight w:val="none"/>
          <w:u w:val="none"/>
          <w:lang w:val="en-US" w:eastAsia="zh-CN"/>
        </w:rPr>
        <w:t xml:space="preserve"> </w:t>
      </w:r>
      <w:r>
        <w:rPr>
          <w:rFonts w:hint="eastAsia" w:ascii="Times New Roman" w:hAnsi="HiddenHorzOCR-Identity-H" w:eastAsia="宋体"/>
          <w:color w:val="auto"/>
          <w:sz w:val="24"/>
          <w:szCs w:val="24"/>
          <w:highlight w:val="none"/>
          <w:u w:val="none"/>
          <w:lang w:eastAsia="zh-CN"/>
        </w:rPr>
        <w:t xml:space="preserve"> 建筑垃圾经分类和利用后无法利用的残留物</w:t>
      </w:r>
      <w:r>
        <w:rPr>
          <w:rFonts w:hint="eastAsia" w:ascii="Times New Roman" w:hAnsi="HiddenHorzOCR-Identity-H"/>
          <w:color w:val="auto"/>
          <w:sz w:val="24"/>
          <w:szCs w:val="24"/>
          <w:highlight w:val="none"/>
          <w:u w:val="none"/>
          <w:lang w:val="en-US" w:eastAsia="zh-CN"/>
        </w:rPr>
        <w:t>应进行</w:t>
      </w:r>
      <w:r>
        <w:rPr>
          <w:rFonts w:hint="eastAsia" w:ascii="Times New Roman" w:hAnsi="HiddenHorzOCR-Identity-H" w:cs="Times New Roman"/>
          <w:b w:val="0"/>
          <w:bCs w:val="0"/>
          <w:color w:val="auto"/>
          <w:sz w:val="24"/>
          <w:szCs w:val="24"/>
          <w:highlight w:val="none"/>
          <w:u w:val="none"/>
          <w:lang w:val="en-US" w:eastAsia="zh-CN"/>
        </w:rPr>
        <w:t>垃圾焚烧厂协同处置或</w:t>
      </w:r>
      <w:r>
        <w:rPr>
          <w:rFonts w:hint="eastAsia" w:ascii="Times New Roman" w:hAnsi="HiddenHorzOCR-Identity-H"/>
          <w:color w:val="auto"/>
          <w:sz w:val="24"/>
          <w:szCs w:val="24"/>
          <w:highlight w:val="none"/>
          <w:u w:val="none"/>
          <w:lang w:val="en-US" w:eastAsia="zh-CN"/>
        </w:rPr>
        <w:t>填埋处置</w:t>
      </w:r>
      <w:r>
        <w:rPr>
          <w:rFonts w:hint="eastAsia" w:ascii="Times New Roman" w:hAnsi="HiddenHorzOCR-Identity-H"/>
          <w:color w:val="auto"/>
          <w:sz w:val="24"/>
          <w:szCs w:val="24"/>
          <w:highlight w:val="none"/>
          <w:u w:val="none"/>
          <w:lang w:eastAsia="zh-CN"/>
        </w:rPr>
        <w:t>，</w:t>
      </w:r>
      <w:r>
        <w:rPr>
          <w:rFonts w:hint="eastAsia" w:ascii="Times New Roman" w:hAnsi="HiddenHorzOCR-Identity-H" w:eastAsia="宋体"/>
          <w:color w:val="auto"/>
          <w:sz w:val="24"/>
          <w:szCs w:val="24"/>
          <w:highlight w:val="none"/>
          <w:u w:val="none"/>
          <w:lang w:eastAsia="zh-CN"/>
        </w:rPr>
        <w:t>填埋</w:t>
      </w:r>
      <w:r>
        <w:rPr>
          <w:rFonts w:hint="eastAsia" w:ascii="Times New Roman" w:hAnsi="HiddenHorzOCR-Identity-H"/>
          <w:color w:val="auto"/>
          <w:sz w:val="24"/>
          <w:szCs w:val="24"/>
          <w:highlight w:val="none"/>
          <w:u w:val="none"/>
          <w:lang w:val="en-US" w:eastAsia="zh-CN"/>
        </w:rPr>
        <w:t>处置</w:t>
      </w:r>
      <w:r>
        <w:rPr>
          <w:rFonts w:hint="eastAsia" w:ascii="Times New Roman" w:hAnsi="HiddenHorzOCR-Identity-H" w:eastAsia="宋体"/>
          <w:color w:val="auto"/>
          <w:sz w:val="24"/>
          <w:szCs w:val="24"/>
          <w:highlight w:val="none"/>
          <w:u w:val="none"/>
          <w:lang w:eastAsia="zh-CN"/>
        </w:rPr>
        <w:t>场应</w:t>
      </w:r>
      <w:r>
        <w:rPr>
          <w:rFonts w:hint="eastAsia" w:ascii="Times New Roman" w:hAnsi="HiddenHorzOCR-Identity-H"/>
          <w:color w:val="auto"/>
          <w:sz w:val="24"/>
          <w:szCs w:val="24"/>
          <w:highlight w:val="none"/>
        </w:rPr>
        <w:t>符合</w:t>
      </w:r>
      <w:r>
        <w:rPr>
          <w:rFonts w:ascii="Times New Roman" w:hAnsi="Times New Roman"/>
          <w:color w:val="auto"/>
          <w:sz w:val="24"/>
          <w:szCs w:val="24"/>
          <w:highlight w:val="none"/>
        </w:rPr>
        <w:t>现行</w:t>
      </w:r>
      <w:r>
        <w:rPr>
          <w:rFonts w:hint="eastAsia" w:ascii="Times New Roman" w:hAnsi="HiddenHorzOCR-Identity-H"/>
          <w:color w:val="auto"/>
          <w:sz w:val="24"/>
          <w:szCs w:val="24"/>
          <w:highlight w:val="none"/>
          <w:u w:val="none"/>
          <w:lang w:val="en-US" w:eastAsia="zh-CN"/>
        </w:rPr>
        <w:t>行业</w:t>
      </w:r>
      <w:r>
        <w:rPr>
          <w:rFonts w:hint="eastAsia" w:ascii="Times New Roman" w:hAnsi="HiddenHorzOCR-Identity-H"/>
          <w:color w:val="auto"/>
          <w:sz w:val="24"/>
          <w:szCs w:val="24"/>
          <w:highlight w:val="none"/>
          <w:u w:val="none"/>
          <w:lang w:eastAsia="zh-CN"/>
        </w:rPr>
        <w:t>、</w:t>
      </w:r>
      <w:r>
        <w:rPr>
          <w:rFonts w:hint="eastAsia" w:ascii="Times New Roman" w:hAnsi="HiddenHorzOCR-Identity-H"/>
          <w:color w:val="auto"/>
          <w:sz w:val="24"/>
          <w:szCs w:val="24"/>
          <w:highlight w:val="none"/>
          <w:u w:val="none"/>
          <w:lang w:val="en-US" w:eastAsia="zh-CN"/>
        </w:rPr>
        <w:t>地方</w:t>
      </w:r>
      <w:r>
        <w:rPr>
          <w:rFonts w:ascii="Times New Roman" w:hAnsi="Times New Roman"/>
          <w:color w:val="auto"/>
          <w:sz w:val="24"/>
          <w:szCs w:val="24"/>
          <w:highlight w:val="none"/>
        </w:rPr>
        <w:t>标准</w:t>
      </w:r>
      <w:r>
        <w:rPr>
          <w:rFonts w:hint="eastAsia" w:ascii="Times New Roman" w:hAnsi="HiddenHorzOCR-Identity-H"/>
          <w:color w:val="auto"/>
          <w:sz w:val="24"/>
          <w:szCs w:val="24"/>
          <w:highlight w:val="none"/>
        </w:rPr>
        <w:t>《建筑垃圾处理技术标准》</w:t>
      </w:r>
      <w:r>
        <w:rPr>
          <w:rFonts w:hint="eastAsia" w:ascii="Times New Roman" w:hAnsi="HiddenHorzOCR-Identity-H" w:eastAsia="宋体"/>
          <w:color w:val="auto"/>
          <w:sz w:val="24"/>
          <w:szCs w:val="24"/>
          <w:highlight w:val="none"/>
        </w:rPr>
        <w:t>CJJ/T134</w:t>
      </w:r>
      <w:r>
        <w:rPr>
          <w:rFonts w:hint="eastAsia" w:ascii="Times New Roman" w:hAnsi="HiddenHorzOCR-Identity-H"/>
          <w:color w:val="auto"/>
          <w:sz w:val="24"/>
          <w:szCs w:val="24"/>
          <w:highlight w:val="none"/>
          <w:lang w:eastAsia="zh-CN"/>
        </w:rPr>
        <w:t>、《</w:t>
      </w:r>
      <w:r>
        <w:rPr>
          <w:rFonts w:hint="eastAsia" w:ascii="Times New Roman" w:hAnsi="HiddenHorzOCR-Identity-H" w:eastAsia="宋体"/>
          <w:b w:val="0"/>
          <w:bCs w:val="0"/>
          <w:color w:val="auto"/>
          <w:sz w:val="24"/>
          <w:szCs w:val="24"/>
          <w:highlight w:val="none"/>
        </w:rPr>
        <w:t>四川省建筑垃圾资源化利用及处置场所建设标准</w:t>
      </w:r>
      <w:r>
        <w:rPr>
          <w:rFonts w:hint="eastAsia" w:ascii="Times New Roman" w:hAnsi="HiddenHorzOCR-Identity-H"/>
          <w:color w:val="auto"/>
          <w:sz w:val="24"/>
          <w:szCs w:val="24"/>
          <w:highlight w:val="none"/>
          <w:lang w:eastAsia="zh-CN"/>
        </w:rPr>
        <w:t>》</w:t>
      </w:r>
      <w:r>
        <w:rPr>
          <w:rFonts w:hint="eastAsia" w:ascii="Times New Roman" w:hAnsi="HiddenHorzOCR-Identity-H"/>
          <w:color w:val="auto"/>
          <w:sz w:val="24"/>
          <w:szCs w:val="24"/>
          <w:highlight w:val="none"/>
        </w:rPr>
        <w:t>DBJ51/T 230</w:t>
      </w:r>
      <w:r>
        <w:rPr>
          <w:rFonts w:hint="eastAsia" w:ascii="Times New Roman" w:hAnsi="HiddenHorzOCR-Identity-H"/>
          <w:color w:val="auto"/>
          <w:sz w:val="24"/>
          <w:szCs w:val="24"/>
          <w:highlight w:val="none"/>
          <w:lang w:val="en-US" w:eastAsia="zh-CN"/>
        </w:rPr>
        <w:t>等有关</w:t>
      </w:r>
      <w:r>
        <w:rPr>
          <w:rFonts w:hint="eastAsia" w:ascii="Times New Roman" w:hAnsi="HiddenHorzOCR-Identity-H"/>
          <w:color w:val="auto"/>
          <w:sz w:val="24"/>
          <w:szCs w:val="24"/>
          <w:highlight w:val="none"/>
        </w:rPr>
        <w:t>规定</w:t>
      </w:r>
      <w:r>
        <w:rPr>
          <w:rFonts w:hint="eastAsia" w:ascii="Times New Roman" w:hAnsi="HiddenHorzOCR-Identity-H" w:eastAsia="宋体"/>
          <w:color w:val="auto"/>
          <w:sz w:val="24"/>
          <w:szCs w:val="24"/>
          <w:highlight w:val="none"/>
          <w:u w:val="none"/>
          <w:lang w:eastAsia="zh-CN"/>
        </w:rPr>
        <w:t>。</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 xml:space="preserve">3.0.8  </w:t>
      </w:r>
      <w:r>
        <w:rPr>
          <w:rFonts w:hint="eastAsia" w:ascii="Times New Roman" w:hAnsi="HiddenHorzOCR-Identity-H" w:eastAsia="宋体"/>
          <w:color w:val="auto"/>
          <w:sz w:val="24"/>
          <w:szCs w:val="24"/>
          <w:highlight w:val="none"/>
          <w:u w:val="none"/>
          <w:lang w:eastAsia="zh-CN"/>
        </w:rPr>
        <w:t>建筑垃圾产生、收集</w:t>
      </w:r>
      <w:r>
        <w:rPr>
          <w:rFonts w:hint="eastAsia" w:ascii="Times New Roman" w:hAnsi="HiddenHorzOCR-Identity-H"/>
          <w:color w:val="auto"/>
          <w:sz w:val="24"/>
          <w:szCs w:val="24"/>
          <w:highlight w:val="none"/>
          <w:u w:val="none"/>
          <w:lang w:eastAsia="zh-CN"/>
        </w:rPr>
        <w:t>、</w:t>
      </w:r>
      <w:r>
        <w:rPr>
          <w:rFonts w:hint="eastAsia" w:ascii="Times New Roman" w:hAnsi="HiddenHorzOCR-Identity-H"/>
          <w:color w:val="auto"/>
          <w:sz w:val="24"/>
          <w:szCs w:val="24"/>
          <w:highlight w:val="none"/>
          <w:u w:val="none"/>
          <w:lang w:val="en-US" w:eastAsia="zh-CN"/>
        </w:rPr>
        <w:t>处置、</w:t>
      </w:r>
      <w:r>
        <w:rPr>
          <w:rFonts w:hint="eastAsia" w:ascii="Times New Roman" w:hAnsi="HiddenHorzOCR-Identity-H" w:eastAsia="宋体"/>
          <w:color w:val="auto"/>
          <w:sz w:val="24"/>
          <w:szCs w:val="24"/>
          <w:highlight w:val="none"/>
          <w:u w:val="none"/>
          <w:lang w:eastAsia="zh-CN"/>
        </w:rPr>
        <w:t>利用过程中，粉尘控制</w:t>
      </w:r>
      <w:r>
        <w:rPr>
          <w:rFonts w:hint="eastAsia" w:ascii="Times New Roman" w:hAnsi="HiddenHorzOCR-Identity-H"/>
          <w:color w:val="auto"/>
          <w:sz w:val="24"/>
          <w:szCs w:val="24"/>
          <w:highlight w:val="none"/>
          <w:u w:val="none"/>
          <w:lang w:eastAsia="zh-CN"/>
        </w:rPr>
        <w:t>、</w:t>
      </w:r>
      <w:r>
        <w:rPr>
          <w:rFonts w:hint="eastAsia" w:ascii="Times New Roman" w:hAnsi="HiddenHorzOCR-Identity-H" w:eastAsia="宋体"/>
          <w:color w:val="auto"/>
          <w:sz w:val="24"/>
          <w:szCs w:val="24"/>
          <w:highlight w:val="none"/>
          <w:u w:val="none"/>
          <w:lang w:eastAsia="zh-CN"/>
        </w:rPr>
        <w:t>噪声控制</w:t>
      </w:r>
      <w:r>
        <w:rPr>
          <w:rFonts w:hint="eastAsia" w:ascii="Times New Roman" w:hAnsi="HiddenHorzOCR-Identity-H"/>
          <w:color w:val="auto"/>
          <w:sz w:val="24"/>
          <w:szCs w:val="24"/>
          <w:highlight w:val="none"/>
          <w:u w:val="none"/>
          <w:lang w:eastAsia="zh-CN"/>
        </w:rPr>
        <w:t>、</w:t>
      </w:r>
      <w:r>
        <w:rPr>
          <w:rFonts w:hint="eastAsia" w:ascii="Times New Roman" w:hAnsi="HiddenHorzOCR-Identity-H" w:eastAsia="宋体"/>
          <w:color w:val="auto"/>
          <w:sz w:val="24"/>
          <w:szCs w:val="24"/>
          <w:highlight w:val="none"/>
          <w:u w:val="none"/>
          <w:lang w:eastAsia="zh-CN"/>
        </w:rPr>
        <w:t>污水排放控制应符合</w:t>
      </w:r>
      <w:r>
        <w:rPr>
          <w:rFonts w:ascii="Times New Roman" w:hAnsi="Times New Roman"/>
          <w:color w:val="auto"/>
          <w:sz w:val="24"/>
          <w:szCs w:val="24"/>
          <w:highlight w:val="none"/>
        </w:rPr>
        <w:t>现行</w:t>
      </w:r>
      <w:r>
        <w:rPr>
          <w:rFonts w:hint="eastAsia" w:ascii="Times New Roman" w:hAnsi="HiddenHorzOCR-Identity-H" w:eastAsia="宋体"/>
          <w:color w:val="auto"/>
          <w:sz w:val="24"/>
          <w:szCs w:val="24"/>
          <w:highlight w:val="none"/>
          <w:u w:val="none"/>
        </w:rPr>
        <w:t>国家</w:t>
      </w:r>
      <w:r>
        <w:rPr>
          <w:rFonts w:ascii="Times New Roman" w:hAnsi="Times New Roman"/>
          <w:color w:val="auto"/>
          <w:sz w:val="24"/>
          <w:szCs w:val="24"/>
          <w:highlight w:val="none"/>
        </w:rPr>
        <w:t>标准</w:t>
      </w:r>
      <w:r>
        <w:rPr>
          <w:rFonts w:hint="eastAsia" w:ascii="Times New Roman" w:hAnsi="HiddenHorzOCR-Identity-H"/>
          <w:color w:val="auto"/>
          <w:sz w:val="24"/>
          <w:szCs w:val="24"/>
          <w:highlight w:val="none"/>
          <w:u w:val="none"/>
          <w:lang w:eastAsia="zh-CN"/>
        </w:rPr>
        <w:t>《大气污染物综合排放标准》</w:t>
      </w:r>
      <w:r>
        <w:rPr>
          <w:rFonts w:hint="eastAsia" w:ascii="Times New Roman" w:hAnsi="HiddenHorzOCR-Identity-H" w:eastAsia="宋体"/>
          <w:color w:val="auto"/>
          <w:sz w:val="24"/>
          <w:szCs w:val="24"/>
          <w:highlight w:val="none"/>
          <w:u w:val="none"/>
          <w:lang w:eastAsia="zh-CN"/>
        </w:rPr>
        <w:t>GB 16297</w:t>
      </w:r>
      <w:r>
        <w:rPr>
          <w:rFonts w:hint="eastAsia" w:ascii="Times New Roman" w:hAnsi="HiddenHorzOCR-Identity-H"/>
          <w:color w:val="auto"/>
          <w:sz w:val="24"/>
          <w:szCs w:val="24"/>
          <w:highlight w:val="none"/>
          <w:u w:val="none"/>
          <w:lang w:eastAsia="zh-CN"/>
        </w:rPr>
        <w:t>、《建筑施工场界环境噪声排放标准》</w:t>
      </w:r>
      <w:r>
        <w:rPr>
          <w:rFonts w:hint="eastAsia" w:ascii="Times New Roman" w:hAnsi="HiddenHorzOCR-Identity-H" w:eastAsia="宋体"/>
          <w:color w:val="auto"/>
          <w:sz w:val="24"/>
          <w:szCs w:val="24"/>
          <w:highlight w:val="none"/>
          <w:u w:val="none"/>
          <w:lang w:eastAsia="zh-CN"/>
        </w:rPr>
        <w:t>GB12523</w:t>
      </w:r>
      <w:r>
        <w:rPr>
          <w:rFonts w:hint="eastAsia" w:ascii="Times New Roman" w:hAnsi="HiddenHorzOCR-Identity-H"/>
          <w:color w:val="auto"/>
          <w:sz w:val="24"/>
          <w:szCs w:val="24"/>
          <w:highlight w:val="none"/>
          <w:u w:val="none"/>
          <w:lang w:eastAsia="zh-CN"/>
        </w:rPr>
        <w:t>、《污水综合排放标准》</w:t>
      </w:r>
      <w:r>
        <w:rPr>
          <w:rFonts w:hint="eastAsia" w:ascii="Times New Roman" w:hAnsi="HiddenHorzOCR-Identity-H" w:eastAsia="宋体"/>
          <w:color w:val="auto"/>
          <w:sz w:val="24"/>
          <w:szCs w:val="24"/>
          <w:highlight w:val="none"/>
          <w:u w:val="none"/>
          <w:lang w:eastAsia="zh-CN"/>
        </w:rPr>
        <w:t>GB 8978</w:t>
      </w:r>
      <w:r>
        <w:rPr>
          <w:rFonts w:hint="eastAsia" w:ascii="Times New Roman" w:hAnsi="HiddenHorzOCR-Identity-H"/>
          <w:color w:val="auto"/>
          <w:sz w:val="24"/>
          <w:szCs w:val="24"/>
          <w:highlight w:val="none"/>
          <w:lang w:val="en-US" w:eastAsia="zh-CN"/>
        </w:rPr>
        <w:t>等有关</w:t>
      </w:r>
      <w:r>
        <w:rPr>
          <w:rFonts w:hint="eastAsia" w:ascii="Times New Roman" w:hAnsi="HiddenHorzOCR-Identity-H"/>
          <w:color w:val="auto"/>
          <w:sz w:val="24"/>
          <w:szCs w:val="24"/>
          <w:highlight w:val="none"/>
        </w:rPr>
        <w:t>规定。</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lang w:eastAsia="zh-CN"/>
        </w:rPr>
      </w:pPr>
    </w:p>
    <w:p>
      <w:pPr>
        <w:pStyle w:val="12"/>
        <w:numPr>
          <w:ilvl w:val="0"/>
          <w:numId w:val="0"/>
        </w:numPr>
        <w:spacing w:line="360" w:lineRule="auto"/>
        <w:ind w:right="256"/>
        <w:jc w:val="both"/>
        <w:rPr>
          <w:rFonts w:hint="eastAsia" w:ascii="Times New Roman" w:hAnsi="HiddenHorzOCR-Identity-H"/>
          <w:color w:val="auto"/>
          <w:sz w:val="24"/>
          <w:szCs w:val="24"/>
          <w:highlight w:val="yellow"/>
          <w:lang w:val="en-US" w:eastAsia="zh-CN"/>
        </w:rPr>
      </w:pPr>
    </w:p>
    <w:p>
      <w:pPr>
        <w:pStyle w:val="12"/>
        <w:numPr>
          <w:ilvl w:val="0"/>
          <w:numId w:val="0"/>
        </w:numPr>
        <w:spacing w:line="360" w:lineRule="auto"/>
        <w:ind w:right="256"/>
        <w:jc w:val="both"/>
        <w:rPr>
          <w:rFonts w:hint="eastAsia" w:ascii="Times New Roman" w:hAnsi="HiddenHorzOCR-Identity-H"/>
          <w:color w:val="auto"/>
          <w:sz w:val="24"/>
          <w:szCs w:val="24"/>
          <w:highlight w:val="yellow"/>
          <w:lang w:val="en-US" w:eastAsia="zh-CN"/>
        </w:rPr>
      </w:pPr>
    </w:p>
    <w:bookmarkEnd w:id="92"/>
    <w:p>
      <w:pPr>
        <w:pStyle w:val="12"/>
        <w:numPr>
          <w:ilvl w:val="-1"/>
          <w:numId w:val="0"/>
        </w:numPr>
        <w:spacing w:before="0" w:after="0" w:line="360" w:lineRule="auto"/>
        <w:ind w:left="0" w:right="0" w:firstLine="0" w:firstLineChars="0"/>
        <w:jc w:val="both"/>
        <w:rPr>
          <w:rFonts w:hint="eastAsia" w:ascii="Times New Roman" w:hAnsi="HiddenHorzOCR-Identity-H"/>
          <w:color w:val="auto"/>
          <w:sz w:val="24"/>
          <w:szCs w:val="24"/>
          <w:highlight w:val="none"/>
          <w:lang w:val="en-US" w:eastAsia="zh-CN"/>
        </w:rPr>
      </w:pPr>
    </w:p>
    <w:p>
      <w:pPr>
        <w:pStyle w:val="2"/>
        <w:pageBreakBefore/>
        <w:spacing w:line="579" w:lineRule="auto"/>
        <w:rPr>
          <w:rFonts w:hint="eastAsia" w:eastAsia="宋体"/>
          <w:color w:val="auto"/>
          <w:highlight w:val="none"/>
          <w:lang w:eastAsia="zh-CN"/>
        </w:rPr>
      </w:pPr>
      <w:bookmarkStart w:id="94" w:name="_Toc402789535"/>
      <w:bookmarkStart w:id="95" w:name="_Toc372710268"/>
      <w:bookmarkStart w:id="96" w:name="_Toc402788462"/>
      <w:bookmarkStart w:id="97" w:name="_Toc21354"/>
      <w:bookmarkStart w:id="98" w:name="_Toc402787750"/>
      <w:bookmarkStart w:id="99" w:name="_Toc136502136"/>
      <w:bookmarkStart w:id="100" w:name="_Toc24823"/>
      <w:bookmarkStart w:id="101" w:name="_Toc30534"/>
      <w:bookmarkStart w:id="102" w:name="_Toc140769516"/>
      <w:bookmarkStart w:id="103" w:name="_Toc372799298"/>
      <w:bookmarkStart w:id="104" w:name="_Toc315775022"/>
      <w:bookmarkStart w:id="105" w:name="_Toc32352"/>
      <w:bookmarkStart w:id="106" w:name="_Toc29962"/>
      <w:bookmarkStart w:id="107" w:name="_Toc402789575"/>
      <w:bookmarkStart w:id="108" w:name="_Toc140769649"/>
      <w:bookmarkStart w:id="109" w:name="_Toc314828583"/>
      <w:bookmarkStart w:id="110" w:name="_Toc24456"/>
      <w:bookmarkStart w:id="111" w:name="_Toc12725"/>
      <w:bookmarkStart w:id="112" w:name="_Toc329789372"/>
      <w:bookmarkStart w:id="113" w:name="_Toc9645"/>
      <w:bookmarkStart w:id="114" w:name="_Toc23756"/>
      <w:bookmarkStart w:id="115" w:name="_Toc6704"/>
      <w:r>
        <w:rPr>
          <w:color w:val="auto"/>
          <w:highlight w:val="none"/>
        </w:rPr>
        <w:t>4</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6" w:name="_Toc402789576"/>
      <w:bookmarkStart w:id="117" w:name="_Toc372799300"/>
      <w:bookmarkStart w:id="118" w:name="_Toc402788463"/>
      <w:bookmarkStart w:id="119" w:name="_Toc402789536"/>
      <w:bookmarkStart w:id="120" w:name="_Toc372710270"/>
      <w:bookmarkStart w:id="121" w:name="_Toc402787751"/>
      <w:r>
        <w:rPr>
          <w:rFonts w:hint="eastAsia" w:ascii="Calibri" w:hAnsi="Calibri"/>
          <w:color w:val="auto"/>
          <w:sz w:val="28"/>
          <w:szCs w:val="44"/>
          <w:highlight w:val="none"/>
          <w:lang w:val="en-US"/>
        </w:rPr>
        <w:t>源头减量</w:t>
      </w:r>
      <w:bookmarkEnd w:id="113"/>
      <w:bookmarkEnd w:id="114"/>
      <w:bookmarkEnd w:id="115"/>
    </w:p>
    <w:p>
      <w:pPr>
        <w:pStyle w:val="3"/>
        <w:bidi w:val="0"/>
        <w:rPr>
          <w:rFonts w:hint="eastAsia"/>
        </w:rPr>
      </w:pPr>
      <w:bookmarkStart w:id="122" w:name="_Toc5463"/>
      <w:bookmarkStart w:id="123" w:name="_Toc30451"/>
      <w:bookmarkStart w:id="124" w:name="_Toc1989"/>
      <w:r>
        <w:rPr>
          <w:rFonts w:hint="eastAsia"/>
          <w:lang w:val="en-US" w:eastAsia="zh-CN"/>
        </w:rPr>
        <w:t>4</w:t>
      </w:r>
      <w:r>
        <w:rPr>
          <w:rFonts w:hint="eastAsia"/>
        </w:rPr>
        <w:t>.1一般规定</w:t>
      </w:r>
      <w:bookmarkEnd w:id="122"/>
      <w:bookmarkEnd w:id="123"/>
      <w:bookmarkEnd w:id="124"/>
    </w:p>
    <w:p>
      <w:pPr>
        <w:pStyle w:val="12"/>
        <w:keepNext w:val="0"/>
        <w:keepLines w:val="0"/>
        <w:pageBreakBefore w:val="0"/>
        <w:widowControl w:val="0"/>
        <w:numPr>
          <w:ilvl w:val="-1"/>
          <w:numId w:val="0"/>
        </w:numPr>
        <w:kinsoku/>
        <w:wordWrap/>
        <w:overflowPunct w:val="0"/>
        <w:topLinePunct w:val="0"/>
        <w:autoSpaceDE/>
        <w:autoSpaceDN/>
        <w:bidi w:val="0"/>
        <w:adjustRightInd/>
        <w:snapToGrid/>
        <w:spacing w:before="0"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4.1.1</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工程建设过程中，建设、设</w:t>
      </w:r>
      <w:r>
        <w:rPr>
          <w:rFonts w:hint="eastAsia" w:ascii="Times New Roman" w:hAnsi="HiddenHorzOCR-Identity-H"/>
          <w:color w:val="auto"/>
          <w:spacing w:val="0"/>
          <w:sz w:val="24"/>
          <w:szCs w:val="24"/>
          <w:highlight w:val="none"/>
        </w:rPr>
        <w:t>计、施工、监理等单位应采取建筑垃圾减量化的措施。</w:t>
      </w:r>
    </w:p>
    <w:p>
      <w:pPr>
        <w:pStyle w:val="12"/>
        <w:keepNext w:val="0"/>
        <w:keepLines w:val="0"/>
        <w:pageBreakBefore w:val="0"/>
        <w:widowControl w:val="0"/>
        <w:kinsoku/>
        <w:wordWrap/>
        <w:overflowPunct w:val="0"/>
        <w:topLinePunct w:val="0"/>
        <w:autoSpaceDE/>
        <w:autoSpaceDN/>
        <w:bidi w:val="0"/>
        <w:adjustRightInd/>
        <w:snapToGrid/>
        <w:spacing w:after="0" w:line="360" w:lineRule="auto"/>
        <w:ind w:right="0" w:firstLine="0" w:firstLineChars="0"/>
        <w:textAlignment w:val="auto"/>
        <w:rPr>
          <w:rFonts w:hint="eastAsia" w:ascii="Times New Roman" w:hAnsi="HiddenHorzOCR-Identity-H"/>
          <w:b/>
          <w:bCs/>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4.1.2</w:t>
      </w:r>
      <w:r>
        <w:rPr>
          <w:rFonts w:hint="eastAsia" w:ascii="Times New Roman" w:hAnsi="HiddenHorzOCR-Identity-H"/>
          <w:color w:val="auto"/>
          <w:sz w:val="24"/>
          <w:szCs w:val="24"/>
          <w:highlight w:val="none"/>
          <w:lang w:val="en-US" w:eastAsia="zh-CN"/>
        </w:rPr>
        <w:t xml:space="preserve">  建设、设计、施工、监理等单位应在</w:t>
      </w:r>
      <w:r>
        <w:rPr>
          <w:rFonts w:hint="eastAsia" w:ascii="Times New Roman" w:hAnsi="HiddenHorzOCR-Identity-H"/>
          <w:color w:val="auto"/>
          <w:sz w:val="24"/>
          <w:szCs w:val="24"/>
          <w:highlight w:val="none"/>
        </w:rPr>
        <w:t>工程建设过程中</w:t>
      </w:r>
      <w:r>
        <w:rPr>
          <w:rFonts w:hint="eastAsia" w:ascii="Times New Roman" w:hAnsi="HiddenHorzOCR-Identity-H"/>
          <w:color w:val="auto"/>
          <w:sz w:val="24"/>
          <w:szCs w:val="24"/>
          <w:highlight w:val="none"/>
          <w:lang w:val="en-US" w:eastAsia="zh-CN"/>
        </w:rPr>
        <w:t>建立建筑垃圾减量化的协调机制。</w:t>
      </w:r>
    </w:p>
    <w:p>
      <w:pPr>
        <w:pStyle w:val="12"/>
        <w:keepNext w:val="0"/>
        <w:keepLines w:val="0"/>
        <w:pageBreakBefore w:val="0"/>
        <w:widowControl w:val="0"/>
        <w:kinsoku/>
        <w:wordWrap/>
        <w:overflowPunct w:val="0"/>
        <w:topLinePunct w:val="0"/>
        <w:autoSpaceDE/>
        <w:autoSpaceDN/>
        <w:bidi w:val="0"/>
        <w:adjustRightInd/>
        <w:snapToGrid/>
        <w:spacing w:after="0" w:line="360" w:lineRule="auto"/>
        <w:ind w:right="0"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4.1.3</w:t>
      </w:r>
      <w:r>
        <w:rPr>
          <w:rFonts w:hint="eastAsia" w:ascii="Times New Roman" w:hAnsi="HiddenHorzOCR-Identity-H"/>
          <w:color w:val="auto"/>
          <w:sz w:val="24"/>
          <w:szCs w:val="24"/>
          <w:highlight w:val="none"/>
          <w:lang w:val="en-US" w:eastAsia="zh-CN"/>
        </w:rPr>
        <w:t xml:space="preserve">  建设单位应明确建筑垃圾减量化的目标和要求，并纳入施工招标文件和合同文本。</w:t>
      </w:r>
    </w:p>
    <w:p>
      <w:pPr>
        <w:pStyle w:val="12"/>
        <w:keepNext w:val="0"/>
        <w:keepLines w:val="0"/>
        <w:pageBreakBefore w:val="0"/>
        <w:widowControl w:val="0"/>
        <w:kinsoku/>
        <w:wordWrap/>
        <w:overflowPunct w:val="0"/>
        <w:topLinePunct w:val="0"/>
        <w:autoSpaceDE/>
        <w:autoSpaceDN/>
        <w:bidi w:val="0"/>
        <w:adjustRightInd/>
        <w:snapToGrid/>
        <w:spacing w:after="0" w:line="360" w:lineRule="auto"/>
        <w:ind w:right="0" w:firstLine="0" w:firstLineChars="0"/>
        <w:textAlignment w:val="auto"/>
        <w:rPr>
          <w:rFonts w:hint="eastAsia" w:ascii="Times New Roman" w:hAnsi="Times New Roman" w:eastAsia="楷体"/>
          <w:sz w:val="24"/>
          <w:szCs w:val="22"/>
          <w:highlight w:val="none"/>
          <w:u w:val="none"/>
        </w:rPr>
      </w:pPr>
      <w:r>
        <w:rPr>
          <w:rFonts w:hint="eastAsia" w:ascii="楷体" w:hAnsi="楷体" w:eastAsia="楷体" w:cs="Times New Roman"/>
          <w:b w:val="0"/>
          <w:bCs w:val="0"/>
          <w:sz w:val="24"/>
          <w:szCs w:val="24"/>
          <w:highlight w:val="none"/>
        </w:rPr>
        <w:t>【条文说明】</w:t>
      </w:r>
      <w:r>
        <w:rPr>
          <w:rFonts w:hint="eastAsia" w:ascii="Times New Roman" w:hAnsi="Times New Roman" w:eastAsia="楷体"/>
          <w:color w:val="auto"/>
          <w:sz w:val="24"/>
          <w:szCs w:val="22"/>
          <w:highlight w:val="none"/>
          <w:u w:val="none"/>
        </w:rPr>
        <w:t>建设单位</w:t>
      </w:r>
      <w:r>
        <w:rPr>
          <w:rFonts w:hint="eastAsia" w:ascii="Times New Roman" w:hAnsi="Times New Roman" w:eastAsia="楷体"/>
          <w:sz w:val="24"/>
          <w:szCs w:val="22"/>
          <w:highlight w:val="none"/>
          <w:u w:val="none"/>
          <w:lang w:val="en-US" w:eastAsia="zh-CN"/>
        </w:rPr>
        <w:t>应</w:t>
      </w:r>
      <w:r>
        <w:rPr>
          <w:rFonts w:hint="eastAsia" w:ascii="Times New Roman" w:hAnsi="Times New Roman" w:eastAsia="楷体"/>
          <w:color w:val="auto"/>
          <w:spacing w:val="0"/>
          <w:sz w:val="24"/>
          <w:szCs w:val="22"/>
          <w:highlight w:val="none"/>
          <w:u w:val="none"/>
        </w:rPr>
        <w:t>统筹工程规划、设计、施工、交付等阶段，加强全过程管理，鼓励建立相应奖惩机制，监督和激励设计、施工、</w:t>
      </w:r>
      <w:r>
        <w:rPr>
          <w:rFonts w:hint="eastAsia" w:ascii="Times New Roman" w:hAnsi="Times New Roman" w:eastAsia="楷体"/>
          <w:color w:val="auto"/>
          <w:sz w:val="24"/>
          <w:szCs w:val="22"/>
          <w:highlight w:val="none"/>
          <w:u w:val="none"/>
        </w:rPr>
        <w:t>监理单位落实建筑垃圾减量化的目标措施。</w:t>
      </w:r>
    </w:p>
    <w:p>
      <w:pPr>
        <w:pStyle w:val="12"/>
        <w:keepNext w:val="0"/>
        <w:keepLines w:val="0"/>
        <w:pageBreakBefore w:val="0"/>
        <w:widowControl w:val="0"/>
        <w:kinsoku/>
        <w:wordWrap/>
        <w:overflowPunct w:val="0"/>
        <w:topLinePunct w:val="0"/>
        <w:autoSpaceDE/>
        <w:autoSpaceDN/>
        <w:bidi w:val="0"/>
        <w:adjustRightInd/>
        <w:snapToGrid/>
        <w:spacing w:after="0" w:line="360" w:lineRule="auto"/>
        <w:ind w:right="0"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4.1.4</w:t>
      </w:r>
      <w:r>
        <w:rPr>
          <w:rFonts w:hint="eastAsia" w:ascii="Times New Roman" w:hAnsi="HiddenHorzOCR-Identity-H"/>
          <w:color w:val="auto"/>
          <w:sz w:val="24"/>
          <w:szCs w:val="24"/>
          <w:highlight w:val="none"/>
          <w:lang w:val="en-US" w:eastAsia="zh-CN"/>
        </w:rPr>
        <w:t xml:space="preserve">  工程建设宜选择标准化设计、工厂化生产、装配化施工、一体化装修和信息化管理等新型建造方式，减少建筑垃圾的产生。</w:t>
      </w:r>
    </w:p>
    <w:p>
      <w:pPr>
        <w:pStyle w:val="12"/>
        <w:keepNext w:val="0"/>
        <w:keepLines w:val="0"/>
        <w:pageBreakBefore w:val="0"/>
        <w:widowControl w:val="0"/>
        <w:kinsoku/>
        <w:wordWrap/>
        <w:overflowPunct w:val="0"/>
        <w:topLinePunct w:val="0"/>
        <w:autoSpaceDE/>
        <w:autoSpaceDN/>
        <w:bidi w:val="0"/>
        <w:adjustRightInd/>
        <w:snapToGrid/>
        <w:spacing w:after="0" w:line="360" w:lineRule="auto"/>
        <w:ind w:right="0" w:firstLine="0" w:firstLineChars="0"/>
        <w:textAlignment w:val="auto"/>
        <w:rPr>
          <w:rFonts w:hint="eastAsia" w:ascii="Times New Roman" w:hAnsi="HiddenHorzOCR-Identity-H"/>
          <w:color w:val="auto"/>
          <w:sz w:val="24"/>
          <w:szCs w:val="24"/>
          <w:highlight w:val="none"/>
          <w:lang w:val="en-US" w:eastAsia="zh-CN"/>
        </w:rPr>
      </w:pPr>
      <w:r>
        <w:rPr>
          <w:rFonts w:hint="eastAsia" w:ascii="楷体" w:hAnsi="楷体" w:eastAsia="楷体" w:cs="Times New Roman"/>
          <w:b w:val="0"/>
          <w:bCs w:val="0"/>
          <w:sz w:val="24"/>
          <w:szCs w:val="24"/>
        </w:rPr>
        <w:t>【条文说明】</w:t>
      </w:r>
      <w:r>
        <w:rPr>
          <w:rFonts w:hint="eastAsia" w:ascii="Times New Roman" w:hAnsi="Times New Roman" w:eastAsia="楷体"/>
          <w:sz w:val="24"/>
          <w:u w:val="none"/>
        </w:rPr>
        <w:t>标准化设计及一体化装修包括采用成品窨井、装配式机房、集成化厨卫等部品部件。工厂化生产及装配化施工是指采用现代化的工业生产技术将柱、梁、墙、板、屋盖以及整体卫生间、整体厨房等建筑构配件、</w:t>
      </w:r>
      <w:r>
        <w:rPr>
          <w:rFonts w:hint="eastAsia" w:ascii="Times New Roman" w:hAnsi="Times New Roman" w:eastAsia="楷体"/>
          <w:color w:val="auto"/>
          <w:sz w:val="24"/>
          <w:szCs w:val="22"/>
          <w:highlight w:val="none"/>
          <w:u w:val="none"/>
          <w:lang w:val="en-US" w:eastAsia="zh-CN"/>
        </w:rPr>
        <w:t>部品</w:t>
      </w:r>
      <w:r>
        <w:rPr>
          <w:rFonts w:hint="eastAsia" w:ascii="Times New Roman" w:hAnsi="Times New Roman" w:eastAsia="楷体"/>
          <w:sz w:val="24"/>
          <w:u w:val="none"/>
        </w:rPr>
        <w:t>部件实现工厂化预制生产，并实现简捷化的装配安装，宜采用先进适用的技术、工艺和装备科学合理地组织施工，发展施工专业化。信息化管理是指通过信息管理，实现工程进度、质量、安全、成本各要素的最优控制和合理决策。</w:t>
      </w:r>
    </w:p>
    <w:p>
      <w:pPr>
        <w:pStyle w:val="12"/>
        <w:keepNext w:val="0"/>
        <w:keepLines w:val="0"/>
        <w:pageBreakBefore w:val="0"/>
        <w:widowControl w:val="0"/>
        <w:numPr>
          <w:ilvl w:val="-1"/>
          <w:numId w:val="0"/>
        </w:numPr>
        <w:kinsoku/>
        <w:wordWrap/>
        <w:overflowPunct w:val="0"/>
        <w:topLinePunct w:val="0"/>
        <w:autoSpaceDE/>
        <w:autoSpaceDN/>
        <w:bidi w:val="0"/>
        <w:adjustRightInd/>
        <w:snapToGrid/>
        <w:spacing w:before="0"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4.1.5</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pacing w:val="0"/>
          <w:sz w:val="24"/>
          <w:szCs w:val="24"/>
          <w:highlight w:val="none"/>
        </w:rPr>
        <w:t>建设、设计、施工、监理等单位</w:t>
      </w:r>
      <w:r>
        <w:rPr>
          <w:rFonts w:hint="eastAsia" w:ascii="Times New Roman" w:hAnsi="HiddenHorzOCR-Identity-H"/>
          <w:color w:val="auto"/>
          <w:spacing w:val="0"/>
          <w:sz w:val="24"/>
          <w:szCs w:val="24"/>
          <w:highlight w:val="none"/>
          <w:lang w:val="en-US" w:eastAsia="zh-CN"/>
        </w:rPr>
        <w:t>应</w:t>
      </w:r>
      <w:r>
        <w:rPr>
          <w:rFonts w:hint="eastAsia" w:ascii="Times New Roman" w:hAnsi="HiddenHorzOCR-Identity-H"/>
          <w:color w:val="auto"/>
          <w:spacing w:val="0"/>
          <w:sz w:val="24"/>
          <w:szCs w:val="24"/>
          <w:highlight w:val="none"/>
        </w:rPr>
        <w:t>定期组织本单位管理、技术等相关人员进行建筑垃圾减量化教育，提高从业人员建筑垃圾管理意识。施工单位</w:t>
      </w:r>
      <w:r>
        <w:rPr>
          <w:rFonts w:hint="eastAsia" w:ascii="Times New Roman" w:hAnsi="HiddenHorzOCR-Identity-H"/>
          <w:color w:val="auto"/>
          <w:spacing w:val="0"/>
          <w:sz w:val="24"/>
          <w:szCs w:val="24"/>
          <w:highlight w:val="none"/>
          <w:lang w:val="en-US" w:eastAsia="zh-CN"/>
        </w:rPr>
        <w:t>应</w:t>
      </w:r>
      <w:r>
        <w:rPr>
          <w:rFonts w:hint="eastAsia" w:ascii="Times New Roman" w:hAnsi="HiddenHorzOCR-Identity-H"/>
          <w:color w:val="auto"/>
          <w:spacing w:val="0"/>
          <w:sz w:val="24"/>
          <w:szCs w:val="24"/>
          <w:highlight w:val="none"/>
        </w:rPr>
        <w:t>建立建筑垃圾处置公示牌制度，在施工现场显著位置公示建筑垃圾处置</w:t>
      </w:r>
      <w:r>
        <w:rPr>
          <w:rFonts w:hint="eastAsia" w:ascii="Times New Roman" w:hAnsi="HiddenHorzOCR-Identity-H"/>
          <w:color w:val="auto"/>
          <w:spacing w:val="0"/>
          <w:sz w:val="24"/>
          <w:szCs w:val="24"/>
          <w:highlight w:val="none"/>
          <w:lang w:val="en-US" w:eastAsia="zh-CN"/>
        </w:rPr>
        <w:t>相关</w:t>
      </w:r>
      <w:r>
        <w:rPr>
          <w:rFonts w:hint="eastAsia" w:ascii="Times New Roman" w:hAnsi="HiddenHorzOCR-Identity-H"/>
          <w:color w:val="auto"/>
          <w:spacing w:val="0"/>
          <w:sz w:val="24"/>
          <w:szCs w:val="24"/>
          <w:highlight w:val="none"/>
        </w:rPr>
        <w:t>责任单位</w:t>
      </w:r>
      <w:r>
        <w:rPr>
          <w:rFonts w:hint="eastAsia" w:ascii="Times New Roman" w:hAnsi="HiddenHorzOCR-Identity-H"/>
          <w:color w:val="auto"/>
          <w:sz w:val="24"/>
          <w:szCs w:val="24"/>
          <w:highlight w:val="none"/>
          <w:lang w:val="en-US" w:eastAsia="zh-CN"/>
        </w:rPr>
        <w:t>信息</w:t>
      </w:r>
      <w:r>
        <w:rPr>
          <w:rFonts w:hint="eastAsia" w:ascii="Times New Roman" w:hAnsi="HiddenHorzOCR-Identity-H"/>
          <w:color w:val="auto"/>
          <w:sz w:val="24"/>
          <w:szCs w:val="24"/>
          <w:highlight w:val="none"/>
        </w:rPr>
        <w:t>。</w:t>
      </w:r>
    </w:p>
    <w:p>
      <w:pPr>
        <w:pStyle w:val="12"/>
        <w:spacing w:after="0" w:line="360" w:lineRule="auto"/>
        <w:ind w:firstLine="0" w:firstLineChars="0"/>
        <w:rPr>
          <w:rFonts w:hint="eastAsia" w:ascii="楷体" w:hAnsi="楷体" w:eastAsia="楷体"/>
          <w:sz w:val="24"/>
          <w:szCs w:val="24"/>
          <w:u w:val="none"/>
          <w:lang w:val="en-US" w:eastAsia="zh-CN"/>
        </w:rPr>
      </w:pPr>
      <w:r>
        <w:rPr>
          <w:rFonts w:hint="eastAsia" w:ascii="楷体" w:hAnsi="楷体" w:eastAsia="楷体" w:cs="Times New Roman"/>
          <w:b w:val="0"/>
          <w:bCs w:val="0"/>
          <w:sz w:val="24"/>
          <w:szCs w:val="24"/>
        </w:rPr>
        <w:t>【条文说明】</w:t>
      </w:r>
      <w:r>
        <w:rPr>
          <w:rFonts w:hint="eastAsia" w:ascii="楷体" w:hAnsi="楷体" w:eastAsia="楷体" w:cs="Times New Roman"/>
          <w:b w:val="0"/>
          <w:bCs w:val="0"/>
          <w:sz w:val="24"/>
          <w:szCs w:val="24"/>
          <w:lang w:val="en-US" w:eastAsia="zh-CN"/>
        </w:rPr>
        <w:t>建立</w:t>
      </w:r>
      <w:r>
        <w:rPr>
          <w:rFonts w:hint="eastAsia" w:ascii="楷体" w:hAnsi="楷体" w:eastAsia="楷体"/>
          <w:spacing w:val="0"/>
          <w:sz w:val="24"/>
          <w:szCs w:val="24"/>
        </w:rPr>
        <w:t>建筑垃圾处置</w:t>
      </w:r>
      <w:r>
        <w:rPr>
          <w:rFonts w:hint="eastAsia" w:ascii="楷体" w:hAnsi="楷体" w:eastAsia="楷体"/>
          <w:color w:val="auto"/>
          <w:spacing w:val="0"/>
          <w:sz w:val="24"/>
          <w:szCs w:val="24"/>
          <w:highlight w:val="none"/>
        </w:rPr>
        <w:t>公示牌制度</w:t>
      </w:r>
      <w:r>
        <w:rPr>
          <w:rFonts w:hint="eastAsia" w:ascii="楷体" w:hAnsi="楷体" w:eastAsia="楷体"/>
          <w:spacing w:val="0"/>
          <w:sz w:val="24"/>
          <w:szCs w:val="24"/>
          <w:lang w:val="en-US" w:eastAsia="zh-CN"/>
        </w:rPr>
        <w:t>是为了</w:t>
      </w:r>
      <w:r>
        <w:rPr>
          <w:rFonts w:hint="eastAsia" w:ascii="楷体" w:hAnsi="楷体" w:eastAsia="楷体"/>
          <w:spacing w:val="0"/>
          <w:sz w:val="24"/>
          <w:szCs w:val="24"/>
        </w:rPr>
        <w:t>充分发挥社会监</w:t>
      </w:r>
      <w:r>
        <w:rPr>
          <w:rFonts w:hint="eastAsia" w:ascii="楷体" w:hAnsi="楷体" w:eastAsia="楷体"/>
          <w:sz w:val="24"/>
          <w:szCs w:val="24"/>
        </w:rPr>
        <w:t>督作用</w:t>
      </w:r>
      <w:r>
        <w:rPr>
          <w:rFonts w:hint="eastAsia" w:ascii="楷体" w:hAnsi="楷体" w:eastAsia="楷体"/>
          <w:spacing w:val="0"/>
          <w:sz w:val="24"/>
          <w:szCs w:val="24"/>
          <w:lang w:eastAsia="zh-CN"/>
        </w:rPr>
        <w:t>，</w:t>
      </w:r>
      <w:r>
        <w:rPr>
          <w:rFonts w:hint="eastAsia" w:ascii="楷体" w:hAnsi="楷体" w:eastAsia="楷体"/>
          <w:spacing w:val="0"/>
          <w:sz w:val="24"/>
          <w:szCs w:val="24"/>
          <w:lang w:val="en-US" w:eastAsia="zh-CN"/>
        </w:rPr>
        <w:t>公示内容包括</w:t>
      </w:r>
      <w:r>
        <w:rPr>
          <w:rFonts w:hint="eastAsia" w:ascii="楷体" w:hAnsi="楷体" w:eastAsia="楷体"/>
          <w:color w:val="auto"/>
          <w:sz w:val="24"/>
          <w:szCs w:val="24"/>
          <w:highlight w:val="none"/>
          <w:lang w:val="en-US" w:eastAsia="zh-CN"/>
        </w:rPr>
        <w:t>企业名称、责任人、联系方式、举报电话等，使监督作用能</w:t>
      </w:r>
      <w:r>
        <w:rPr>
          <w:rFonts w:hint="eastAsia" w:ascii="楷体" w:hAnsi="楷体" w:eastAsia="楷体"/>
          <w:sz w:val="24"/>
          <w:szCs w:val="24"/>
          <w:lang w:val="en-US" w:eastAsia="zh-CN"/>
        </w:rPr>
        <w:t>落到实处。</w:t>
      </w:r>
    </w:p>
    <w:p>
      <w:pPr>
        <w:pStyle w:val="12"/>
        <w:spacing w:after="0" w:line="360" w:lineRule="auto"/>
        <w:ind w:firstLine="0" w:firstLineChars="0"/>
        <w:rPr>
          <w:rFonts w:hint="eastAsia" w:ascii="Times New Roman" w:hAnsi="Times New Roman" w:eastAsia="楷体"/>
          <w:sz w:val="24"/>
          <w:u w:val="none"/>
          <w:lang w:val="en-US" w:eastAsia="zh-CN"/>
        </w:rPr>
      </w:pPr>
    </w:p>
    <w:p>
      <w:pPr>
        <w:pStyle w:val="3"/>
        <w:bidi w:val="0"/>
        <w:rPr>
          <w:rFonts w:hint="eastAsia"/>
          <w:lang w:val="en-US" w:eastAsia="zh-CN"/>
        </w:rPr>
      </w:pPr>
      <w:bookmarkStart w:id="125" w:name="_Toc16377"/>
      <w:bookmarkStart w:id="126" w:name="_Toc27078"/>
      <w:bookmarkStart w:id="127" w:name="_Toc24556"/>
      <w:r>
        <w:rPr>
          <w:rFonts w:hint="eastAsia"/>
          <w:lang w:val="en-US" w:eastAsia="zh-CN"/>
        </w:rPr>
        <w:t>4.2</w:t>
      </w:r>
      <w:bookmarkEnd w:id="125"/>
      <w:r>
        <w:rPr>
          <w:rFonts w:hint="eastAsia"/>
          <w:lang w:val="en-US" w:eastAsia="zh-CN"/>
        </w:rPr>
        <w:t>设计阶段</w:t>
      </w:r>
      <w:bookmarkEnd w:id="126"/>
      <w:bookmarkEnd w:id="127"/>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4.2.1</w:t>
      </w:r>
      <w:r>
        <w:rPr>
          <w:rFonts w:hint="eastAsia" w:ascii="Times New Roman" w:hAnsi="HiddenHorzOCR-Identity-H"/>
          <w:color w:val="auto"/>
          <w:sz w:val="24"/>
          <w:szCs w:val="24"/>
          <w:highlight w:val="none"/>
          <w:lang w:val="en-US" w:eastAsia="zh-CN"/>
        </w:rPr>
        <w:t xml:space="preserve">  设计单位应结合工程所在地的资源、地质、环境、经济、文化和技术条件等因素，选择合理的建筑形式、技术、设备和材料，</w:t>
      </w:r>
      <w:r>
        <w:rPr>
          <w:rFonts w:hint="eastAsia" w:ascii="Times New Roman" w:hAnsi="HiddenHorzOCR-Identity-H" w:eastAsia="宋体" w:cs="Times New Roman"/>
          <w:color w:val="auto"/>
          <w:kern w:val="2"/>
          <w:sz w:val="24"/>
          <w:szCs w:val="24"/>
          <w:highlight w:val="none"/>
          <w:lang w:val="en-US" w:eastAsia="zh-CN" w:bidi="ar"/>
        </w:rPr>
        <w:t>在设计阶段充分考虑减少建筑垃圾产生的相关措施</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4.2.2</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设计单位应充分考虑建筑垃圾减量化要求，加强设计施工</w:t>
      </w:r>
      <w:r>
        <w:rPr>
          <w:rFonts w:hint="eastAsia" w:ascii="Times New Roman" w:hAnsi="HiddenHorzOCR-Identity-H"/>
          <w:color w:val="auto"/>
          <w:spacing w:val="0"/>
          <w:sz w:val="24"/>
          <w:szCs w:val="24"/>
          <w:highlight w:val="none"/>
        </w:rPr>
        <w:t>协同配合，保证设计深度满足施工需要，减少施工过程设计变更，</w:t>
      </w:r>
      <w:r>
        <w:rPr>
          <w:rFonts w:hint="eastAsia" w:ascii="Times New Roman" w:hAnsi="HiddenHorzOCR-Identity-H"/>
          <w:color w:val="auto"/>
          <w:sz w:val="24"/>
          <w:szCs w:val="24"/>
          <w:highlight w:val="none"/>
        </w:rPr>
        <w:t>积极推进建筑、结构、机电、装修、景观等专业一体化、标准化设计，并明确</w:t>
      </w:r>
      <w:r>
        <w:rPr>
          <w:rFonts w:hint="eastAsia" w:ascii="Times New Roman" w:hAnsi="HiddenHorzOCR-Identity-H"/>
          <w:color w:val="auto"/>
          <w:sz w:val="24"/>
          <w:szCs w:val="24"/>
          <w:highlight w:val="none"/>
          <w:lang w:val="en-US" w:eastAsia="zh-CN"/>
        </w:rPr>
        <w:t>再生材料、</w:t>
      </w:r>
      <w:r>
        <w:rPr>
          <w:rFonts w:hint="eastAsia" w:ascii="Times New Roman" w:hAnsi="HiddenHorzOCR-Identity-H"/>
          <w:color w:val="auto"/>
          <w:sz w:val="24"/>
          <w:szCs w:val="24"/>
          <w:highlight w:val="none"/>
        </w:rPr>
        <w:t>再生产品的使用部位和技术指标。</w:t>
      </w:r>
    </w:p>
    <w:p>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4.2.3</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设计单位应根据地形地貌进行充分设计优化</w:t>
      </w:r>
      <w:r>
        <w:rPr>
          <w:rFonts w:hint="eastAsia" w:ascii="Times New Roman" w:hAnsi="HiddenHorzOCR-Identity-H"/>
          <w:color w:val="auto"/>
          <w:sz w:val="24"/>
          <w:szCs w:val="24"/>
          <w:highlight w:val="none"/>
          <w:lang w:eastAsia="zh-CN"/>
        </w:rPr>
        <w:t>，</w:t>
      </w:r>
      <w:r>
        <w:rPr>
          <w:rFonts w:hint="eastAsia" w:ascii="Times New Roman" w:hAnsi="HiddenHorzOCR-Identity-H"/>
          <w:color w:val="auto"/>
          <w:sz w:val="24"/>
          <w:szCs w:val="24"/>
          <w:highlight w:val="none"/>
        </w:rPr>
        <w:t>合理确定场地标高，协调场地开发强度和场地资源，优先考虑工程场地区域内的挖填</w:t>
      </w:r>
      <w:r>
        <w:rPr>
          <w:rFonts w:hint="eastAsia" w:ascii="Times New Roman" w:hAnsi="HiddenHorzOCR-Identity-H"/>
          <w:color w:val="auto"/>
          <w:sz w:val="24"/>
          <w:szCs w:val="24"/>
          <w:highlight w:val="none"/>
          <w:lang w:eastAsia="zh-CN"/>
        </w:rPr>
        <w:t>土石方</w:t>
      </w:r>
      <w:r>
        <w:rPr>
          <w:rFonts w:hint="eastAsia" w:ascii="Times New Roman" w:hAnsi="HiddenHorzOCR-Identity-H"/>
          <w:color w:val="auto"/>
          <w:sz w:val="24"/>
          <w:szCs w:val="24"/>
          <w:highlight w:val="none"/>
        </w:rPr>
        <w:t>平衡，减少渣土外运。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HiddenHorzOCR-Identity-H"/>
          <w:color w:val="auto"/>
          <w:sz w:val="24"/>
          <w:szCs w:val="24"/>
          <w:highlight w:val="none"/>
        </w:rPr>
      </w:pPr>
      <w:r>
        <w:rPr>
          <w:rFonts w:hint="eastAsia" w:ascii="楷体" w:hAnsi="楷体" w:eastAsia="楷体" w:cs="Times New Roman"/>
          <w:b w:val="0"/>
          <w:bCs w:val="0"/>
          <w:sz w:val="24"/>
          <w:szCs w:val="24"/>
          <w:highlight w:val="none"/>
        </w:rPr>
        <w:t>【条文说明】</w:t>
      </w:r>
      <w:r>
        <w:rPr>
          <w:rFonts w:hint="eastAsia" w:ascii="楷体" w:hAnsi="楷体" w:eastAsia="楷体" w:cs="楷体"/>
          <w:color w:val="000000"/>
          <w:kern w:val="0"/>
          <w:sz w:val="24"/>
          <w:szCs w:val="24"/>
          <w:lang w:val="en-US" w:eastAsia="zh-CN" w:bidi="ar"/>
        </w:rPr>
        <w:t>建设场地产生的工程渣土和经处理后的建筑垃圾应优先回填低洼地块、地坪标高低于使用要求的地块，或者作为基坑回填的材料。</w:t>
      </w:r>
    </w:p>
    <w:p>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4.2.4</w:t>
      </w:r>
      <w:r>
        <w:rPr>
          <w:rFonts w:hint="eastAsia" w:ascii="Times New Roman" w:hAnsi="HiddenHorzOCR-Identity-H"/>
          <w:color w:val="auto"/>
          <w:sz w:val="24"/>
          <w:szCs w:val="24"/>
          <w:highlight w:val="none"/>
          <w:lang w:val="en-US" w:eastAsia="zh-CN"/>
        </w:rPr>
        <w:t xml:space="preserve">  设计单位</w:t>
      </w:r>
      <w:r>
        <w:rPr>
          <w:rFonts w:hint="eastAsia" w:ascii="Times New Roman" w:hAnsi="HiddenHorzOCR-Identity-H"/>
          <w:color w:val="auto"/>
          <w:sz w:val="24"/>
          <w:szCs w:val="24"/>
          <w:highlight w:val="none"/>
        </w:rPr>
        <w:t>应优化建筑物的空间</w:t>
      </w:r>
      <w:r>
        <w:rPr>
          <w:rFonts w:hint="eastAsia" w:ascii="Times New Roman" w:hAnsi="HiddenHorzOCR-Identity-H"/>
          <w:color w:val="auto"/>
          <w:sz w:val="24"/>
          <w:szCs w:val="24"/>
          <w:highlight w:val="none"/>
          <w:lang w:val="en-US" w:eastAsia="zh-CN"/>
        </w:rPr>
        <w:t>设计</w:t>
      </w:r>
      <w:r>
        <w:rPr>
          <w:rFonts w:hint="eastAsia" w:ascii="Times New Roman" w:hAnsi="HiddenHorzOCR-Identity-H"/>
          <w:color w:val="auto"/>
          <w:sz w:val="24"/>
          <w:szCs w:val="24"/>
          <w:highlight w:val="none"/>
        </w:rPr>
        <w:t>，在达到</w:t>
      </w:r>
      <w:r>
        <w:rPr>
          <w:rFonts w:hint="eastAsia" w:ascii="Times New Roman" w:hAnsi="HiddenHorzOCR-Identity-H"/>
          <w:color w:val="auto"/>
          <w:sz w:val="24"/>
          <w:szCs w:val="24"/>
          <w:highlight w:val="none"/>
          <w:lang w:val="en-US" w:eastAsia="zh-CN"/>
        </w:rPr>
        <w:t>相同</w:t>
      </w:r>
      <w:r>
        <w:rPr>
          <w:rFonts w:hint="eastAsia" w:ascii="Times New Roman" w:hAnsi="HiddenHorzOCR-Identity-H"/>
          <w:color w:val="auto"/>
          <w:sz w:val="24"/>
          <w:szCs w:val="24"/>
          <w:highlight w:val="none"/>
        </w:rPr>
        <w:t>的可利用空间的条件下，</w:t>
      </w:r>
      <w:r>
        <w:rPr>
          <w:rFonts w:hint="eastAsia" w:ascii="Times New Roman" w:hAnsi="HiddenHorzOCR-Identity-H"/>
          <w:color w:val="auto"/>
          <w:sz w:val="24"/>
          <w:szCs w:val="24"/>
          <w:highlight w:val="none"/>
          <w:lang w:val="en-US" w:eastAsia="zh-CN"/>
        </w:rPr>
        <w:t>减少</w:t>
      </w:r>
      <w:r>
        <w:rPr>
          <w:rFonts w:hint="eastAsia" w:ascii="Times New Roman" w:hAnsi="HiddenHorzOCR-Identity-H"/>
          <w:color w:val="auto"/>
          <w:sz w:val="24"/>
          <w:szCs w:val="24"/>
          <w:highlight w:val="none"/>
        </w:rPr>
        <w:t>建筑材料</w:t>
      </w:r>
      <w:r>
        <w:rPr>
          <w:rFonts w:hint="eastAsia" w:ascii="Times New Roman" w:hAnsi="HiddenHorzOCR-Identity-H"/>
          <w:color w:val="auto"/>
          <w:sz w:val="24"/>
          <w:szCs w:val="24"/>
          <w:highlight w:val="none"/>
          <w:lang w:val="en-US" w:eastAsia="zh-CN"/>
        </w:rPr>
        <w:t>消</w:t>
      </w:r>
      <w:r>
        <w:rPr>
          <w:rFonts w:hint="eastAsia" w:ascii="Times New Roman" w:hAnsi="HiddenHorzOCR-Identity-H"/>
          <w:color w:val="auto"/>
          <w:sz w:val="24"/>
          <w:szCs w:val="24"/>
          <w:highlight w:val="none"/>
        </w:rPr>
        <w:t>耗量。</w:t>
      </w:r>
    </w:p>
    <w:p>
      <w:pPr>
        <w:pStyle w:val="12"/>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4.2.5</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设计单位</w:t>
      </w:r>
      <w:r>
        <w:rPr>
          <w:rFonts w:hint="eastAsia" w:ascii="Times New Roman" w:hAnsi="HiddenHorzOCR-Identity-H"/>
          <w:color w:val="auto"/>
          <w:spacing w:val="0"/>
          <w:sz w:val="24"/>
          <w:szCs w:val="24"/>
          <w:highlight w:val="none"/>
          <w:lang w:val="en-US" w:eastAsia="zh-CN"/>
        </w:rPr>
        <w:t>宜</w:t>
      </w:r>
      <w:r>
        <w:rPr>
          <w:rFonts w:hint="eastAsia" w:ascii="Times New Roman" w:hAnsi="HiddenHorzOCR-Identity-H"/>
          <w:color w:val="auto"/>
          <w:spacing w:val="0"/>
          <w:sz w:val="24"/>
          <w:szCs w:val="24"/>
          <w:highlight w:val="none"/>
        </w:rPr>
        <w:t>采用</w:t>
      </w:r>
      <w:r>
        <w:rPr>
          <w:rFonts w:hint="eastAsia" w:ascii="Times New Roman" w:hAnsi="HiddenHorzOCR-Identity-H"/>
          <w:color w:val="auto"/>
          <w:sz w:val="24"/>
          <w:szCs w:val="24"/>
          <w:highlight w:val="none"/>
        </w:rPr>
        <w:t>全寿命周期的数字化信息模型(BIM)</w:t>
      </w:r>
      <w:r>
        <w:rPr>
          <w:rFonts w:hint="eastAsia" w:ascii="Times New Roman" w:hAnsi="HiddenHorzOCR-Identity-H"/>
          <w:color w:val="auto"/>
          <w:spacing w:val="0"/>
          <w:sz w:val="24"/>
          <w:szCs w:val="24"/>
          <w:highlight w:val="none"/>
        </w:rPr>
        <w:t>等信息化技术，</w:t>
      </w:r>
      <w:r>
        <w:rPr>
          <w:rFonts w:hint="eastAsia" w:ascii="Times New Roman" w:hAnsi="HiddenHorzOCR-Identity-H"/>
          <w:color w:val="auto"/>
          <w:sz w:val="24"/>
          <w:szCs w:val="24"/>
          <w:highlight w:val="none"/>
        </w:rPr>
        <w:t>减少设计中的“错漏碰缺”，</w:t>
      </w:r>
      <w:r>
        <w:rPr>
          <w:rFonts w:hint="eastAsia" w:ascii="Times New Roman" w:hAnsi="HiddenHorzOCR-Identity-H"/>
          <w:color w:val="auto"/>
          <w:spacing w:val="0"/>
          <w:sz w:val="24"/>
          <w:szCs w:val="24"/>
          <w:highlight w:val="none"/>
          <w:lang w:val="en-US" w:eastAsia="zh-CN"/>
        </w:rPr>
        <w:t>从设计</w:t>
      </w:r>
      <w:r>
        <w:rPr>
          <w:rFonts w:hint="eastAsia" w:ascii="Times New Roman" w:hAnsi="HiddenHorzOCR-Identity-H"/>
          <w:color w:val="auto"/>
          <w:spacing w:val="0"/>
          <w:sz w:val="24"/>
          <w:szCs w:val="24"/>
          <w:highlight w:val="none"/>
        </w:rPr>
        <w:t>源头减少</w:t>
      </w:r>
      <w:r>
        <w:rPr>
          <w:rFonts w:hint="eastAsia" w:ascii="Times New Roman" w:hAnsi="HiddenHorzOCR-Identity-H"/>
          <w:color w:val="auto"/>
          <w:sz w:val="24"/>
          <w:szCs w:val="24"/>
          <w:highlight w:val="none"/>
        </w:rPr>
        <w:t>建筑垃圾的产生。</w:t>
      </w:r>
    </w:p>
    <w:p>
      <w:pPr>
        <w:pStyle w:val="12"/>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4.2.6</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设计单位应考虑优先选用强度较高的结构材料，达到减少材料用量的目的。有条件的地区应尽可能采用装配式结构，优先推行结</w:t>
      </w:r>
      <w:r>
        <w:rPr>
          <w:rFonts w:hint="eastAsia" w:ascii="Times New Roman" w:hAnsi="HiddenHorzOCR-Identity-H"/>
          <w:color w:val="auto"/>
          <w:spacing w:val="0"/>
          <w:sz w:val="24"/>
          <w:szCs w:val="24"/>
          <w:highlight w:val="none"/>
        </w:rPr>
        <w:t>构、节能、防水和装饰一体化的装配式结构体系，以减少现场作</w:t>
      </w:r>
      <w:r>
        <w:rPr>
          <w:rFonts w:hint="eastAsia" w:ascii="Times New Roman" w:hAnsi="HiddenHorzOCR-Identity-H"/>
          <w:color w:val="auto"/>
          <w:sz w:val="24"/>
          <w:szCs w:val="24"/>
          <w:highlight w:val="none"/>
        </w:rPr>
        <w:t>业产生的建筑垃圾。</w:t>
      </w:r>
    </w:p>
    <w:p>
      <w:pPr>
        <w:pStyle w:val="12"/>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4.2.7</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设计</w:t>
      </w:r>
      <w:r>
        <w:rPr>
          <w:rFonts w:hint="eastAsia" w:ascii="Times New Roman" w:hAnsi="HiddenHorzOCR-Identity-H"/>
          <w:color w:val="auto"/>
          <w:sz w:val="24"/>
          <w:szCs w:val="24"/>
          <w:highlight w:val="none"/>
          <w:lang w:val="en-US" w:eastAsia="zh-CN"/>
        </w:rPr>
        <w:t>单位</w:t>
      </w:r>
      <w:r>
        <w:rPr>
          <w:rFonts w:hint="eastAsia" w:ascii="Times New Roman" w:hAnsi="HiddenHorzOCR-Identity-H"/>
          <w:color w:val="auto"/>
          <w:sz w:val="24"/>
          <w:szCs w:val="24"/>
          <w:highlight w:val="none"/>
        </w:rPr>
        <w:t>应在满足功能要求的前提下，从建筑全寿命周期</w:t>
      </w:r>
      <w:r>
        <w:rPr>
          <w:rFonts w:hint="eastAsia" w:ascii="Times New Roman" w:hAnsi="HiddenHorzOCR-Identity-H"/>
          <w:color w:val="auto"/>
          <w:spacing w:val="0"/>
          <w:sz w:val="24"/>
          <w:szCs w:val="24"/>
          <w:highlight w:val="none"/>
        </w:rPr>
        <w:t>考虑，</w:t>
      </w:r>
      <w:r>
        <w:rPr>
          <w:rFonts w:hint="eastAsia" w:ascii="宋体" w:hAnsi="宋体" w:eastAsia="宋体" w:cs="宋体"/>
          <w:color w:val="000000"/>
          <w:kern w:val="0"/>
          <w:sz w:val="24"/>
          <w:szCs w:val="24"/>
          <w:highlight w:val="none"/>
          <w:lang w:bidi="ar"/>
        </w:rPr>
        <w:t>进行合理设计及材料选择，以延长建筑使用寿命。</w:t>
      </w:r>
    </w:p>
    <w:p>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firstLine="0" w:firstLineChars="0"/>
        <w:textAlignment w:val="auto"/>
        <w:rPr>
          <w:rFonts w:hint="eastAsia" w:ascii="Times New Roman" w:hAnsi="HiddenHorzOCR-Identity-H"/>
          <w:color w:val="auto"/>
          <w:spacing w:val="0"/>
          <w:sz w:val="24"/>
          <w:szCs w:val="24"/>
          <w:highlight w:val="none"/>
        </w:rPr>
      </w:pPr>
      <w:r>
        <w:rPr>
          <w:rFonts w:hint="eastAsia" w:ascii="Times New Roman" w:hAnsi="HiddenHorzOCR-Identity-H"/>
          <w:b/>
          <w:bCs/>
          <w:color w:val="auto"/>
          <w:sz w:val="24"/>
          <w:szCs w:val="24"/>
          <w:highlight w:val="none"/>
          <w:u w:val="none"/>
          <w:lang w:val="en-US" w:eastAsia="zh-CN"/>
        </w:rPr>
        <w:t>4.2.8</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设计单位</w:t>
      </w:r>
      <w:r>
        <w:rPr>
          <w:rFonts w:hint="eastAsia" w:ascii="Times New Roman" w:hAnsi="HiddenHorzOCR-Identity-H"/>
          <w:color w:val="auto"/>
          <w:sz w:val="24"/>
          <w:szCs w:val="24"/>
          <w:highlight w:val="none"/>
          <w:lang w:val="en-US" w:eastAsia="zh-CN"/>
        </w:rPr>
        <w:t>宜</w:t>
      </w:r>
      <w:r>
        <w:rPr>
          <w:rFonts w:hint="eastAsia" w:ascii="Times New Roman" w:hAnsi="HiddenHorzOCR-Identity-H"/>
          <w:color w:val="auto"/>
          <w:sz w:val="24"/>
          <w:szCs w:val="24"/>
          <w:highlight w:val="none"/>
        </w:rPr>
        <w:t>采用建筑垃圾减量化和资源化利用的创新设</w:t>
      </w:r>
      <w:r>
        <w:rPr>
          <w:rFonts w:hint="eastAsia" w:ascii="Times New Roman" w:hAnsi="HiddenHorzOCR-Identity-H"/>
          <w:color w:val="auto"/>
          <w:spacing w:val="0"/>
          <w:sz w:val="24"/>
          <w:szCs w:val="24"/>
          <w:highlight w:val="none"/>
        </w:rPr>
        <w:t>计、施工技术与装备应用。</w:t>
      </w:r>
    </w:p>
    <w:p>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firstLine="0" w:firstLineChars="0"/>
        <w:textAlignment w:val="auto"/>
        <w:rPr>
          <w:rFonts w:hint="eastAsia" w:ascii="Times New Roman" w:hAnsi="Times New Roman" w:eastAsia="楷体"/>
          <w:color w:val="auto"/>
          <w:sz w:val="24"/>
          <w:szCs w:val="22"/>
          <w:highlight w:val="none"/>
          <w:u w:val="none"/>
        </w:rPr>
      </w:pPr>
      <w:r>
        <w:rPr>
          <w:rFonts w:hint="eastAsia" w:ascii="楷体" w:hAnsi="楷体" w:eastAsia="楷体" w:cs="Times New Roman"/>
          <w:b w:val="0"/>
          <w:bCs w:val="0"/>
          <w:sz w:val="24"/>
          <w:szCs w:val="24"/>
          <w:highlight w:val="none"/>
        </w:rPr>
        <w:t>【条文说明】</w:t>
      </w:r>
      <w:r>
        <w:rPr>
          <w:rFonts w:hint="eastAsia" w:ascii="Times New Roman" w:hAnsi="Times New Roman" w:eastAsia="楷体"/>
          <w:color w:val="auto"/>
          <w:spacing w:val="0"/>
          <w:sz w:val="24"/>
          <w:szCs w:val="22"/>
          <w:highlight w:val="none"/>
          <w:u w:val="none"/>
        </w:rPr>
        <w:t>如建筑工程全装修交付，项目基础回填优先考虑设计采用本项目开挖基础产生的渣土回填，建筑非承</w:t>
      </w:r>
      <w:bookmarkStart w:id="128" w:name="_bookmark4"/>
      <w:bookmarkEnd w:id="128"/>
      <w:r>
        <w:rPr>
          <w:rFonts w:hint="eastAsia" w:ascii="Times New Roman" w:hAnsi="Times New Roman" w:eastAsia="楷体"/>
          <w:color w:val="auto"/>
          <w:sz w:val="24"/>
          <w:szCs w:val="22"/>
          <w:highlight w:val="none"/>
          <w:u w:val="none"/>
        </w:rPr>
        <w:t>重墙材优先考虑设计选用建筑垃圾再生建材产品等。</w:t>
      </w:r>
    </w:p>
    <w:p>
      <w:pPr>
        <w:pStyle w:val="12"/>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0" w:right="0" w:firstLine="0" w:firstLineChars="0"/>
        <w:jc w:val="both"/>
        <w:textAlignment w:val="auto"/>
        <w:rPr>
          <w:rFonts w:hint="eastAsia" w:ascii="Times New Roman" w:hAnsi="HiddenHorzOCR-Identity-H" w:eastAsia="宋体" w:cs="Times New Roman"/>
          <w:b w:val="0"/>
          <w:bCs w:val="0"/>
          <w:color w:val="auto"/>
          <w:sz w:val="24"/>
          <w:szCs w:val="24"/>
          <w:highlight w:val="none"/>
        </w:rPr>
      </w:pPr>
      <w:r>
        <w:rPr>
          <w:rFonts w:hint="eastAsia" w:ascii="Times New Roman" w:hAnsi="HiddenHorzOCR-Identity-H"/>
          <w:b/>
          <w:bCs/>
          <w:color w:val="auto"/>
          <w:sz w:val="24"/>
          <w:szCs w:val="24"/>
          <w:highlight w:val="none"/>
          <w:u w:val="none"/>
          <w:lang w:val="en-US" w:eastAsia="zh-CN"/>
        </w:rPr>
        <w:t>4.2.9</w:t>
      </w:r>
      <w:r>
        <w:rPr>
          <w:rFonts w:hint="eastAsia" w:ascii="Times New Roman" w:hAnsi="HiddenHorzOCR-Identity-H" w:eastAsia="宋体" w:cs="Times New Roman"/>
          <w:b w:val="0"/>
          <w:bCs w:val="0"/>
          <w:color w:val="auto"/>
          <w:sz w:val="24"/>
          <w:szCs w:val="24"/>
          <w:highlight w:val="none"/>
        </w:rPr>
        <w:t xml:space="preserve"> </w:t>
      </w:r>
      <w:r>
        <w:rPr>
          <w:rFonts w:hint="eastAsia" w:ascii="Times New Roman" w:hAnsi="HiddenHorzOCR-Identity-H" w:cs="Times New Roman"/>
          <w:b w:val="0"/>
          <w:bCs w:val="0"/>
          <w:color w:val="auto"/>
          <w:sz w:val="24"/>
          <w:szCs w:val="24"/>
          <w:highlight w:val="none"/>
          <w:lang w:val="en-US" w:eastAsia="zh-CN"/>
        </w:rPr>
        <w:t xml:space="preserve"> </w:t>
      </w:r>
      <w:r>
        <w:rPr>
          <w:rFonts w:hint="eastAsia" w:ascii="Times New Roman" w:hAnsi="HiddenHorzOCR-Identity-H" w:eastAsia="宋体" w:cs="Times New Roman"/>
          <w:b w:val="0"/>
          <w:bCs w:val="0"/>
          <w:color w:val="auto"/>
          <w:sz w:val="24"/>
          <w:szCs w:val="24"/>
          <w:highlight w:val="none"/>
        </w:rPr>
        <w:t>对于改建和扩建的工程项目，建设单位与设计单位</w:t>
      </w:r>
      <w:r>
        <w:rPr>
          <w:rFonts w:hint="eastAsia" w:ascii="Times New Roman" w:hAnsi="HiddenHorzOCR-Identity-H" w:cs="Times New Roman"/>
          <w:b w:val="0"/>
          <w:bCs w:val="0"/>
          <w:color w:val="auto"/>
          <w:sz w:val="24"/>
          <w:szCs w:val="24"/>
          <w:highlight w:val="none"/>
          <w:lang w:val="en-US" w:eastAsia="zh-CN"/>
        </w:rPr>
        <w:t>应</w:t>
      </w:r>
      <w:r>
        <w:rPr>
          <w:rFonts w:hint="eastAsia" w:ascii="Times New Roman" w:hAnsi="HiddenHorzOCR-Identity-H" w:eastAsia="宋体" w:cs="Times New Roman"/>
          <w:b w:val="0"/>
          <w:bCs w:val="0"/>
          <w:color w:val="auto"/>
          <w:sz w:val="24"/>
          <w:szCs w:val="24"/>
          <w:highlight w:val="none"/>
        </w:rPr>
        <w:t>综合评估</w:t>
      </w:r>
      <w:r>
        <w:rPr>
          <w:rFonts w:hint="eastAsia" w:ascii="Times New Roman" w:hAnsi="HiddenHorzOCR-Identity-H" w:cs="Times New Roman"/>
          <w:b w:val="0"/>
          <w:bCs w:val="0"/>
          <w:color w:val="auto"/>
          <w:sz w:val="24"/>
          <w:szCs w:val="24"/>
          <w:highlight w:val="none"/>
          <w:lang w:val="en-US" w:eastAsia="zh-CN"/>
        </w:rPr>
        <w:t>修缮</w:t>
      </w:r>
      <w:r>
        <w:rPr>
          <w:rFonts w:hint="eastAsia" w:ascii="Times New Roman" w:hAnsi="HiddenHorzOCR-Identity-H" w:eastAsia="宋体" w:cs="Times New Roman"/>
          <w:b w:val="0"/>
          <w:bCs w:val="0"/>
          <w:color w:val="auto"/>
          <w:sz w:val="24"/>
          <w:szCs w:val="24"/>
          <w:highlight w:val="none"/>
        </w:rPr>
        <w:t>、扩建和拆除等方式，在满足使用功能的前提下，优先考虑</w:t>
      </w:r>
      <w:r>
        <w:rPr>
          <w:rFonts w:hint="eastAsia" w:ascii="Times New Roman" w:hAnsi="HiddenHorzOCR-Identity-H" w:cs="Times New Roman"/>
          <w:b w:val="0"/>
          <w:bCs w:val="0"/>
          <w:color w:val="auto"/>
          <w:sz w:val="24"/>
          <w:szCs w:val="24"/>
          <w:highlight w:val="none"/>
          <w:lang w:val="en-US" w:eastAsia="zh-CN"/>
        </w:rPr>
        <w:t>修缮</w:t>
      </w:r>
      <w:r>
        <w:rPr>
          <w:rFonts w:hint="eastAsia" w:ascii="Times New Roman" w:hAnsi="HiddenHorzOCR-Identity-H" w:eastAsia="宋体" w:cs="Times New Roman"/>
          <w:b w:val="0"/>
          <w:bCs w:val="0"/>
          <w:color w:val="auto"/>
          <w:sz w:val="24"/>
          <w:szCs w:val="24"/>
          <w:highlight w:val="none"/>
        </w:rPr>
        <w:t>或扩建，避免过度拆除。</w:t>
      </w:r>
    </w:p>
    <w:p>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firstLine="0" w:firstLineChars="0"/>
        <w:textAlignment w:val="auto"/>
        <w:rPr>
          <w:rFonts w:hint="eastAsia" w:ascii="Times New Roman" w:hAnsi="Times New Roman" w:eastAsia="楷体"/>
          <w:color w:val="auto"/>
          <w:spacing w:val="0"/>
          <w:sz w:val="24"/>
          <w:szCs w:val="22"/>
          <w:highlight w:val="none"/>
          <w:u w:val="none"/>
        </w:rPr>
      </w:pPr>
      <w:r>
        <w:rPr>
          <w:rFonts w:hint="eastAsia" w:ascii="楷体" w:hAnsi="楷体" w:eastAsia="楷体" w:cs="Times New Roman"/>
          <w:b w:val="0"/>
          <w:bCs w:val="0"/>
          <w:sz w:val="24"/>
          <w:szCs w:val="24"/>
          <w:highlight w:val="none"/>
        </w:rPr>
        <w:t>【条文说明】</w:t>
      </w:r>
      <w:r>
        <w:rPr>
          <w:rFonts w:hint="eastAsia" w:ascii="Times New Roman" w:hAnsi="Times New Roman" w:eastAsia="楷体"/>
          <w:color w:val="auto"/>
          <w:spacing w:val="0"/>
          <w:sz w:val="24"/>
          <w:szCs w:val="22"/>
          <w:highlight w:val="none"/>
          <w:u w:val="none"/>
        </w:rPr>
        <w:t>在改建和扩建的工程项目设计过程中，建筑设计师要站在使用者的立场了解其意图，尽量满足使用者</w:t>
      </w:r>
      <w:r>
        <w:rPr>
          <w:rFonts w:hint="eastAsia" w:ascii="Times New Roman" w:hAnsi="Times New Roman" w:eastAsia="楷体"/>
          <w:color w:val="auto"/>
          <w:spacing w:val="0"/>
          <w:sz w:val="24"/>
          <w:szCs w:val="22"/>
          <w:highlight w:val="none"/>
          <w:u w:val="none"/>
          <w:lang w:val="en-US" w:eastAsia="zh-CN"/>
        </w:rPr>
        <w:t>真实</w:t>
      </w:r>
      <w:r>
        <w:rPr>
          <w:rFonts w:hint="eastAsia" w:ascii="Times New Roman" w:hAnsi="Times New Roman" w:eastAsia="楷体"/>
          <w:color w:val="auto"/>
          <w:spacing w:val="0"/>
          <w:sz w:val="24"/>
          <w:szCs w:val="22"/>
          <w:highlight w:val="none"/>
          <w:u w:val="none"/>
        </w:rPr>
        <w:t>需求。在进行建筑设计时应根据建筑的预期功能，考虑灵活性进行设计，避免建筑物的拆除和重建。基础设计可以与建设单位沟通，是否需要为将来的加层或建筑物功能改变进行设计</w:t>
      </w:r>
      <w:r>
        <w:rPr>
          <w:rFonts w:hint="eastAsia" w:ascii="Times New Roman" w:hAnsi="Times New Roman" w:eastAsia="楷体"/>
          <w:color w:val="auto"/>
          <w:spacing w:val="0"/>
          <w:sz w:val="24"/>
          <w:szCs w:val="22"/>
          <w:highlight w:val="none"/>
          <w:u w:val="none"/>
          <w:lang w:eastAsia="zh-CN"/>
        </w:rPr>
        <w:t>，</w:t>
      </w:r>
      <w:r>
        <w:rPr>
          <w:rFonts w:hint="eastAsia" w:ascii="Times New Roman" w:hAnsi="Times New Roman" w:eastAsia="楷体"/>
          <w:color w:val="auto"/>
          <w:spacing w:val="0"/>
          <w:sz w:val="24"/>
          <w:szCs w:val="22"/>
          <w:highlight w:val="none"/>
          <w:u w:val="none"/>
        </w:rPr>
        <w:t>最浪费的情况是在结构寿命没到期时</w:t>
      </w:r>
      <w:r>
        <w:rPr>
          <w:rFonts w:hint="eastAsia" w:ascii="Times New Roman" w:hAnsi="Times New Roman" w:eastAsia="楷体"/>
          <w:color w:val="auto"/>
          <w:spacing w:val="0"/>
          <w:sz w:val="24"/>
          <w:szCs w:val="22"/>
          <w:highlight w:val="none"/>
          <w:u w:val="none"/>
          <w:lang w:eastAsia="zh-CN"/>
        </w:rPr>
        <w:t>，</w:t>
      </w:r>
      <w:r>
        <w:rPr>
          <w:rFonts w:hint="eastAsia" w:ascii="Times New Roman" w:hAnsi="Times New Roman" w:eastAsia="楷体"/>
          <w:color w:val="auto"/>
          <w:spacing w:val="0"/>
          <w:sz w:val="24"/>
          <w:szCs w:val="22"/>
          <w:highlight w:val="none"/>
          <w:u w:val="none"/>
        </w:rPr>
        <w:t>就因为建筑物无法承担新的设计荷载而拆除。</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4.2.10</w:t>
      </w:r>
      <w:r>
        <w:rPr>
          <w:rFonts w:hint="eastAsia" w:ascii="Times New Roman" w:hAnsi="HiddenHorzOCR-Identity-H"/>
          <w:color w:val="auto"/>
          <w:sz w:val="24"/>
          <w:szCs w:val="24"/>
          <w:highlight w:val="none"/>
          <w:lang w:val="en-US" w:eastAsia="zh-CN"/>
        </w:rPr>
        <w:t xml:space="preserve">  地基与基础工程设计应符合下列规定：</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宜根据现场环境条件采用可拆卸式锚杆、金属内支撑、型钢水泥土搅拌墙、钢板桩、装配式坡面支护材料等可重复利用材料；</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采用地下连续墙支护的工程，地下连续墙经防水处理后宜作为地下室外墙；</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Times New Roman" w:eastAsia="宋体"/>
          <w:b/>
          <w:color w:val="auto"/>
          <w:sz w:val="24"/>
          <w:szCs w:val="24"/>
          <w:highlight w:val="none"/>
          <w:lang w:eastAsia="zh-CN"/>
        </w:rPr>
      </w:pPr>
      <w:r>
        <w:rPr>
          <w:rFonts w:hint="eastAsia" w:ascii="Times New Roman" w:hAnsi="HiddenHorzOCR-Identity-H"/>
          <w:color w:val="auto"/>
          <w:sz w:val="24"/>
          <w:szCs w:val="24"/>
          <w:highlight w:val="none"/>
          <w:lang w:val="en-US" w:eastAsia="zh-CN"/>
        </w:rPr>
        <w:t>3 深大基坑开挖需设置栈桥时，宜采用钢结构等装配式结构体系，并宜充分利用工程正式基坑支护桩和混凝支撑作为支撑体系。</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4.2.11</w:t>
      </w:r>
      <w:r>
        <w:rPr>
          <w:rFonts w:hint="eastAsia" w:ascii="Times New Roman" w:hAnsi="HiddenHorzOCR-Identity-H"/>
          <w:color w:val="auto"/>
          <w:sz w:val="24"/>
          <w:szCs w:val="24"/>
          <w:highlight w:val="none"/>
          <w:lang w:val="en-US" w:eastAsia="zh-CN"/>
        </w:rPr>
        <w:t xml:space="preserve">  主体结构工程设计应符合下列规定：</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内外墙宜采用清水混凝土、高精度砌体施工技术；</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楼板宜采用免临时支撑的结构体系；</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Times New Roman" w:eastAsia="宋体"/>
          <w:b/>
          <w:color w:val="auto"/>
          <w:sz w:val="24"/>
          <w:szCs w:val="24"/>
          <w:highlight w:val="none"/>
          <w:lang w:eastAsia="zh-CN"/>
        </w:rPr>
      </w:pPr>
      <w:r>
        <w:rPr>
          <w:rFonts w:hint="eastAsia" w:ascii="Times New Roman" w:hAnsi="HiddenHorzOCR-Identity-H"/>
          <w:color w:val="auto"/>
          <w:sz w:val="24"/>
          <w:szCs w:val="24"/>
          <w:highlight w:val="none"/>
          <w:lang w:val="en-US" w:eastAsia="zh-CN"/>
        </w:rPr>
        <w:t>3 主体结构应采用预拌砂浆</w:t>
      </w:r>
      <w:r>
        <w:rPr>
          <w:rFonts w:hint="eastAsia" w:ascii="Times New Roman" w:hAnsi="HiddenHorzOCR-Identity-H" w:eastAsia="宋体" w:cs="Times New Roman"/>
          <w:b w:val="0"/>
          <w:bCs w:val="0"/>
          <w:color w:val="auto"/>
          <w:sz w:val="24"/>
          <w:szCs w:val="24"/>
          <w:highlight w:val="none"/>
          <w:lang w:eastAsia="zh-CN"/>
        </w:rPr>
        <w:t>、</w:t>
      </w:r>
      <w:r>
        <w:rPr>
          <w:rFonts w:hint="eastAsia" w:ascii="Times New Roman" w:hAnsi="HiddenHorzOCR-Identity-H" w:eastAsia="宋体" w:cs="Times New Roman"/>
          <w:b w:val="0"/>
          <w:bCs w:val="0"/>
          <w:color w:val="auto"/>
          <w:sz w:val="24"/>
          <w:szCs w:val="24"/>
          <w:highlight w:val="none"/>
          <w:u w:val="none"/>
          <w:lang w:val="en-US" w:eastAsia="zh-CN"/>
        </w:rPr>
        <w:t>商品混凝土</w:t>
      </w:r>
      <w:r>
        <w:rPr>
          <w:rFonts w:hint="eastAsia" w:ascii="Times New Roman" w:hAnsi="HiddenHorzOCR-Identity-H" w:eastAsia="宋体" w:cs="Times New Roman"/>
          <w:b w:val="0"/>
          <w:bCs w:val="0"/>
          <w:color w:val="auto"/>
          <w:sz w:val="24"/>
          <w:szCs w:val="24"/>
          <w:highlight w:val="none"/>
          <w:u w:val="none"/>
          <w:lang w:eastAsia="zh-CN"/>
        </w:rPr>
        <w:t>，</w:t>
      </w:r>
      <w:r>
        <w:rPr>
          <w:rFonts w:hint="eastAsia" w:ascii="Times New Roman" w:hAnsi="HiddenHorzOCR-Identity-H" w:eastAsia="宋体" w:cs="Times New Roman"/>
          <w:b w:val="0"/>
          <w:bCs w:val="0"/>
          <w:color w:val="auto"/>
          <w:sz w:val="24"/>
          <w:szCs w:val="24"/>
          <w:highlight w:val="none"/>
          <w:u w:val="none"/>
          <w:lang w:val="en-US" w:eastAsia="zh-CN"/>
        </w:rPr>
        <w:t>根据结构构件受力特点</w:t>
      </w:r>
      <w:r>
        <w:rPr>
          <w:rFonts w:hint="eastAsia" w:ascii="Times New Roman" w:hAnsi="HiddenHorzOCR-Identity-H" w:cs="Times New Roman"/>
          <w:b w:val="0"/>
          <w:bCs w:val="0"/>
          <w:color w:val="auto"/>
          <w:sz w:val="24"/>
          <w:szCs w:val="24"/>
          <w:highlight w:val="none"/>
          <w:u w:val="none"/>
          <w:lang w:val="en-US" w:eastAsia="zh-CN"/>
        </w:rPr>
        <w:t>宜</w:t>
      </w:r>
      <w:r>
        <w:rPr>
          <w:rFonts w:hint="eastAsia" w:ascii="Times New Roman" w:hAnsi="HiddenHorzOCR-Identity-H" w:eastAsia="宋体" w:cs="Times New Roman"/>
          <w:b w:val="0"/>
          <w:bCs w:val="0"/>
          <w:color w:val="auto"/>
          <w:sz w:val="24"/>
          <w:szCs w:val="24"/>
          <w:highlight w:val="none"/>
          <w:u w:val="none"/>
          <w:lang w:val="en-US" w:eastAsia="zh-CN"/>
        </w:rPr>
        <w:t>优先选用</w:t>
      </w:r>
      <w:r>
        <w:rPr>
          <w:rFonts w:hint="eastAsia" w:ascii="Times New Roman" w:hAnsi="HiddenHorzOCR-Identity-H" w:eastAsia="宋体" w:cs="Times New Roman"/>
          <w:b w:val="0"/>
          <w:bCs w:val="0"/>
          <w:color w:val="auto"/>
          <w:sz w:val="24"/>
          <w:szCs w:val="24"/>
          <w:highlight w:val="none"/>
        </w:rPr>
        <w:t>高强钢筋、高强钢材及</w:t>
      </w:r>
      <w:r>
        <w:rPr>
          <w:rFonts w:hint="eastAsia" w:ascii="Times New Roman" w:hAnsi="HiddenHorzOCR-Identity-H" w:eastAsia="宋体" w:cs="Times New Roman"/>
          <w:b w:val="0"/>
          <w:bCs w:val="0"/>
          <w:strike w:val="0"/>
          <w:dstrike w:val="0"/>
          <w:color w:val="auto"/>
          <w:sz w:val="24"/>
          <w:szCs w:val="24"/>
          <w:highlight w:val="none"/>
          <w:lang w:val="en-US" w:eastAsia="zh-CN"/>
        </w:rPr>
        <w:t>高强</w:t>
      </w:r>
      <w:r>
        <w:rPr>
          <w:rFonts w:hint="eastAsia" w:ascii="Times New Roman" w:hAnsi="HiddenHorzOCR-Identity-H" w:eastAsia="宋体" w:cs="Times New Roman"/>
          <w:b w:val="0"/>
          <w:bCs w:val="0"/>
          <w:color w:val="auto"/>
          <w:sz w:val="24"/>
          <w:szCs w:val="24"/>
          <w:highlight w:val="none"/>
        </w:rPr>
        <w:t>混凝土</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4.2.12</w:t>
      </w:r>
      <w:r>
        <w:rPr>
          <w:rFonts w:hint="eastAsia" w:ascii="Times New Roman" w:hAnsi="HiddenHorzOCR-Identity-H"/>
          <w:color w:val="auto"/>
          <w:sz w:val="24"/>
          <w:szCs w:val="24"/>
          <w:highlight w:val="none"/>
          <w:lang w:val="en-US" w:eastAsia="zh-CN"/>
        </w:rPr>
        <w:t xml:space="preserve">  机电安装工程设计应符合下列规定：</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根据管线密度及种类，应采用建筑信息化技术进行综合支吊架设计；</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Times New Roman" w:eastAsia="宋体"/>
          <w:b/>
          <w:color w:val="auto"/>
          <w:sz w:val="24"/>
          <w:szCs w:val="24"/>
          <w:highlight w:val="none"/>
          <w:lang w:eastAsia="zh-CN"/>
        </w:rPr>
      </w:pPr>
      <w:r>
        <w:rPr>
          <w:rFonts w:hint="eastAsia" w:ascii="Times New Roman" w:hAnsi="HiddenHorzOCR-Identity-H"/>
          <w:color w:val="auto"/>
          <w:sz w:val="24"/>
          <w:szCs w:val="24"/>
          <w:highlight w:val="none"/>
          <w:lang w:val="en-US" w:eastAsia="zh-CN"/>
        </w:rPr>
        <w:t>2 全刚性支吊架应对结构连接预埋件进行专项设计。</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4.2.13</w:t>
      </w:r>
      <w:r>
        <w:rPr>
          <w:rFonts w:hint="eastAsia" w:ascii="Times New Roman" w:hAnsi="HiddenHorzOCR-Identity-H"/>
          <w:color w:val="auto"/>
          <w:sz w:val="24"/>
          <w:szCs w:val="24"/>
          <w:highlight w:val="none"/>
          <w:lang w:val="en-US" w:eastAsia="zh-CN"/>
        </w:rPr>
        <w:t xml:space="preserve">  装饰装修工程设计应符合下列规定：</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室内装修应采用简约化、功能化、轻量化的装修设计方案；</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装饰装修宜采用支持干式作业的材料；</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3 在满足装饰性能条件下，应采用规格尺寸小的装饰材料。</w:t>
      </w:r>
    </w:p>
    <w:p>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Times New Roman"/>
          <w:b w:val="0"/>
          <w:bCs w:val="0"/>
          <w:sz w:val="24"/>
          <w:szCs w:val="24"/>
          <w:lang w:val="en-US"/>
        </w:rPr>
      </w:pPr>
      <w:bookmarkStart w:id="239" w:name="_GoBack"/>
      <w:bookmarkEnd w:id="239"/>
      <w:r>
        <w:rPr>
          <w:rFonts w:hint="eastAsia" w:ascii="楷体" w:hAnsi="楷体" w:eastAsia="楷体" w:cs="Times New Roman"/>
          <w:b w:val="0"/>
          <w:bCs w:val="0"/>
          <w:sz w:val="24"/>
          <w:szCs w:val="24"/>
        </w:rPr>
        <w:t>【条文说明】室内装修在保证装饰装修质量的前提下，宜在形式和材料上相对简约，强调以人为本，减少复杂而不必要的造型。宜在非承重部位使用如轻钢龙骨、石膏板等轻质隔墙材料，尽量少用实心砖、射灯等。</w:t>
      </w:r>
      <w:r>
        <w:rPr>
          <w:rFonts w:hint="eastAsia" w:ascii="楷体" w:hAnsi="楷体" w:eastAsia="楷体"/>
          <w:color w:val="auto"/>
          <w:sz w:val="24"/>
          <w:szCs w:val="24"/>
          <w:highlight w:val="none"/>
          <w:lang w:val="en-US" w:eastAsia="zh-CN"/>
        </w:rPr>
        <w:t>采用规格尺寸小的装饰材料，可减少现场</w:t>
      </w:r>
      <w:r>
        <w:rPr>
          <w:rFonts w:hint="eastAsia" w:ascii="楷体" w:hAnsi="楷体" w:eastAsia="楷体"/>
          <w:sz w:val="24"/>
          <w:szCs w:val="24"/>
          <w:lang w:val="en-US" w:eastAsia="zh-CN"/>
        </w:rPr>
        <w:t>使用时</w:t>
      </w:r>
      <w:r>
        <w:rPr>
          <w:rFonts w:hint="eastAsia" w:ascii="楷体" w:hAnsi="楷体" w:eastAsia="楷体"/>
          <w:color w:val="auto"/>
          <w:sz w:val="24"/>
          <w:szCs w:val="24"/>
          <w:highlight w:val="none"/>
          <w:lang w:val="en-US" w:eastAsia="zh-CN"/>
        </w:rPr>
        <w:t>切割</w:t>
      </w:r>
      <w:r>
        <w:rPr>
          <w:rFonts w:hint="eastAsia" w:ascii="楷体" w:hAnsi="楷体" w:eastAsia="楷体"/>
          <w:sz w:val="24"/>
          <w:szCs w:val="24"/>
          <w:lang w:val="en-US" w:eastAsia="zh-CN"/>
        </w:rPr>
        <w:t>拼装等</w:t>
      </w:r>
      <w:r>
        <w:rPr>
          <w:rFonts w:hint="eastAsia" w:ascii="楷体" w:hAnsi="楷体" w:eastAsia="楷体"/>
          <w:color w:val="auto"/>
          <w:sz w:val="24"/>
          <w:szCs w:val="24"/>
          <w:highlight w:val="none"/>
          <w:lang w:val="en-US" w:eastAsia="zh-CN"/>
        </w:rPr>
        <w:t>产生</w:t>
      </w:r>
      <w:r>
        <w:rPr>
          <w:rFonts w:hint="eastAsia" w:ascii="楷体" w:hAnsi="楷体" w:eastAsia="楷体"/>
          <w:sz w:val="24"/>
          <w:szCs w:val="24"/>
          <w:lang w:val="en-US" w:eastAsia="zh-CN"/>
        </w:rPr>
        <w:t>建筑垃圾。</w:t>
      </w:r>
    </w:p>
    <w:p>
      <w:pPr>
        <w:pStyle w:val="12"/>
        <w:spacing w:after="0" w:line="360" w:lineRule="auto"/>
        <w:ind w:firstLine="0" w:firstLineChars="0"/>
        <w:rPr>
          <w:rFonts w:hint="eastAsia" w:ascii="Times New Roman" w:hAnsi="HiddenHorzOCR-Identity-H" w:eastAsia="宋体" w:cs="Times New Roman"/>
          <w:b w:val="0"/>
          <w:bCs w:val="0"/>
          <w:color w:val="auto"/>
          <w:sz w:val="24"/>
          <w:szCs w:val="24"/>
          <w:highlight w:val="none"/>
        </w:rPr>
      </w:pPr>
    </w:p>
    <w:p>
      <w:pPr>
        <w:pStyle w:val="3"/>
        <w:bidi w:val="0"/>
        <w:rPr>
          <w:rFonts w:hint="eastAsia"/>
        </w:rPr>
      </w:pPr>
      <w:bookmarkStart w:id="129" w:name="_Toc960"/>
      <w:bookmarkStart w:id="130" w:name="_Toc10636"/>
      <w:r>
        <w:rPr>
          <w:rFonts w:hint="eastAsia"/>
          <w:lang w:val="en-US" w:eastAsia="zh-CN"/>
        </w:rPr>
        <w:t>4.3</w:t>
      </w:r>
      <w:r>
        <w:rPr>
          <w:rFonts w:hint="eastAsia"/>
        </w:rPr>
        <w:t>施工阶段</w:t>
      </w:r>
      <w:bookmarkEnd w:id="129"/>
      <w:bookmarkEnd w:id="130"/>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 xml:space="preserve">4.3.1 </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施工单位应与设计</w:t>
      </w:r>
      <w:r>
        <w:rPr>
          <w:rFonts w:hint="eastAsia" w:ascii="Times New Roman" w:hAnsi="HiddenHorzOCR-Identity-H"/>
          <w:color w:val="auto"/>
          <w:sz w:val="24"/>
          <w:szCs w:val="24"/>
          <w:highlight w:val="none"/>
          <w:lang w:val="en-US" w:eastAsia="zh-CN"/>
        </w:rPr>
        <w:t>单位</w:t>
      </w:r>
      <w:r>
        <w:rPr>
          <w:rFonts w:hint="eastAsia" w:ascii="Times New Roman" w:hAnsi="HiddenHorzOCR-Identity-H"/>
          <w:color w:val="auto"/>
          <w:sz w:val="24"/>
          <w:szCs w:val="24"/>
          <w:highlight w:val="none"/>
        </w:rPr>
        <w:t>充分沟通，避免或减少施工过程中拆改、变更产生建筑垃圾。</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4.3.2 </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施工单位应根据《建筑工程绿色施工规范》</w:t>
      </w:r>
      <w:r>
        <w:rPr>
          <w:rFonts w:hint="eastAsia" w:ascii="Times New Roman" w:hAnsi="HiddenHorzOCR-Identity-H" w:eastAsia="宋体"/>
          <w:color w:val="auto"/>
          <w:sz w:val="24"/>
          <w:szCs w:val="24"/>
          <w:highlight w:val="none"/>
        </w:rPr>
        <w:t>GB/T</w:t>
      </w:r>
      <w:r>
        <w:rPr>
          <w:rFonts w:hint="eastAsia" w:ascii="Times New Roman" w:hAnsi="HiddenHorzOCR-Identity-H" w:eastAsia="宋体"/>
          <w:color w:val="auto"/>
          <w:spacing w:val="0"/>
          <w:sz w:val="24"/>
          <w:szCs w:val="24"/>
          <w:highlight w:val="none"/>
        </w:rPr>
        <w:t xml:space="preserve"> </w:t>
      </w:r>
      <w:r>
        <w:rPr>
          <w:rFonts w:hint="eastAsia" w:ascii="Times New Roman" w:hAnsi="HiddenHorzOCR-Identity-H" w:eastAsia="宋体"/>
          <w:color w:val="auto"/>
          <w:sz w:val="24"/>
          <w:szCs w:val="24"/>
          <w:highlight w:val="none"/>
        </w:rPr>
        <w:t>50905</w:t>
      </w:r>
      <w:r>
        <w:rPr>
          <w:rFonts w:hint="eastAsia" w:ascii="Times New Roman" w:hAnsi="HiddenHorzOCR-Identity-H"/>
          <w:color w:val="auto"/>
          <w:sz w:val="24"/>
          <w:szCs w:val="24"/>
          <w:highlight w:val="none"/>
        </w:rPr>
        <w:t>、《</w:t>
      </w:r>
      <w:r>
        <w:rPr>
          <w:rFonts w:hint="eastAsia" w:ascii="Times New Roman" w:hAnsi="HiddenHorzOCR-Identity-H"/>
          <w:color w:val="auto"/>
          <w:sz w:val="24"/>
          <w:szCs w:val="24"/>
          <w:highlight w:val="none"/>
          <w:lang w:val="en-US" w:eastAsia="zh-CN"/>
        </w:rPr>
        <w:t>建筑与市政工程绿色施工评价标准</w:t>
      </w:r>
      <w:r>
        <w:rPr>
          <w:rFonts w:hint="eastAsia" w:ascii="Times New Roman" w:hAnsi="HiddenHorzOCR-Identity-H"/>
          <w:color w:val="auto"/>
          <w:sz w:val="24"/>
          <w:szCs w:val="24"/>
          <w:highlight w:val="none"/>
        </w:rPr>
        <w:t>》</w:t>
      </w:r>
      <w:r>
        <w:rPr>
          <w:rFonts w:hint="eastAsia" w:ascii="Times New Roman" w:hAnsi="HiddenHorzOCR-Identity-H" w:eastAsia="宋体"/>
          <w:color w:val="auto"/>
          <w:sz w:val="24"/>
          <w:szCs w:val="24"/>
          <w:highlight w:val="none"/>
        </w:rPr>
        <w:t>GB/T</w:t>
      </w:r>
      <w:r>
        <w:rPr>
          <w:rFonts w:hint="eastAsia" w:ascii="Times New Roman" w:hAnsi="HiddenHorzOCR-Identity-H" w:eastAsia="宋体"/>
          <w:color w:val="auto"/>
          <w:spacing w:val="0"/>
          <w:sz w:val="24"/>
          <w:szCs w:val="24"/>
          <w:highlight w:val="none"/>
        </w:rPr>
        <w:t xml:space="preserve"> </w:t>
      </w:r>
      <w:r>
        <w:rPr>
          <w:rFonts w:hint="eastAsia" w:ascii="Times New Roman" w:hAnsi="HiddenHorzOCR-Identity-H" w:eastAsia="宋体"/>
          <w:color w:val="auto"/>
          <w:sz w:val="24"/>
          <w:szCs w:val="24"/>
          <w:highlight w:val="none"/>
        </w:rPr>
        <w:t>50640</w:t>
      </w:r>
      <w:r>
        <w:rPr>
          <w:rFonts w:hint="eastAsia" w:ascii="Times New Roman" w:hAnsi="HiddenHorzOCR-Identity-H" w:eastAsia="宋体"/>
          <w:color w:val="auto"/>
          <w:spacing w:val="0"/>
          <w:sz w:val="24"/>
          <w:szCs w:val="24"/>
          <w:highlight w:val="none"/>
        </w:rPr>
        <w:t xml:space="preserve"> </w:t>
      </w:r>
      <w:r>
        <w:rPr>
          <w:rFonts w:hint="eastAsia" w:ascii="Times New Roman" w:hAnsi="HiddenHorzOCR-Identity-H"/>
          <w:color w:val="auto"/>
          <w:sz w:val="24"/>
          <w:szCs w:val="24"/>
          <w:highlight w:val="none"/>
        </w:rPr>
        <w:t>和《建筑垃圾处理技术规范》</w:t>
      </w:r>
      <w:r>
        <w:rPr>
          <w:rFonts w:hint="eastAsia" w:ascii="Times New Roman" w:hAnsi="HiddenHorzOCR-Identity-H" w:eastAsia="宋体"/>
          <w:color w:val="auto"/>
          <w:sz w:val="24"/>
          <w:szCs w:val="24"/>
          <w:highlight w:val="none"/>
        </w:rPr>
        <w:t>CJJ/T</w:t>
      </w:r>
      <w:r>
        <w:rPr>
          <w:rFonts w:hint="eastAsia" w:ascii="Times New Roman" w:hAnsi="HiddenHorzOCR-Identity-H" w:eastAsia="宋体"/>
          <w:color w:val="auto"/>
          <w:spacing w:val="0"/>
          <w:sz w:val="24"/>
          <w:szCs w:val="24"/>
          <w:highlight w:val="none"/>
        </w:rPr>
        <w:t xml:space="preserve"> </w:t>
      </w:r>
      <w:r>
        <w:rPr>
          <w:rFonts w:hint="eastAsia" w:ascii="Times New Roman" w:hAnsi="HiddenHorzOCR-Identity-H" w:eastAsia="宋体"/>
          <w:color w:val="auto"/>
          <w:sz w:val="24"/>
          <w:szCs w:val="24"/>
          <w:highlight w:val="none"/>
        </w:rPr>
        <w:t>134</w:t>
      </w:r>
      <w:r>
        <w:rPr>
          <w:rFonts w:hint="eastAsia" w:ascii="Times New Roman" w:hAnsi="HiddenHorzOCR-Identity-H"/>
          <w:color w:val="auto"/>
          <w:sz w:val="24"/>
          <w:szCs w:val="24"/>
          <w:highlight w:val="none"/>
        </w:rPr>
        <w:t>等现行国家和行业标准</w:t>
      </w:r>
      <w:r>
        <w:rPr>
          <w:rFonts w:hint="eastAsia" w:ascii="Times New Roman" w:hAnsi="HiddenHorzOCR-Identity-H"/>
          <w:color w:val="auto"/>
          <w:sz w:val="24"/>
          <w:szCs w:val="24"/>
          <w:highlight w:val="none"/>
          <w:lang w:val="en-US" w:eastAsia="zh-CN"/>
        </w:rPr>
        <w:t>有关规定</w:t>
      </w:r>
      <w:r>
        <w:rPr>
          <w:rFonts w:hint="eastAsia" w:ascii="Times New Roman" w:hAnsi="HiddenHorzOCR-Identity-H"/>
          <w:color w:val="auto"/>
          <w:sz w:val="24"/>
          <w:szCs w:val="24"/>
          <w:highlight w:val="none"/>
        </w:rPr>
        <w:t>，制定绿色</w:t>
      </w:r>
      <w:r>
        <w:rPr>
          <w:rFonts w:hint="eastAsia" w:ascii="Times New Roman" w:hAnsi="HiddenHorzOCR-Identity-H"/>
          <w:color w:val="auto"/>
          <w:spacing w:val="0"/>
          <w:sz w:val="24"/>
          <w:szCs w:val="24"/>
          <w:highlight w:val="none"/>
        </w:rPr>
        <w:t>施工组织方案，合理配置资源要素，优化工艺流程，并按照方案</w:t>
      </w:r>
      <w:r>
        <w:rPr>
          <w:rFonts w:hint="eastAsia" w:ascii="Times New Roman" w:hAnsi="HiddenHorzOCR-Identity-H"/>
          <w:color w:val="auto"/>
          <w:sz w:val="24"/>
          <w:szCs w:val="24"/>
          <w:highlight w:val="none"/>
        </w:rPr>
        <w:t>组织施工，保证工程质量，确保建筑垃圾减量可控。</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 xml:space="preserve">4.3.3 </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施工单位应制定</w:t>
      </w:r>
      <w:r>
        <w:rPr>
          <w:rFonts w:hint="eastAsia" w:ascii="Times New Roman" w:hAnsi="HiddenHorzOCR-Identity-H"/>
          <w:b w:val="0"/>
          <w:bCs w:val="0"/>
          <w:color w:val="auto"/>
          <w:sz w:val="24"/>
          <w:szCs w:val="24"/>
          <w:highlight w:val="none"/>
          <w:u w:val="none"/>
          <w:lang w:val="en-US" w:eastAsia="zh-CN"/>
        </w:rPr>
        <w:t>建筑垃圾处理方案，</w:t>
      </w:r>
      <w:r>
        <w:rPr>
          <w:rFonts w:hint="eastAsia" w:ascii="Times New Roman" w:hAnsi="HiddenHorzOCR-Identity-H"/>
          <w:color w:val="auto"/>
          <w:spacing w:val="0"/>
          <w:sz w:val="24"/>
          <w:szCs w:val="24"/>
          <w:highlight w:val="none"/>
        </w:rPr>
        <w:t>包括建筑垃圾类别、数量预估、分类处置途径、排放控制和就近利用等内容，确定减量化目标，明确职责分工，</w:t>
      </w:r>
      <w:r>
        <w:rPr>
          <w:rFonts w:hint="eastAsia" w:ascii="Times New Roman" w:hAnsi="HiddenHorzOCR-Identity-H"/>
          <w:color w:val="auto"/>
          <w:sz w:val="24"/>
          <w:szCs w:val="24"/>
          <w:highlight w:val="none"/>
        </w:rPr>
        <w:t>结合工程实际制定有针对性的管理和保障措施。</w:t>
      </w:r>
      <w:r>
        <w:rPr>
          <w:rFonts w:hint="eastAsia" w:ascii="Times New Roman" w:hAnsi="HiddenHorzOCR-Identity-H"/>
          <w:strike w:val="0"/>
          <w:color w:val="auto"/>
          <w:sz w:val="24"/>
          <w:szCs w:val="24"/>
          <w:highlight w:val="none"/>
        </w:rPr>
        <w:t>监理单位应审核</w:t>
      </w:r>
      <w:r>
        <w:rPr>
          <w:rFonts w:hint="eastAsia" w:ascii="Times New Roman" w:hAnsi="HiddenHorzOCR-Identity-H"/>
          <w:b w:val="0"/>
          <w:bCs w:val="0"/>
          <w:strike w:val="0"/>
          <w:color w:val="auto"/>
          <w:sz w:val="24"/>
          <w:szCs w:val="24"/>
          <w:highlight w:val="none"/>
          <w:u w:val="none"/>
          <w:lang w:val="en-US" w:eastAsia="zh-CN"/>
        </w:rPr>
        <w:t>建筑垃圾处理方案</w:t>
      </w:r>
      <w:r>
        <w:rPr>
          <w:rFonts w:hint="eastAsia" w:ascii="Times New Roman" w:hAnsi="HiddenHorzOCR-Identity-H"/>
          <w:strike w:val="0"/>
          <w:color w:val="auto"/>
          <w:sz w:val="24"/>
          <w:szCs w:val="24"/>
          <w:highlight w:val="none"/>
        </w:rPr>
        <w:t>并监督落实。</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textAlignment w:val="auto"/>
        <w:rPr>
          <w:rFonts w:hint="eastAsia" w:ascii="楷体" w:hAnsi="楷体" w:eastAsia="楷体" w:cs="Times New Roman"/>
          <w:b w:val="0"/>
          <w:bCs w:val="0"/>
          <w:sz w:val="24"/>
          <w:szCs w:val="24"/>
          <w:lang w:val="en-US" w:eastAsia="zh-CN"/>
        </w:rPr>
      </w:pPr>
      <w:r>
        <w:rPr>
          <w:rFonts w:hint="eastAsia" w:ascii="楷体" w:hAnsi="楷体" w:eastAsia="楷体" w:cs="Times New Roman"/>
          <w:b w:val="0"/>
          <w:bCs w:val="0"/>
          <w:sz w:val="24"/>
          <w:szCs w:val="24"/>
        </w:rPr>
        <w:t>【条文说明】施工单位在总体施工组织设计和主要施工方案确定后，需编制施工现场</w:t>
      </w:r>
      <w:r>
        <w:rPr>
          <w:rFonts w:hint="eastAsia" w:ascii="楷体" w:hAnsi="楷体" w:eastAsia="楷体"/>
          <w:b w:val="0"/>
          <w:bCs w:val="0"/>
          <w:color w:val="auto"/>
          <w:sz w:val="24"/>
          <w:szCs w:val="24"/>
          <w:highlight w:val="none"/>
          <w:u w:val="none"/>
          <w:lang w:val="en-US" w:eastAsia="zh-CN"/>
        </w:rPr>
        <w:t>建筑垃圾处理方案</w:t>
      </w:r>
      <w:r>
        <w:rPr>
          <w:rFonts w:hint="eastAsia" w:ascii="楷体" w:hAnsi="楷体" w:eastAsia="楷体" w:cs="Times New Roman"/>
          <w:b w:val="0"/>
          <w:bCs w:val="0"/>
          <w:sz w:val="24"/>
          <w:szCs w:val="24"/>
        </w:rPr>
        <w:t>。</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480" w:firstLineChars="200"/>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rPr>
        <w:t>该方案中应包括</w:t>
      </w:r>
      <w:r>
        <w:rPr>
          <w:rFonts w:hint="default" w:ascii="Times New Roman" w:hAnsi="Times New Roman" w:eastAsia="楷体" w:cs="Times New Roman"/>
          <w:b w:val="0"/>
          <w:bCs w:val="0"/>
          <w:color w:val="auto"/>
          <w:sz w:val="24"/>
          <w:szCs w:val="24"/>
          <w:highlight w:val="none"/>
          <w:lang w:val="en-US" w:eastAsia="zh-CN"/>
        </w:rPr>
        <w:t>1、项目概况</w:t>
      </w:r>
      <w:r>
        <w:rPr>
          <w:rFonts w:hint="default" w:ascii="Times New Roman" w:hAnsi="Times New Roman" w:eastAsia="楷体" w:cs="Times New Roman"/>
          <w:b w:val="0"/>
          <w:bCs w:val="0"/>
          <w:sz w:val="24"/>
          <w:szCs w:val="24"/>
          <w:lang w:val="en-US" w:eastAsia="zh-CN"/>
        </w:rPr>
        <w:t>；</w:t>
      </w:r>
      <w:r>
        <w:rPr>
          <w:rFonts w:hint="default" w:ascii="Times New Roman" w:hAnsi="Times New Roman" w:eastAsia="楷体" w:cs="Times New Roman"/>
          <w:b w:val="0"/>
          <w:bCs w:val="0"/>
          <w:color w:val="auto"/>
          <w:sz w:val="24"/>
          <w:szCs w:val="24"/>
          <w:highlight w:val="none"/>
          <w:lang w:val="en-US" w:eastAsia="zh-CN"/>
        </w:rPr>
        <w:t>2、</w:t>
      </w:r>
      <w:r>
        <w:rPr>
          <w:rFonts w:hint="default" w:ascii="Times New Roman" w:hAnsi="Times New Roman" w:eastAsia="楷体" w:cs="Times New Roman"/>
          <w:color w:val="auto"/>
          <w:sz w:val="24"/>
          <w:szCs w:val="24"/>
          <w:highlight w:val="none"/>
          <w:lang w:val="en-US"/>
        </w:rPr>
        <w:t>建筑垃圾</w:t>
      </w:r>
      <w:r>
        <w:rPr>
          <w:rFonts w:hint="default" w:ascii="Times New Roman" w:hAnsi="Times New Roman" w:eastAsia="楷体" w:cs="Times New Roman"/>
          <w:color w:val="auto"/>
          <w:sz w:val="24"/>
          <w:szCs w:val="24"/>
          <w:highlight w:val="none"/>
        </w:rPr>
        <w:t>产生种类、数量及周期</w:t>
      </w:r>
      <w:r>
        <w:rPr>
          <w:rFonts w:hint="default" w:ascii="Times New Roman" w:hAnsi="Times New Roman" w:eastAsia="楷体" w:cs="Times New Roman"/>
          <w:sz w:val="24"/>
          <w:szCs w:val="24"/>
          <w:lang w:eastAsia="zh-CN"/>
        </w:rPr>
        <w:t>；</w:t>
      </w:r>
      <w:r>
        <w:rPr>
          <w:rFonts w:hint="default" w:ascii="Times New Roman" w:hAnsi="Times New Roman" w:eastAsia="楷体" w:cs="Times New Roman"/>
          <w:color w:val="auto"/>
          <w:sz w:val="24"/>
          <w:szCs w:val="24"/>
          <w:highlight w:val="none"/>
          <w:lang w:val="en-US" w:eastAsia="zh-CN"/>
        </w:rPr>
        <w:t>3、工程施工现场管理</w:t>
      </w:r>
      <w:r>
        <w:rPr>
          <w:rFonts w:hint="default" w:ascii="Times New Roman" w:hAnsi="Times New Roman" w:eastAsia="楷体" w:cs="Times New Roman"/>
          <w:sz w:val="24"/>
          <w:szCs w:val="24"/>
          <w:lang w:val="en-US" w:eastAsia="zh-CN"/>
        </w:rPr>
        <w:t>；</w:t>
      </w:r>
      <w:r>
        <w:rPr>
          <w:rFonts w:hint="default" w:ascii="Times New Roman" w:hAnsi="Times New Roman" w:eastAsia="楷体" w:cs="Times New Roman"/>
          <w:color w:val="auto"/>
          <w:sz w:val="24"/>
          <w:szCs w:val="24"/>
          <w:highlight w:val="none"/>
          <w:lang w:val="en-US" w:eastAsia="zh-CN"/>
        </w:rPr>
        <w:t>4、建筑垃圾运输方案</w:t>
      </w:r>
      <w:r>
        <w:rPr>
          <w:rFonts w:hint="default" w:ascii="Times New Roman" w:hAnsi="Times New Roman" w:eastAsia="楷体" w:cs="Times New Roman"/>
          <w:sz w:val="24"/>
          <w:szCs w:val="24"/>
          <w:lang w:val="en-US" w:eastAsia="zh-CN"/>
        </w:rPr>
        <w:t>；</w:t>
      </w:r>
      <w:r>
        <w:rPr>
          <w:rFonts w:hint="default" w:ascii="Times New Roman" w:hAnsi="Times New Roman" w:eastAsia="楷体" w:cs="Times New Roman"/>
          <w:color w:val="auto"/>
          <w:sz w:val="24"/>
          <w:szCs w:val="24"/>
          <w:highlight w:val="none"/>
          <w:lang w:val="en-US" w:eastAsia="zh-CN"/>
        </w:rPr>
        <w:t>5、建筑垃圾处置方案</w:t>
      </w:r>
      <w:r>
        <w:rPr>
          <w:rFonts w:hint="default" w:ascii="Times New Roman" w:hAnsi="Times New Roman" w:eastAsia="楷体" w:cs="Times New Roman"/>
          <w:sz w:val="24"/>
          <w:szCs w:val="24"/>
          <w:lang w:val="en-US" w:eastAsia="zh-CN"/>
        </w:rPr>
        <w:t>；</w:t>
      </w:r>
      <w:r>
        <w:rPr>
          <w:rFonts w:hint="default" w:ascii="Times New Roman" w:hAnsi="Times New Roman" w:eastAsia="楷体" w:cs="Times New Roman"/>
          <w:color w:val="auto"/>
          <w:sz w:val="24"/>
          <w:szCs w:val="24"/>
          <w:highlight w:val="none"/>
          <w:lang w:val="en-US" w:eastAsia="zh-CN"/>
        </w:rPr>
        <w:t>6、施工现场管理保障措施</w:t>
      </w:r>
      <w:r>
        <w:rPr>
          <w:rFonts w:hint="default" w:ascii="Times New Roman" w:hAnsi="Times New Roman" w:eastAsia="楷体" w:cs="Times New Roman"/>
          <w:sz w:val="24"/>
          <w:szCs w:val="24"/>
          <w:lang w:val="en-US" w:eastAsia="zh-CN"/>
        </w:rPr>
        <w:t>；</w:t>
      </w:r>
      <w:r>
        <w:rPr>
          <w:rFonts w:hint="default" w:ascii="Times New Roman" w:hAnsi="Times New Roman" w:eastAsia="楷体" w:cs="Times New Roman"/>
          <w:color w:val="auto"/>
          <w:sz w:val="24"/>
          <w:szCs w:val="24"/>
          <w:highlight w:val="none"/>
          <w:lang w:val="en-US" w:eastAsia="zh-CN"/>
        </w:rPr>
        <w:t>7、施工现场收尾工作</w:t>
      </w:r>
      <w:r>
        <w:rPr>
          <w:rFonts w:hint="default" w:ascii="Times New Roman" w:hAnsi="Times New Roman" w:eastAsia="楷体" w:cs="Times New Roman"/>
          <w:b w:val="0"/>
          <w:bCs w:val="0"/>
          <w:sz w:val="24"/>
          <w:szCs w:val="24"/>
        </w:rPr>
        <w:t>等</w:t>
      </w:r>
      <w:r>
        <w:rPr>
          <w:rFonts w:hint="default" w:ascii="Times New Roman" w:hAnsi="Times New Roman" w:eastAsia="楷体" w:cs="Times New Roman"/>
          <w:b w:val="0"/>
          <w:bCs w:val="0"/>
          <w:sz w:val="24"/>
          <w:szCs w:val="24"/>
          <w:lang w:val="en-US" w:eastAsia="zh-CN"/>
        </w:rPr>
        <w:t>部分</w:t>
      </w:r>
      <w:r>
        <w:rPr>
          <w:rFonts w:hint="default" w:ascii="Times New Roman" w:hAnsi="Times New Roman" w:eastAsia="楷体" w:cs="Times New Roman"/>
          <w:b w:val="0"/>
          <w:bCs w:val="0"/>
          <w:sz w:val="24"/>
          <w:szCs w:val="24"/>
        </w:rPr>
        <w:t>。</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4.3.4</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施工单位</w:t>
      </w:r>
      <w:r>
        <w:rPr>
          <w:rFonts w:hint="eastAsia" w:ascii="Times New Roman" w:hAnsi="HiddenHorzOCR-Identity-H"/>
          <w:color w:val="auto"/>
          <w:sz w:val="24"/>
          <w:szCs w:val="24"/>
          <w:highlight w:val="none"/>
          <w:lang w:val="en-US" w:eastAsia="zh-CN"/>
        </w:rPr>
        <w:t>对</w:t>
      </w:r>
      <w:r>
        <w:rPr>
          <w:rFonts w:hint="eastAsia" w:ascii="Times New Roman" w:hAnsi="HiddenHorzOCR-Identity-H"/>
          <w:color w:val="auto"/>
          <w:sz w:val="24"/>
          <w:szCs w:val="24"/>
          <w:highlight w:val="none"/>
        </w:rPr>
        <w:t>施工现场建筑垃圾的源头减量应通过施工</w:t>
      </w:r>
      <w:r>
        <w:rPr>
          <w:rFonts w:hint="eastAsia" w:ascii="Times New Roman" w:hAnsi="HiddenHorzOCR-Identity-H"/>
          <w:color w:val="auto"/>
          <w:spacing w:val="0"/>
          <w:sz w:val="24"/>
          <w:szCs w:val="24"/>
          <w:highlight w:val="none"/>
        </w:rPr>
        <w:t>方案优化、先进建造技术、周转材料重复利用、施工</w:t>
      </w:r>
      <w:r>
        <w:rPr>
          <w:rFonts w:hint="eastAsia" w:ascii="Times New Roman" w:hAnsi="HiddenHorzOCR-Identity-H"/>
          <w:color w:val="auto"/>
          <w:sz w:val="24"/>
          <w:szCs w:val="24"/>
          <w:highlight w:val="none"/>
        </w:rPr>
        <w:t>过程管理等措施，达到施工过程减量化目标。</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 xml:space="preserve">4.3.5 </w:t>
      </w:r>
      <w:r>
        <w:rPr>
          <w:rFonts w:hint="eastAsia" w:ascii="Times New Roman" w:hAnsi="HiddenHorzOCR-Identity-H"/>
          <w:color w:val="auto"/>
          <w:sz w:val="24"/>
          <w:szCs w:val="24"/>
          <w:highlight w:val="none"/>
          <w:lang w:val="en-US" w:eastAsia="zh-CN"/>
        </w:rPr>
        <w:t xml:space="preserve"> 建筑</w:t>
      </w:r>
      <w:r>
        <w:rPr>
          <w:rFonts w:hint="eastAsia" w:ascii="Times New Roman" w:hAnsi="HiddenHorzOCR-Identity-H"/>
          <w:color w:val="auto"/>
          <w:sz w:val="24"/>
          <w:szCs w:val="24"/>
          <w:highlight w:val="none"/>
        </w:rPr>
        <w:t>材料</w:t>
      </w:r>
      <w:r>
        <w:rPr>
          <w:rFonts w:hint="eastAsia" w:ascii="Times New Roman" w:hAnsi="HiddenHorzOCR-Identity-H"/>
          <w:color w:val="auto"/>
          <w:sz w:val="24"/>
          <w:szCs w:val="24"/>
          <w:highlight w:val="none"/>
          <w:lang w:eastAsia="zh-CN"/>
        </w:rPr>
        <w:t>（</w:t>
      </w:r>
      <w:r>
        <w:rPr>
          <w:rFonts w:hint="eastAsia" w:ascii="Times New Roman" w:hAnsi="HiddenHorzOCR-Identity-H"/>
          <w:color w:val="auto"/>
          <w:sz w:val="24"/>
          <w:szCs w:val="24"/>
          <w:highlight w:val="none"/>
        </w:rPr>
        <w:t>产品</w:t>
      </w:r>
      <w:r>
        <w:rPr>
          <w:rFonts w:hint="eastAsia" w:ascii="Times New Roman" w:hAnsi="HiddenHorzOCR-Identity-H"/>
          <w:color w:val="auto"/>
          <w:sz w:val="24"/>
          <w:szCs w:val="24"/>
          <w:highlight w:val="none"/>
          <w:lang w:eastAsia="zh-CN"/>
        </w:rPr>
        <w:t>）</w:t>
      </w:r>
      <w:r>
        <w:rPr>
          <w:rFonts w:hint="eastAsia" w:ascii="Times New Roman" w:hAnsi="HiddenHorzOCR-Identity-H"/>
          <w:color w:val="auto"/>
          <w:sz w:val="24"/>
          <w:szCs w:val="24"/>
          <w:highlight w:val="none"/>
        </w:rPr>
        <w:t>供应单位</w:t>
      </w:r>
      <w:r>
        <w:rPr>
          <w:rFonts w:hint="eastAsia" w:ascii="Times New Roman" w:hAnsi="HiddenHorzOCR-Identity-H"/>
          <w:color w:val="auto"/>
          <w:sz w:val="24"/>
          <w:szCs w:val="24"/>
          <w:highlight w:val="none"/>
          <w:lang w:val="en-US" w:eastAsia="zh-CN"/>
        </w:rPr>
        <w:t>宜</w:t>
      </w:r>
      <w:r>
        <w:rPr>
          <w:rFonts w:hint="eastAsia" w:ascii="Times New Roman" w:hAnsi="HiddenHorzOCR-Identity-H"/>
          <w:color w:val="auto"/>
          <w:sz w:val="24"/>
          <w:szCs w:val="24"/>
          <w:highlight w:val="none"/>
        </w:rPr>
        <w:t>采取相应措施，减少原材料的过度包装。</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4.3.6</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施工单位应根据工程建设的进度，对使用材料的进</w:t>
      </w:r>
      <w:r>
        <w:rPr>
          <w:rFonts w:hint="eastAsia" w:ascii="Times New Roman" w:hAnsi="HiddenHorzOCR-Identity-H"/>
          <w:color w:val="auto"/>
          <w:spacing w:val="0"/>
          <w:sz w:val="24"/>
          <w:szCs w:val="24"/>
          <w:highlight w:val="none"/>
        </w:rPr>
        <w:t>场时间和批量、</w:t>
      </w:r>
      <w:r>
        <w:rPr>
          <w:rFonts w:hint="eastAsia" w:ascii="Times New Roman" w:hAnsi="HiddenHorzOCR-Identity-H"/>
          <w:color w:val="auto"/>
          <w:spacing w:val="0"/>
          <w:sz w:val="24"/>
          <w:szCs w:val="24"/>
          <w:highlight w:val="none"/>
          <w:lang w:val="en-US" w:eastAsia="zh-CN"/>
        </w:rPr>
        <w:t>存放等</w:t>
      </w:r>
      <w:r>
        <w:rPr>
          <w:rFonts w:hint="eastAsia" w:ascii="Times New Roman" w:hAnsi="HiddenHorzOCR-Identity-H"/>
          <w:color w:val="auto"/>
          <w:spacing w:val="0"/>
          <w:sz w:val="24"/>
          <w:szCs w:val="24"/>
          <w:highlight w:val="none"/>
        </w:rPr>
        <w:t>进行统筹安排，降低材料损耗</w:t>
      </w:r>
      <w:r>
        <w:rPr>
          <w:rFonts w:hint="eastAsia" w:ascii="Times New Roman" w:hAnsi="HiddenHorzOCR-Identity-H"/>
          <w:color w:val="auto"/>
          <w:sz w:val="24"/>
          <w:szCs w:val="24"/>
          <w:highlight w:val="none"/>
        </w:rPr>
        <w:t>率。</w:t>
      </w:r>
    </w:p>
    <w:p>
      <w:pPr>
        <w:pStyle w:val="12"/>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left="0" w:right="0" w:firstLine="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 xml:space="preserve">4.3.7 </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施工单位应根据场地条件，</w:t>
      </w:r>
      <w:r>
        <w:rPr>
          <w:rFonts w:hint="eastAsia" w:ascii="Times New Roman" w:hAnsi="HiddenHorzOCR-Identity-H"/>
          <w:color w:val="auto"/>
          <w:sz w:val="24"/>
          <w:szCs w:val="24"/>
          <w:highlight w:val="none"/>
          <w:lang w:val="en-US" w:eastAsia="zh-CN"/>
        </w:rPr>
        <w:t>在</w:t>
      </w:r>
      <w:r>
        <w:rPr>
          <w:rFonts w:hint="eastAsia" w:ascii="Times New Roman" w:hAnsi="HiddenHorzOCR-Identity-H"/>
          <w:color w:val="auto"/>
          <w:sz w:val="24"/>
          <w:szCs w:val="24"/>
          <w:highlight w:val="none"/>
        </w:rPr>
        <w:t>具备建筑垃圾就地</w:t>
      </w:r>
      <w:r>
        <w:rPr>
          <w:rFonts w:hint="eastAsia" w:ascii="Times New Roman" w:hAnsi="HiddenHorzOCR-Identity-H"/>
          <w:color w:val="auto"/>
          <w:sz w:val="24"/>
          <w:szCs w:val="24"/>
          <w:highlight w:val="none"/>
          <w:lang w:val="en-US" w:eastAsia="zh-CN"/>
        </w:rPr>
        <w:t>资源化处置</w:t>
      </w:r>
      <w:r>
        <w:rPr>
          <w:rFonts w:hint="eastAsia" w:ascii="Times New Roman" w:hAnsi="HiddenHorzOCR-Identity-H"/>
          <w:color w:val="auto"/>
          <w:sz w:val="24"/>
          <w:szCs w:val="24"/>
          <w:highlight w:val="none"/>
        </w:rPr>
        <w:t>能力的项目合理设置建筑垃圾加工区及产品储存区。</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 xml:space="preserve">4.3.8 </w:t>
      </w:r>
      <w:r>
        <w:rPr>
          <w:rFonts w:hint="eastAsia" w:ascii="Times New Roman" w:hAnsi="HiddenHorzOCR-Identity-H"/>
          <w:color w:val="auto"/>
          <w:sz w:val="24"/>
          <w:szCs w:val="24"/>
          <w:highlight w:val="none"/>
          <w:lang w:val="en-US" w:eastAsia="zh-CN"/>
        </w:rPr>
        <w:t xml:space="preserve"> 施工单位在</w:t>
      </w:r>
      <w:r>
        <w:rPr>
          <w:rFonts w:hint="eastAsia" w:ascii="Times New Roman" w:hAnsi="HiddenHorzOCR-Identity-H"/>
          <w:color w:val="auto"/>
          <w:sz w:val="24"/>
          <w:szCs w:val="24"/>
          <w:highlight w:val="none"/>
        </w:rPr>
        <w:t>施工过程</w:t>
      </w:r>
      <w:r>
        <w:rPr>
          <w:rFonts w:hint="eastAsia" w:ascii="Times New Roman" w:hAnsi="HiddenHorzOCR-Identity-H"/>
          <w:color w:val="auto"/>
          <w:sz w:val="24"/>
          <w:szCs w:val="24"/>
          <w:highlight w:val="none"/>
          <w:lang w:val="en-US" w:eastAsia="zh-CN"/>
        </w:rPr>
        <w:t>中应</w:t>
      </w:r>
      <w:r>
        <w:rPr>
          <w:rFonts w:hint="eastAsia" w:ascii="Times New Roman" w:hAnsi="HiddenHorzOCR-Identity-H"/>
          <w:color w:val="auto"/>
          <w:sz w:val="24"/>
          <w:szCs w:val="24"/>
          <w:highlight w:val="none"/>
        </w:rPr>
        <w:t>实施建筑垃圾的分类收集、分类堆存，</w:t>
      </w:r>
      <w:r>
        <w:rPr>
          <w:rFonts w:hint="eastAsia" w:ascii="Times New Roman" w:hAnsi="HiddenHorzOCR-Identity-H"/>
          <w:color w:val="auto"/>
          <w:sz w:val="24"/>
          <w:szCs w:val="24"/>
          <w:highlight w:val="none"/>
          <w:lang w:val="en-US" w:eastAsia="zh-CN"/>
        </w:rPr>
        <w:t>以</w:t>
      </w:r>
      <w:r>
        <w:rPr>
          <w:rFonts w:hint="eastAsia" w:ascii="Times New Roman" w:hAnsi="HiddenHorzOCR-Identity-H"/>
          <w:color w:val="auto"/>
          <w:sz w:val="24"/>
          <w:szCs w:val="24"/>
          <w:highlight w:val="none"/>
        </w:rPr>
        <w:t>提高</w:t>
      </w:r>
      <w:r>
        <w:rPr>
          <w:rFonts w:hint="eastAsia" w:ascii="Times New Roman" w:hAnsi="HiddenHorzOCR-Identity-H"/>
          <w:color w:val="auto"/>
          <w:sz w:val="24"/>
          <w:szCs w:val="24"/>
          <w:highlight w:val="none"/>
          <w:lang w:val="en-US" w:eastAsia="zh-CN"/>
        </w:rPr>
        <w:t>建筑垃圾</w:t>
      </w:r>
      <w:r>
        <w:rPr>
          <w:rFonts w:hint="eastAsia" w:ascii="Times New Roman" w:hAnsi="HiddenHorzOCR-Identity-H"/>
          <w:color w:val="auto"/>
          <w:sz w:val="24"/>
          <w:szCs w:val="24"/>
          <w:highlight w:val="none"/>
        </w:rPr>
        <w:t>处理和利用效率。</w:t>
      </w:r>
    </w:p>
    <w:p>
      <w:pPr>
        <w:pStyle w:val="12"/>
        <w:keepNext w:val="0"/>
        <w:keepLines w:val="0"/>
        <w:pageBreakBefore w:val="0"/>
        <w:numPr>
          <w:ilvl w:val="-1"/>
          <w:numId w:val="0"/>
        </w:numPr>
        <w:kinsoku/>
        <w:wordWrap/>
        <w:overflowPunct/>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eastAsia="宋体" w:cs="Times New Roman"/>
          <w:color w:val="auto"/>
          <w:kern w:val="2"/>
          <w:sz w:val="24"/>
          <w:szCs w:val="24"/>
          <w:highlight w:val="none"/>
          <w:lang w:val="en-US" w:eastAsia="zh-CN" w:bidi="ar"/>
        </w:rPr>
      </w:pPr>
      <w:r>
        <w:rPr>
          <w:rFonts w:hint="eastAsia" w:ascii="Times New Roman" w:hAnsi="HiddenHorzOCR-Identity-H"/>
          <w:b/>
          <w:bCs/>
          <w:color w:val="auto"/>
          <w:sz w:val="24"/>
          <w:szCs w:val="24"/>
          <w:highlight w:val="none"/>
          <w:u w:val="none"/>
          <w:lang w:val="en-US" w:eastAsia="zh-CN"/>
        </w:rPr>
        <w:t>4.3.9</w:t>
      </w:r>
      <w:r>
        <w:rPr>
          <w:rFonts w:hint="eastAsia" w:ascii="Times New Roman" w:hAnsi="HiddenHorzOCR-Identity-H"/>
          <w:color w:val="auto"/>
          <w:sz w:val="24"/>
          <w:szCs w:val="24"/>
          <w:highlight w:val="none"/>
          <w:lang w:val="en-US" w:eastAsia="zh-CN"/>
        </w:rPr>
        <w:t xml:space="preserve">  施工单位在</w:t>
      </w:r>
      <w:r>
        <w:rPr>
          <w:rFonts w:hint="eastAsia" w:ascii="Times New Roman" w:hAnsi="HiddenHorzOCR-Identity-H"/>
          <w:color w:val="auto"/>
          <w:sz w:val="24"/>
          <w:szCs w:val="24"/>
          <w:highlight w:val="none"/>
        </w:rPr>
        <w:t>施工过程</w:t>
      </w:r>
      <w:r>
        <w:rPr>
          <w:rFonts w:hint="eastAsia" w:ascii="Times New Roman" w:hAnsi="HiddenHorzOCR-Identity-H"/>
          <w:color w:val="auto"/>
          <w:sz w:val="24"/>
          <w:szCs w:val="24"/>
          <w:highlight w:val="none"/>
          <w:lang w:val="en-US" w:eastAsia="zh-CN"/>
        </w:rPr>
        <w:t>中</w:t>
      </w:r>
      <w:r>
        <w:rPr>
          <w:rFonts w:hint="eastAsia" w:ascii="Times New Roman" w:hAnsi="HiddenHorzOCR-Identity-H"/>
          <w:color w:val="auto"/>
          <w:sz w:val="24"/>
          <w:szCs w:val="24"/>
          <w:highlight w:val="none"/>
        </w:rPr>
        <w:t>应开展精准施工和标准化施工，尽量减少因施工不当导致的后续剔凿、切割和返工作业产生建筑垃圾。</w:t>
      </w:r>
      <w:r>
        <w:rPr>
          <w:rFonts w:hint="eastAsia" w:ascii="Times New Roman" w:hAnsi="HiddenHorzOCR-Identity-H" w:eastAsia="宋体" w:cs="Times New Roman"/>
          <w:color w:val="auto"/>
          <w:kern w:val="2"/>
          <w:sz w:val="24"/>
          <w:szCs w:val="24"/>
          <w:highlight w:val="none"/>
          <w:lang w:val="en-US" w:eastAsia="zh-CN" w:bidi="ar"/>
        </w:rPr>
        <w:t>应结合施工工艺要求及管理人员实际施工经验，利用信息化手段进行预制下料排版及虚拟装配，进一步提升原材料整材利用率，精准投料</w:t>
      </w:r>
      <w:r>
        <w:rPr>
          <w:rFonts w:hint="eastAsia" w:ascii="Times New Roman" w:hAnsi="HiddenHorzOCR-Identity-H" w:cs="Times New Roman"/>
          <w:color w:val="auto"/>
          <w:kern w:val="2"/>
          <w:sz w:val="24"/>
          <w:szCs w:val="24"/>
          <w:highlight w:val="none"/>
          <w:lang w:val="en-US" w:eastAsia="zh-CN" w:bidi="ar"/>
        </w:rPr>
        <w:t>以</w:t>
      </w:r>
      <w:r>
        <w:rPr>
          <w:rFonts w:hint="eastAsia" w:ascii="Times New Roman" w:hAnsi="HiddenHorzOCR-Identity-H" w:eastAsia="宋体" w:cs="Times New Roman"/>
          <w:color w:val="auto"/>
          <w:kern w:val="2"/>
          <w:sz w:val="24"/>
          <w:szCs w:val="24"/>
          <w:highlight w:val="none"/>
          <w:lang w:val="en-US" w:eastAsia="zh-CN" w:bidi="ar"/>
        </w:rPr>
        <w:t>避免施工现场临时加工产生大量余料。</w:t>
      </w:r>
    </w:p>
    <w:p>
      <w:pPr>
        <w:pStyle w:val="12"/>
        <w:keepNext w:val="0"/>
        <w:keepLines w:val="0"/>
        <w:pageBreakBefore w:val="0"/>
        <w:numPr>
          <w:ilvl w:val="-1"/>
          <w:numId w:val="0"/>
        </w:numPr>
        <w:kinsoku/>
        <w:wordWrap/>
        <w:overflowPunct/>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4.3.10 </w:t>
      </w:r>
      <w:r>
        <w:rPr>
          <w:rFonts w:hint="eastAsia" w:ascii="Times New Roman" w:hAnsi="HiddenHorzOCR-Identity-H"/>
          <w:color w:val="auto"/>
          <w:sz w:val="24"/>
          <w:szCs w:val="24"/>
          <w:highlight w:val="none"/>
          <w:lang w:val="en-US" w:eastAsia="zh-CN"/>
        </w:rPr>
        <w:t xml:space="preserve"> 施工单位</w:t>
      </w:r>
      <w:r>
        <w:rPr>
          <w:rFonts w:hint="eastAsia" w:ascii="Times New Roman" w:hAnsi="HiddenHorzOCR-Identity-H"/>
          <w:color w:val="auto"/>
          <w:spacing w:val="0"/>
          <w:sz w:val="24"/>
          <w:szCs w:val="24"/>
          <w:highlight w:val="none"/>
          <w:lang w:val="en-US" w:eastAsia="zh-CN"/>
        </w:rPr>
        <w:t>宜</w:t>
      </w:r>
      <w:r>
        <w:rPr>
          <w:rFonts w:hint="eastAsia" w:ascii="Times New Roman" w:hAnsi="HiddenHorzOCR-Identity-H"/>
          <w:color w:val="auto"/>
          <w:spacing w:val="0"/>
          <w:sz w:val="24"/>
          <w:szCs w:val="24"/>
          <w:highlight w:val="none"/>
        </w:rPr>
        <w:t>结合物联网等信息化技术，建立健全施工现场建筑垃圾减量化全过程管理机制</w:t>
      </w:r>
      <w:r>
        <w:rPr>
          <w:rFonts w:hint="eastAsia" w:ascii="Times New Roman" w:hAnsi="HiddenHorzOCR-Identity-H"/>
          <w:color w:val="auto"/>
          <w:spacing w:val="0"/>
          <w:sz w:val="24"/>
          <w:szCs w:val="24"/>
          <w:highlight w:val="none"/>
          <w:lang w:eastAsia="zh-CN"/>
        </w:rPr>
        <w:t>；</w:t>
      </w:r>
      <w:r>
        <w:rPr>
          <w:rFonts w:hint="eastAsia" w:ascii="Times New Roman" w:hAnsi="HiddenHorzOCR-Identity-H"/>
          <w:color w:val="auto"/>
          <w:spacing w:val="0"/>
          <w:sz w:val="24"/>
          <w:szCs w:val="24"/>
          <w:highlight w:val="none"/>
          <w:lang w:val="en-US" w:eastAsia="zh-CN"/>
        </w:rPr>
        <w:t>宜</w:t>
      </w:r>
      <w:r>
        <w:rPr>
          <w:rFonts w:hint="eastAsia" w:ascii="Times New Roman" w:hAnsi="HiddenHorzOCR-Identity-H"/>
          <w:color w:val="auto"/>
          <w:spacing w:val="0"/>
          <w:sz w:val="24"/>
          <w:szCs w:val="24"/>
          <w:highlight w:val="none"/>
        </w:rPr>
        <w:t>采用智慧工地管理平台</w:t>
      </w:r>
      <w:r>
        <w:rPr>
          <w:rFonts w:hint="eastAsia" w:ascii="Times New Roman" w:hAnsi="HiddenHorzOCR-Identity-H"/>
          <w:color w:val="auto"/>
          <w:spacing w:val="0"/>
          <w:sz w:val="24"/>
          <w:szCs w:val="24"/>
          <w:highlight w:val="none"/>
          <w:lang w:eastAsia="zh-CN"/>
        </w:rPr>
        <w:t>，</w:t>
      </w:r>
      <w:r>
        <w:rPr>
          <w:rFonts w:hint="eastAsia" w:ascii="Times New Roman" w:hAnsi="HiddenHorzOCR-Identity-H"/>
          <w:color w:val="auto"/>
          <w:sz w:val="24"/>
          <w:szCs w:val="24"/>
          <w:highlight w:val="none"/>
          <w:lang w:val="en-US" w:eastAsia="zh-CN"/>
        </w:rPr>
        <w:t>结合建筑信息模型技术、物联网等信息化技术，实时统计并监控建筑垃圾的产生量</w:t>
      </w:r>
      <w:r>
        <w:rPr>
          <w:rFonts w:hint="eastAsia" w:ascii="Times New Roman" w:hAnsi="HiddenHorzOCR-Identity-H"/>
          <w:color w:val="auto"/>
          <w:spacing w:val="0"/>
          <w:sz w:val="24"/>
          <w:szCs w:val="24"/>
          <w:highlight w:val="none"/>
        </w:rPr>
        <w:t>，实现建筑</w:t>
      </w:r>
      <w:r>
        <w:rPr>
          <w:rFonts w:hint="eastAsia" w:ascii="Times New Roman" w:hAnsi="HiddenHorzOCR-Identity-H"/>
          <w:color w:val="auto"/>
          <w:sz w:val="24"/>
          <w:szCs w:val="24"/>
          <w:highlight w:val="none"/>
        </w:rPr>
        <w:t>垃圾减量化管理与施工现场各项管理的有机结合</w:t>
      </w:r>
      <w:r>
        <w:rPr>
          <w:rFonts w:hint="eastAsia" w:ascii="Times New Roman" w:hAnsi="HiddenHorzOCR-Identity-H"/>
          <w:color w:val="auto"/>
          <w:sz w:val="24"/>
          <w:szCs w:val="24"/>
          <w:highlight w:val="none"/>
          <w:lang w:val="en-US" w:eastAsia="zh-CN"/>
        </w:rPr>
        <w:t>。</w:t>
      </w:r>
    </w:p>
    <w:p>
      <w:pPr>
        <w:pStyle w:val="12"/>
        <w:keepNext w:val="0"/>
        <w:keepLines w:val="0"/>
        <w:pageBreakBefore w:val="0"/>
        <w:numPr>
          <w:ilvl w:val="-1"/>
          <w:numId w:val="0"/>
        </w:numPr>
        <w:kinsoku/>
        <w:wordWrap/>
        <w:overflowPunct/>
        <w:topLinePunct w:val="0"/>
        <w:autoSpaceDE/>
        <w:autoSpaceDN/>
        <w:bidi w:val="0"/>
        <w:adjustRightInd/>
        <w:snapToGrid/>
        <w:spacing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Times New Roman" w:hAnsi="HiddenHorzOCR-Identity-H"/>
          <w:b/>
          <w:bCs/>
          <w:color w:val="auto"/>
          <w:sz w:val="24"/>
          <w:szCs w:val="24"/>
          <w:highlight w:val="none"/>
          <w:u w:val="none"/>
          <w:lang w:val="en-US" w:eastAsia="zh-CN"/>
        </w:rPr>
        <w:t>4.3.11</w:t>
      </w:r>
      <w:r>
        <w:rPr>
          <w:rFonts w:hint="eastAsia"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rPr>
        <w:t>施工现场办公用房、宿舍、</w:t>
      </w:r>
      <w:r>
        <w:rPr>
          <w:rFonts w:hint="eastAsia" w:ascii="Times New Roman" w:hAnsi="HiddenHorzOCR-Identity-H"/>
          <w:color w:val="auto"/>
          <w:sz w:val="24"/>
          <w:szCs w:val="24"/>
          <w:highlight w:val="none"/>
          <w:lang w:val="en-US" w:eastAsia="zh-CN"/>
        </w:rPr>
        <w:t>停车场地、</w:t>
      </w:r>
      <w:r>
        <w:rPr>
          <w:rFonts w:hint="eastAsia" w:ascii="Times New Roman" w:hAnsi="HiddenHorzOCR-Identity-H"/>
          <w:color w:val="auto"/>
          <w:sz w:val="24"/>
          <w:szCs w:val="24"/>
          <w:highlight w:val="none"/>
        </w:rPr>
        <w:t>工地围挡、大门、工具棚、安全防护栏杆等，宜采用重复利用率高的标准化临时设施。</w:t>
      </w:r>
      <w:r>
        <w:rPr>
          <w:rFonts w:hint="eastAsia" w:ascii="Times New Roman" w:hAnsi="HiddenHorzOCR-Identity-H"/>
          <w:color w:val="auto"/>
          <w:sz w:val="24"/>
          <w:szCs w:val="24"/>
          <w:highlight w:val="none"/>
          <w:lang w:val="en-US" w:eastAsia="zh-CN"/>
        </w:rPr>
        <w:t>临时设施建设宜采用以建筑垃圾为原料的再生产品。</w:t>
      </w:r>
    </w:p>
    <w:p>
      <w:pPr>
        <w:pStyle w:val="12"/>
        <w:keepNext w:val="0"/>
        <w:keepLines w:val="0"/>
        <w:pageBreakBefore w:val="0"/>
        <w:kinsoku/>
        <w:wordWrap/>
        <w:overflowPunct/>
        <w:topLinePunct w:val="0"/>
        <w:autoSpaceDE/>
        <w:autoSpaceDN/>
        <w:bidi w:val="0"/>
        <w:adjustRightInd/>
        <w:snapToGrid/>
        <w:spacing w:after="0" w:line="360" w:lineRule="auto"/>
        <w:ind w:right="0"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4.3.12</w:t>
      </w:r>
      <w:r>
        <w:rPr>
          <w:rFonts w:hint="eastAsia" w:ascii="Times New Roman" w:hAnsi="HiddenHorzOCR-Identity-H"/>
          <w:color w:val="auto"/>
          <w:sz w:val="24"/>
          <w:szCs w:val="24"/>
          <w:highlight w:val="none"/>
          <w:lang w:val="en-US" w:eastAsia="zh-CN"/>
        </w:rPr>
        <w:t xml:space="preserve">  施工现场临时设施建设，宜采用永临结合方式。竣工交付时，相关设施应符合国家现行竣工验收标准的规定。</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jc w:val="both"/>
        <w:textAlignment w:val="auto"/>
        <w:rPr>
          <w:rFonts w:hint="eastAsia" w:ascii="Times New Roman" w:hAnsi="HiddenHorzOCR-Identity-H"/>
          <w:color w:val="auto"/>
          <w:sz w:val="24"/>
          <w:szCs w:val="24"/>
          <w:highlight w:val="none"/>
        </w:rPr>
      </w:pPr>
      <w:r>
        <w:rPr>
          <w:rFonts w:hint="eastAsia" w:ascii="楷体" w:hAnsi="楷体" w:eastAsia="楷体" w:cs="Times New Roman"/>
          <w:b w:val="0"/>
          <w:bCs w:val="0"/>
          <w:sz w:val="24"/>
          <w:szCs w:val="24"/>
        </w:rPr>
        <w:t>【条文说明】</w:t>
      </w:r>
      <w:r>
        <w:rPr>
          <w:rFonts w:hint="eastAsia" w:ascii="楷体" w:hAnsi="楷体" w:eastAsia="楷体"/>
          <w:color w:val="auto"/>
          <w:sz w:val="24"/>
          <w:szCs w:val="24"/>
          <w:highlight w:val="none"/>
          <w:lang w:val="en-US" w:eastAsia="zh-CN"/>
        </w:rPr>
        <w:t>施工现场宜</w:t>
      </w:r>
      <w:r>
        <w:rPr>
          <w:rFonts w:hint="eastAsia" w:ascii="楷体" w:hAnsi="楷体" w:eastAsia="楷体"/>
          <w:color w:val="auto"/>
          <w:sz w:val="24"/>
          <w:szCs w:val="24"/>
          <w:highlight w:val="none"/>
        </w:rPr>
        <w:t>采用</w:t>
      </w:r>
      <w:r>
        <w:rPr>
          <w:rFonts w:hint="eastAsia" w:ascii="楷体" w:hAnsi="楷体" w:eastAsia="楷体"/>
          <w:color w:val="auto"/>
          <w:sz w:val="24"/>
          <w:szCs w:val="24"/>
          <w:highlight w:val="none"/>
          <w:lang w:val="en-US" w:eastAsia="zh-CN"/>
        </w:rPr>
        <w:t>永临结合方式</w:t>
      </w:r>
      <w:r>
        <w:rPr>
          <w:rFonts w:hint="eastAsia" w:ascii="楷体" w:hAnsi="楷体" w:eastAsia="楷体"/>
          <w:color w:val="auto"/>
          <w:sz w:val="24"/>
          <w:szCs w:val="24"/>
          <w:highlight w:val="none"/>
        </w:rPr>
        <w:t>，即先期采用永久性设施代</w:t>
      </w:r>
      <w:r>
        <w:rPr>
          <w:rFonts w:hint="eastAsia" w:ascii="楷体" w:hAnsi="楷体" w:eastAsia="楷体"/>
          <w:color w:val="auto"/>
          <w:spacing w:val="0"/>
          <w:sz w:val="24"/>
          <w:szCs w:val="24"/>
          <w:highlight w:val="none"/>
        </w:rPr>
        <w:t>替临时设施使用。如先做永久性围墙的基层代替临时围墙使用，先做永久性道路基层代替临时道路使用，先做工程永久性消防水</w:t>
      </w:r>
      <w:r>
        <w:rPr>
          <w:rFonts w:hint="eastAsia" w:ascii="楷体" w:hAnsi="楷体" w:eastAsia="楷体"/>
          <w:color w:val="auto"/>
          <w:sz w:val="24"/>
          <w:szCs w:val="24"/>
          <w:highlight w:val="none"/>
        </w:rPr>
        <w:t>池代替现场雨水收集池使用等。</w:t>
      </w:r>
      <w:r>
        <w:rPr>
          <w:rFonts w:hint="eastAsia" w:ascii="楷体" w:hAnsi="楷体" w:eastAsia="楷体" w:cs="Times New Roman"/>
          <w:b w:val="0"/>
          <w:bCs w:val="0"/>
          <w:sz w:val="24"/>
          <w:szCs w:val="24"/>
        </w:rPr>
        <w:t>现场临时道路布置可与原有及永久道路兼顾考虑，充分利用原有及永久道路基层，并加设预制拼装可周转的临时路面如</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钢制路面、装配式混凝土路面等，加强路基成品保护</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现场临时围挡可最大限度利用原有围墙或永久围墙</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现场临时用电可根据结构及电气施工图纸，经现场优化采用合适的正式配电线路</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临时工程消防、施工生产用水管道及消防水池可利用正式工程消防管道及消防水池</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现场垂直运输可充分利用正式消防电梯</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地下室临时通风可利用地下室正式排风机及风管</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临时市政管线可利用场内正式市政工程管线</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现场临时绿化可利用场内原有及永久绿化。</w:t>
      </w:r>
    </w:p>
    <w:p>
      <w:pPr>
        <w:pStyle w:val="12"/>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firstLine="0" w:firstLineChars="0"/>
        <w:jc w:val="left"/>
        <w:textAlignment w:val="auto"/>
        <w:rPr>
          <w:rFonts w:hint="eastAsia" w:ascii="Times New Roman" w:hAnsi="HiddenHorzOCR-Identity-H" w:eastAsia="宋体"/>
          <w:b/>
          <w:bCs/>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 xml:space="preserve">4.3.13 </w:t>
      </w:r>
      <w:r>
        <w:rPr>
          <w:rFonts w:hint="eastAsia" w:ascii="Times New Roman" w:hAnsi="HiddenHorzOCR-Identity-H"/>
          <w:color w:val="auto"/>
          <w:sz w:val="24"/>
          <w:szCs w:val="24"/>
          <w:highlight w:val="none"/>
          <w:lang w:val="en-US" w:eastAsia="zh-CN"/>
        </w:rPr>
        <w:t xml:space="preserve"> 施工单位在土石方工程施工过程中，应结合地形地貌，在工程场地区域内平衡挖填土石方，提高场地内土石方平衡效率，减少建筑垃圾产生。</w:t>
      </w:r>
    </w:p>
    <w:p>
      <w:pPr>
        <w:pStyle w:val="12"/>
        <w:keepNext w:val="0"/>
        <w:keepLines w:val="0"/>
        <w:pageBreakBefore w:val="0"/>
        <w:kinsoku/>
        <w:wordWrap/>
        <w:overflowPunct/>
        <w:topLinePunct w:val="0"/>
        <w:autoSpaceDE/>
        <w:autoSpaceDN/>
        <w:bidi w:val="0"/>
        <w:adjustRightInd/>
        <w:snapToGrid/>
        <w:spacing w:after="0" w:line="360" w:lineRule="auto"/>
        <w:ind w:right="0"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4.3.14</w:t>
      </w:r>
      <w:r>
        <w:rPr>
          <w:rFonts w:hint="eastAsia" w:ascii="Times New Roman" w:hAnsi="HiddenHorzOCR-Identity-H"/>
          <w:color w:val="auto"/>
          <w:sz w:val="24"/>
          <w:szCs w:val="24"/>
          <w:highlight w:val="none"/>
          <w:lang w:val="en-US" w:eastAsia="zh-CN"/>
        </w:rPr>
        <w:t xml:space="preserve">  地基与基础工程施工应符合下列规定：</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钻孔灌注桩宜采用后注浆技术提高桩基侧阻力和端阻力；</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在灌注桩施工时，应采用智能化灌注标高控制方法；</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3 基坑和垫层宜采用工程渣土或再生骨料回填；</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4 地下室底板的排水沟宜采用建筑垃圾再生产品砌筑。</w:t>
      </w:r>
    </w:p>
    <w:p>
      <w:pPr>
        <w:pStyle w:val="12"/>
        <w:keepNext w:val="0"/>
        <w:keepLines w:val="0"/>
        <w:pageBreakBefore w:val="0"/>
        <w:kinsoku/>
        <w:wordWrap/>
        <w:overflowPunct/>
        <w:topLinePunct w:val="0"/>
        <w:autoSpaceDE/>
        <w:autoSpaceDN/>
        <w:bidi w:val="0"/>
        <w:adjustRightInd/>
        <w:snapToGrid/>
        <w:spacing w:after="0" w:line="360" w:lineRule="auto"/>
        <w:ind w:right="0"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4.3.15 </w:t>
      </w:r>
      <w:r>
        <w:rPr>
          <w:rFonts w:hint="eastAsia" w:ascii="Times New Roman" w:hAnsi="HiddenHorzOCR-Identity-H"/>
          <w:color w:val="auto"/>
          <w:sz w:val="24"/>
          <w:szCs w:val="24"/>
          <w:highlight w:val="none"/>
          <w:lang w:val="en-US" w:eastAsia="zh-CN"/>
        </w:rPr>
        <w:t xml:space="preserve"> 主体结构工程施工应符合下列规定：</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钢筋智能化加工应采用数字化工具翻样；</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成型钢筋宜采用场外钢筋集中加工场生产的钢筋；</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3 地面混凝土浇筑应采用原浆一次找平，实现一次成型；</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4 采用临时支撑体系时，宜采用</w:t>
      </w:r>
      <w:r>
        <w:rPr>
          <w:rFonts w:hint="eastAsia" w:ascii="Times New Roman" w:hAnsi="HiddenHorzOCR-Identity-H"/>
          <w:strike w:val="0"/>
          <w:color w:val="auto"/>
          <w:sz w:val="24"/>
          <w:szCs w:val="24"/>
          <w:highlight w:val="none"/>
          <w:lang w:val="en-US" w:eastAsia="zh-CN"/>
        </w:rPr>
        <w:t>自动爬升（顶升）模架支撑体系、管件合一的脚手架、金属合金等</w:t>
      </w:r>
      <w:r>
        <w:rPr>
          <w:rFonts w:hint="eastAsia" w:ascii="Times New Roman" w:hAnsi="HiddenHorzOCR-Identity-H"/>
          <w:color w:val="auto"/>
          <w:sz w:val="24"/>
          <w:szCs w:val="24"/>
          <w:highlight w:val="none"/>
          <w:lang w:val="en-US" w:eastAsia="zh-CN"/>
        </w:rPr>
        <w:t>非易损材质模板</w:t>
      </w:r>
      <w:r>
        <w:rPr>
          <w:rFonts w:hint="eastAsia" w:ascii="Times New Roman" w:hAnsi="HiddenHorzOCR-Identity-H"/>
          <w:strike w:val="0"/>
          <w:color w:val="auto"/>
          <w:sz w:val="24"/>
          <w:szCs w:val="24"/>
          <w:highlight w:val="none"/>
          <w:lang w:val="en-US" w:eastAsia="zh-CN"/>
        </w:rPr>
        <w:t>，并宜采用可调节墙柱金属龙骨、早拆模板体系等</w:t>
      </w:r>
      <w:r>
        <w:rPr>
          <w:rFonts w:hint="eastAsia" w:ascii="Times New Roman" w:hAnsi="HiddenHorzOCR-Identity-H"/>
          <w:color w:val="auto"/>
          <w:sz w:val="24"/>
          <w:szCs w:val="24"/>
          <w:highlight w:val="none"/>
          <w:lang w:val="en-US" w:eastAsia="zh-CN"/>
        </w:rPr>
        <w:t>可重复利用、高周转、低损耗的模架支撑体系；</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5 模板宜采用数字化工具进行排布；</w:t>
      </w:r>
    </w:p>
    <w:p>
      <w:pPr>
        <w:pStyle w:val="12"/>
        <w:keepNext w:val="0"/>
        <w:keepLines w:val="0"/>
        <w:pageBreakBefore w:val="0"/>
        <w:kinsoku/>
        <w:wordWrap/>
        <w:overflowPunct/>
        <w:topLinePunct w:val="0"/>
        <w:autoSpaceDE/>
        <w:autoSpaceDN/>
        <w:bidi w:val="0"/>
        <w:adjustRightInd/>
        <w:snapToGrid/>
        <w:spacing w:after="0" w:line="360" w:lineRule="auto"/>
        <w:ind w:right="0"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6 脚手架外防护宜采用可周转使用的金属防护网；</w:t>
      </w:r>
    </w:p>
    <w:p>
      <w:pPr>
        <w:pStyle w:val="12"/>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7 预埋件应采取刚性限位措施。</w:t>
      </w:r>
    </w:p>
    <w:p>
      <w:pPr>
        <w:pStyle w:val="12"/>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4.3.16 </w:t>
      </w:r>
      <w:r>
        <w:rPr>
          <w:rFonts w:hint="eastAsia" w:ascii="Times New Roman" w:hAnsi="HiddenHorzOCR-Identity-H"/>
          <w:color w:val="auto"/>
          <w:sz w:val="24"/>
          <w:szCs w:val="24"/>
          <w:highlight w:val="none"/>
          <w:lang w:val="en-US" w:eastAsia="zh-CN"/>
        </w:rPr>
        <w:t xml:space="preserve"> 机电安装工程施工应符合下列规定：</w:t>
      </w:r>
    </w:p>
    <w:p>
      <w:pPr>
        <w:pStyle w:val="12"/>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机电管线施工前，应对管线安装、支吊架布置及管线检修的空间进行复核；</w:t>
      </w:r>
    </w:p>
    <w:p>
      <w:pPr>
        <w:pStyle w:val="12"/>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安装空间有限、管线敷设密集的区域，应对各专业、系统间施工顺序进行模拟策划；</w:t>
      </w:r>
    </w:p>
    <w:p>
      <w:pPr>
        <w:pStyle w:val="12"/>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3 支吊架、设备配管及风管制作等宜采用工厂化预制加工。</w:t>
      </w:r>
    </w:p>
    <w:p>
      <w:pPr>
        <w:pStyle w:val="12"/>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4.3.17 </w:t>
      </w:r>
      <w:r>
        <w:rPr>
          <w:rFonts w:hint="eastAsia" w:ascii="Times New Roman" w:hAnsi="HiddenHorzOCR-Identity-H"/>
          <w:color w:val="auto"/>
          <w:sz w:val="24"/>
          <w:szCs w:val="24"/>
          <w:highlight w:val="none"/>
          <w:lang w:val="en-US" w:eastAsia="zh-CN"/>
        </w:rPr>
        <w:t xml:space="preserve"> 装饰装修工程施工宜采用模板与支护少的装饰工艺及构件。</w:t>
      </w:r>
    </w:p>
    <w:p>
      <w:pPr>
        <w:pStyle w:val="12"/>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楷体" w:hAnsi="楷体" w:eastAsia="楷体" w:cs="Times New Roman"/>
          <w:b w:val="0"/>
          <w:bCs w:val="0"/>
          <w:sz w:val="24"/>
          <w:szCs w:val="24"/>
          <w:lang w:val="en-US" w:eastAsia="zh-CN"/>
        </w:rPr>
      </w:pPr>
      <w:r>
        <w:rPr>
          <w:rFonts w:hint="eastAsia" w:ascii="楷体" w:hAnsi="楷体" w:eastAsia="楷体" w:cs="Times New Roman"/>
          <w:b w:val="0"/>
          <w:bCs w:val="0"/>
          <w:sz w:val="24"/>
          <w:szCs w:val="24"/>
        </w:rPr>
        <w:t>【条文说明】</w:t>
      </w:r>
      <w:r>
        <w:rPr>
          <w:rFonts w:hint="eastAsia" w:ascii="楷体" w:hAnsi="楷体" w:eastAsia="楷体" w:cs="Times New Roman"/>
          <w:b w:val="0"/>
          <w:bCs w:val="0"/>
          <w:sz w:val="24"/>
          <w:szCs w:val="24"/>
          <w:lang w:val="en-US" w:eastAsia="zh-CN"/>
        </w:rPr>
        <w:t>在装修过程使用模拟软件和建筑信息设计模型，与装修现场共享，并采用3D打印技术，制作异形装饰构件，可减少模板与支护材料的使用量。</w:t>
      </w:r>
    </w:p>
    <w:p>
      <w:pPr>
        <w:pStyle w:val="12"/>
        <w:spacing w:after="0" w:line="360" w:lineRule="auto"/>
        <w:ind w:firstLine="0" w:firstLineChars="0"/>
        <w:rPr>
          <w:rFonts w:hint="eastAsia" w:ascii="楷体" w:hAnsi="楷体" w:eastAsia="楷体" w:cs="Times New Roman"/>
          <w:b w:val="0"/>
          <w:bCs w:val="0"/>
          <w:sz w:val="24"/>
          <w:szCs w:val="24"/>
          <w:lang w:val="en-US" w:eastAsia="zh-CN"/>
        </w:rPr>
      </w:pPr>
    </w:p>
    <w:p>
      <w:pPr>
        <w:pStyle w:val="12"/>
        <w:spacing w:after="0" w:line="360" w:lineRule="auto"/>
        <w:ind w:firstLine="0" w:firstLineChars="0"/>
        <w:rPr>
          <w:rFonts w:hint="eastAsia" w:ascii="Times New Roman" w:hAnsi="HiddenHorzOCR-Identity-H" w:eastAsia="宋体"/>
          <w:color w:val="auto"/>
          <w:sz w:val="24"/>
          <w:szCs w:val="24"/>
          <w:highlight w:val="yellow"/>
          <w:u w:val="none"/>
          <w:lang w:eastAsia="zh-CN"/>
        </w:rPr>
      </w:pPr>
    </w:p>
    <w:bookmarkEnd w:id="116"/>
    <w:bookmarkEnd w:id="117"/>
    <w:bookmarkEnd w:id="118"/>
    <w:bookmarkEnd w:id="119"/>
    <w:bookmarkEnd w:id="120"/>
    <w:bookmarkEnd w:id="121"/>
    <w:p>
      <w:pPr>
        <w:pStyle w:val="2"/>
        <w:pageBreakBefore/>
        <w:spacing w:line="360" w:lineRule="auto"/>
        <w:rPr>
          <w:rFonts w:hint="default" w:ascii="Times New Roman" w:hAnsi="宋体" w:eastAsia="宋体"/>
          <w:color w:val="auto"/>
          <w:sz w:val="28"/>
          <w:szCs w:val="28"/>
          <w:highlight w:val="none"/>
          <w:lang w:val="en-US" w:eastAsia="zh-CN"/>
        </w:rPr>
      </w:pPr>
      <w:bookmarkStart w:id="131" w:name="_Toc31091"/>
      <w:bookmarkStart w:id="132" w:name="_Toc31660"/>
      <w:bookmarkStart w:id="133" w:name="_Toc31978"/>
      <w:bookmarkStart w:id="134" w:name="_Toc17560"/>
      <w:bookmarkStart w:id="135" w:name="_Toc9854"/>
      <w:r>
        <w:rPr>
          <w:rFonts w:ascii="Times New Roman" w:hAnsi="Times New Roman"/>
          <w:color w:val="auto"/>
          <w:szCs w:val="32"/>
          <w:highlight w:val="none"/>
        </w:rPr>
        <w:t>5</w:t>
      </w:r>
      <w:bookmarkEnd w:id="131"/>
      <w:bookmarkEnd w:id="132"/>
      <w:r>
        <w:rPr>
          <w:rFonts w:hint="eastAsia" w:ascii="Times New Roman" w:hAnsi="宋体"/>
          <w:color w:val="auto"/>
          <w:sz w:val="28"/>
          <w:szCs w:val="28"/>
          <w:highlight w:val="none"/>
          <w:lang w:val="en-US"/>
        </w:rPr>
        <w:t>分类收集</w:t>
      </w:r>
      <w:bookmarkEnd w:id="133"/>
      <w:bookmarkEnd w:id="134"/>
      <w:bookmarkEnd w:id="135"/>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b w:val="0"/>
          <w:bCs w:val="0"/>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5.0.1</w:t>
      </w:r>
      <w:r>
        <w:rPr>
          <w:rFonts w:hint="eastAsia" w:ascii="Times New Roman" w:hAnsi="HiddenHorzOCR-Identity-H"/>
          <w:color w:val="auto"/>
          <w:sz w:val="24"/>
          <w:szCs w:val="24"/>
          <w:highlight w:val="none"/>
          <w:lang w:val="en-US" w:eastAsia="zh-CN"/>
        </w:rPr>
        <w:t xml:space="preserve">  施工现场建筑垃圾应分类收集、存放。</w:t>
      </w:r>
      <w:r>
        <w:rPr>
          <w:rFonts w:hint="eastAsia" w:ascii="Times New Roman" w:hAnsi="HiddenHorzOCR-Identity-H"/>
          <w:b w:val="0"/>
          <w:bCs w:val="0"/>
          <w:color w:val="auto"/>
          <w:sz w:val="24"/>
          <w:szCs w:val="24"/>
          <w:highlight w:val="none"/>
          <w:u w:val="none"/>
          <w:lang w:val="en-US" w:eastAsia="zh-CN"/>
        </w:rPr>
        <w:t>工程渣土宜根据表层耕植土、粉土、黏土、砂土、卵(砾)石以及岩石等进行分类。工程垃圾、拆除垃圾、装修垃圾宜按金属类、非金属类分类。</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楷体" w:hAnsi="楷体" w:eastAsia="楷体"/>
          <w:color w:val="auto"/>
          <w:sz w:val="24"/>
          <w:szCs w:val="24"/>
          <w:highlight w:val="none"/>
          <w:u w:val="none"/>
          <w:lang w:val="en-US" w:eastAsia="zh-CN"/>
        </w:rPr>
      </w:pPr>
      <w:r>
        <w:rPr>
          <w:rFonts w:hint="eastAsia" w:ascii="楷体" w:hAnsi="楷体" w:eastAsia="楷体" w:cs="Times New Roman"/>
          <w:b w:val="0"/>
          <w:bCs w:val="0"/>
          <w:sz w:val="24"/>
          <w:szCs w:val="24"/>
        </w:rPr>
        <w:t>【条文说明】</w:t>
      </w:r>
      <w:r>
        <w:rPr>
          <w:rFonts w:hint="eastAsia" w:ascii="楷体" w:hAnsi="楷体" w:eastAsia="楷体"/>
          <w:b w:val="0"/>
          <w:bCs w:val="0"/>
          <w:color w:val="auto"/>
          <w:sz w:val="24"/>
          <w:szCs w:val="24"/>
          <w:highlight w:val="none"/>
          <w:u w:val="none"/>
          <w:lang w:val="en-US" w:eastAsia="zh-CN"/>
        </w:rPr>
        <w:t>金属类、非金属类分类建筑垃圾可以进一步进行分类。非金属类可按无机非金属类和有机非金属类进一步分类，无机非金属类可分为废砖瓦、废混凝土、废砂浆、废水泥制品、废</w:t>
      </w:r>
      <w:r>
        <w:rPr>
          <w:rFonts w:hint="eastAsia" w:ascii="楷体" w:hAnsi="楷体" w:eastAsia="楷体"/>
          <w:b w:val="0"/>
          <w:bCs w:val="0"/>
          <w:sz w:val="24"/>
          <w:szCs w:val="24"/>
          <w:u w:val="none"/>
          <w:lang w:val="en-US" w:eastAsia="zh-CN"/>
        </w:rPr>
        <w:t>石材</w:t>
      </w:r>
      <w:r>
        <w:rPr>
          <w:rFonts w:hint="eastAsia" w:ascii="楷体" w:hAnsi="楷体" w:eastAsia="楷体"/>
          <w:b w:val="0"/>
          <w:bCs w:val="0"/>
          <w:color w:val="auto"/>
          <w:sz w:val="24"/>
          <w:szCs w:val="24"/>
          <w:highlight w:val="none"/>
          <w:u w:val="none"/>
          <w:lang w:val="en-US" w:eastAsia="zh-CN"/>
        </w:rPr>
        <w:t>等，有机非金属类可分为废木材类、废塑料类、废纸类等。</w:t>
      </w:r>
      <w:r>
        <w:rPr>
          <w:rFonts w:hint="eastAsia" w:ascii="楷体" w:hAnsi="楷体" w:eastAsia="楷体"/>
          <w:b w:val="0"/>
          <w:bCs w:val="0"/>
          <w:sz w:val="24"/>
          <w:szCs w:val="24"/>
          <w:u w:val="none"/>
          <w:lang w:val="en-US" w:eastAsia="zh-CN"/>
        </w:rPr>
        <w:t>金属类可按黑色金属和有色金属类进一步分类。</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5.0.2 </w:t>
      </w:r>
      <w:r>
        <w:rPr>
          <w:rFonts w:hint="eastAsia" w:ascii="Times New Roman" w:hAnsi="HiddenHorzOCR-Identity-H"/>
          <w:color w:val="auto"/>
          <w:sz w:val="24"/>
          <w:szCs w:val="24"/>
          <w:highlight w:val="none"/>
          <w:lang w:val="en-US" w:eastAsia="zh-CN"/>
        </w:rPr>
        <w:t xml:space="preserve"> 施工单位在施工现场作业时，应合理安排建筑垃圾收集作业时间。</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5.0.3 </w:t>
      </w:r>
      <w:r>
        <w:rPr>
          <w:rFonts w:hint="eastAsia" w:ascii="Times New Roman" w:hAnsi="HiddenHorzOCR-Identity-H"/>
          <w:color w:val="auto"/>
          <w:sz w:val="24"/>
          <w:szCs w:val="24"/>
          <w:highlight w:val="none"/>
          <w:lang w:val="en-US" w:eastAsia="zh-CN"/>
        </w:rPr>
        <w:t xml:space="preserve"> 施工现场建筑垃圾根据尺寸及重量，宜采用人工和机械结合的方法有组织收集，严禁高空抛掷。</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楷体" w:hAnsi="楷体" w:eastAsia="楷体" w:cs="Times New Roman"/>
          <w:b w:val="0"/>
          <w:bCs w:val="0"/>
          <w:sz w:val="24"/>
          <w:szCs w:val="24"/>
        </w:rPr>
        <w:t>【条文说明】</w:t>
      </w:r>
      <w:r>
        <w:rPr>
          <w:rFonts w:hint="eastAsia" w:ascii="Times New Roman" w:hAnsi="Times New Roman" w:eastAsia="楷体"/>
          <w:sz w:val="24"/>
          <w:u w:val="none"/>
        </w:rPr>
        <w:t>根据施工现场建筑垃圾的体积、重量等影响因素，合理确定施工现场建筑垃圾的收集方法。</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5.0.4 </w:t>
      </w:r>
      <w:r>
        <w:rPr>
          <w:rFonts w:hint="eastAsia" w:ascii="Times New Roman" w:hAnsi="HiddenHorzOCR-Identity-H"/>
          <w:color w:val="auto"/>
          <w:sz w:val="24"/>
          <w:szCs w:val="24"/>
          <w:highlight w:val="none"/>
          <w:lang w:val="en-US" w:eastAsia="zh-CN"/>
        </w:rPr>
        <w:t xml:space="preserve"> 施工现场应设置建筑垃圾存放点，建筑垃圾存放点应符合下列规定：</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1 应设置分类存放标识牌；</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2 应高于周围场地不小于150mm，并应设置排水措施；</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3 应在施工全周期内存续，其选址应便于建筑垃圾清运，并随施工部署变化及时调整；</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4 附近有挖方工程时，应进行堆体和挖方边坡的稳定性验算；</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240" w:firstLineChars="10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color w:val="auto"/>
          <w:sz w:val="24"/>
          <w:szCs w:val="24"/>
          <w:highlight w:val="none"/>
          <w:lang w:val="en-US" w:eastAsia="zh-CN"/>
        </w:rPr>
        <w:t>5 应采用重复利用率高的材料制作围挡设施，或封闭建造，并采取防泄漏、防飞扬、消防应急安全防范等措施。</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imes New Roman" w:hAnsi="HiddenHorzOCR-Identity-H"/>
          <w:color w:val="auto"/>
          <w:sz w:val="24"/>
          <w:szCs w:val="24"/>
          <w:highlight w:val="none"/>
          <w:lang w:val="en-US" w:eastAsia="zh-CN"/>
        </w:rPr>
      </w:pPr>
      <w:r>
        <w:rPr>
          <w:rFonts w:hint="eastAsia" w:ascii="楷体" w:hAnsi="楷体" w:eastAsia="楷体" w:cs="Times New Roman"/>
          <w:b w:val="0"/>
          <w:bCs w:val="0"/>
          <w:sz w:val="24"/>
          <w:szCs w:val="24"/>
        </w:rPr>
        <w:t>【条文说明】</w:t>
      </w:r>
      <w:r>
        <w:rPr>
          <w:rFonts w:hint="eastAsia" w:ascii="Times New Roman" w:hAnsi="Times New Roman" w:eastAsia="楷体"/>
          <w:sz w:val="24"/>
          <w:u w:val="none"/>
        </w:rPr>
        <w:t>施工现场建筑垃圾存放点是指施工作业面临时堆放建筑垃圾的地点，应高于周围场地，满足场地雨水导排需求。施工现场建筑垃圾存放点的位置随着施工部署及时调整，保证建筑垃圾能够及时清运，不影响现场的施工</w:t>
      </w:r>
      <w:r>
        <w:rPr>
          <w:rFonts w:hint="eastAsia" w:ascii="Times New Roman" w:hAnsi="Times New Roman" w:eastAsia="楷体"/>
          <w:sz w:val="24"/>
          <w:u w:val="none"/>
          <w:lang w:eastAsia="zh-CN"/>
        </w:rPr>
        <w:t>；</w:t>
      </w:r>
      <w:r>
        <w:rPr>
          <w:rFonts w:hint="eastAsia" w:ascii="Times New Roman" w:hAnsi="Times New Roman" w:eastAsia="楷体"/>
          <w:sz w:val="24"/>
          <w:u w:val="none"/>
        </w:rPr>
        <w:t>存放点选址应综合考虑运输半径、建筑垃圾的种类等多方面因素合理设置。存放点封闭建造是指设置防止建筑垃圾人为随意投放及外泄的措施。</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5.0.5</w:t>
      </w:r>
      <w:r>
        <w:rPr>
          <w:rFonts w:hint="eastAsia" w:ascii="Times New Roman" w:hAnsi="HiddenHorzOCR-Identity-H"/>
          <w:color w:val="auto"/>
          <w:sz w:val="24"/>
          <w:szCs w:val="24"/>
          <w:highlight w:val="none"/>
          <w:lang w:val="en-US" w:eastAsia="zh-CN"/>
        </w:rPr>
        <w:t xml:space="preserve">  施工现场建筑垃圾的堆放应满足地基承载力要求，</w:t>
      </w:r>
      <w:r>
        <w:rPr>
          <w:rFonts w:hint="eastAsia" w:ascii="Times New Roman" w:hAnsi="HiddenHorzOCR-Identity-H" w:eastAsia="宋体" w:cs="Times New Roman"/>
          <w:b w:val="0"/>
          <w:bCs w:val="0"/>
          <w:color w:val="auto"/>
          <w:sz w:val="24"/>
          <w:szCs w:val="24"/>
          <w:highlight w:val="none"/>
          <w:u w:val="none"/>
          <w:lang w:val="en-US" w:eastAsia="zh-CN"/>
        </w:rPr>
        <w:t>且不应对相邻建筑的安全造成影响</w:t>
      </w:r>
      <w:r>
        <w:rPr>
          <w:rFonts w:hint="eastAsia" w:ascii="Times New Roman" w:hAnsi="HiddenHorzOCR-Identity-H" w:eastAsia="宋体" w:cs="Times New Roman"/>
          <w:b w:val="0"/>
          <w:bCs w:val="0"/>
          <w:color w:val="auto"/>
          <w:sz w:val="24"/>
          <w:szCs w:val="24"/>
          <w:highlight w:val="none"/>
        </w:rPr>
        <w:t>，</w:t>
      </w:r>
      <w:r>
        <w:rPr>
          <w:rFonts w:hint="eastAsia" w:ascii="Times New Roman" w:hAnsi="HiddenHorzOCR-Identity-H"/>
          <w:color w:val="auto"/>
          <w:sz w:val="24"/>
          <w:szCs w:val="24"/>
          <w:highlight w:val="none"/>
          <w:lang w:val="en-US" w:eastAsia="zh-CN"/>
        </w:rPr>
        <w:t>建筑垃圾堆体高度不宜高于3m；当超过3m时，应进行堆体和地基的稳定性验算。</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楷体" w:hAnsi="楷体" w:eastAsia="楷体" w:cs="Times New Roman"/>
          <w:b w:val="0"/>
          <w:bCs w:val="0"/>
          <w:sz w:val="24"/>
          <w:szCs w:val="24"/>
        </w:rPr>
        <w:t>【条文说明】</w:t>
      </w:r>
      <w:r>
        <w:rPr>
          <w:rFonts w:hint="eastAsia" w:ascii="Times New Roman" w:hAnsi="Times New Roman" w:eastAsia="楷体"/>
          <w:sz w:val="24"/>
          <w:u w:val="none"/>
        </w:rPr>
        <w:t>施工现场建筑垃圾的堆放不宜过高，具体高度可根据地基承载力和边坡稳定性计算，并考虑机械的作业半径，合理设置存放点的进出口。</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5.0.6 </w:t>
      </w:r>
      <w:r>
        <w:rPr>
          <w:rFonts w:hint="eastAsia" w:ascii="Times New Roman" w:hAnsi="HiddenHorzOCR-Identity-H"/>
          <w:color w:val="auto"/>
          <w:sz w:val="24"/>
          <w:szCs w:val="24"/>
          <w:highlight w:val="none"/>
          <w:lang w:val="en-US" w:eastAsia="zh-CN"/>
        </w:rPr>
        <w:t xml:space="preserve"> 施工现场建筑垃圾块体尺寸超过现场建筑垃圾处理设备要求时，应经破碎后再收集、存放。</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5.0.7 </w:t>
      </w:r>
      <w:r>
        <w:rPr>
          <w:rFonts w:hint="eastAsia" w:ascii="Times New Roman" w:hAnsi="HiddenHorzOCR-Identity-H"/>
          <w:color w:val="auto"/>
          <w:sz w:val="24"/>
          <w:szCs w:val="24"/>
          <w:highlight w:val="none"/>
          <w:lang w:val="en-US" w:eastAsia="zh-CN"/>
        </w:rPr>
        <w:t xml:space="preserve"> 工程渣土</w:t>
      </w:r>
      <w:r>
        <w:rPr>
          <w:rFonts w:hint="eastAsia" w:ascii="Times New Roman" w:hAnsi="HiddenHorzOCR-Identity-H" w:eastAsia="宋体"/>
          <w:color w:val="auto"/>
          <w:spacing w:val="0"/>
          <w:sz w:val="24"/>
          <w:szCs w:val="24"/>
          <w:highlight w:val="none"/>
        </w:rPr>
        <w:t>应分层分类开挖</w:t>
      </w:r>
      <w:r>
        <w:rPr>
          <w:rFonts w:hint="eastAsia" w:ascii="Times New Roman" w:hAnsi="HiddenHorzOCR-Identity-H" w:eastAsia="宋体"/>
          <w:color w:val="auto"/>
          <w:spacing w:val="0"/>
          <w:sz w:val="24"/>
          <w:szCs w:val="24"/>
          <w:highlight w:val="none"/>
          <w:lang w:val="en-US" w:eastAsia="zh-CN"/>
        </w:rPr>
        <w:t>和</w:t>
      </w:r>
      <w:r>
        <w:rPr>
          <w:rFonts w:hint="eastAsia" w:ascii="Times New Roman" w:hAnsi="HiddenHorzOCR-Identity-H"/>
          <w:color w:val="auto"/>
          <w:sz w:val="24"/>
          <w:szCs w:val="24"/>
          <w:highlight w:val="none"/>
          <w:lang w:val="en-US" w:eastAsia="zh-CN"/>
        </w:rPr>
        <w:t>收集，表层耕植土不应和其他土类混合，可再利用的粉土、砂土、卵（砾）石及岩石等宜分类收集。</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楷体" w:hAnsi="楷体" w:eastAsia="楷体"/>
          <w:sz w:val="24"/>
          <w:szCs w:val="24"/>
        </w:rPr>
      </w:pPr>
      <w:r>
        <w:rPr>
          <w:rFonts w:hint="eastAsia" w:ascii="楷体" w:hAnsi="楷体" w:eastAsia="楷体" w:cs="Times New Roman"/>
          <w:b w:val="0"/>
          <w:bCs w:val="0"/>
          <w:sz w:val="24"/>
          <w:szCs w:val="24"/>
        </w:rPr>
        <w:t>【条文说明】</w:t>
      </w:r>
      <w:r>
        <w:rPr>
          <w:rFonts w:hint="eastAsia" w:ascii="楷体" w:hAnsi="楷体" w:eastAsia="楷体"/>
          <w:spacing w:val="0"/>
          <w:sz w:val="24"/>
          <w:szCs w:val="24"/>
        </w:rPr>
        <w:t>工程</w:t>
      </w:r>
      <w:r>
        <w:rPr>
          <w:rFonts w:hint="eastAsia" w:ascii="楷体" w:hAnsi="楷体" w:eastAsia="楷体"/>
          <w:spacing w:val="0"/>
          <w:sz w:val="24"/>
          <w:szCs w:val="24"/>
          <w:lang w:val="en-US" w:eastAsia="zh-CN"/>
        </w:rPr>
        <w:t>渣土中</w:t>
      </w:r>
      <w:r>
        <w:rPr>
          <w:rFonts w:hint="eastAsia" w:ascii="楷体" w:hAnsi="楷体" w:eastAsia="楷体"/>
          <w:spacing w:val="0"/>
          <w:sz w:val="24"/>
          <w:szCs w:val="24"/>
        </w:rPr>
        <w:t>表层土可作为环境绿化植土和复垦土，中、下层土可作为回填土，砂石层可</w:t>
      </w:r>
      <w:r>
        <w:rPr>
          <w:rFonts w:hint="eastAsia" w:ascii="楷体" w:hAnsi="楷体" w:eastAsia="楷体"/>
          <w:sz w:val="24"/>
          <w:szCs w:val="24"/>
        </w:rPr>
        <w:t>作为即产即用的原材料。</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5.0.8 </w:t>
      </w:r>
      <w:r>
        <w:rPr>
          <w:rFonts w:hint="eastAsia" w:ascii="Times New Roman" w:hAnsi="HiddenHorzOCR-Identity-H"/>
          <w:color w:val="auto"/>
          <w:sz w:val="24"/>
          <w:szCs w:val="24"/>
          <w:highlight w:val="none"/>
          <w:lang w:val="en-US" w:eastAsia="zh-CN"/>
        </w:rPr>
        <w:t xml:space="preserve"> 工程泥浆应通过工程现场设置的泥浆池或封闭容器收集、存放，未经处理的泥浆不应就地或随意排放。</w:t>
      </w:r>
      <w:r>
        <w:rPr>
          <w:rFonts w:hint="default" w:ascii="Times New Roman" w:hAnsi="HiddenHorzOCR-Identity-H"/>
          <w:color w:val="auto"/>
          <w:sz w:val="24"/>
          <w:szCs w:val="24"/>
          <w:highlight w:val="none"/>
          <w:lang w:val="en-US" w:eastAsia="zh-CN"/>
        </w:rPr>
        <w:t>规模较大的建设工程</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泥浆宜预先固化处理。</w:t>
      </w:r>
      <w:r>
        <w:rPr>
          <w:rFonts w:hint="eastAsia" w:ascii="Times New Roman" w:hAnsi="HiddenHorzOCR-Identity-H"/>
          <w:color w:val="auto"/>
          <w:sz w:val="24"/>
          <w:szCs w:val="24"/>
          <w:highlight w:val="none"/>
          <w:lang w:val="en-US" w:eastAsia="zh-CN"/>
        </w:rPr>
        <w:t>泥浆池及封闭容器应采取防渗漏措施，封闭容器内外表面应采取除锈、防腐措施，并应具有良好的密闭性能。</w:t>
      </w:r>
    </w:p>
    <w:p>
      <w:pPr>
        <w:pStyle w:val="12"/>
        <w:keepNext w:val="0"/>
        <w:keepLines w:val="0"/>
        <w:pageBreakBefore w:val="0"/>
        <w:widowControl w:val="0"/>
        <w:kinsoku/>
        <w:wordWrap/>
        <w:overflowPunct/>
        <w:topLinePunct w:val="0"/>
        <w:autoSpaceDE/>
        <w:autoSpaceDN/>
        <w:bidi w:val="0"/>
        <w:adjustRightInd w:val="0"/>
        <w:snapToGrid/>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5.0.9 </w:t>
      </w:r>
      <w:r>
        <w:rPr>
          <w:rFonts w:hint="default" w:ascii="Times New Roman" w:hAnsi="HiddenHorzOCR-Identity-H"/>
          <w:color w:val="auto"/>
          <w:sz w:val="24"/>
          <w:szCs w:val="24"/>
          <w:highlight w:val="none"/>
          <w:lang w:val="en-US" w:eastAsia="zh-CN"/>
        </w:rPr>
        <w:t xml:space="preserve"> 桩基工程的工程桩桩头、基坑</w:t>
      </w:r>
      <w:r>
        <w:rPr>
          <w:rFonts w:hint="eastAsia" w:ascii="Times New Roman" w:hAnsi="HiddenHorzOCR-Identity-H"/>
          <w:color w:val="auto"/>
          <w:sz w:val="24"/>
          <w:szCs w:val="24"/>
          <w:highlight w:val="none"/>
          <w:lang w:val="en-US" w:eastAsia="zh-CN"/>
        </w:rPr>
        <w:t>工程</w:t>
      </w:r>
      <w:r>
        <w:rPr>
          <w:rFonts w:hint="default" w:ascii="Times New Roman" w:hAnsi="HiddenHorzOCR-Identity-H"/>
          <w:color w:val="auto"/>
          <w:sz w:val="24"/>
          <w:szCs w:val="24"/>
          <w:highlight w:val="none"/>
          <w:lang w:val="en-US" w:eastAsia="zh-CN"/>
        </w:rPr>
        <w:t>的临时支撑可统一收集。现场破碎、分离混凝土和钢筋时</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混凝土和钢筋应分类堆放。道路混凝土或沥青混合料应单独收集。其他工程垃圾不应与工程桩桩头、支撑或道路混凝土、沥青混合料混杂。</w:t>
      </w:r>
    </w:p>
    <w:p>
      <w:pPr>
        <w:pStyle w:val="12"/>
        <w:keepNext w:val="0"/>
        <w:keepLines w:val="0"/>
        <w:pageBreakBefore w:val="0"/>
        <w:widowControl w:val="0"/>
        <w:kinsoku/>
        <w:wordWrap/>
        <w:overflowPunct/>
        <w:topLinePunct w:val="0"/>
        <w:autoSpaceDE/>
        <w:autoSpaceDN/>
        <w:bidi w:val="0"/>
        <w:adjustRightInd w:val="0"/>
        <w:snapToGrid/>
        <w:spacing w:after="0" w:line="360" w:lineRule="auto"/>
        <w:ind w:firstLine="0" w:firstLineChars="0"/>
        <w:jc w:val="both"/>
        <w:textAlignment w:val="auto"/>
        <w:rPr>
          <w:rFonts w:hint="eastAsia"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5.0.10 </w:t>
      </w:r>
      <w:r>
        <w:rPr>
          <w:rFonts w:hint="eastAsia" w:ascii="Times New Roman" w:hAnsi="HiddenHorzOCR-Identity-H"/>
          <w:color w:val="auto"/>
          <w:sz w:val="24"/>
          <w:szCs w:val="24"/>
          <w:highlight w:val="none"/>
          <w:lang w:val="en-US" w:eastAsia="zh-CN"/>
        </w:rPr>
        <w:t xml:space="preserve"> 施工现场粉末状建筑垃圾应采用封闭容器收集、存放，并采取防潮措施。</w:t>
      </w:r>
    </w:p>
    <w:p>
      <w:pPr>
        <w:pStyle w:val="12"/>
        <w:keepNext w:val="0"/>
        <w:keepLines w:val="0"/>
        <w:pageBreakBefore w:val="0"/>
        <w:widowControl w:val="0"/>
        <w:kinsoku/>
        <w:wordWrap/>
        <w:overflowPunct/>
        <w:topLinePunct w:val="0"/>
        <w:autoSpaceDE/>
        <w:autoSpaceDN/>
        <w:bidi w:val="0"/>
        <w:adjustRightInd w:val="0"/>
        <w:snapToGrid/>
        <w:spacing w:after="0" w:line="360" w:lineRule="auto"/>
        <w:ind w:firstLine="0" w:firstLineChars="0"/>
        <w:jc w:val="both"/>
        <w:textAlignment w:val="auto"/>
        <w:rPr>
          <w:rFonts w:hint="eastAsia" w:ascii="Times New Roman" w:hAnsi="HiddenHorzOCR-Identity-H" w:eastAsia="宋体"/>
          <w:color w:val="auto"/>
          <w:sz w:val="24"/>
          <w:szCs w:val="24"/>
          <w:highlight w:val="yellow"/>
          <w:u w:val="none"/>
          <w:lang w:eastAsia="zh-CN"/>
        </w:rPr>
      </w:pPr>
      <w:r>
        <w:rPr>
          <w:rFonts w:hint="eastAsia" w:ascii="Times New Roman" w:hAnsi="HiddenHorzOCR-Identity-H"/>
          <w:b/>
          <w:bCs/>
          <w:color w:val="auto"/>
          <w:sz w:val="24"/>
          <w:szCs w:val="24"/>
          <w:highlight w:val="none"/>
          <w:u w:val="none"/>
          <w:lang w:val="en-US" w:eastAsia="zh-CN"/>
        </w:rPr>
        <w:t>5.0.11</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eastAsia="宋体" w:cs="Times New Roman"/>
          <w:b w:val="0"/>
          <w:bCs w:val="0"/>
          <w:color w:val="auto"/>
          <w:sz w:val="24"/>
          <w:szCs w:val="24"/>
          <w:highlight w:val="none"/>
          <w:u w:val="none"/>
          <w:lang w:val="en-US" w:eastAsia="zh-CN"/>
        </w:rPr>
        <w:t>拆除工程施工应制定拆除施工方案，明确拆除方式、拆除工序、污染控制措施、</w:t>
      </w:r>
      <w:r>
        <w:rPr>
          <w:rFonts w:hint="eastAsia" w:ascii="Times New Roman" w:hAnsi="HiddenHorzOCR-Identity-H" w:cs="Times New Roman"/>
          <w:b w:val="0"/>
          <w:bCs w:val="0"/>
          <w:color w:val="auto"/>
          <w:sz w:val="24"/>
          <w:szCs w:val="24"/>
          <w:highlight w:val="none"/>
          <w:u w:val="none"/>
          <w:lang w:val="en-US" w:eastAsia="zh-CN"/>
        </w:rPr>
        <w:t>建筑垃圾</w:t>
      </w:r>
      <w:r>
        <w:rPr>
          <w:rFonts w:hint="default" w:ascii="Times New Roman" w:hAnsi="HiddenHorzOCR-Identity-H" w:eastAsia="宋体" w:cs="Times New Roman"/>
          <w:b w:val="0"/>
          <w:bCs w:val="0"/>
          <w:color w:val="auto"/>
          <w:sz w:val="24"/>
          <w:szCs w:val="24"/>
          <w:highlight w:val="none"/>
          <w:u w:val="none"/>
          <w:lang w:val="en-US" w:eastAsia="zh-CN"/>
        </w:rPr>
        <w:t>综合利用方案</w:t>
      </w:r>
      <w:r>
        <w:rPr>
          <w:rFonts w:hint="eastAsia" w:ascii="Times New Roman" w:hAnsi="HiddenHorzOCR-Identity-H" w:cs="Times New Roman"/>
          <w:b w:val="0"/>
          <w:bCs w:val="0"/>
          <w:color w:val="auto"/>
          <w:sz w:val="24"/>
          <w:szCs w:val="24"/>
          <w:highlight w:val="none"/>
          <w:u w:val="none"/>
          <w:lang w:val="en-US" w:eastAsia="zh-CN"/>
        </w:rPr>
        <w:t>、安全管理方案、应急预案</w:t>
      </w:r>
      <w:r>
        <w:rPr>
          <w:rFonts w:hint="default" w:ascii="Times New Roman" w:hAnsi="HiddenHorzOCR-Identity-H" w:eastAsia="宋体" w:cs="Times New Roman"/>
          <w:b w:val="0"/>
          <w:bCs w:val="0"/>
          <w:color w:val="auto"/>
          <w:sz w:val="24"/>
          <w:szCs w:val="24"/>
          <w:highlight w:val="none"/>
          <w:u w:val="none"/>
          <w:lang w:val="en-US" w:eastAsia="zh-CN"/>
        </w:rPr>
        <w:t>等内容。</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5.0.12</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eastAsia="宋体" w:cs="Times New Roman"/>
          <w:b w:val="0"/>
          <w:bCs w:val="0"/>
          <w:color w:val="auto"/>
          <w:sz w:val="24"/>
          <w:szCs w:val="24"/>
          <w:highlight w:val="none"/>
          <w:u w:val="none"/>
          <w:lang w:val="en-US" w:eastAsia="zh-CN"/>
        </w:rPr>
        <w:t>拆除过程</w:t>
      </w:r>
      <w:r>
        <w:rPr>
          <w:rFonts w:hint="eastAsia" w:ascii="Times New Roman" w:hAnsi="HiddenHorzOCR-Identity-H" w:cs="Times New Roman"/>
          <w:b w:val="0"/>
          <w:bCs w:val="0"/>
          <w:color w:val="auto"/>
          <w:sz w:val="24"/>
          <w:szCs w:val="24"/>
          <w:highlight w:val="none"/>
          <w:u w:val="none"/>
          <w:lang w:val="en-US" w:eastAsia="zh-CN"/>
        </w:rPr>
        <w:t>应</w:t>
      </w:r>
      <w:r>
        <w:rPr>
          <w:rFonts w:hint="default" w:ascii="Times New Roman" w:hAnsi="HiddenHorzOCR-Identity-H" w:eastAsia="宋体" w:cs="Times New Roman"/>
          <w:b w:val="0"/>
          <w:bCs w:val="0"/>
          <w:color w:val="auto"/>
          <w:sz w:val="24"/>
          <w:szCs w:val="24"/>
          <w:highlight w:val="none"/>
          <w:u w:val="none"/>
          <w:lang w:val="en-US" w:eastAsia="zh-CN"/>
        </w:rPr>
        <w:t>按照拆除施工方案进行</w:t>
      </w:r>
      <w:r>
        <w:rPr>
          <w:rFonts w:hint="eastAsia" w:ascii="Times New Roman" w:hAnsi="HiddenHorzOCR-Identity-H" w:cs="Times New Roman"/>
          <w:b w:val="0"/>
          <w:bCs w:val="0"/>
          <w:color w:val="auto"/>
          <w:sz w:val="24"/>
          <w:szCs w:val="24"/>
          <w:highlight w:val="none"/>
          <w:u w:val="none"/>
          <w:lang w:val="en-US" w:eastAsia="zh-CN"/>
        </w:rPr>
        <w:t>，</w:t>
      </w:r>
      <w:r>
        <w:rPr>
          <w:rFonts w:hint="default" w:ascii="Times New Roman" w:hAnsi="HiddenHorzOCR-Identity-H" w:eastAsia="宋体" w:cs="Times New Roman"/>
          <w:b w:val="0"/>
          <w:bCs w:val="0"/>
          <w:color w:val="auto"/>
          <w:sz w:val="24"/>
          <w:szCs w:val="24"/>
          <w:highlight w:val="none"/>
          <w:u w:val="none"/>
          <w:lang w:val="en-US" w:eastAsia="zh-CN"/>
        </w:rPr>
        <w:t>拆除工序应以促进拆除</w:t>
      </w:r>
      <w:r>
        <w:rPr>
          <w:rFonts w:hint="eastAsia" w:ascii="Times New Roman" w:hAnsi="HiddenHorzOCR-Identity-H" w:cs="Times New Roman"/>
          <w:b w:val="0"/>
          <w:bCs w:val="0"/>
          <w:color w:val="auto"/>
          <w:sz w:val="24"/>
          <w:szCs w:val="24"/>
          <w:highlight w:val="none"/>
          <w:u w:val="none"/>
          <w:lang w:val="en-US" w:eastAsia="zh-CN"/>
        </w:rPr>
        <w:t>垃圾</w:t>
      </w:r>
      <w:r>
        <w:rPr>
          <w:rFonts w:hint="default" w:ascii="Times New Roman" w:hAnsi="HiddenHorzOCR-Identity-H" w:eastAsia="宋体" w:cs="Times New Roman"/>
          <w:b w:val="0"/>
          <w:bCs w:val="0"/>
          <w:color w:val="auto"/>
          <w:sz w:val="24"/>
          <w:szCs w:val="24"/>
          <w:highlight w:val="none"/>
          <w:u w:val="none"/>
          <w:lang w:val="en-US" w:eastAsia="zh-CN"/>
        </w:rPr>
        <w:t>回收再利用为目标。</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5.0.13</w:t>
      </w:r>
      <w:r>
        <w:rPr>
          <w:rFonts w:hint="default"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拆除</w:t>
      </w:r>
      <w:r>
        <w:rPr>
          <w:rFonts w:hint="eastAsia" w:ascii="Times New Roman" w:hAnsi="HiddenHorzOCR-Identity-H"/>
          <w:color w:val="auto"/>
          <w:sz w:val="24"/>
          <w:szCs w:val="24"/>
          <w:highlight w:val="none"/>
          <w:lang w:val="en-US" w:eastAsia="zh-CN"/>
        </w:rPr>
        <w:t>作业</w:t>
      </w:r>
      <w:r>
        <w:rPr>
          <w:rFonts w:hint="default" w:ascii="Times New Roman" w:hAnsi="HiddenHorzOCR-Identity-H"/>
          <w:color w:val="auto"/>
          <w:sz w:val="24"/>
          <w:szCs w:val="24"/>
          <w:highlight w:val="none"/>
          <w:lang w:val="en-US" w:eastAsia="zh-CN"/>
        </w:rPr>
        <w:t>同时应根据建筑结构类型和建筑垃圾成分进行现场分类。混凝土预制构件、门窗及砖瓦、钢筋、沥青等材料应分类堆放</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以便回收利用。</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5.0.14</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eastAsia="宋体" w:cs="Times New Roman"/>
          <w:b w:val="0"/>
          <w:bCs w:val="0"/>
          <w:color w:val="auto"/>
          <w:sz w:val="24"/>
          <w:szCs w:val="24"/>
          <w:highlight w:val="none"/>
          <w:u w:val="none"/>
          <w:lang w:val="en-US" w:eastAsia="zh-CN"/>
        </w:rPr>
        <w:t>拆除过程中应对建(构)筑物中具有高环境风险的特殊组分</w:t>
      </w:r>
      <w:r>
        <w:rPr>
          <w:rFonts w:hint="default" w:ascii="Times New Roman" w:hAnsi="HiddenHorzOCR-Identity-H" w:eastAsia="宋体" w:cs="Times New Roman"/>
          <w:i w:val="0"/>
          <w:iCs w:val="0"/>
          <w:caps w:val="0"/>
          <w:color w:val="auto"/>
          <w:spacing w:val="0"/>
          <w:sz w:val="24"/>
          <w:szCs w:val="24"/>
          <w:highlight w:val="none"/>
          <w:u w:val="none"/>
          <w:shd w:val="clear"/>
        </w:rPr>
        <w:t>（如危险化学品、污染物等）</w:t>
      </w:r>
      <w:r>
        <w:rPr>
          <w:rFonts w:hint="default" w:ascii="Times New Roman" w:hAnsi="HiddenHorzOCR-Identity-H" w:eastAsia="宋体" w:cs="Times New Roman"/>
          <w:b w:val="0"/>
          <w:bCs w:val="0"/>
          <w:color w:val="auto"/>
          <w:sz w:val="24"/>
          <w:szCs w:val="24"/>
          <w:highlight w:val="none"/>
          <w:u w:val="none"/>
          <w:lang w:val="en-US" w:eastAsia="zh-CN"/>
        </w:rPr>
        <w:t>进行单独拆除和存放。</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5.0.15 </w:t>
      </w:r>
      <w:r>
        <w:rPr>
          <w:rFonts w:hint="default" w:ascii="Times New Roman" w:hAnsi="HiddenHorzOCR-Identity-H"/>
          <w:color w:val="auto"/>
          <w:sz w:val="24"/>
          <w:szCs w:val="24"/>
          <w:highlight w:val="none"/>
          <w:lang w:val="en-US" w:eastAsia="zh-CN"/>
        </w:rPr>
        <w:t xml:space="preserve"> 建(构)筑物拆除前应清除、腾空内部可移动设施、设备、家具等物品。附属构件(门、窗等)可先于主体结构拆除。</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5.0.16</w:t>
      </w:r>
      <w:r>
        <w:rPr>
          <w:rFonts w:hint="default" w:ascii="Times New Roman" w:hAnsi="HiddenHorzOCR-Identity-H"/>
          <w:color w:val="auto"/>
          <w:sz w:val="24"/>
          <w:szCs w:val="24"/>
          <w:highlight w:val="none"/>
          <w:lang w:val="en-US" w:eastAsia="zh-CN"/>
        </w:rPr>
        <w:t xml:space="preserve"> </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拆除时应按先大后小、先整体后零散、从上至下的要求进行</w:t>
      </w:r>
      <w:r>
        <w:rPr>
          <w:rFonts w:hint="eastAsia" w:ascii="Times New Roman" w:hAnsi="HiddenHorzOCR-Identity-H"/>
          <w:color w:val="auto"/>
          <w:sz w:val="24"/>
          <w:szCs w:val="24"/>
          <w:highlight w:val="none"/>
          <w:lang w:val="en-US" w:eastAsia="zh-CN"/>
        </w:rPr>
        <w:t>拆除</w:t>
      </w:r>
      <w:r>
        <w:rPr>
          <w:rFonts w:hint="default" w:ascii="Times New Roman" w:hAnsi="HiddenHorzOCR-Identity-H"/>
          <w:color w:val="auto"/>
          <w:sz w:val="24"/>
          <w:szCs w:val="24"/>
          <w:highlight w:val="none"/>
          <w:lang w:val="en-US" w:eastAsia="zh-CN"/>
        </w:rPr>
        <w:t>垃圾的收集，并符合</w:t>
      </w:r>
      <w:r>
        <w:rPr>
          <w:rFonts w:hint="eastAsia" w:ascii="Times New Roman" w:hAnsi="HiddenHorzOCR-Identity-H"/>
          <w:color w:val="auto"/>
          <w:sz w:val="24"/>
          <w:szCs w:val="24"/>
          <w:highlight w:val="none"/>
          <w:lang w:val="en-US" w:eastAsia="zh-CN"/>
        </w:rPr>
        <w:t>现行行业标准</w:t>
      </w:r>
      <w:r>
        <w:rPr>
          <w:rFonts w:hint="default" w:ascii="Times New Roman" w:hAnsi="HiddenHorzOCR-Identity-H"/>
          <w:color w:val="auto"/>
          <w:sz w:val="24"/>
          <w:szCs w:val="24"/>
          <w:highlight w:val="none"/>
          <w:lang w:val="en-US" w:eastAsia="zh-CN"/>
        </w:rPr>
        <w:t>《建筑拆除工程安全技术规范》JGJ147</w:t>
      </w:r>
      <w:r>
        <w:rPr>
          <w:rFonts w:hint="eastAsia" w:ascii="Times New Roman" w:hAnsi="HiddenHorzOCR-Identity-H"/>
          <w:color w:val="auto"/>
          <w:sz w:val="24"/>
          <w:szCs w:val="24"/>
          <w:highlight w:val="none"/>
          <w:lang w:val="en-US" w:eastAsia="zh-CN"/>
        </w:rPr>
        <w:t>的相关规定</w:t>
      </w:r>
      <w:r>
        <w:rPr>
          <w:rFonts w:hint="default"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5.0.17</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 xml:space="preserve"> 拆除垃圾应及时清理</w:t>
      </w:r>
      <w:r>
        <w:rPr>
          <w:rFonts w:hint="eastAsia" w:ascii="Times New Roman" w:hAnsi="HiddenHorzOCR-Identity-H"/>
          <w:color w:val="auto"/>
          <w:sz w:val="24"/>
          <w:szCs w:val="24"/>
          <w:highlight w:val="none"/>
          <w:lang w:val="en-US" w:eastAsia="zh-CN"/>
        </w:rPr>
        <w:t>，严禁</w:t>
      </w:r>
      <w:r>
        <w:rPr>
          <w:rFonts w:hint="default" w:ascii="Times New Roman" w:hAnsi="HiddenHorzOCR-Identity-H"/>
          <w:color w:val="auto"/>
          <w:sz w:val="24"/>
          <w:szCs w:val="24"/>
          <w:highlight w:val="none"/>
          <w:lang w:val="en-US" w:eastAsia="zh-CN"/>
        </w:rPr>
        <w:t>随意抛掷。</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5.0.18 </w:t>
      </w:r>
      <w:r>
        <w:rPr>
          <w:rFonts w:hint="default" w:ascii="Times New Roman" w:hAnsi="HiddenHorzOCR-Identity-H"/>
          <w:color w:val="auto"/>
          <w:sz w:val="24"/>
          <w:szCs w:val="24"/>
          <w:highlight w:val="none"/>
          <w:lang w:val="en-US" w:eastAsia="zh-CN"/>
        </w:rPr>
        <w:t xml:space="preserve"> 采用人工及机械拆除时，应符合下列规定</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lang w:val="en-US" w:eastAsia="zh-CN"/>
        </w:rPr>
      </w:pPr>
      <w:r>
        <w:rPr>
          <w:rFonts w:hint="default" w:ascii="Times New Roman" w:hAnsi="HiddenHorzOCR-Identity-H"/>
          <w:color w:val="auto"/>
          <w:sz w:val="24"/>
          <w:szCs w:val="24"/>
          <w:highlight w:val="none"/>
          <w:lang w:val="en-US" w:eastAsia="zh-CN"/>
        </w:rPr>
        <w:t>1 应首先拆除装饰装修工程的裱糊软包和细部</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再对隔板吊顶</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门、窗等相对独立的非承重构件进行分类拆除、收集外运</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lang w:val="en-US" w:eastAsia="zh-CN"/>
        </w:rPr>
      </w:pPr>
      <w:r>
        <w:rPr>
          <w:rFonts w:hint="default" w:ascii="Times New Roman" w:hAnsi="HiddenHorzOCR-Identity-H"/>
          <w:color w:val="auto"/>
          <w:sz w:val="24"/>
          <w:szCs w:val="24"/>
          <w:highlight w:val="none"/>
          <w:lang w:val="en-US" w:eastAsia="zh-CN"/>
        </w:rPr>
        <w:t>2 楼板、次梁、主梁及结构柱等混凝土承重构件</w:t>
      </w:r>
      <w:r>
        <w:rPr>
          <w:rFonts w:hint="eastAsia" w:ascii="Times New Roman" w:hAnsi="HiddenHorzOCR-Identity-H"/>
          <w:color w:val="auto"/>
          <w:sz w:val="24"/>
          <w:szCs w:val="24"/>
          <w:highlight w:val="none"/>
          <w:lang w:val="en-US" w:eastAsia="zh-CN"/>
        </w:rPr>
        <w:t>宜</w:t>
      </w:r>
      <w:r>
        <w:rPr>
          <w:rFonts w:hint="default" w:ascii="Times New Roman" w:hAnsi="HiddenHorzOCR-Identity-H"/>
          <w:color w:val="auto"/>
          <w:sz w:val="24"/>
          <w:szCs w:val="24"/>
          <w:highlight w:val="none"/>
          <w:lang w:val="en-US" w:eastAsia="zh-CN"/>
        </w:rPr>
        <w:t>采用结构无损性拆除技术，分段分块切割，利用垂直运输设备实现快速吊装清运</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lang w:val="en-US" w:eastAsia="zh-CN"/>
        </w:rPr>
      </w:pPr>
      <w:r>
        <w:rPr>
          <w:rFonts w:hint="default" w:ascii="Times New Roman" w:hAnsi="HiddenHorzOCR-Identity-H"/>
          <w:color w:val="auto"/>
          <w:sz w:val="24"/>
          <w:szCs w:val="24"/>
          <w:highlight w:val="none"/>
          <w:lang w:val="en-US" w:eastAsia="zh-CN"/>
        </w:rPr>
        <w:t xml:space="preserve">3 </w:t>
      </w:r>
      <w:r>
        <w:rPr>
          <w:rFonts w:hint="eastAsia" w:ascii="Times New Roman" w:hAnsi="HiddenHorzOCR-Identity-H"/>
          <w:color w:val="auto"/>
          <w:sz w:val="24"/>
          <w:szCs w:val="24"/>
          <w:highlight w:val="none"/>
          <w:lang w:val="en-US" w:eastAsia="zh-CN"/>
        </w:rPr>
        <w:t>砌</w:t>
      </w:r>
      <w:r>
        <w:rPr>
          <w:rFonts w:hint="default" w:ascii="Times New Roman" w:hAnsi="HiddenHorzOCR-Identity-H"/>
          <w:color w:val="auto"/>
          <w:sz w:val="24"/>
          <w:szCs w:val="24"/>
          <w:highlight w:val="none"/>
          <w:lang w:val="en-US" w:eastAsia="zh-CN"/>
        </w:rPr>
        <w:t>体结构拆除时</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应对砖、石及砌块材料单独收集运输</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不得同其他材料混合</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lang w:val="en-US" w:eastAsia="zh-CN"/>
        </w:rPr>
      </w:pPr>
      <w:r>
        <w:rPr>
          <w:rFonts w:hint="default" w:ascii="Times New Roman" w:hAnsi="HiddenHorzOCR-Identity-H"/>
          <w:color w:val="auto"/>
          <w:sz w:val="24"/>
          <w:szCs w:val="24"/>
          <w:highlight w:val="none"/>
          <w:lang w:val="en-US" w:eastAsia="zh-CN"/>
        </w:rPr>
        <w:t>4不得在建筑物内部对已经拆除后的构件进行二次切割或破碎处理。</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 xml:space="preserve">5.0.19 </w:t>
      </w:r>
      <w:r>
        <w:rPr>
          <w:rFonts w:hint="default" w:ascii="Times New Roman" w:hAnsi="HiddenHorzOCR-Identity-H"/>
          <w:color w:val="auto"/>
          <w:sz w:val="24"/>
          <w:szCs w:val="24"/>
          <w:highlight w:val="none"/>
          <w:lang w:val="en-US" w:eastAsia="zh-CN"/>
        </w:rPr>
        <w:t xml:space="preserve"> 采用爆破拆除施工时，应符合下列规定</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lang w:val="en-US" w:eastAsia="zh-CN"/>
        </w:rPr>
      </w:pPr>
      <w:r>
        <w:rPr>
          <w:rFonts w:hint="default" w:ascii="Times New Roman" w:hAnsi="HiddenHorzOCR-Identity-H"/>
          <w:color w:val="auto"/>
          <w:sz w:val="24"/>
          <w:szCs w:val="24"/>
          <w:highlight w:val="none"/>
          <w:lang w:val="en-US" w:eastAsia="zh-CN"/>
        </w:rPr>
        <w:t>1</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应优先将大块混凝土、砌体等构件整体分割后运输至垃圾收集区，再进行块体材料破碎</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lang w:val="en-US" w:eastAsia="zh-CN"/>
        </w:rPr>
      </w:pPr>
      <w:r>
        <w:rPr>
          <w:rFonts w:hint="default" w:ascii="Times New Roman" w:hAnsi="HiddenHorzOCR-Identity-H"/>
          <w:color w:val="auto"/>
          <w:sz w:val="24"/>
          <w:szCs w:val="24"/>
          <w:highlight w:val="none"/>
          <w:lang w:val="en-US" w:eastAsia="zh-CN"/>
        </w:rPr>
        <w:t>2</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应在爆破拆除施工现场对各类零散的混合建筑垃圾进行初步分选后收集。</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5.0.20</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较大的装修工程</w:t>
      </w:r>
      <w:r>
        <w:rPr>
          <w:rFonts w:hint="eastAsia" w:ascii="Times New Roman" w:hAnsi="HiddenHorzOCR-Identity-H"/>
          <w:color w:val="auto"/>
          <w:sz w:val="24"/>
          <w:szCs w:val="24"/>
          <w:highlight w:val="none"/>
          <w:lang w:val="en-US" w:eastAsia="zh-CN"/>
        </w:rPr>
        <w:t>宜</w:t>
      </w:r>
      <w:r>
        <w:rPr>
          <w:rFonts w:hint="default" w:ascii="Times New Roman" w:hAnsi="HiddenHorzOCR-Identity-H"/>
          <w:color w:val="auto"/>
          <w:sz w:val="24"/>
          <w:szCs w:val="24"/>
          <w:highlight w:val="none"/>
          <w:lang w:val="en-US" w:eastAsia="zh-CN"/>
        </w:rPr>
        <w:t>在施工前编制完成装修垃圾</w:t>
      </w:r>
      <w:r>
        <w:rPr>
          <w:rFonts w:hint="eastAsia" w:ascii="Times New Roman" w:hAnsi="HiddenHorzOCR-Identity-H"/>
          <w:color w:val="auto"/>
          <w:sz w:val="24"/>
          <w:szCs w:val="24"/>
          <w:highlight w:val="none"/>
          <w:lang w:val="en-US" w:eastAsia="zh-CN"/>
        </w:rPr>
        <w:t>处理</w:t>
      </w:r>
      <w:r>
        <w:rPr>
          <w:rFonts w:hint="default" w:ascii="Times New Roman" w:hAnsi="HiddenHorzOCR-Identity-H"/>
          <w:color w:val="auto"/>
          <w:sz w:val="24"/>
          <w:szCs w:val="24"/>
          <w:highlight w:val="none"/>
          <w:lang w:val="en-US" w:eastAsia="zh-CN"/>
        </w:rPr>
        <w:t>方案。</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5.0.21</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住宅装修合同应明确业主、施工单位</w:t>
      </w:r>
      <w:r>
        <w:rPr>
          <w:rFonts w:hint="eastAsia" w:ascii="Times New Roman" w:hAnsi="HiddenHorzOCR-Identity-H"/>
          <w:color w:val="auto"/>
          <w:sz w:val="24"/>
          <w:szCs w:val="24"/>
          <w:highlight w:val="none"/>
          <w:lang w:val="en-US" w:eastAsia="zh-CN"/>
        </w:rPr>
        <w:t>对</w:t>
      </w:r>
      <w:r>
        <w:rPr>
          <w:rFonts w:hint="default" w:ascii="Times New Roman" w:hAnsi="HiddenHorzOCR-Identity-H"/>
          <w:color w:val="auto"/>
          <w:sz w:val="24"/>
          <w:szCs w:val="24"/>
          <w:highlight w:val="none"/>
          <w:lang w:val="en-US" w:eastAsia="zh-CN"/>
        </w:rPr>
        <w:t>装修垃圾分类收集的职责。</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5.0.22</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装修垃圾应</w:t>
      </w:r>
      <w:r>
        <w:rPr>
          <w:rFonts w:hint="default" w:ascii="Times New Roman" w:hAnsi="HiddenHorzOCR-Identity-H" w:eastAsia="宋体" w:cs="Times New Roman"/>
          <w:color w:val="auto"/>
          <w:kern w:val="2"/>
          <w:sz w:val="24"/>
          <w:szCs w:val="24"/>
          <w:highlight w:val="none"/>
          <w:lang w:val="en-US" w:eastAsia="zh-CN" w:bidi="ar"/>
        </w:rPr>
        <w:t>按不同类别</w:t>
      </w:r>
      <w:r>
        <w:rPr>
          <w:rFonts w:hint="default" w:ascii="Times New Roman" w:hAnsi="HiddenHorzOCR-Identity-H"/>
          <w:color w:val="auto"/>
          <w:sz w:val="24"/>
          <w:szCs w:val="24"/>
          <w:highlight w:val="none"/>
          <w:lang w:val="en-US" w:eastAsia="zh-CN"/>
        </w:rPr>
        <w:t>袋装收集</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无机</w:t>
      </w:r>
      <w:r>
        <w:rPr>
          <w:rFonts w:hint="eastAsia" w:ascii="Times New Roman" w:hAnsi="HiddenHorzOCR-Identity-H"/>
          <w:color w:val="auto"/>
          <w:sz w:val="24"/>
          <w:szCs w:val="24"/>
          <w:highlight w:val="none"/>
          <w:lang w:val="en-US" w:eastAsia="zh-CN"/>
        </w:rPr>
        <w:t>非金属</w:t>
      </w:r>
      <w:r>
        <w:rPr>
          <w:rFonts w:hint="default" w:ascii="Times New Roman" w:hAnsi="HiddenHorzOCR-Identity-H"/>
          <w:color w:val="auto"/>
          <w:sz w:val="24"/>
          <w:szCs w:val="24"/>
          <w:highlight w:val="none"/>
          <w:lang w:val="en-US" w:eastAsia="zh-CN"/>
        </w:rPr>
        <w:t>装修</w:t>
      </w:r>
      <w:r>
        <w:rPr>
          <w:rFonts w:hint="eastAsia" w:ascii="Times New Roman" w:hAnsi="HiddenHorzOCR-Identity-H"/>
          <w:color w:val="auto"/>
          <w:sz w:val="24"/>
          <w:szCs w:val="24"/>
          <w:highlight w:val="none"/>
          <w:lang w:val="en-US" w:eastAsia="zh-CN"/>
        </w:rPr>
        <w:t>垃圾</w:t>
      </w:r>
      <w:r>
        <w:rPr>
          <w:rFonts w:hint="default" w:ascii="Times New Roman" w:hAnsi="HiddenHorzOCR-Identity-H"/>
          <w:color w:val="auto"/>
          <w:sz w:val="24"/>
          <w:szCs w:val="24"/>
          <w:highlight w:val="none"/>
          <w:lang w:val="en-US" w:eastAsia="zh-CN"/>
        </w:rPr>
        <w:t>(混凝土、砂浆、砖瓦、陶瓷等)不应与有机杂物、金属等混杂。</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eastAsia" w:ascii="Times New Roman" w:hAnsi="HiddenHorzOCR-Identity-H"/>
          <w:b w:val="0"/>
          <w:bCs w:val="0"/>
          <w:color w:val="auto"/>
          <w:sz w:val="24"/>
          <w:szCs w:val="24"/>
          <w:highlight w:val="none"/>
          <w:u w:val="none"/>
          <w:lang w:val="en-US" w:eastAsia="zh-CN"/>
        </w:rPr>
      </w:pPr>
      <w:r>
        <w:rPr>
          <w:rFonts w:hint="eastAsia" w:ascii="Times New Roman" w:hAnsi="HiddenHorzOCR-Identity-H"/>
          <w:b/>
          <w:bCs/>
          <w:color w:val="auto"/>
          <w:sz w:val="24"/>
          <w:szCs w:val="24"/>
          <w:highlight w:val="none"/>
          <w:u w:val="none"/>
          <w:lang w:val="en-US" w:eastAsia="zh-CN"/>
        </w:rPr>
        <w:t>5.0.23</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住宅小区应设置专门的装修垃圾</w:t>
      </w:r>
      <w:r>
        <w:rPr>
          <w:rFonts w:hint="eastAsia" w:ascii="Times New Roman" w:hAnsi="HiddenHorzOCR-Identity-H"/>
          <w:color w:val="auto"/>
          <w:sz w:val="24"/>
          <w:szCs w:val="24"/>
          <w:highlight w:val="none"/>
          <w:lang w:val="en-US" w:eastAsia="zh-CN"/>
        </w:rPr>
        <w:t>临时</w:t>
      </w:r>
      <w:r>
        <w:rPr>
          <w:rFonts w:hint="default" w:ascii="Times New Roman" w:hAnsi="HiddenHorzOCR-Identity-H"/>
          <w:color w:val="auto"/>
          <w:sz w:val="24"/>
          <w:szCs w:val="24"/>
          <w:highlight w:val="none"/>
          <w:lang w:val="en-US" w:eastAsia="zh-CN"/>
        </w:rPr>
        <w:t>堆放点</w:t>
      </w:r>
      <w:r>
        <w:rPr>
          <w:rFonts w:hint="eastAsia" w:ascii="Times New Roman" w:hAnsi="HiddenHorzOCR-Identity-H"/>
          <w:b w:val="0"/>
          <w:bCs w:val="0"/>
          <w:color w:val="auto"/>
          <w:sz w:val="24"/>
          <w:szCs w:val="24"/>
          <w:highlight w:val="none"/>
          <w:u w:val="none"/>
          <w:lang w:val="en-US" w:eastAsia="zh-CN"/>
        </w:rPr>
        <w:t>，采取防尘、防雨等措施，减少对周边环境的影响。</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b/>
          <w:bCs/>
          <w:color w:val="auto"/>
          <w:sz w:val="24"/>
          <w:szCs w:val="24"/>
          <w:highlight w:val="none"/>
          <w:u w:val="none"/>
          <w:lang w:val="en-US" w:eastAsia="zh-CN"/>
        </w:rPr>
        <w:t>5.0.24</w:t>
      </w:r>
      <w:r>
        <w:rPr>
          <w:rFonts w:hint="eastAsia" w:ascii="Times New Roman" w:hAnsi="HiddenHorzOCR-Identity-H"/>
          <w:color w:val="auto"/>
          <w:sz w:val="24"/>
          <w:szCs w:val="24"/>
          <w:highlight w:val="none"/>
          <w:lang w:val="en-US" w:eastAsia="zh-CN"/>
        </w:rPr>
        <w:t xml:space="preserve">  </w:t>
      </w:r>
      <w:r>
        <w:rPr>
          <w:rFonts w:hint="default" w:ascii="Times New Roman" w:hAnsi="HiddenHorzOCR-Identity-H"/>
          <w:color w:val="auto"/>
          <w:sz w:val="24"/>
          <w:szCs w:val="24"/>
          <w:highlight w:val="none"/>
          <w:lang w:val="en-US" w:eastAsia="zh-CN"/>
        </w:rPr>
        <w:t>非住宅装修工程</w:t>
      </w:r>
      <w:r>
        <w:rPr>
          <w:rFonts w:hint="eastAsia" w:ascii="Times New Roman" w:hAnsi="HiddenHorzOCR-Identity-H"/>
          <w:color w:val="auto"/>
          <w:sz w:val="24"/>
          <w:szCs w:val="24"/>
          <w:highlight w:val="none"/>
          <w:lang w:val="en-US" w:eastAsia="zh-CN"/>
        </w:rPr>
        <w:t>，</w:t>
      </w:r>
      <w:r>
        <w:rPr>
          <w:rFonts w:hint="default" w:ascii="Times New Roman" w:hAnsi="HiddenHorzOCR-Identity-H"/>
          <w:color w:val="auto"/>
          <w:sz w:val="24"/>
          <w:szCs w:val="24"/>
          <w:highlight w:val="none"/>
          <w:lang w:val="en-US" w:eastAsia="zh-CN"/>
        </w:rPr>
        <w:t>装修垃圾应分类、集中堆放。</w:t>
      </w:r>
    </w:p>
    <w:p>
      <w:pPr>
        <w:pStyle w:val="2"/>
        <w:pageBreakBefore/>
        <w:spacing w:line="360" w:lineRule="auto"/>
        <w:rPr>
          <w:rFonts w:hint="eastAsia" w:ascii="Times New Roman" w:hAnsi="Times New Roman" w:eastAsia="宋体"/>
          <w:color w:val="auto"/>
          <w:szCs w:val="28"/>
          <w:highlight w:val="none"/>
          <w:lang w:eastAsia="zh-CN"/>
        </w:rPr>
      </w:pPr>
      <w:bookmarkStart w:id="136" w:name="_TOC_250041"/>
      <w:bookmarkEnd w:id="136"/>
      <w:bookmarkStart w:id="137" w:name="_TOC_250001"/>
      <w:bookmarkEnd w:id="137"/>
      <w:bookmarkStart w:id="138" w:name="_Toc18966"/>
      <w:bookmarkStart w:id="139" w:name="_Toc24422"/>
      <w:bookmarkStart w:id="140" w:name="_Toc2241"/>
      <w:bookmarkStart w:id="141" w:name="_Toc30832"/>
      <w:bookmarkStart w:id="142" w:name="_Toc30676"/>
      <w:bookmarkStart w:id="143" w:name="_Toc140769524"/>
      <w:bookmarkStart w:id="144" w:name="_Toc136502144"/>
      <w:bookmarkStart w:id="145" w:name="_Toc22110"/>
      <w:bookmarkStart w:id="146" w:name="_Toc25777"/>
      <w:bookmarkStart w:id="147" w:name="_Toc140769657"/>
      <w:bookmarkStart w:id="148" w:name="_Toc4815"/>
      <w:bookmarkStart w:id="149" w:name="_Toc24640"/>
      <w:bookmarkStart w:id="150" w:name="_Toc14838"/>
      <w:bookmarkStart w:id="151" w:name="_Toc7181"/>
      <w:bookmarkStart w:id="152" w:name="_Toc136502192"/>
      <w:bookmarkStart w:id="153" w:name="_Toc140769572"/>
      <w:bookmarkStart w:id="154" w:name="_Toc4460"/>
      <w:bookmarkStart w:id="155" w:name="_Toc1967"/>
      <w:bookmarkStart w:id="156" w:name="_Toc140769705"/>
      <w:bookmarkStart w:id="157" w:name="_Toc13639"/>
      <w:r>
        <w:rPr>
          <w:rFonts w:hint="default" w:ascii="Times New Roman" w:hAnsi="Times New Roman"/>
          <w:color w:val="auto"/>
          <w:szCs w:val="28"/>
          <w:highlight w:val="none"/>
          <w:lang w:val="en-US"/>
        </w:rPr>
        <w:t>6</w:t>
      </w:r>
      <w:bookmarkEnd w:id="138"/>
      <w:bookmarkEnd w:id="139"/>
      <w:r>
        <w:rPr>
          <w:rFonts w:hint="eastAsia" w:ascii="Times New Roman" w:hAnsi="宋体"/>
          <w:color w:val="auto"/>
          <w:sz w:val="28"/>
          <w:szCs w:val="28"/>
          <w:highlight w:val="none"/>
          <w:lang w:val="en-US"/>
        </w:rPr>
        <w:t>就地利用</w:t>
      </w:r>
      <w:bookmarkEnd w:id="140"/>
      <w:bookmarkEnd w:id="141"/>
      <w:bookmarkEnd w:id="142"/>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 xml:space="preserve">.1 </w:t>
      </w:r>
      <w:r>
        <w:rPr>
          <w:rFonts w:hint="eastAsia" w:ascii="Times New Roman" w:hAnsi="HiddenHorzOCR-Identity-H" w:cs="Times New Roman"/>
          <w:color w:val="auto"/>
          <w:sz w:val="24"/>
          <w:szCs w:val="24"/>
          <w:highlight w:val="none"/>
          <w:u w:val="none"/>
          <w:lang w:val="en-US" w:eastAsia="zh-CN"/>
        </w:rPr>
        <w:t xml:space="preserve"> </w:t>
      </w:r>
      <w:r>
        <w:rPr>
          <w:rFonts w:hint="eastAsia" w:ascii="Times New Roman" w:hAnsi="HiddenHorzOCR-Identity-H" w:eastAsia="宋体" w:cs="Times New Roman"/>
          <w:color w:val="auto"/>
          <w:sz w:val="24"/>
          <w:szCs w:val="24"/>
          <w:highlight w:val="none"/>
          <w:u w:val="none"/>
          <w:lang w:val="en-US" w:eastAsia="zh-CN"/>
        </w:rPr>
        <w:t>建筑垃圾的就地</w:t>
      </w:r>
      <w:r>
        <w:rPr>
          <w:rFonts w:hint="eastAsia" w:ascii="Times New Roman" w:hAnsi="HiddenHorzOCR-Identity-H" w:cs="Times New Roman"/>
          <w:color w:val="auto"/>
          <w:sz w:val="24"/>
          <w:szCs w:val="24"/>
          <w:highlight w:val="none"/>
          <w:u w:val="none"/>
          <w:lang w:val="en-US" w:eastAsia="zh-CN"/>
        </w:rPr>
        <w:t>利用</w:t>
      </w:r>
      <w:r>
        <w:rPr>
          <w:rFonts w:hint="eastAsia" w:ascii="Times New Roman" w:hAnsi="HiddenHorzOCR-Identity-H" w:eastAsia="宋体" w:cs="Times New Roman"/>
          <w:color w:val="auto"/>
          <w:sz w:val="24"/>
          <w:szCs w:val="24"/>
          <w:highlight w:val="none"/>
          <w:u w:val="none"/>
          <w:lang w:val="en-US" w:eastAsia="zh-CN"/>
        </w:rPr>
        <w:t>应因地制宜、分类利用。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 xml:space="preserve">.2 </w:t>
      </w:r>
      <w:r>
        <w:rPr>
          <w:rFonts w:hint="eastAsia" w:ascii="Times New Roman" w:hAnsi="HiddenHorzOCR-Identity-H" w:cs="Times New Roman"/>
          <w:color w:val="auto"/>
          <w:sz w:val="24"/>
          <w:szCs w:val="24"/>
          <w:highlight w:val="none"/>
          <w:u w:val="none"/>
          <w:lang w:val="en-US" w:eastAsia="zh-CN"/>
        </w:rPr>
        <w:t xml:space="preserve"> </w:t>
      </w:r>
      <w:r>
        <w:rPr>
          <w:rFonts w:hint="eastAsia" w:ascii="Times New Roman" w:hAnsi="HiddenHorzOCR-Identity-H" w:eastAsia="宋体" w:cs="Times New Roman"/>
          <w:color w:val="auto"/>
          <w:sz w:val="24"/>
          <w:szCs w:val="24"/>
          <w:highlight w:val="none"/>
          <w:u w:val="none"/>
          <w:lang w:val="en-US" w:eastAsia="zh-CN"/>
        </w:rPr>
        <w:t>施工单位应建立</w:t>
      </w:r>
      <w:r>
        <w:rPr>
          <w:rFonts w:hint="eastAsia" w:ascii="Times New Roman" w:hAnsi="HiddenHorzOCR-Identity-H" w:cs="Times New Roman"/>
          <w:color w:val="auto"/>
          <w:sz w:val="24"/>
          <w:szCs w:val="24"/>
          <w:highlight w:val="none"/>
          <w:u w:val="none"/>
          <w:lang w:val="en-US" w:eastAsia="zh-CN"/>
        </w:rPr>
        <w:t>并落实</w:t>
      </w:r>
      <w:r>
        <w:rPr>
          <w:rFonts w:hint="eastAsia" w:ascii="Times New Roman" w:hAnsi="HiddenHorzOCR-Identity-H" w:eastAsia="宋体" w:cs="Times New Roman"/>
          <w:color w:val="auto"/>
          <w:sz w:val="24"/>
          <w:szCs w:val="24"/>
          <w:highlight w:val="none"/>
          <w:u w:val="none"/>
          <w:lang w:val="en-US" w:eastAsia="zh-CN"/>
        </w:rPr>
        <w:t>建筑垃圾</w:t>
      </w:r>
      <w:r>
        <w:rPr>
          <w:rFonts w:hint="eastAsia" w:ascii="Times New Roman" w:hAnsi="HiddenHorzOCR-Identity-H" w:cs="Times New Roman"/>
          <w:color w:val="auto"/>
          <w:sz w:val="24"/>
          <w:szCs w:val="24"/>
          <w:highlight w:val="none"/>
          <w:u w:val="none"/>
          <w:lang w:val="en-US" w:eastAsia="zh-CN"/>
        </w:rPr>
        <w:t>就地利用</w:t>
      </w:r>
      <w:r>
        <w:rPr>
          <w:rFonts w:hint="eastAsia" w:ascii="Times New Roman" w:hAnsi="HiddenHorzOCR-Identity-H" w:eastAsia="宋体" w:cs="Times New Roman"/>
          <w:color w:val="auto"/>
          <w:sz w:val="24"/>
          <w:szCs w:val="24"/>
          <w:highlight w:val="none"/>
          <w:u w:val="none"/>
          <w:lang w:val="en-US" w:eastAsia="zh-CN"/>
        </w:rPr>
        <w:t>的管理制度。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3</w:t>
      </w:r>
      <w:r>
        <w:rPr>
          <w:rFonts w:hint="eastAsia" w:ascii="Times New Roman" w:hAnsi="HiddenHorzOCR-Identity-H" w:eastAsia="宋体" w:cs="Times New Roman"/>
          <w:b/>
          <w:bCs/>
          <w:color w:val="auto"/>
          <w:sz w:val="24"/>
          <w:szCs w:val="24"/>
          <w:highlight w:val="none"/>
          <w:u w:val="none"/>
          <w:lang w:val="en-US" w:eastAsia="zh-CN"/>
        </w:rPr>
        <w:t xml:space="preserve"> </w:t>
      </w:r>
      <w:r>
        <w:rPr>
          <w:rFonts w:hint="eastAsia" w:ascii="Times New Roman" w:hAnsi="HiddenHorzOCR-Identity-H" w:cs="Times New Roman"/>
          <w:color w:val="auto"/>
          <w:sz w:val="24"/>
          <w:szCs w:val="24"/>
          <w:highlight w:val="none"/>
          <w:u w:val="none"/>
          <w:lang w:val="en-US" w:eastAsia="zh-CN"/>
        </w:rPr>
        <w:t xml:space="preserve"> 施工</w:t>
      </w:r>
      <w:r>
        <w:rPr>
          <w:rFonts w:hint="eastAsia" w:ascii="Times New Roman" w:hAnsi="HiddenHorzOCR-Identity-H" w:eastAsia="宋体" w:cs="Times New Roman"/>
          <w:color w:val="auto"/>
          <w:sz w:val="24"/>
          <w:szCs w:val="24"/>
          <w:highlight w:val="none"/>
          <w:u w:val="none"/>
          <w:lang w:val="en-US" w:eastAsia="zh-CN"/>
        </w:rPr>
        <w:t>现场</w:t>
      </w:r>
      <w:r>
        <w:rPr>
          <w:rFonts w:hint="eastAsia" w:ascii="Times New Roman" w:hAnsi="HiddenHorzOCR-Identity-H" w:cs="Times New Roman"/>
          <w:color w:val="auto"/>
          <w:sz w:val="24"/>
          <w:szCs w:val="24"/>
          <w:highlight w:val="none"/>
          <w:u w:val="none"/>
          <w:lang w:val="en-US" w:eastAsia="zh-CN"/>
        </w:rPr>
        <w:t>建筑垃圾应优先就地处置利用，无法就地处理</w:t>
      </w:r>
      <w:r>
        <w:rPr>
          <w:rFonts w:hint="eastAsia" w:ascii="Times New Roman" w:hAnsi="HiddenHorzOCR-Identity-H" w:eastAsia="宋体" w:cs="Times New Roman"/>
          <w:color w:val="auto"/>
          <w:sz w:val="24"/>
          <w:szCs w:val="24"/>
          <w:highlight w:val="none"/>
          <w:u w:val="none"/>
          <w:lang w:val="en-US" w:eastAsia="zh-CN"/>
        </w:rPr>
        <w:t>的建筑垃圾宜在</w:t>
      </w:r>
      <w:r>
        <w:rPr>
          <w:rFonts w:hint="default" w:ascii="Times New Roman" w:hAnsi="HiddenHorzOCR-Identity-H" w:eastAsia="宋体" w:cs="Times New Roman"/>
          <w:color w:val="auto"/>
          <w:sz w:val="24"/>
          <w:szCs w:val="24"/>
          <w:highlight w:val="none"/>
          <w:u w:val="none"/>
          <w:lang w:val="en-US" w:eastAsia="zh-CN"/>
        </w:rPr>
        <w:t>场外</w:t>
      </w:r>
      <w:r>
        <w:rPr>
          <w:rFonts w:hint="eastAsia" w:ascii="Times New Roman" w:hAnsi="HiddenHorzOCR-Identity-H" w:cs="Times New Roman"/>
          <w:color w:val="auto"/>
          <w:sz w:val="24"/>
          <w:szCs w:val="24"/>
          <w:highlight w:val="none"/>
          <w:u w:val="none"/>
          <w:lang w:val="en-US" w:eastAsia="zh-CN"/>
        </w:rPr>
        <w:t>建筑垃圾资源化利用或建筑垃圾处置</w:t>
      </w:r>
      <w:r>
        <w:rPr>
          <w:rFonts w:hint="eastAsia" w:ascii="Times New Roman" w:hAnsi="HiddenHorzOCR-Identity-H" w:eastAsia="宋体" w:cs="Times New Roman"/>
          <w:color w:val="auto"/>
          <w:sz w:val="24"/>
          <w:szCs w:val="24"/>
          <w:highlight w:val="none"/>
          <w:u w:val="none"/>
          <w:lang w:val="en-US" w:eastAsia="zh-CN"/>
        </w:rPr>
        <w:t>场所处理。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4</w:t>
      </w:r>
      <w:r>
        <w:rPr>
          <w:rFonts w:hint="eastAsia" w:ascii="Times New Roman" w:hAnsi="HiddenHorzOCR-Identity-H" w:eastAsia="宋体" w:cs="Times New Roman"/>
          <w:b/>
          <w:bCs/>
          <w:color w:val="auto"/>
          <w:sz w:val="24"/>
          <w:szCs w:val="24"/>
          <w:highlight w:val="none"/>
          <w:u w:val="none"/>
          <w:lang w:val="en-US" w:eastAsia="zh-CN"/>
        </w:rPr>
        <w:t xml:space="preserve"> </w:t>
      </w:r>
      <w:r>
        <w:rPr>
          <w:rFonts w:hint="eastAsia" w:ascii="Times New Roman" w:hAnsi="HiddenHorzOCR-Identity-H" w:cs="Times New Roman"/>
          <w:color w:val="auto"/>
          <w:sz w:val="24"/>
          <w:szCs w:val="24"/>
          <w:highlight w:val="none"/>
          <w:u w:val="none"/>
          <w:lang w:val="en-US" w:eastAsia="zh-CN"/>
        </w:rPr>
        <w:t xml:space="preserve"> </w:t>
      </w:r>
      <w:r>
        <w:rPr>
          <w:rFonts w:hint="eastAsia" w:ascii="Times New Roman" w:hAnsi="HiddenHorzOCR-Identity-H" w:eastAsia="宋体" w:cs="Times New Roman"/>
          <w:color w:val="auto"/>
          <w:sz w:val="24"/>
          <w:szCs w:val="24"/>
          <w:highlight w:val="none"/>
          <w:u w:val="none"/>
          <w:lang w:val="en-US" w:eastAsia="zh-CN"/>
        </w:rPr>
        <w:t>可再利用的块状、管状、条状等黑色金属类工程弃料宜通过切割、焊接等手段加以利用。有色金属类工程弃料不宜与黑色金属类工程弃料混合处理。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楷体" w:hAnsi="楷体" w:eastAsia="楷体" w:cs="Times New Roman"/>
          <w:b w:val="0"/>
          <w:bCs w:val="0"/>
          <w:sz w:val="24"/>
          <w:szCs w:val="24"/>
          <w:lang w:val="en-US" w:eastAsia="zh-CN"/>
        </w:rPr>
      </w:pPr>
      <w:r>
        <w:rPr>
          <w:rFonts w:hint="eastAsia" w:ascii="楷体" w:hAnsi="楷体" w:eastAsia="楷体" w:cs="Times New Roman"/>
          <w:b w:val="0"/>
          <w:bCs w:val="0"/>
          <w:sz w:val="24"/>
          <w:szCs w:val="24"/>
        </w:rPr>
        <w:t>【条文说明】</w:t>
      </w:r>
      <w:r>
        <w:rPr>
          <w:rFonts w:hint="eastAsia" w:ascii="楷体" w:hAnsi="楷体" w:eastAsia="楷体" w:cs="Times New Roman"/>
          <w:i w:val="0"/>
          <w:iCs w:val="0"/>
          <w:caps w:val="0"/>
          <w:spacing w:val="0"/>
          <w:sz w:val="24"/>
          <w:szCs w:val="24"/>
          <w:shd w:val="clear"/>
        </w:rPr>
        <w:t>黑色金属主要指铁、铬、锰及其合金，包括含铁90%以上的工业纯铁，含碳2%</w:t>
      </w:r>
      <w:r>
        <w:rPr>
          <w:rFonts w:hint="eastAsia" w:ascii="楷体" w:hAnsi="楷体" w:eastAsia="楷体" w:cs="Times New Roman"/>
          <w:i w:val="0"/>
          <w:iCs w:val="0"/>
          <w:caps w:val="0"/>
          <w:spacing w:val="0"/>
          <w:sz w:val="24"/>
          <w:szCs w:val="24"/>
          <w:shd w:val="clear"/>
          <w:lang w:eastAsia="zh-CN"/>
        </w:rPr>
        <w:t>～</w:t>
      </w:r>
      <w:r>
        <w:rPr>
          <w:rFonts w:hint="eastAsia" w:ascii="楷体" w:hAnsi="楷体" w:eastAsia="楷体" w:cs="Times New Roman"/>
          <w:i w:val="0"/>
          <w:iCs w:val="0"/>
          <w:caps w:val="0"/>
          <w:spacing w:val="0"/>
          <w:sz w:val="24"/>
          <w:szCs w:val="24"/>
          <w:shd w:val="clear"/>
        </w:rPr>
        <w:t>4%的铸铁，含碳小于2%的碳钢，以及各种用途的结构钢、不锈钢、耐热钢、高温合金、精密合金等。有色金属又称非铁金属，是指除了铁、锰、铬等黑色金属外的所有金属的统称</w:t>
      </w:r>
      <w:r>
        <w:rPr>
          <w:rFonts w:hint="eastAsia" w:ascii="楷体" w:hAnsi="楷体" w:eastAsia="楷体" w:cs="Times New Roman"/>
          <w:i w:val="0"/>
          <w:iCs w:val="0"/>
          <w:caps w:val="0"/>
          <w:spacing w:val="0"/>
          <w:sz w:val="24"/>
          <w:szCs w:val="24"/>
          <w:shd w:val="clear"/>
          <w:lang w:eastAsia="zh-CN"/>
        </w:rPr>
        <w:t>，</w:t>
      </w:r>
      <w:r>
        <w:rPr>
          <w:rFonts w:hint="eastAsia" w:ascii="楷体" w:hAnsi="楷体" w:eastAsia="楷体" w:cs="Times New Roman"/>
          <w:i w:val="0"/>
          <w:iCs w:val="0"/>
          <w:caps w:val="0"/>
          <w:spacing w:val="0"/>
          <w:sz w:val="24"/>
          <w:szCs w:val="24"/>
          <w:shd w:val="clear"/>
        </w:rPr>
        <w:t>可分为重金属(铜、铅、锌等)、轻金属(铝、镁等)、贵金属(金、银、铂等)及稀有金属(钨、钼、锗、锂等)。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HiddenHorzOCR-Identity-H" w:eastAsia="楷体" w:cs="Times New Roman"/>
          <w:color w:val="auto"/>
          <w:sz w:val="24"/>
          <w:szCs w:val="24"/>
          <w:highlight w:val="none"/>
          <w:u w:val="none"/>
          <w:lang w:val="en-US" w:eastAsia="zh-CN"/>
        </w:rPr>
      </w:pPr>
      <w:r>
        <w:rPr>
          <w:rFonts w:hint="eastAsia" w:ascii="楷体" w:hAnsi="楷体" w:eastAsia="楷体" w:cs="Times New Roman"/>
          <w:b w:val="0"/>
          <w:bCs w:val="0"/>
          <w:sz w:val="24"/>
          <w:szCs w:val="24"/>
        </w:rPr>
        <w:t>钢筋余料可加工成马凳筋、定位筋等在场内利用，或通过接长加工成钢筋网片，用于场地工具式设施，如洗车槽、防护门、排水沟等</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型钢、钢管余料可通过切割、焊接，加工成吊料箱、工具箱等小型实用器具</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钢管余料，可用于管道套管</w:t>
      </w:r>
      <w:r>
        <w:rPr>
          <w:rFonts w:hint="eastAsia" w:ascii="楷体" w:hAnsi="楷体" w:eastAsia="楷体" w:cs="Times New Roman"/>
          <w:b w:val="0"/>
          <w:bCs w:val="0"/>
          <w:sz w:val="24"/>
          <w:szCs w:val="24"/>
          <w:lang w:eastAsia="zh-CN"/>
        </w:rPr>
        <w:t>：</w:t>
      </w:r>
      <w:r>
        <w:rPr>
          <w:rFonts w:hint="eastAsia" w:ascii="楷体" w:hAnsi="楷体" w:eastAsia="楷体" w:cs="Times New Roman"/>
          <w:b w:val="0"/>
          <w:bCs w:val="0"/>
          <w:sz w:val="24"/>
          <w:szCs w:val="24"/>
        </w:rPr>
        <w:t>施工后期，材料货架型钢可以转做管线支架。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5</w:t>
      </w:r>
      <w:r>
        <w:rPr>
          <w:rFonts w:hint="eastAsia" w:ascii="Times New Roman" w:hAnsi="HiddenHorzOCR-Identity-H" w:eastAsia="宋体" w:cs="Times New Roman"/>
          <w:b/>
          <w:bCs/>
          <w:color w:val="auto"/>
          <w:sz w:val="24"/>
          <w:szCs w:val="24"/>
          <w:highlight w:val="none"/>
          <w:u w:val="none"/>
          <w:lang w:val="en-US" w:eastAsia="zh-CN"/>
        </w:rPr>
        <w:t xml:space="preserve"> </w:t>
      </w:r>
      <w:r>
        <w:rPr>
          <w:rFonts w:hint="eastAsia" w:ascii="Times New Roman" w:hAnsi="HiddenHorzOCR-Identity-H" w:cs="Times New Roman"/>
          <w:color w:val="auto"/>
          <w:sz w:val="24"/>
          <w:szCs w:val="24"/>
          <w:highlight w:val="none"/>
          <w:u w:val="none"/>
          <w:lang w:val="en-US" w:eastAsia="zh-CN"/>
        </w:rPr>
        <w:t xml:space="preserve"> </w:t>
      </w:r>
      <w:r>
        <w:rPr>
          <w:rFonts w:hint="eastAsia" w:ascii="Times New Roman" w:hAnsi="HiddenHorzOCR-Identity-H" w:eastAsia="宋体" w:cs="Times New Roman"/>
          <w:color w:val="auto"/>
          <w:sz w:val="24"/>
          <w:szCs w:val="24"/>
          <w:highlight w:val="none"/>
          <w:u w:val="none"/>
          <w:lang w:val="en-US" w:eastAsia="zh-CN"/>
        </w:rPr>
        <w:t>有机非金属类与混合类工程弃料可通过下列途径</w:t>
      </w:r>
      <w:r>
        <w:rPr>
          <w:rFonts w:hint="eastAsia" w:ascii="Times New Roman" w:hAnsi="HiddenHorzOCR-Identity-H" w:cs="Times New Roman"/>
          <w:color w:val="auto"/>
          <w:sz w:val="24"/>
          <w:szCs w:val="24"/>
          <w:highlight w:val="none"/>
          <w:u w:val="none"/>
          <w:lang w:val="en-US" w:eastAsia="zh-CN"/>
        </w:rPr>
        <w:t>就地</w:t>
      </w:r>
      <w:r>
        <w:rPr>
          <w:rFonts w:hint="eastAsia" w:ascii="Times New Roman" w:hAnsi="HiddenHorzOCR-Identity-H" w:eastAsia="宋体" w:cs="Times New Roman"/>
          <w:color w:val="auto"/>
          <w:sz w:val="24"/>
          <w:szCs w:val="24"/>
          <w:highlight w:val="none"/>
          <w:u w:val="none"/>
          <w:lang w:val="en-US" w:eastAsia="zh-CN"/>
        </w:rPr>
        <w:t>利用</w:t>
      </w:r>
      <w:r>
        <w:rPr>
          <w:rFonts w:hint="eastAsia" w:ascii="Times New Roman" w:hAnsi="HiddenHorzOCR-Identity-H" w:cs="Times New Roman"/>
          <w:color w:val="auto"/>
          <w:sz w:val="24"/>
          <w:szCs w:val="24"/>
          <w:highlight w:val="none"/>
          <w:u w:val="none"/>
          <w:lang w:val="en-US" w:eastAsia="zh-CN"/>
        </w:rPr>
        <w:t>：</w:t>
      </w:r>
    </w:p>
    <w:p>
      <w:pPr>
        <w:pStyle w:val="12"/>
        <w:widowControl w:val="0"/>
        <w:spacing w:after="0" w:line="360" w:lineRule="auto"/>
        <w:ind w:firstLine="240" w:firstLineChars="100"/>
        <w:jc w:val="left"/>
        <w:rPr>
          <w:rFonts w:hint="default" w:ascii="Times New Roman" w:hAnsi="HiddenHorzOCR-Identity-H" w:eastAsia="宋体" w:cs="Times New Roman"/>
          <w:color w:val="auto"/>
          <w:sz w:val="24"/>
          <w:szCs w:val="24"/>
          <w:highlight w:val="none"/>
          <w:u w:val="none"/>
          <w:lang w:val="en-US" w:eastAsia="zh-CN"/>
        </w:rPr>
      </w:pPr>
      <w:r>
        <w:rPr>
          <w:rFonts w:hint="default" w:ascii="Times New Roman" w:hAnsi="HiddenHorzOCR-Identity-H" w:eastAsia="宋体" w:cs="Times New Roman"/>
          <w:color w:val="auto"/>
          <w:sz w:val="24"/>
          <w:szCs w:val="24"/>
          <w:highlight w:val="none"/>
          <w:u w:val="none"/>
          <w:lang w:val="en-US" w:eastAsia="zh-CN"/>
        </w:rPr>
        <w:t>1</w:t>
      </w:r>
      <w:r>
        <w:rPr>
          <w:rFonts w:hint="default" w:ascii="Times New Roman" w:hAnsi="HiddenHorzOCR-Identity-H" w:cs="Times New Roman"/>
          <w:color w:val="auto"/>
          <w:sz w:val="24"/>
          <w:szCs w:val="24"/>
          <w:highlight w:val="none"/>
          <w:u w:val="none"/>
          <w:lang w:val="en-US" w:eastAsia="zh-CN"/>
        </w:rPr>
        <w:t xml:space="preserve"> </w:t>
      </w:r>
      <w:r>
        <w:rPr>
          <w:rFonts w:hint="default" w:ascii="Times New Roman" w:hAnsi="HiddenHorzOCR-Identity-H" w:eastAsia="宋体" w:cs="Times New Roman"/>
          <w:color w:val="auto"/>
          <w:sz w:val="24"/>
          <w:szCs w:val="24"/>
          <w:highlight w:val="none"/>
          <w:u w:val="none"/>
          <w:lang w:val="en-US" w:eastAsia="zh-CN"/>
        </w:rPr>
        <w:t>现场短木方可用于小开间模板支设、洞口防护等，或采用接长方式，周转使用</w:t>
      </w:r>
      <w:r>
        <w:rPr>
          <w:rFonts w:hint="default" w:ascii="Times New Roman" w:hAnsi="HiddenHorzOCR-Identity-H" w:cs="Times New Roman"/>
          <w:color w:val="auto"/>
          <w:sz w:val="24"/>
          <w:szCs w:val="24"/>
          <w:highlight w:val="none"/>
          <w:u w:val="none"/>
          <w:lang w:val="en-US" w:eastAsia="zh-CN"/>
        </w:rPr>
        <w:t>；</w:t>
      </w:r>
    </w:p>
    <w:p>
      <w:pPr>
        <w:pStyle w:val="12"/>
        <w:widowControl w:val="0"/>
        <w:spacing w:after="0" w:line="360" w:lineRule="auto"/>
        <w:ind w:firstLine="240" w:firstLineChars="100"/>
        <w:jc w:val="left"/>
        <w:rPr>
          <w:rFonts w:hint="default" w:ascii="Times New Roman" w:hAnsi="HiddenHorzOCR-Identity-H" w:eastAsia="宋体" w:cs="Times New Roman"/>
          <w:color w:val="auto"/>
          <w:sz w:val="24"/>
          <w:szCs w:val="24"/>
          <w:highlight w:val="none"/>
          <w:u w:val="none"/>
          <w:lang w:val="en-US" w:eastAsia="zh-CN"/>
        </w:rPr>
      </w:pPr>
      <w:r>
        <w:rPr>
          <w:rFonts w:hint="default" w:ascii="Times New Roman" w:hAnsi="HiddenHorzOCR-Identity-H" w:eastAsia="宋体" w:cs="Times New Roman"/>
          <w:color w:val="auto"/>
          <w:sz w:val="24"/>
          <w:szCs w:val="24"/>
          <w:highlight w:val="none"/>
          <w:u w:val="none"/>
          <w:lang w:val="en-US" w:eastAsia="zh-CN"/>
        </w:rPr>
        <w:t>2</w:t>
      </w:r>
      <w:r>
        <w:rPr>
          <w:rFonts w:hint="default" w:ascii="Times New Roman" w:hAnsi="HiddenHorzOCR-Identity-H" w:cs="Times New Roman"/>
          <w:color w:val="auto"/>
          <w:sz w:val="24"/>
          <w:szCs w:val="24"/>
          <w:highlight w:val="none"/>
          <w:u w:val="none"/>
          <w:lang w:val="en-US" w:eastAsia="zh-CN"/>
        </w:rPr>
        <w:t xml:space="preserve"> </w:t>
      </w:r>
      <w:r>
        <w:rPr>
          <w:rFonts w:hint="default" w:ascii="Times New Roman" w:hAnsi="HiddenHorzOCR-Identity-H" w:eastAsia="宋体" w:cs="Times New Roman"/>
          <w:color w:val="auto"/>
          <w:sz w:val="24"/>
          <w:szCs w:val="24"/>
          <w:highlight w:val="none"/>
          <w:u w:val="none"/>
          <w:lang w:val="en-US" w:eastAsia="zh-CN"/>
        </w:rPr>
        <w:t>废旧模板可用于制作覆膜、消防柜、楼梯踏步板、花坛、雨水</w:t>
      </w:r>
      <w:r>
        <w:rPr>
          <w:rFonts w:hint="default" w:ascii="Times New Roman" w:hAnsi="HiddenHorzOCR-Identity-H" w:cs="Times New Roman"/>
          <w:color w:val="auto"/>
          <w:sz w:val="24"/>
          <w:szCs w:val="24"/>
          <w:highlight w:val="none"/>
          <w:u w:val="none"/>
          <w:lang w:val="en-US" w:eastAsia="zh-CN"/>
        </w:rPr>
        <w:t>箅子</w:t>
      </w:r>
      <w:r>
        <w:rPr>
          <w:rFonts w:hint="default" w:ascii="Times New Roman" w:hAnsi="HiddenHorzOCR-Identity-H" w:eastAsia="宋体" w:cs="Times New Roman"/>
          <w:color w:val="auto"/>
          <w:sz w:val="24"/>
          <w:szCs w:val="24"/>
          <w:highlight w:val="none"/>
          <w:u w:val="none"/>
          <w:lang w:val="en-US" w:eastAsia="zh-CN"/>
        </w:rPr>
        <w:t>等，其余料可加工成管道穿楼板预留洞模具</w:t>
      </w:r>
      <w:r>
        <w:rPr>
          <w:rFonts w:hint="default" w:ascii="Times New Roman" w:hAnsi="HiddenHorzOCR-Identity-H" w:cs="Times New Roman"/>
          <w:color w:val="auto"/>
          <w:sz w:val="24"/>
          <w:szCs w:val="24"/>
          <w:highlight w:val="none"/>
          <w:u w:val="none"/>
          <w:lang w:val="en-US" w:eastAsia="zh-CN"/>
        </w:rPr>
        <w:t>；</w:t>
      </w:r>
    </w:p>
    <w:p>
      <w:pPr>
        <w:pStyle w:val="12"/>
        <w:widowControl w:val="0"/>
        <w:spacing w:after="0" w:line="360" w:lineRule="auto"/>
        <w:ind w:firstLine="240" w:firstLineChars="100"/>
        <w:jc w:val="left"/>
        <w:rPr>
          <w:rFonts w:hint="default" w:ascii="Times New Roman" w:hAnsi="HiddenHorzOCR-Identity-H" w:eastAsia="宋体" w:cs="Times New Roman"/>
          <w:color w:val="auto"/>
          <w:sz w:val="24"/>
          <w:szCs w:val="24"/>
          <w:highlight w:val="none"/>
          <w:u w:val="none"/>
          <w:lang w:val="en-US" w:eastAsia="zh-CN"/>
        </w:rPr>
      </w:pPr>
      <w:r>
        <w:rPr>
          <w:rFonts w:hint="default" w:ascii="Times New Roman" w:hAnsi="HiddenHorzOCR-Identity-H" w:eastAsia="宋体" w:cs="Times New Roman"/>
          <w:color w:val="auto"/>
          <w:sz w:val="24"/>
          <w:szCs w:val="24"/>
          <w:highlight w:val="none"/>
          <w:u w:val="none"/>
          <w:lang w:val="en-US" w:eastAsia="zh-CN"/>
        </w:rPr>
        <w:t>3</w:t>
      </w:r>
      <w:r>
        <w:rPr>
          <w:rFonts w:hint="default" w:ascii="Times New Roman" w:hAnsi="HiddenHorzOCR-Identity-H" w:cs="Times New Roman"/>
          <w:color w:val="auto"/>
          <w:sz w:val="24"/>
          <w:szCs w:val="24"/>
          <w:highlight w:val="none"/>
          <w:u w:val="none"/>
          <w:lang w:val="en-US" w:eastAsia="zh-CN"/>
        </w:rPr>
        <w:t xml:space="preserve"> </w:t>
      </w:r>
      <w:r>
        <w:rPr>
          <w:rFonts w:hint="default" w:ascii="Times New Roman" w:hAnsi="HiddenHorzOCR-Identity-H" w:eastAsia="宋体" w:cs="Times New Roman"/>
          <w:color w:val="auto"/>
          <w:sz w:val="24"/>
          <w:szCs w:val="24"/>
          <w:highlight w:val="none"/>
          <w:u w:val="none"/>
          <w:lang w:val="en-US" w:eastAsia="zh-CN"/>
        </w:rPr>
        <w:t>聚氯乙烯</w:t>
      </w:r>
      <w:r>
        <w:rPr>
          <w:rFonts w:hint="default" w:ascii="Times New Roman" w:hAnsi="HiddenHorzOCR-Identity-H" w:cs="Times New Roman"/>
          <w:color w:val="auto"/>
          <w:sz w:val="24"/>
          <w:szCs w:val="24"/>
          <w:highlight w:val="none"/>
          <w:u w:val="none"/>
          <w:lang w:val="en-US" w:eastAsia="zh-CN"/>
        </w:rPr>
        <w:t>（</w:t>
      </w:r>
      <w:r>
        <w:rPr>
          <w:rFonts w:hint="default" w:ascii="Times New Roman" w:hAnsi="HiddenHorzOCR-Identity-H" w:eastAsia="宋体" w:cs="Times New Roman"/>
          <w:color w:val="auto"/>
          <w:sz w:val="24"/>
          <w:szCs w:val="24"/>
          <w:highlight w:val="none"/>
          <w:u w:val="none"/>
          <w:lang w:val="en-US" w:eastAsia="zh-CN"/>
        </w:rPr>
        <w:t>PVC</w:t>
      </w:r>
      <w:r>
        <w:rPr>
          <w:rFonts w:hint="default" w:ascii="Times New Roman" w:hAnsi="HiddenHorzOCR-Identity-H" w:cs="Times New Roman"/>
          <w:color w:val="auto"/>
          <w:sz w:val="24"/>
          <w:szCs w:val="24"/>
          <w:highlight w:val="none"/>
          <w:u w:val="none"/>
          <w:lang w:val="en-US" w:eastAsia="zh-CN"/>
        </w:rPr>
        <w:t>）</w:t>
      </w:r>
      <w:r>
        <w:rPr>
          <w:rFonts w:hint="default" w:ascii="Times New Roman" w:hAnsi="HiddenHorzOCR-Identity-H" w:eastAsia="宋体" w:cs="Times New Roman"/>
          <w:color w:val="auto"/>
          <w:sz w:val="24"/>
          <w:szCs w:val="24"/>
          <w:highlight w:val="none"/>
          <w:u w:val="none"/>
          <w:lang w:val="en-US" w:eastAsia="zh-CN"/>
        </w:rPr>
        <w:t>线管废料、余料可加工成花盆或花槽，也可用作PVC线管排管固定件、支撑件</w:t>
      </w:r>
      <w:r>
        <w:rPr>
          <w:rFonts w:hint="default" w:ascii="Times New Roman" w:hAnsi="HiddenHorzOCR-Identity-H" w:cs="Times New Roman"/>
          <w:color w:val="auto"/>
          <w:sz w:val="24"/>
          <w:szCs w:val="24"/>
          <w:highlight w:val="none"/>
          <w:u w:val="none"/>
          <w:lang w:val="en-US" w:eastAsia="zh-CN"/>
        </w:rPr>
        <w:t>；</w:t>
      </w:r>
    </w:p>
    <w:p>
      <w:pPr>
        <w:pStyle w:val="12"/>
        <w:widowControl w:val="0"/>
        <w:spacing w:after="0" w:line="360" w:lineRule="auto"/>
        <w:ind w:firstLine="240" w:firstLineChars="100"/>
        <w:jc w:val="left"/>
        <w:rPr>
          <w:rFonts w:hint="default" w:ascii="Times New Roman" w:hAnsi="HiddenHorzOCR-Identity-H" w:cs="Times New Roman"/>
          <w:color w:val="auto"/>
          <w:sz w:val="24"/>
          <w:szCs w:val="24"/>
          <w:highlight w:val="none"/>
          <w:u w:val="none"/>
          <w:lang w:val="en-US" w:eastAsia="zh-CN"/>
        </w:rPr>
      </w:pPr>
      <w:r>
        <w:rPr>
          <w:rFonts w:hint="default" w:ascii="Times New Roman" w:hAnsi="HiddenHorzOCR-Identity-H" w:eastAsia="宋体" w:cs="Times New Roman"/>
          <w:color w:val="auto"/>
          <w:sz w:val="24"/>
          <w:szCs w:val="24"/>
          <w:highlight w:val="none"/>
          <w:u w:val="none"/>
          <w:lang w:val="en-US" w:eastAsia="zh-CN"/>
        </w:rPr>
        <w:t>4</w:t>
      </w:r>
      <w:r>
        <w:rPr>
          <w:rFonts w:hint="default" w:ascii="Times New Roman" w:hAnsi="HiddenHorzOCR-Identity-H" w:cs="Times New Roman"/>
          <w:color w:val="auto"/>
          <w:sz w:val="24"/>
          <w:szCs w:val="24"/>
          <w:highlight w:val="none"/>
          <w:u w:val="none"/>
          <w:lang w:val="en-US" w:eastAsia="zh-CN"/>
        </w:rPr>
        <w:t xml:space="preserve"> </w:t>
      </w:r>
      <w:r>
        <w:rPr>
          <w:rFonts w:hint="default" w:ascii="Times New Roman" w:hAnsi="HiddenHorzOCR-Identity-H" w:eastAsia="宋体" w:cs="Times New Roman"/>
          <w:color w:val="auto"/>
          <w:sz w:val="24"/>
          <w:szCs w:val="24"/>
          <w:highlight w:val="none"/>
          <w:u w:val="none"/>
          <w:lang w:val="en-US" w:eastAsia="zh-CN"/>
        </w:rPr>
        <w:t>PVC干管余料，可在卫生间、厨房等区域用作支管</w:t>
      </w:r>
      <w:r>
        <w:rPr>
          <w:rFonts w:hint="default" w:ascii="Times New Roman" w:hAnsi="HiddenHorzOCR-Identity-H" w:cs="Times New Roman"/>
          <w:color w:val="auto"/>
          <w:sz w:val="24"/>
          <w:szCs w:val="24"/>
          <w:highlight w:val="none"/>
          <w:u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HiddenHorzOCR-Identity-H"/>
          <w:color w:val="auto"/>
          <w:sz w:val="24"/>
          <w:szCs w:val="24"/>
          <w:highlight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 xml:space="preserve"> </w:t>
      </w:r>
      <w:r>
        <w:rPr>
          <w:rFonts w:hint="eastAsia" w:ascii="Times New Roman" w:hAnsi="HiddenHorzOCR-Identity-H" w:cs="Times New Roman"/>
          <w:color w:val="auto"/>
          <w:sz w:val="24"/>
          <w:szCs w:val="24"/>
          <w:highlight w:val="none"/>
          <w:u w:val="none"/>
          <w:lang w:val="en-US" w:eastAsia="zh-CN"/>
        </w:rPr>
        <w:t xml:space="preserve"> 无机非金属废料</w:t>
      </w:r>
      <w:r>
        <w:rPr>
          <w:rFonts w:hint="eastAsia" w:ascii="Times New Roman" w:hAnsi="HiddenHorzOCR-Identity-H" w:eastAsia="宋体" w:cs="Times New Roman"/>
          <w:color w:val="auto"/>
          <w:sz w:val="24"/>
          <w:szCs w:val="24"/>
          <w:highlight w:val="none"/>
          <w:u w:val="none"/>
          <w:lang w:val="en-US" w:eastAsia="zh-CN"/>
        </w:rPr>
        <w:t>可通过下列途径</w:t>
      </w:r>
      <w:r>
        <w:rPr>
          <w:rFonts w:hint="eastAsia" w:ascii="Times New Roman" w:hAnsi="HiddenHorzOCR-Identity-H" w:cs="Times New Roman"/>
          <w:color w:val="auto"/>
          <w:sz w:val="24"/>
          <w:szCs w:val="24"/>
          <w:highlight w:val="none"/>
          <w:u w:val="none"/>
          <w:lang w:val="en-US" w:eastAsia="zh-CN"/>
        </w:rPr>
        <w:t>就地</w:t>
      </w:r>
      <w:r>
        <w:rPr>
          <w:rFonts w:hint="eastAsia" w:ascii="Times New Roman" w:hAnsi="HiddenHorzOCR-Identity-H" w:eastAsia="宋体" w:cs="Times New Roman"/>
          <w:color w:val="auto"/>
          <w:sz w:val="24"/>
          <w:szCs w:val="24"/>
          <w:highlight w:val="none"/>
          <w:u w:val="none"/>
          <w:lang w:val="en-US" w:eastAsia="zh-CN"/>
        </w:rPr>
        <w:t>利用</w:t>
      </w:r>
      <w:r>
        <w:rPr>
          <w:rFonts w:hint="eastAsia" w:ascii="Times New Roman" w:hAnsi="HiddenHorzOCR-Identity-H"/>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u w:val="none"/>
          <w:lang w:val="en-US" w:eastAsia="zh-CN"/>
        </w:rPr>
      </w:pPr>
      <w:r>
        <w:rPr>
          <w:rFonts w:hint="default" w:ascii="Times New Roman" w:hAnsi="HiddenHorzOCR-Identity-H"/>
          <w:color w:val="auto"/>
          <w:sz w:val="24"/>
          <w:szCs w:val="24"/>
          <w:highlight w:val="none"/>
          <w:u w:val="none"/>
          <w:lang w:val="en-US" w:eastAsia="zh-CN"/>
        </w:rPr>
        <w:t>1</w:t>
      </w:r>
      <w:r>
        <w:rPr>
          <w:rFonts w:hint="eastAsia" w:ascii="Times New Roman" w:hAnsi="HiddenHorzOCR-Identity-H"/>
          <w:color w:val="auto"/>
          <w:sz w:val="24"/>
          <w:szCs w:val="24"/>
          <w:highlight w:val="none"/>
          <w:u w:val="none"/>
          <w:lang w:val="en-US" w:eastAsia="zh-CN"/>
        </w:rPr>
        <w:t xml:space="preserve"> </w:t>
      </w:r>
      <w:r>
        <w:rPr>
          <w:rFonts w:hint="default" w:ascii="Times New Roman" w:hAnsi="HiddenHorzOCR-Identity-H"/>
          <w:color w:val="auto"/>
          <w:sz w:val="24"/>
          <w:szCs w:val="24"/>
          <w:highlight w:val="none"/>
          <w:u w:val="none"/>
          <w:lang w:val="en-US" w:eastAsia="zh-CN"/>
        </w:rPr>
        <w:t>建筑石材、块材余料可制作钢筋垫块；</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HiddenHorzOCR-Identity-H"/>
          <w:color w:val="auto"/>
          <w:sz w:val="24"/>
          <w:szCs w:val="24"/>
          <w:highlight w:val="none"/>
          <w:u w:val="none"/>
          <w:lang w:val="en-US" w:eastAsia="zh-CN"/>
        </w:rPr>
      </w:pPr>
      <w:r>
        <w:rPr>
          <w:rFonts w:hint="default" w:ascii="Times New Roman" w:hAnsi="HiddenHorzOCR-Identity-H"/>
          <w:color w:val="auto"/>
          <w:sz w:val="24"/>
          <w:szCs w:val="24"/>
          <w:highlight w:val="none"/>
          <w:u w:val="none"/>
          <w:lang w:val="en-US" w:eastAsia="zh-CN"/>
        </w:rPr>
        <w:t>2 瓷砖等饰面材料碎片可裁切、调配使用，铺贴临时饰面。</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7</w:t>
      </w:r>
      <w:r>
        <w:rPr>
          <w:rFonts w:hint="eastAsia" w:ascii="Times New Roman" w:hAnsi="HiddenHorzOCR-Identity-H" w:eastAsia="宋体" w:cs="Times New Roman"/>
          <w:b w:val="0"/>
          <w:bCs w:val="0"/>
          <w:color w:val="auto"/>
          <w:sz w:val="24"/>
          <w:szCs w:val="24"/>
          <w:highlight w:val="none"/>
          <w:u w:val="none"/>
          <w:lang w:val="en-US" w:eastAsia="zh-CN"/>
        </w:rPr>
        <w:t xml:space="preserve"> </w:t>
      </w:r>
      <w:r>
        <w:rPr>
          <w:rFonts w:hint="eastAsia" w:ascii="Times New Roman" w:hAnsi="HiddenHorzOCR-Identity-H" w:cs="Times New Roman"/>
          <w:b w:val="0"/>
          <w:bCs w:val="0"/>
          <w:color w:val="auto"/>
          <w:sz w:val="24"/>
          <w:szCs w:val="24"/>
          <w:highlight w:val="none"/>
          <w:u w:val="none"/>
          <w:lang w:val="en-US" w:eastAsia="zh-CN"/>
        </w:rPr>
        <w:t>施工现场</w:t>
      </w:r>
      <w:r>
        <w:rPr>
          <w:rFonts w:hint="eastAsia" w:ascii="Times New Roman" w:hAnsi="HiddenHorzOCR-Identity-H" w:eastAsia="宋体" w:cs="Times New Roman"/>
          <w:b w:val="0"/>
          <w:bCs w:val="0"/>
          <w:color w:val="auto"/>
          <w:sz w:val="24"/>
          <w:szCs w:val="24"/>
          <w:highlight w:val="none"/>
          <w:u w:val="none"/>
          <w:lang w:val="en-US" w:eastAsia="zh-CN"/>
        </w:rPr>
        <w:t>回填</w:t>
      </w:r>
      <w:r>
        <w:rPr>
          <w:rFonts w:hint="eastAsia" w:ascii="Times New Roman" w:hAnsi="HiddenHorzOCR-Identity-H" w:cs="Times New Roman"/>
          <w:b w:val="0"/>
          <w:bCs w:val="0"/>
          <w:color w:val="auto"/>
          <w:sz w:val="24"/>
          <w:szCs w:val="24"/>
          <w:highlight w:val="none"/>
          <w:u w:val="none"/>
          <w:lang w:val="en-US" w:eastAsia="zh-CN"/>
        </w:rPr>
        <w:t>材料</w:t>
      </w:r>
      <w:r>
        <w:rPr>
          <w:rFonts w:hint="eastAsia" w:ascii="Times New Roman" w:hAnsi="HiddenHorzOCR-Identity-H" w:eastAsia="宋体" w:cs="Times New Roman"/>
          <w:b w:val="0"/>
          <w:bCs w:val="0"/>
          <w:color w:val="auto"/>
          <w:sz w:val="24"/>
          <w:szCs w:val="24"/>
          <w:highlight w:val="none"/>
          <w:u w:val="none"/>
          <w:lang w:val="en-US" w:eastAsia="zh-CN"/>
        </w:rPr>
        <w:t>宜优先选择</w:t>
      </w:r>
      <w:r>
        <w:rPr>
          <w:rFonts w:hint="eastAsia" w:ascii="Times New Roman" w:hAnsi="HiddenHorzOCR-Identity-H" w:cs="Times New Roman"/>
          <w:b w:val="0"/>
          <w:bCs w:val="0"/>
          <w:color w:val="auto"/>
          <w:sz w:val="24"/>
          <w:szCs w:val="24"/>
          <w:highlight w:val="none"/>
          <w:u w:val="none"/>
          <w:lang w:val="en-US" w:eastAsia="zh-CN"/>
        </w:rPr>
        <w:t>现场</w:t>
      </w:r>
      <w:r>
        <w:rPr>
          <w:rFonts w:hint="eastAsia" w:ascii="Times New Roman" w:hAnsi="HiddenHorzOCR-Identity-H" w:eastAsia="宋体" w:cs="Times New Roman"/>
          <w:b w:val="0"/>
          <w:bCs w:val="0"/>
          <w:color w:val="auto"/>
          <w:sz w:val="24"/>
          <w:szCs w:val="24"/>
          <w:highlight w:val="none"/>
          <w:u w:val="none"/>
          <w:lang w:val="en-US" w:eastAsia="zh-CN"/>
        </w:rPr>
        <w:t>开挖</w:t>
      </w:r>
      <w:r>
        <w:rPr>
          <w:rFonts w:hint="eastAsia" w:ascii="Times New Roman" w:hAnsi="HiddenHorzOCR-Identity-H" w:cs="Times New Roman"/>
          <w:b w:val="0"/>
          <w:bCs w:val="0"/>
          <w:color w:val="auto"/>
          <w:sz w:val="24"/>
          <w:szCs w:val="24"/>
          <w:highlight w:val="none"/>
          <w:u w:val="none"/>
          <w:lang w:val="en-US" w:eastAsia="zh-CN"/>
        </w:rPr>
        <w:t>的</w:t>
      </w:r>
      <w:r>
        <w:rPr>
          <w:rFonts w:hint="eastAsia" w:ascii="Times New Roman" w:hAnsi="HiddenHorzOCR-Identity-H" w:eastAsia="宋体" w:cs="Times New Roman"/>
          <w:b w:val="0"/>
          <w:bCs w:val="0"/>
          <w:color w:val="auto"/>
          <w:sz w:val="24"/>
          <w:szCs w:val="24"/>
          <w:highlight w:val="none"/>
          <w:u w:val="none"/>
          <w:lang w:val="en-US" w:eastAsia="zh-CN"/>
        </w:rPr>
        <w:t>工程渣土、</w:t>
      </w:r>
      <w:r>
        <w:rPr>
          <w:rFonts w:hint="eastAsia" w:ascii="Times New Roman" w:hAnsi="HiddenHorzOCR-Identity-H" w:cs="Times New Roman"/>
          <w:b w:val="0"/>
          <w:bCs w:val="0"/>
          <w:color w:val="auto"/>
          <w:sz w:val="24"/>
          <w:szCs w:val="24"/>
          <w:highlight w:val="none"/>
          <w:u w:val="none"/>
          <w:lang w:val="en-US" w:eastAsia="zh-CN"/>
        </w:rPr>
        <w:t>现场产生的</w:t>
      </w:r>
      <w:r>
        <w:rPr>
          <w:rFonts w:hint="eastAsia" w:ascii="Times New Roman" w:hAnsi="HiddenHorzOCR-Identity-H" w:eastAsia="宋体" w:cs="Times New Roman"/>
          <w:b w:val="0"/>
          <w:bCs w:val="0"/>
          <w:color w:val="auto"/>
          <w:sz w:val="24"/>
          <w:szCs w:val="24"/>
          <w:highlight w:val="none"/>
          <w:u w:val="none"/>
          <w:lang w:val="en-US" w:eastAsia="zh-CN"/>
        </w:rPr>
        <w:t>工程泥浆</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填方原料应按设计要求验收后方可</w:t>
      </w:r>
      <w:r>
        <w:rPr>
          <w:rFonts w:hint="eastAsia" w:ascii="Times New Roman" w:hAnsi="HiddenHorzOCR-Identity-H" w:cs="Times New Roman"/>
          <w:b w:val="0"/>
          <w:bCs w:val="0"/>
          <w:color w:val="auto"/>
          <w:sz w:val="24"/>
          <w:szCs w:val="24"/>
          <w:highlight w:val="none"/>
          <w:u w:val="none"/>
          <w:lang w:val="en-US" w:eastAsia="zh-CN"/>
        </w:rPr>
        <w:t>填入</w:t>
      </w:r>
      <w:r>
        <w:rPr>
          <w:rFonts w:hint="eastAsia" w:ascii="Times New Roman" w:hAnsi="HiddenHorzOCR-Identity-H" w:eastAsia="宋体" w:cs="Times New Roman"/>
          <w:b w:val="0"/>
          <w:bCs w:val="0"/>
          <w:color w:val="auto"/>
          <w:sz w:val="24"/>
          <w:szCs w:val="24"/>
          <w:highlight w:val="none"/>
          <w:u w:val="none"/>
          <w:lang w:val="en-US" w:eastAsia="zh-CN"/>
        </w:rPr>
        <w:t>。</w:t>
      </w:r>
      <w:r>
        <w:rPr>
          <w:rFonts w:hint="eastAsia" w:ascii="Times New Roman" w:hAnsi="HiddenHorzOCR-Identity-H" w:eastAsia="宋体" w:cs="Times New Roman"/>
          <w:color w:val="auto"/>
          <w:sz w:val="24"/>
          <w:szCs w:val="24"/>
          <w:highlight w:val="none"/>
          <w:u w:val="none"/>
          <w:lang w:val="en-US" w:eastAsia="zh-CN"/>
        </w:rPr>
        <w:t>工程渣土可通过清理、筛分、翻晒、拌合石灰或水泥等措施进行土质改良，符合回填土质要求的可用作回填</w:t>
      </w:r>
      <w:r>
        <w:rPr>
          <w:rFonts w:hint="eastAsia" w:ascii="Times New Roman" w:hAnsi="HiddenHorzOCR-Identity-H" w:cs="Times New Roman"/>
          <w:color w:val="auto"/>
          <w:sz w:val="24"/>
          <w:szCs w:val="24"/>
          <w:highlight w:val="none"/>
          <w:u w:val="none"/>
          <w:lang w:val="en-US" w:eastAsia="zh-CN"/>
        </w:rPr>
        <w:t>土方</w:t>
      </w:r>
      <w:r>
        <w:rPr>
          <w:rFonts w:hint="eastAsia" w:ascii="Times New Roman" w:hAnsi="HiddenHorzOCR-Identity-H" w:eastAsia="宋体" w:cs="Times New Roman"/>
          <w:color w:val="auto"/>
          <w:sz w:val="24"/>
          <w:szCs w:val="24"/>
          <w:highlight w:val="none"/>
          <w:u w:val="none"/>
          <w:lang w:val="en-US" w:eastAsia="zh-CN"/>
        </w:rPr>
        <w:t>。工程泥浆应经过沉淀、</w:t>
      </w:r>
      <w:r>
        <w:rPr>
          <w:rFonts w:hint="eastAsia" w:ascii="Times New Roman" w:hAnsi="HiddenHorzOCR-Identity-H" w:cs="Times New Roman"/>
          <w:color w:val="auto"/>
          <w:sz w:val="24"/>
          <w:szCs w:val="24"/>
          <w:highlight w:val="none"/>
          <w:u w:val="none"/>
          <w:lang w:val="en-US" w:eastAsia="zh-CN"/>
        </w:rPr>
        <w:t>干化</w:t>
      </w:r>
      <w:r>
        <w:rPr>
          <w:rFonts w:hint="eastAsia" w:ascii="Times New Roman" w:hAnsi="HiddenHorzOCR-Identity-H" w:eastAsia="宋体" w:cs="Times New Roman"/>
          <w:color w:val="auto"/>
          <w:sz w:val="24"/>
          <w:szCs w:val="24"/>
          <w:highlight w:val="none"/>
          <w:u w:val="none"/>
          <w:lang w:val="en-US" w:eastAsia="zh-CN"/>
        </w:rPr>
        <w:t>处理，符合要求的沉渣可用于工程回填。</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b/>
          <w:bCs/>
          <w:color w:val="auto"/>
          <w:sz w:val="24"/>
          <w:szCs w:val="24"/>
          <w:highlight w:val="none"/>
          <w:u w:val="none"/>
          <w:lang w:val="en-US" w:eastAsia="zh-CN"/>
        </w:rPr>
        <w:t>6</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0</w:t>
      </w:r>
      <w:r>
        <w:rPr>
          <w:rFonts w:hint="eastAsia" w:ascii="Times New Roman" w:hAnsi="HiddenHorzOCR-Identity-H" w:eastAsia="宋体" w:cs="Times New Roman"/>
          <w:b/>
          <w:bCs/>
          <w:color w:val="auto"/>
          <w:sz w:val="24"/>
          <w:szCs w:val="24"/>
          <w:highlight w:val="none"/>
          <w:u w:val="none"/>
          <w:lang w:val="en-US" w:eastAsia="zh-CN"/>
        </w:rPr>
        <w:t>.</w:t>
      </w:r>
      <w:r>
        <w:rPr>
          <w:rFonts w:hint="eastAsia" w:ascii="Times New Roman" w:hAnsi="HiddenHorzOCR-Identity-H" w:cs="Times New Roman"/>
          <w:b/>
          <w:bCs/>
          <w:color w:val="auto"/>
          <w:sz w:val="24"/>
          <w:szCs w:val="24"/>
          <w:highlight w:val="none"/>
          <w:u w:val="none"/>
          <w:lang w:val="en-US" w:eastAsia="zh-CN"/>
        </w:rPr>
        <w:t>8</w:t>
      </w:r>
      <w:r>
        <w:rPr>
          <w:rFonts w:hint="eastAsia" w:ascii="Times New Roman" w:hAnsi="HiddenHorzOCR-Identity-H" w:eastAsia="宋体" w:cs="Times New Roman"/>
          <w:b/>
          <w:bCs/>
          <w:color w:val="auto"/>
          <w:sz w:val="24"/>
          <w:szCs w:val="24"/>
          <w:highlight w:val="none"/>
          <w:u w:val="none"/>
          <w:lang w:val="en-US" w:eastAsia="zh-CN"/>
        </w:rPr>
        <w:t xml:space="preserve"> </w:t>
      </w:r>
      <w:r>
        <w:rPr>
          <w:rFonts w:hint="eastAsia" w:ascii="Times New Roman" w:hAnsi="HiddenHorzOCR-Identity-H" w:cs="Times New Roman"/>
          <w:color w:val="auto"/>
          <w:sz w:val="24"/>
          <w:szCs w:val="24"/>
          <w:highlight w:val="none"/>
          <w:u w:val="none"/>
          <w:lang w:val="en-US" w:eastAsia="zh-CN"/>
        </w:rPr>
        <w:t xml:space="preserve"> </w:t>
      </w:r>
      <w:r>
        <w:rPr>
          <w:rFonts w:hint="eastAsia" w:ascii="Times New Roman" w:hAnsi="HiddenHorzOCR-Identity-H" w:eastAsia="宋体" w:cs="Times New Roman"/>
          <w:color w:val="auto"/>
          <w:sz w:val="24"/>
          <w:szCs w:val="24"/>
          <w:highlight w:val="none"/>
          <w:u w:val="none"/>
          <w:lang w:val="en-US" w:eastAsia="zh-CN"/>
        </w:rPr>
        <w:t>建筑垃圾</w:t>
      </w:r>
      <w:r>
        <w:rPr>
          <w:rFonts w:hint="eastAsia" w:ascii="Times New Roman" w:hAnsi="HiddenHorzOCR-Identity-H" w:cs="Times New Roman"/>
          <w:color w:val="auto"/>
          <w:sz w:val="24"/>
          <w:szCs w:val="24"/>
          <w:highlight w:val="none"/>
          <w:u w:val="none"/>
          <w:lang w:val="en-US" w:eastAsia="zh-CN"/>
        </w:rPr>
        <w:t>就地</w:t>
      </w:r>
      <w:r>
        <w:rPr>
          <w:rFonts w:hint="eastAsia" w:ascii="Times New Roman" w:hAnsi="HiddenHorzOCR-Identity-H" w:eastAsia="宋体" w:cs="Times New Roman"/>
          <w:color w:val="auto"/>
          <w:sz w:val="24"/>
          <w:szCs w:val="24"/>
          <w:highlight w:val="none"/>
          <w:u w:val="none"/>
          <w:lang w:val="en-US" w:eastAsia="zh-CN"/>
        </w:rPr>
        <w:t>利用过程中，施工环境保护和劳动卫生应符合国家现行有关标准的规定。</w:t>
      </w:r>
    </w:p>
    <w:p>
      <w:pPr>
        <w:widowControl/>
        <w:spacing w:line="360" w:lineRule="auto"/>
        <w:rPr>
          <w:rFonts w:hint="eastAsia" w:ascii="Times New Roman" w:hAnsi="HiddenHorzOCR-Identity-H" w:eastAsia="宋体" w:cs="Times New Roman"/>
          <w:color w:val="auto"/>
          <w:sz w:val="24"/>
          <w:szCs w:val="24"/>
          <w:highlight w:val="none"/>
          <w:u w:val="none"/>
          <w:lang w:val="en-US" w:eastAsia="zh-CN"/>
        </w:rPr>
      </w:pPr>
    </w:p>
    <w:p>
      <w:pPr>
        <w:widowControl/>
        <w:spacing w:line="360" w:lineRule="auto"/>
        <w:rPr>
          <w:rFonts w:hint="eastAsia" w:ascii="Times New Roman" w:hAnsi="HiddenHorzOCR-Identity-H" w:eastAsia="宋体" w:cs="Times New Roman"/>
          <w:color w:val="auto"/>
          <w:sz w:val="24"/>
          <w:szCs w:val="24"/>
          <w:highlight w:val="none"/>
          <w:u w:val="none"/>
          <w:lang w:val="en-US" w:eastAsia="zh-CN"/>
        </w:rPr>
      </w:pPr>
    </w:p>
    <w:p>
      <w:pPr>
        <w:widowControl/>
        <w:spacing w:line="360" w:lineRule="auto"/>
        <w:rPr>
          <w:rFonts w:hint="eastAsia" w:ascii="Times New Roman" w:hAnsi="HiddenHorzOCR-Identity-H" w:eastAsia="宋体" w:cs="Times New Roman"/>
          <w:color w:val="auto"/>
          <w:sz w:val="24"/>
          <w:szCs w:val="24"/>
          <w:highlight w:val="none"/>
          <w:u w:val="none"/>
          <w:lang w:val="en-US" w:eastAsia="zh-CN"/>
        </w:rPr>
      </w:pPr>
    </w:p>
    <w:p>
      <w:pPr>
        <w:pStyle w:val="2"/>
        <w:pageBreakBefore/>
        <w:spacing w:line="360" w:lineRule="auto"/>
        <w:rPr>
          <w:rFonts w:hint="eastAsia" w:ascii="Times New Roman" w:hAnsi="Times New Roman" w:eastAsia="宋体"/>
          <w:color w:val="auto"/>
          <w:szCs w:val="28"/>
          <w:highlight w:val="yellow"/>
          <w:lang w:eastAsia="zh-CN"/>
        </w:rPr>
      </w:pPr>
      <w:bookmarkStart w:id="158" w:name="_Toc26825"/>
      <w:bookmarkStart w:id="159" w:name="_Toc10586"/>
      <w:bookmarkStart w:id="160" w:name="_Toc6610"/>
      <w:bookmarkStart w:id="161" w:name="_Toc25330"/>
      <w:bookmarkStart w:id="162" w:name="_Toc23533"/>
      <w:r>
        <w:rPr>
          <w:rFonts w:hint="eastAsia" w:ascii="Times New Roman" w:hAnsi="Times New Roman"/>
          <w:color w:val="auto"/>
          <w:szCs w:val="28"/>
          <w:highlight w:val="none"/>
          <w:lang w:val="en-US" w:eastAsia="zh-CN"/>
        </w:rPr>
        <w:t>7</w:t>
      </w:r>
      <w:bookmarkEnd w:id="158"/>
      <w:bookmarkEnd w:id="159"/>
      <w:r>
        <w:rPr>
          <w:rFonts w:hint="eastAsia" w:ascii="Times New Roman" w:hAnsi="Times New Roman"/>
          <w:color w:val="auto"/>
          <w:szCs w:val="28"/>
          <w:highlight w:val="none"/>
          <w:lang w:val="en-US" w:eastAsia="zh-CN"/>
        </w:rPr>
        <w:t>场外</w:t>
      </w:r>
      <w:r>
        <w:rPr>
          <w:rFonts w:hint="eastAsia" w:ascii="Times New Roman" w:hAnsi="宋体"/>
          <w:color w:val="auto"/>
          <w:sz w:val="28"/>
          <w:szCs w:val="28"/>
          <w:highlight w:val="none"/>
          <w:lang w:val="en-US"/>
        </w:rPr>
        <w:t>资源化利用</w:t>
      </w:r>
      <w:bookmarkEnd w:id="160"/>
      <w:bookmarkEnd w:id="161"/>
      <w:bookmarkEnd w:id="162"/>
      <w:r>
        <w:rPr>
          <w:rFonts w:hint="eastAsia" w:ascii="Times New Roman" w:hAnsi="宋体"/>
          <w:color w:val="auto"/>
          <w:sz w:val="28"/>
          <w:szCs w:val="28"/>
          <w:highlight w:val="none"/>
          <w:lang w:val="en-US"/>
        </w:rPr>
        <w:t>及</w:t>
      </w:r>
      <w:r>
        <w:rPr>
          <w:rFonts w:hint="eastAsia" w:ascii="Times New Roman" w:hAnsi="宋体"/>
          <w:color w:val="auto"/>
          <w:sz w:val="28"/>
          <w:szCs w:val="28"/>
          <w:highlight w:val="none"/>
          <w:lang w:val="en-US" w:eastAsia="zh-CN"/>
        </w:rPr>
        <w:t>处置</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1  </w:t>
      </w:r>
      <w:r>
        <w:rPr>
          <w:rFonts w:hint="eastAsia" w:ascii="Times New Roman" w:hAnsi="HiddenHorzOCR-Identity-H"/>
          <w:color w:val="auto"/>
          <w:sz w:val="24"/>
          <w:szCs w:val="24"/>
          <w:highlight w:val="none"/>
          <w:u w:val="none"/>
          <w:lang w:val="en-US" w:eastAsia="zh-CN"/>
        </w:rPr>
        <w:t>建筑垃圾资源化利用场所、处置场所的生产和处置活动不得收纳工业固体废物、生活垃圾、危险废物等其他固体废物</w:t>
      </w:r>
      <w:r>
        <w:rPr>
          <w:rFonts w:hint="eastAsia" w:ascii="Times New Roman" w:hAnsi="HiddenHorzOCR-Identity-H"/>
          <w:color w:val="auto"/>
          <w:sz w:val="24"/>
          <w:szCs w:val="24"/>
          <w:highlight w:val="none"/>
          <w:u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Times New Roman" w:hAnsi="Times New Roman"/>
          <w:color w:val="auto"/>
          <w:sz w:val="24"/>
          <w:highlight w:val="none"/>
          <w:lang w:eastAsia="zh-CN"/>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2  </w:t>
      </w:r>
      <w:r>
        <w:rPr>
          <w:rFonts w:hint="eastAsia" w:ascii="Times New Roman" w:hAnsi="Times New Roman"/>
          <w:color w:val="auto"/>
          <w:sz w:val="24"/>
          <w:highlight w:val="none"/>
        </w:rPr>
        <w:t>可资源化利用的建筑垃圾</w:t>
      </w:r>
      <w:r>
        <w:rPr>
          <w:rFonts w:hint="eastAsia" w:ascii="Times New Roman" w:hAnsi="Times New Roman"/>
          <w:color w:val="auto"/>
          <w:sz w:val="24"/>
          <w:highlight w:val="none"/>
          <w:lang w:val="en-US" w:eastAsia="zh-CN"/>
        </w:rPr>
        <w:t>应送至建筑垃圾资源化利用场所处理利用</w:t>
      </w:r>
      <w:r>
        <w:rPr>
          <w:rFonts w:hint="eastAsia" w:ascii="Times New Roman" w:hAnsi="Times New Roman"/>
          <w:color w:val="auto"/>
          <w:sz w:val="24"/>
          <w:highlight w:val="none"/>
          <w:lang w:eastAsia="zh-CN"/>
        </w:rPr>
        <w:t>。</w:t>
      </w:r>
      <w:r>
        <w:rPr>
          <w:rFonts w:hint="eastAsia" w:ascii="Times New Roman" w:hAnsi="Times New Roman"/>
          <w:color w:val="auto"/>
          <w:spacing w:val="0"/>
          <w:sz w:val="24"/>
          <w:highlight w:val="none"/>
        </w:rPr>
        <w:t>不能进行</w:t>
      </w:r>
      <w:r>
        <w:rPr>
          <w:rFonts w:hint="eastAsia" w:ascii="Times New Roman" w:hAnsi="Times New Roman"/>
          <w:color w:val="auto"/>
          <w:spacing w:val="0"/>
          <w:sz w:val="24"/>
          <w:highlight w:val="none"/>
          <w:lang w:val="en-US" w:eastAsia="zh-CN"/>
        </w:rPr>
        <w:t>资源化</w:t>
      </w:r>
      <w:r>
        <w:rPr>
          <w:rFonts w:hint="eastAsia" w:ascii="Times New Roman" w:hAnsi="Times New Roman"/>
          <w:color w:val="auto"/>
          <w:spacing w:val="0"/>
          <w:sz w:val="24"/>
          <w:highlight w:val="none"/>
        </w:rPr>
        <w:t>利用的</w:t>
      </w:r>
      <w:r>
        <w:rPr>
          <w:rFonts w:hint="eastAsia" w:ascii="Times New Roman" w:hAnsi="Times New Roman"/>
          <w:color w:val="auto"/>
          <w:spacing w:val="0"/>
          <w:sz w:val="24"/>
          <w:highlight w:val="none"/>
          <w:lang w:val="en-US" w:eastAsia="zh-CN"/>
        </w:rPr>
        <w:t>建筑</w:t>
      </w:r>
      <w:r>
        <w:rPr>
          <w:rFonts w:hint="eastAsia" w:ascii="Times New Roman" w:hAnsi="Times New Roman"/>
          <w:color w:val="auto"/>
          <w:spacing w:val="0"/>
          <w:sz w:val="24"/>
          <w:highlight w:val="none"/>
        </w:rPr>
        <w:t>垃圾应</w:t>
      </w:r>
      <w:r>
        <w:rPr>
          <w:rFonts w:hint="eastAsia" w:ascii="Times New Roman" w:hAnsi="Times New Roman"/>
          <w:color w:val="auto"/>
          <w:sz w:val="24"/>
          <w:highlight w:val="none"/>
          <w:lang w:val="en-US" w:eastAsia="zh-CN"/>
        </w:rPr>
        <w:t>送至</w:t>
      </w:r>
      <w:r>
        <w:rPr>
          <w:rFonts w:hint="eastAsia" w:ascii="Times New Roman" w:hAnsi="HiddenHorzOCR-Identity-H" w:cs="Times New Roman"/>
          <w:b w:val="0"/>
          <w:bCs w:val="0"/>
          <w:color w:val="auto"/>
          <w:sz w:val="24"/>
          <w:szCs w:val="24"/>
          <w:highlight w:val="none"/>
          <w:u w:val="none"/>
          <w:lang w:val="en-US" w:eastAsia="zh-CN"/>
        </w:rPr>
        <w:t>垃圾焚烧厂协同处置</w:t>
      </w:r>
      <w:r>
        <w:rPr>
          <w:rFonts w:hint="eastAsia" w:ascii="Times New Roman" w:hAnsi="Times New Roman"/>
          <w:color w:val="auto"/>
          <w:spacing w:val="0"/>
          <w:sz w:val="24"/>
          <w:highlight w:val="none"/>
          <w:lang w:val="en-US" w:eastAsia="zh-CN"/>
        </w:rPr>
        <w:t>或</w:t>
      </w:r>
      <w:r>
        <w:rPr>
          <w:rFonts w:hint="eastAsia" w:ascii="Times New Roman" w:hAnsi="Times New Roman"/>
          <w:color w:val="auto"/>
          <w:sz w:val="24"/>
          <w:highlight w:val="none"/>
          <w:lang w:val="en-US" w:eastAsia="zh-CN"/>
        </w:rPr>
        <w:t>建筑垃圾</w:t>
      </w:r>
      <w:r>
        <w:rPr>
          <w:rFonts w:hint="eastAsia" w:ascii="Times New Roman" w:hAnsi="Times New Roman"/>
          <w:color w:val="auto"/>
          <w:sz w:val="24"/>
          <w:highlight w:val="none"/>
        </w:rPr>
        <w:t>填埋</w:t>
      </w:r>
      <w:r>
        <w:rPr>
          <w:rFonts w:hint="eastAsia" w:ascii="Times New Roman" w:hAnsi="Times New Roman"/>
          <w:color w:val="auto"/>
          <w:sz w:val="24"/>
          <w:highlight w:val="none"/>
          <w:lang w:val="en-US" w:eastAsia="zh-CN"/>
        </w:rPr>
        <w:t>处置</w:t>
      </w:r>
      <w:r>
        <w:rPr>
          <w:rFonts w:hint="eastAsia" w:ascii="Times New Roman" w:hAnsi="Times New Roman"/>
          <w:color w:val="auto"/>
          <w:sz w:val="24"/>
          <w:highlight w:val="none"/>
        </w:rPr>
        <w:t>场</w:t>
      </w:r>
      <w:r>
        <w:rPr>
          <w:rFonts w:hint="eastAsia" w:ascii="Times New Roman" w:hAnsi="Times New Roman"/>
          <w:color w:val="auto"/>
          <w:sz w:val="24"/>
          <w:highlight w:val="none"/>
          <w:lang w:val="en-US" w:eastAsia="zh-CN"/>
        </w:rPr>
        <w:t>进行填埋</w:t>
      </w:r>
      <w:r>
        <w:rPr>
          <w:rFonts w:hint="eastAsia" w:ascii="Times New Roman" w:hAnsi="Times New Roman"/>
          <w:color w:val="auto"/>
          <w:sz w:val="24"/>
          <w:highlight w:val="none"/>
        </w:rPr>
        <w:t>。</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楷体" w:hAnsi="楷体" w:eastAsia="楷体"/>
          <w:color w:val="auto"/>
          <w:sz w:val="24"/>
          <w:szCs w:val="24"/>
          <w:highlight w:val="none"/>
          <w:lang w:eastAsia="zh-CN"/>
        </w:rPr>
      </w:pPr>
      <w:r>
        <w:rPr>
          <w:rFonts w:hint="eastAsia" w:ascii="楷体" w:hAnsi="楷体" w:eastAsia="楷体" w:cs="Times New Roman"/>
          <w:b w:val="0"/>
          <w:bCs w:val="0"/>
          <w:sz w:val="24"/>
          <w:szCs w:val="24"/>
        </w:rPr>
        <w:t>【条文说明】</w:t>
      </w:r>
      <w:r>
        <w:rPr>
          <w:rFonts w:hint="eastAsia" w:ascii="楷体" w:hAnsi="楷体" w:eastAsia="楷体"/>
          <w:color w:val="auto"/>
          <w:sz w:val="24"/>
          <w:szCs w:val="24"/>
          <w:highlight w:val="none"/>
        </w:rPr>
        <w:t>根据建筑垃圾的性质，除就地利用、有价回收外，建</w:t>
      </w:r>
      <w:r>
        <w:rPr>
          <w:rFonts w:hint="eastAsia" w:ascii="楷体" w:hAnsi="楷体" w:eastAsia="楷体"/>
          <w:color w:val="auto"/>
          <w:spacing w:val="0"/>
          <w:sz w:val="24"/>
          <w:szCs w:val="24"/>
          <w:highlight w:val="none"/>
        </w:rPr>
        <w:t>筑垃圾资源化利用方向主要有</w:t>
      </w:r>
      <w:r>
        <w:rPr>
          <w:rFonts w:hint="eastAsia" w:ascii="楷体" w:hAnsi="楷体" w:eastAsia="楷体"/>
          <w:color w:val="auto"/>
          <w:spacing w:val="0"/>
          <w:sz w:val="24"/>
          <w:szCs w:val="24"/>
          <w:highlight w:val="none"/>
          <w:lang w:val="en-US" w:eastAsia="zh-CN"/>
        </w:rPr>
        <w:t>再生微粉、再生骨料、再生骨料</w:t>
      </w:r>
      <w:r>
        <w:rPr>
          <w:rFonts w:hint="eastAsia" w:ascii="楷体" w:hAnsi="楷体" w:eastAsia="楷体"/>
          <w:color w:val="auto"/>
          <w:spacing w:val="0"/>
          <w:sz w:val="24"/>
          <w:szCs w:val="24"/>
          <w:highlight w:val="none"/>
        </w:rPr>
        <w:t>混凝土</w:t>
      </w:r>
      <w:r>
        <w:rPr>
          <w:rFonts w:hint="eastAsia" w:ascii="楷体" w:hAnsi="楷体" w:eastAsia="楷体"/>
          <w:color w:val="auto"/>
          <w:spacing w:val="0"/>
          <w:sz w:val="24"/>
          <w:szCs w:val="24"/>
          <w:highlight w:val="none"/>
          <w:lang w:eastAsia="zh-CN"/>
        </w:rPr>
        <w:t>、</w:t>
      </w:r>
      <w:r>
        <w:rPr>
          <w:rFonts w:hint="eastAsia" w:ascii="楷体" w:hAnsi="楷体" w:eastAsia="楷体"/>
          <w:color w:val="auto"/>
          <w:spacing w:val="0"/>
          <w:sz w:val="24"/>
          <w:szCs w:val="24"/>
          <w:highlight w:val="none"/>
          <w:lang w:val="en-US" w:eastAsia="zh-CN"/>
        </w:rPr>
        <w:t>再生骨料砂浆、再生骨料砖（砌块）、再生混合料</w:t>
      </w:r>
      <w:r>
        <w:rPr>
          <w:rFonts w:hint="eastAsia" w:ascii="楷体" w:hAnsi="楷体" w:eastAsia="楷体"/>
          <w:color w:val="auto"/>
          <w:spacing w:val="0"/>
          <w:sz w:val="24"/>
          <w:szCs w:val="24"/>
          <w:highlight w:val="none"/>
        </w:rPr>
        <w:t>等。</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3  </w:t>
      </w:r>
      <w:r>
        <w:rPr>
          <w:rFonts w:hint="eastAsia" w:ascii="Times New Roman" w:hAnsi="Times New Roman"/>
          <w:color w:val="auto"/>
          <w:sz w:val="24"/>
          <w:highlight w:val="none"/>
        </w:rPr>
        <w:t>建筑垃圾应按成分进行资源化利用。</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楷体" w:hAnsi="楷体" w:eastAsia="楷体"/>
          <w:color w:val="auto"/>
          <w:sz w:val="24"/>
          <w:szCs w:val="24"/>
          <w:highlight w:val="none"/>
        </w:rPr>
      </w:pPr>
      <w:r>
        <w:rPr>
          <w:rFonts w:hint="eastAsia" w:ascii="楷体" w:hAnsi="楷体" w:eastAsia="楷体" w:cs="Times New Roman"/>
          <w:b w:val="0"/>
          <w:bCs w:val="0"/>
          <w:sz w:val="24"/>
          <w:szCs w:val="24"/>
        </w:rPr>
        <w:t>【条文说明】</w:t>
      </w:r>
      <w:r>
        <w:rPr>
          <w:rFonts w:hint="eastAsia" w:ascii="楷体" w:hAnsi="楷体" w:eastAsia="楷体"/>
          <w:color w:val="auto"/>
          <w:sz w:val="24"/>
          <w:szCs w:val="24"/>
          <w:highlight w:val="none"/>
        </w:rPr>
        <w:t>土类建筑垃圾可作为</w:t>
      </w:r>
      <w:r>
        <w:rPr>
          <w:rFonts w:hint="eastAsia" w:ascii="楷体" w:hAnsi="楷体" w:eastAsia="楷体"/>
          <w:color w:val="auto"/>
          <w:spacing w:val="0"/>
          <w:sz w:val="24"/>
          <w:szCs w:val="24"/>
          <w:highlight w:val="none"/>
        </w:rPr>
        <w:t>制砖和道路工程回填等用原料；废旧混凝土、碎砖瓦等可作为再</w:t>
      </w:r>
      <w:r>
        <w:rPr>
          <w:rFonts w:hint="eastAsia" w:ascii="楷体" w:hAnsi="楷体" w:eastAsia="楷体"/>
          <w:color w:val="auto"/>
          <w:sz w:val="24"/>
          <w:szCs w:val="24"/>
          <w:highlight w:val="none"/>
        </w:rPr>
        <w:t>生建材用原料；废沥青可作为再生沥青原料</w:t>
      </w:r>
      <w:r>
        <w:rPr>
          <w:rFonts w:hint="eastAsia" w:ascii="楷体" w:hAnsi="楷体" w:eastAsia="楷体"/>
          <w:color w:val="auto"/>
          <w:sz w:val="24"/>
          <w:szCs w:val="24"/>
          <w:highlight w:val="none"/>
          <w:lang w:eastAsia="zh-CN"/>
        </w:rPr>
        <w:t>；</w:t>
      </w:r>
      <w:r>
        <w:rPr>
          <w:rFonts w:hint="eastAsia" w:ascii="楷体" w:hAnsi="楷体" w:eastAsia="楷体"/>
          <w:color w:val="auto"/>
          <w:sz w:val="24"/>
          <w:szCs w:val="24"/>
          <w:highlight w:val="none"/>
        </w:rPr>
        <w:t>废金属、木材、塑料、纸张、玻璃、橡胶等，宜由有关专业企业作为原料直接利用或再生。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Times New Roman"/>
          <w:b w:val="0"/>
          <w:bCs w:val="0"/>
          <w:sz w:val="24"/>
          <w:szCs w:val="24"/>
          <w:lang w:val="en-US" w:eastAsia="zh-CN"/>
        </w:rPr>
      </w:pPr>
      <w:r>
        <w:rPr>
          <w:rFonts w:hint="eastAsia" w:ascii="楷体" w:hAnsi="楷体" w:eastAsia="楷体" w:cs="Times New Roman"/>
          <w:b w:val="0"/>
          <w:bCs w:val="0"/>
          <w:sz w:val="24"/>
          <w:szCs w:val="24"/>
          <w:lang w:val="en-US" w:eastAsia="zh-CN"/>
        </w:rPr>
        <w:t>根据建筑垃圾材料的不同成分，可以按照以下原则，分别利用：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Times New Roman"/>
          <w:b w:val="0"/>
          <w:bCs w:val="0"/>
          <w:sz w:val="24"/>
          <w:szCs w:val="24"/>
          <w:u w:val="none"/>
          <w:lang w:val="en-US" w:eastAsia="zh-CN"/>
        </w:rPr>
      </w:pPr>
      <w:r>
        <w:rPr>
          <w:rFonts w:hint="eastAsia" w:ascii="楷体" w:hAnsi="楷体" w:eastAsia="楷体" w:cs="Times New Roman"/>
          <w:b w:val="0"/>
          <w:bCs w:val="0"/>
          <w:sz w:val="24"/>
          <w:szCs w:val="24"/>
          <w:u w:val="none"/>
          <w:lang w:val="en-US" w:eastAsia="zh-CN"/>
        </w:rPr>
        <w:t>1 建筑垃圾中的废弃混凝土、砂浆、石材、砖瓦、陶瓷及土石方开挖产生的卵(砾)石、岩石等可用于生产再生骨料；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Times New Roman"/>
          <w:b w:val="0"/>
          <w:bCs w:val="0"/>
          <w:sz w:val="24"/>
          <w:szCs w:val="24"/>
          <w:u w:val="none"/>
          <w:lang w:val="en-US" w:eastAsia="zh-CN"/>
        </w:rPr>
      </w:pPr>
      <w:r>
        <w:rPr>
          <w:rFonts w:hint="eastAsia" w:ascii="楷体" w:hAnsi="楷体" w:eastAsia="楷体" w:cs="Times New Roman"/>
          <w:b w:val="0"/>
          <w:bCs w:val="0"/>
          <w:sz w:val="24"/>
          <w:szCs w:val="24"/>
          <w:u w:val="none"/>
          <w:lang w:val="en-US" w:eastAsia="zh-CN"/>
        </w:rPr>
        <w:t>2 石膏、加气混凝土砌块等轻质材料不得用于生产再生粗骨料，可用于生产再生混合料；</w:t>
      </w:r>
    </w:p>
    <w:p>
      <w:pPr>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0" w:right="0" w:firstLine="480" w:firstLineChars="200"/>
        <w:jc w:val="both"/>
        <w:textAlignment w:val="auto"/>
        <w:rPr>
          <w:rFonts w:hint="eastAsia" w:ascii="Times New Roman" w:hAnsi="Times New Roman"/>
          <w:color w:val="auto"/>
          <w:sz w:val="24"/>
          <w:highlight w:val="none"/>
        </w:rPr>
      </w:pPr>
      <w:r>
        <w:rPr>
          <w:rFonts w:hint="eastAsia" w:ascii="楷体" w:hAnsi="楷体" w:eastAsia="楷体" w:cs="Times New Roman"/>
          <w:b w:val="0"/>
          <w:bCs w:val="0"/>
          <w:sz w:val="24"/>
          <w:szCs w:val="24"/>
          <w:u w:val="none"/>
          <w:lang w:val="en-US" w:eastAsia="zh-CN"/>
        </w:rPr>
        <w:t>3 再生粉料可用于生产再生微粉。非活性再生微粉可作为再生填料，活性再生微粉宜用于制备矿物掺合料和道路用无机结合料。</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4  </w:t>
      </w:r>
      <w:r>
        <w:rPr>
          <w:rFonts w:hint="eastAsia" w:ascii="Times New Roman" w:hAnsi="Times New Roman"/>
          <w:color w:val="auto"/>
          <w:spacing w:val="0"/>
          <w:sz w:val="24"/>
          <w:highlight w:val="none"/>
        </w:rPr>
        <w:t>进入</w:t>
      </w:r>
      <w:r>
        <w:rPr>
          <w:rFonts w:hint="eastAsia" w:ascii="Times New Roman" w:hAnsi="Times New Roman"/>
          <w:color w:val="auto"/>
          <w:sz w:val="24"/>
          <w:highlight w:val="none"/>
          <w:lang w:val="en-US" w:eastAsia="zh-CN"/>
        </w:rPr>
        <w:t>建筑垃圾资源化利用场所</w:t>
      </w:r>
      <w:r>
        <w:rPr>
          <w:rFonts w:hint="eastAsia" w:ascii="Times New Roman" w:hAnsi="Times New Roman"/>
          <w:color w:val="auto"/>
          <w:spacing w:val="0"/>
          <w:sz w:val="24"/>
          <w:highlight w:val="none"/>
        </w:rPr>
        <w:t>的</w:t>
      </w:r>
      <w:r>
        <w:rPr>
          <w:rFonts w:hint="eastAsia" w:ascii="Times New Roman" w:hAnsi="Times New Roman"/>
          <w:color w:val="auto"/>
          <w:spacing w:val="0"/>
          <w:sz w:val="24"/>
          <w:highlight w:val="none"/>
          <w:lang w:val="en-US" w:eastAsia="zh-CN"/>
        </w:rPr>
        <w:t>建筑垃圾</w:t>
      </w:r>
      <w:r>
        <w:rPr>
          <w:rFonts w:hint="eastAsia" w:ascii="Times New Roman" w:hAnsi="Times New Roman"/>
          <w:color w:val="auto"/>
          <w:spacing w:val="0"/>
          <w:sz w:val="24"/>
          <w:highlight w:val="none"/>
        </w:rPr>
        <w:t>资源化率不</w:t>
      </w:r>
      <w:r>
        <w:rPr>
          <w:rFonts w:hint="eastAsia" w:ascii="Times New Roman" w:hAnsi="Times New Roman"/>
          <w:color w:val="auto"/>
          <w:spacing w:val="0"/>
          <w:sz w:val="24"/>
          <w:highlight w:val="none"/>
          <w:lang w:val="en-US" w:eastAsia="zh-CN"/>
        </w:rPr>
        <w:t>应</w:t>
      </w:r>
      <w:r>
        <w:rPr>
          <w:rFonts w:hint="eastAsia" w:ascii="Times New Roman" w:hAnsi="Times New Roman"/>
          <w:color w:val="auto"/>
          <w:spacing w:val="0"/>
          <w:sz w:val="24"/>
          <w:highlight w:val="none"/>
        </w:rPr>
        <w:t>低于</w:t>
      </w:r>
      <w:r>
        <w:rPr>
          <w:rFonts w:hint="eastAsia" w:ascii="Times New Roman" w:hAnsi="Times New Roman" w:eastAsia="宋体"/>
          <w:color w:val="auto"/>
          <w:sz w:val="24"/>
          <w:highlight w:val="none"/>
        </w:rPr>
        <w:t>95%</w:t>
      </w:r>
      <w:r>
        <w:rPr>
          <w:rFonts w:hint="eastAsia" w:ascii="Times New Roman" w:hAnsi="Times New Roman"/>
          <w:color w:val="auto"/>
          <w:sz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0" w:right="0" w:firstLine="0" w:firstLineChars="0"/>
        <w:jc w:val="both"/>
        <w:textAlignment w:val="auto"/>
        <w:rPr>
          <w:rFonts w:hint="eastAsia" w:ascii="Times New Roman" w:hAnsi="Times New Roman"/>
          <w:color w:val="auto"/>
          <w:sz w:val="24"/>
          <w:highlight w:val="yellow"/>
        </w:rPr>
      </w:pPr>
      <w:r>
        <w:rPr>
          <w:rFonts w:hint="eastAsia" w:ascii="楷体" w:hAnsi="楷体" w:eastAsia="楷体" w:cs="Times New Roman"/>
          <w:b w:val="0"/>
          <w:bCs w:val="0"/>
          <w:sz w:val="24"/>
          <w:szCs w:val="24"/>
        </w:rPr>
        <w:t>【条文说明】</w:t>
      </w:r>
      <w:r>
        <w:rPr>
          <w:rFonts w:hint="eastAsia" w:ascii="楷体" w:hAnsi="楷体" w:eastAsia="楷体" w:cs="Times New Roman"/>
          <w:b w:val="0"/>
          <w:bCs w:val="0"/>
          <w:sz w:val="24"/>
          <w:szCs w:val="24"/>
          <w:lang w:val="en-US" w:eastAsia="zh-CN"/>
        </w:rPr>
        <w:t>本条依据现行行业标准</w:t>
      </w:r>
      <w:r>
        <w:rPr>
          <w:rFonts w:hint="eastAsia" w:ascii="楷体" w:hAnsi="楷体" w:eastAsia="楷体"/>
          <w:color w:val="auto"/>
          <w:sz w:val="24"/>
          <w:szCs w:val="24"/>
          <w:highlight w:val="none"/>
        </w:rPr>
        <w:t>《建筑垃圾处理技术规范》</w:t>
      </w:r>
      <w:r>
        <w:rPr>
          <w:rFonts w:hint="default" w:ascii="Times New Roman" w:hAnsi="Times New Roman" w:eastAsia="楷体" w:cs="Times New Roman"/>
          <w:color w:val="auto"/>
          <w:sz w:val="24"/>
          <w:szCs w:val="24"/>
          <w:highlight w:val="none"/>
        </w:rPr>
        <w:t>CJJ/T</w:t>
      </w:r>
      <w:r>
        <w:rPr>
          <w:rFonts w:hint="default" w:ascii="Times New Roman" w:hAnsi="Times New Roman" w:eastAsia="楷体" w:cs="Times New Roman"/>
          <w:color w:val="auto"/>
          <w:spacing w:val="0"/>
          <w:sz w:val="24"/>
          <w:szCs w:val="24"/>
          <w:highlight w:val="none"/>
        </w:rPr>
        <w:t xml:space="preserve"> </w:t>
      </w:r>
      <w:r>
        <w:rPr>
          <w:rFonts w:hint="default" w:ascii="Times New Roman" w:hAnsi="Times New Roman" w:eastAsia="楷体" w:cs="Times New Roman"/>
          <w:color w:val="auto"/>
          <w:sz w:val="24"/>
          <w:szCs w:val="24"/>
          <w:highlight w:val="none"/>
        </w:rPr>
        <w:t>134</w:t>
      </w:r>
      <w:r>
        <w:rPr>
          <w:rFonts w:hint="eastAsia" w:ascii="楷体" w:hAnsi="楷体" w:eastAsia="楷体"/>
          <w:sz w:val="24"/>
          <w:szCs w:val="24"/>
          <w:lang w:val="en-US" w:eastAsia="zh-CN"/>
        </w:rPr>
        <w:t>做出要求</w:t>
      </w:r>
      <w:r>
        <w:rPr>
          <w:rFonts w:hint="eastAsia" w:ascii="Times New Roman" w:hAnsi="HiddenHorzOCR-Identity-H"/>
          <w:color w:val="auto"/>
          <w:sz w:val="24"/>
          <w:szCs w:val="24"/>
          <w:highlight w:val="none"/>
          <w:lang w:eastAsia="zh-CN"/>
        </w:rPr>
        <w:t>。</w:t>
      </w:r>
      <w:r>
        <w:rPr>
          <w:rFonts w:hint="eastAsia" w:ascii="楷体" w:hAnsi="楷体" w:eastAsia="楷体" w:cs="Times New Roman"/>
          <w:color w:val="auto"/>
          <w:kern w:val="2"/>
          <w:sz w:val="24"/>
          <w:szCs w:val="24"/>
          <w:u w:val="none"/>
          <w:lang w:val="en-US" w:eastAsia="zh-CN" w:bidi="ar"/>
        </w:rPr>
        <w:t>为提高资源、化处理工程的技术水平，对进厂建筑垃圾资源化率提出不应低于95</w:t>
      </w:r>
      <w:r>
        <w:rPr>
          <w:rFonts w:hint="eastAsia" w:ascii="楷体" w:hAnsi="楷体" w:eastAsia="楷体" w:cs="Times New Roman"/>
          <w:kern w:val="2"/>
          <w:sz w:val="24"/>
          <w:szCs w:val="24"/>
          <w:u w:val="none"/>
          <w:lang w:val="en-US" w:eastAsia="zh-CN" w:bidi="ar"/>
        </w:rPr>
        <w:t>%的</w:t>
      </w:r>
      <w:r>
        <w:rPr>
          <w:rFonts w:hint="eastAsia" w:ascii="楷体" w:hAnsi="楷体" w:eastAsia="楷体" w:cs="Times New Roman"/>
          <w:color w:val="auto"/>
          <w:kern w:val="2"/>
          <w:sz w:val="24"/>
          <w:szCs w:val="24"/>
          <w:u w:val="none"/>
          <w:lang w:val="en-US" w:eastAsia="zh-CN" w:bidi="ar"/>
        </w:rPr>
        <w:t>要求在现有的技术条件下，</w:t>
      </w:r>
      <w:r>
        <w:rPr>
          <w:rFonts w:hint="eastAsia" w:ascii="楷体" w:hAnsi="楷体" w:eastAsia="楷体" w:cs="Times New Roman"/>
          <w:kern w:val="2"/>
          <w:sz w:val="24"/>
          <w:szCs w:val="24"/>
          <w:u w:val="none"/>
          <w:lang w:val="en-US" w:eastAsia="zh-CN" w:bidi="ar"/>
        </w:rPr>
        <w:t>这</w:t>
      </w:r>
      <w:r>
        <w:rPr>
          <w:rFonts w:hint="eastAsia" w:ascii="楷体" w:hAnsi="楷体" w:eastAsia="楷体" w:cs="Times New Roman"/>
          <w:color w:val="auto"/>
          <w:kern w:val="2"/>
          <w:sz w:val="24"/>
          <w:szCs w:val="24"/>
          <w:u w:val="none"/>
          <w:lang w:val="en-US" w:eastAsia="zh-CN" w:bidi="ar"/>
        </w:rPr>
        <w:t>一要求是可以通过科学工艺设计和设备选型实现的</w:t>
      </w:r>
      <w:r>
        <w:rPr>
          <w:rFonts w:hint="eastAsia" w:ascii="楷体" w:hAnsi="楷体" w:eastAsia="楷体" w:cs="Times New Roman"/>
          <w:kern w:val="2"/>
          <w:sz w:val="24"/>
          <w:szCs w:val="24"/>
          <w:u w:val="none"/>
          <w:lang w:val="en-US" w:eastAsia="zh-CN" w:bidi="ar"/>
        </w:rPr>
        <w:t>。</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0" w:firstLine="0"/>
        <w:jc w:val="both"/>
        <w:textAlignment w:val="auto"/>
        <w:rPr>
          <w:rFonts w:hint="eastAsia" w:ascii="Times New Roman" w:hAnsi="Times New Roman"/>
          <w:color w:val="auto"/>
          <w:spacing w:val="0"/>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5  </w:t>
      </w:r>
      <w:r>
        <w:rPr>
          <w:rFonts w:hint="eastAsia" w:ascii="Times New Roman" w:hAnsi="Times New Roman"/>
          <w:color w:val="auto"/>
          <w:spacing w:val="0"/>
          <w:sz w:val="24"/>
          <w:highlight w:val="none"/>
        </w:rPr>
        <w:t>不能就地利用的废旧钢材、旧模板、废旧塑料等交</w:t>
      </w:r>
      <w:r>
        <w:rPr>
          <w:rFonts w:hint="eastAsia" w:ascii="Times New Roman" w:hAnsi="Times New Roman"/>
          <w:color w:val="auto"/>
          <w:spacing w:val="0"/>
          <w:sz w:val="24"/>
          <w:highlight w:val="none"/>
          <w:lang w:val="en-US" w:eastAsia="zh-CN"/>
        </w:rPr>
        <w:t>由</w:t>
      </w:r>
      <w:r>
        <w:rPr>
          <w:rFonts w:hint="eastAsia" w:ascii="Times New Roman" w:hAnsi="Times New Roman"/>
          <w:color w:val="auto"/>
          <w:spacing w:val="0"/>
          <w:sz w:val="24"/>
          <w:highlight w:val="none"/>
        </w:rPr>
        <w:t>专门回收公司进行加工和资源化处理</w:t>
      </w:r>
      <w:r>
        <w:rPr>
          <w:rFonts w:hint="eastAsia" w:ascii="Times New Roman" w:hAnsi="Times New Roman"/>
          <w:color w:val="auto"/>
          <w:sz w:val="24"/>
          <w:highlight w:val="none"/>
        </w:rPr>
        <w:t>。</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6  </w:t>
      </w:r>
      <w:r>
        <w:rPr>
          <w:rFonts w:hint="eastAsia" w:ascii="Times New Roman" w:hAnsi="Times New Roman" w:cs="Times New Roman"/>
          <w:b w:val="0"/>
          <w:bCs w:val="0"/>
          <w:color w:val="auto"/>
          <w:sz w:val="24"/>
          <w:highlight w:val="none"/>
          <w:lang w:val="en-US" w:eastAsia="zh-CN"/>
        </w:rPr>
        <w:t>建筑垃圾</w:t>
      </w:r>
      <w:r>
        <w:rPr>
          <w:rFonts w:hint="eastAsia" w:ascii="Times New Roman" w:hAnsi="Times New Roman"/>
          <w:color w:val="auto"/>
          <w:sz w:val="24"/>
          <w:highlight w:val="none"/>
        </w:rPr>
        <w:t>再生材料</w:t>
      </w:r>
      <w:r>
        <w:rPr>
          <w:rFonts w:hint="eastAsia" w:ascii="Times New Roman" w:hAnsi="Times New Roman"/>
          <w:color w:val="auto"/>
          <w:sz w:val="24"/>
          <w:highlight w:val="none"/>
          <w:lang w:val="en-US" w:eastAsia="zh-CN"/>
        </w:rPr>
        <w:t>及再生产品</w:t>
      </w:r>
      <w:r>
        <w:rPr>
          <w:rFonts w:hint="eastAsia" w:ascii="Times New Roman" w:hAnsi="Times New Roman"/>
          <w:color w:val="auto"/>
          <w:sz w:val="24"/>
          <w:highlight w:val="none"/>
        </w:rPr>
        <w:t>的使用和管理，应符合下列规定：</w:t>
      </w:r>
    </w:p>
    <w:p>
      <w:pPr>
        <w:pStyle w:val="12"/>
        <w:widowControl w:val="0"/>
        <w:adjustRightInd/>
        <w:snapToGrid/>
        <w:spacing w:after="0" w:line="360" w:lineRule="auto"/>
        <w:ind w:firstLine="240" w:firstLineChars="100"/>
        <w:jc w:val="left"/>
        <w:rPr>
          <w:rFonts w:hint="eastAsia" w:ascii="Times New Roman" w:hAnsi="HiddenHorzOCR-Identity-H"/>
          <w:color w:val="auto"/>
          <w:sz w:val="24"/>
          <w:szCs w:val="24"/>
          <w:highlight w:val="none"/>
          <w:u w:val="none"/>
        </w:rPr>
      </w:pPr>
      <w:r>
        <w:rPr>
          <w:rFonts w:hint="eastAsia" w:ascii="Times New Roman" w:hAnsi="HiddenHorzOCR-Identity-H"/>
          <w:color w:val="auto"/>
          <w:spacing w:val="0"/>
          <w:sz w:val="24"/>
          <w:szCs w:val="24"/>
          <w:highlight w:val="none"/>
          <w:u w:val="none"/>
          <w:lang w:val="en-US" w:eastAsia="zh-CN"/>
        </w:rPr>
        <w:t xml:space="preserve">1 </w:t>
      </w:r>
      <w:r>
        <w:rPr>
          <w:rFonts w:hint="eastAsia" w:ascii="Times New Roman" w:hAnsi="HiddenHorzOCR-Identity-H"/>
          <w:color w:val="auto"/>
          <w:spacing w:val="0"/>
          <w:sz w:val="24"/>
          <w:szCs w:val="24"/>
          <w:highlight w:val="none"/>
          <w:u w:val="none"/>
        </w:rPr>
        <w:t>不同类别、不同粒径的再生材料应分开运输和堆放；</w:t>
      </w:r>
    </w:p>
    <w:p>
      <w:pPr>
        <w:pStyle w:val="12"/>
        <w:widowControl w:val="0"/>
        <w:adjustRightInd/>
        <w:snapToGrid/>
        <w:spacing w:after="0" w:line="360" w:lineRule="auto"/>
        <w:ind w:firstLine="240" w:firstLineChars="100"/>
        <w:jc w:val="left"/>
        <w:rPr>
          <w:rFonts w:hint="eastAsia" w:ascii="Times New Roman" w:hAnsi="HiddenHorzOCR-Identity-H"/>
          <w:color w:val="auto"/>
          <w:sz w:val="24"/>
          <w:szCs w:val="24"/>
          <w:highlight w:val="none"/>
          <w:u w:val="none"/>
        </w:rPr>
      </w:pPr>
      <w:r>
        <w:rPr>
          <w:rFonts w:hint="eastAsia" w:ascii="Times New Roman" w:hAnsi="HiddenHorzOCR-Identity-H"/>
          <w:color w:val="auto"/>
          <w:sz w:val="24"/>
          <w:szCs w:val="24"/>
          <w:highlight w:val="none"/>
          <w:u w:val="none"/>
          <w:lang w:val="en-US" w:eastAsia="zh-CN"/>
        </w:rPr>
        <w:t xml:space="preserve">2 </w:t>
      </w:r>
      <w:r>
        <w:rPr>
          <w:rFonts w:hint="eastAsia" w:ascii="Times New Roman" w:hAnsi="HiddenHorzOCR-Identity-H"/>
          <w:color w:val="auto"/>
          <w:sz w:val="24"/>
          <w:szCs w:val="24"/>
          <w:highlight w:val="none"/>
          <w:u w:val="none"/>
        </w:rPr>
        <w:t>同一站区</w:t>
      </w:r>
      <w:r>
        <w:rPr>
          <w:rFonts w:hint="eastAsia" w:ascii="Times New Roman" w:hAnsi="HiddenHorzOCR-Identity-H"/>
          <w:color w:val="auto"/>
          <w:sz w:val="24"/>
          <w:szCs w:val="24"/>
          <w:highlight w:val="none"/>
          <w:u w:val="none"/>
          <w:lang w:val="en-US" w:eastAsia="zh-CN"/>
        </w:rPr>
        <w:t>内</w:t>
      </w:r>
      <w:r>
        <w:rPr>
          <w:rFonts w:hint="eastAsia" w:ascii="Times New Roman" w:hAnsi="HiddenHorzOCR-Identity-H"/>
          <w:color w:val="auto"/>
          <w:sz w:val="24"/>
          <w:szCs w:val="24"/>
          <w:highlight w:val="none"/>
          <w:u w:val="none"/>
        </w:rPr>
        <w:t>再生材料和天然材料应分开堆放；</w:t>
      </w:r>
    </w:p>
    <w:p>
      <w:pPr>
        <w:pStyle w:val="12"/>
        <w:widowControl w:val="0"/>
        <w:adjustRightInd/>
        <w:snapToGrid/>
        <w:spacing w:after="0" w:line="360" w:lineRule="auto"/>
        <w:ind w:firstLine="240" w:firstLineChars="100"/>
        <w:jc w:val="left"/>
        <w:rPr>
          <w:rFonts w:hint="eastAsia" w:ascii="Times New Roman" w:hAnsi="HiddenHorzOCR-Identity-H"/>
          <w:color w:val="auto"/>
          <w:sz w:val="24"/>
          <w:szCs w:val="24"/>
          <w:highlight w:val="none"/>
          <w:u w:val="none"/>
        </w:rPr>
      </w:pPr>
      <w:r>
        <w:rPr>
          <w:rFonts w:hint="eastAsia" w:ascii="Times New Roman" w:hAnsi="HiddenHorzOCR-Identity-H"/>
          <w:color w:val="auto"/>
          <w:sz w:val="24"/>
          <w:szCs w:val="24"/>
          <w:highlight w:val="none"/>
          <w:u w:val="none"/>
          <w:lang w:val="en-US" w:eastAsia="zh-CN"/>
        </w:rPr>
        <w:t xml:space="preserve">3 </w:t>
      </w:r>
      <w:r>
        <w:rPr>
          <w:rFonts w:hint="eastAsia" w:ascii="Times New Roman" w:hAnsi="HiddenHorzOCR-Identity-H"/>
          <w:color w:val="auto"/>
          <w:sz w:val="24"/>
          <w:szCs w:val="24"/>
          <w:highlight w:val="none"/>
          <w:u w:val="none"/>
        </w:rPr>
        <w:t>再生</w:t>
      </w:r>
      <w:r>
        <w:rPr>
          <w:rFonts w:hint="eastAsia" w:ascii="Times New Roman" w:hAnsi="HiddenHorzOCR-Identity-H"/>
          <w:color w:val="auto"/>
          <w:sz w:val="24"/>
          <w:szCs w:val="24"/>
          <w:highlight w:val="none"/>
          <w:u w:val="none"/>
          <w:lang w:val="en-US" w:eastAsia="zh-CN"/>
        </w:rPr>
        <w:t>产品</w:t>
      </w:r>
      <w:r>
        <w:rPr>
          <w:rFonts w:hint="eastAsia" w:ascii="Times New Roman" w:hAnsi="HiddenHorzOCR-Identity-H"/>
          <w:color w:val="auto"/>
          <w:sz w:val="24"/>
          <w:szCs w:val="24"/>
          <w:highlight w:val="none"/>
          <w:u w:val="none"/>
        </w:rPr>
        <w:t>的生产原料使用情况应有详细记录。</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7  </w:t>
      </w:r>
      <w:r>
        <w:rPr>
          <w:rFonts w:hint="eastAsia" w:ascii="Times New Roman" w:hAnsi="Times New Roman"/>
          <w:color w:val="auto"/>
          <w:spacing w:val="0"/>
          <w:sz w:val="24"/>
          <w:highlight w:val="none"/>
          <w:lang w:val="en-US" w:eastAsia="zh-CN"/>
        </w:rPr>
        <w:t>在</w:t>
      </w:r>
      <w:r>
        <w:rPr>
          <w:rFonts w:hint="eastAsia" w:ascii="Times New Roman" w:hAnsi="Times New Roman"/>
          <w:color w:val="auto"/>
          <w:spacing w:val="0"/>
          <w:sz w:val="24"/>
          <w:highlight w:val="none"/>
        </w:rPr>
        <w:t>满足相关标</w:t>
      </w:r>
      <w:r>
        <w:rPr>
          <w:rFonts w:hint="eastAsia" w:ascii="Times New Roman" w:hAnsi="Times New Roman"/>
          <w:color w:val="auto"/>
          <w:sz w:val="24"/>
          <w:highlight w:val="none"/>
        </w:rPr>
        <w:t>准</w:t>
      </w:r>
      <w:r>
        <w:rPr>
          <w:rFonts w:hint="eastAsia" w:ascii="Times New Roman" w:hAnsi="Times New Roman"/>
          <w:color w:val="auto"/>
          <w:sz w:val="24"/>
          <w:highlight w:val="none"/>
          <w:lang w:val="en-US" w:eastAsia="zh-CN"/>
        </w:rPr>
        <w:t>的前提下</w:t>
      </w:r>
      <w:r>
        <w:rPr>
          <w:rFonts w:hint="eastAsia" w:ascii="Times New Roman" w:hAnsi="Times New Roman"/>
          <w:color w:val="auto"/>
          <w:sz w:val="24"/>
          <w:highlight w:val="none"/>
        </w:rPr>
        <w:t>，</w:t>
      </w:r>
      <w:r>
        <w:rPr>
          <w:rFonts w:hint="eastAsia" w:ascii="Times New Roman" w:hAnsi="Times New Roman"/>
          <w:color w:val="auto"/>
          <w:spacing w:val="0"/>
          <w:sz w:val="24"/>
          <w:highlight w:val="none"/>
          <w:lang w:val="en-US" w:eastAsia="zh-CN"/>
        </w:rPr>
        <w:t>建筑垃圾</w:t>
      </w:r>
      <w:r>
        <w:rPr>
          <w:rFonts w:hint="eastAsia" w:ascii="Times New Roman" w:hAnsi="Times New Roman"/>
          <w:color w:val="auto"/>
          <w:spacing w:val="0"/>
          <w:sz w:val="24"/>
          <w:highlight w:val="none"/>
        </w:rPr>
        <w:t>再生产品用于工程建设项目时，</w:t>
      </w:r>
      <w:r>
        <w:rPr>
          <w:rFonts w:hint="eastAsia" w:ascii="Times New Roman" w:hAnsi="Times New Roman"/>
          <w:color w:val="auto"/>
          <w:sz w:val="24"/>
          <w:highlight w:val="none"/>
        </w:rPr>
        <w:t>应遵循下列原则：</w:t>
      </w:r>
    </w:p>
    <w:p>
      <w:pPr>
        <w:pStyle w:val="12"/>
        <w:widowControl w:val="0"/>
        <w:adjustRightInd/>
        <w:snapToGrid/>
        <w:spacing w:after="0" w:line="360" w:lineRule="auto"/>
        <w:ind w:firstLine="240" w:firstLineChars="100"/>
        <w:jc w:val="left"/>
        <w:rPr>
          <w:rFonts w:hint="eastAsia" w:ascii="Times New Roman" w:hAnsi="HiddenHorzOCR-Identity-H"/>
          <w:color w:val="auto"/>
          <w:sz w:val="24"/>
          <w:szCs w:val="24"/>
          <w:highlight w:val="none"/>
          <w:u w:val="none"/>
        </w:rPr>
      </w:pPr>
      <w:r>
        <w:rPr>
          <w:rFonts w:hint="eastAsia" w:ascii="Times New Roman" w:hAnsi="HiddenHorzOCR-Identity-H"/>
          <w:color w:val="auto"/>
          <w:sz w:val="24"/>
          <w:szCs w:val="24"/>
          <w:highlight w:val="none"/>
          <w:u w:val="none"/>
          <w:lang w:val="en-US" w:eastAsia="zh-CN"/>
        </w:rPr>
        <w:t xml:space="preserve">1 </w:t>
      </w:r>
      <w:r>
        <w:rPr>
          <w:rFonts w:hint="eastAsia" w:ascii="Times New Roman" w:hAnsi="HiddenHorzOCR-Identity-H"/>
          <w:color w:val="auto"/>
          <w:sz w:val="24"/>
          <w:szCs w:val="24"/>
          <w:highlight w:val="none"/>
          <w:u w:val="none"/>
        </w:rPr>
        <w:t>在满足性能条件下，</w:t>
      </w:r>
      <w:r>
        <w:rPr>
          <w:rFonts w:hint="eastAsia" w:ascii="Times New Roman" w:hAnsi="HiddenHorzOCR-Identity-H"/>
          <w:color w:val="auto"/>
          <w:sz w:val="24"/>
          <w:szCs w:val="24"/>
          <w:highlight w:val="none"/>
          <w:u w:val="none"/>
          <w:lang w:val="en-US" w:eastAsia="zh-CN"/>
        </w:rPr>
        <w:t>宜</w:t>
      </w:r>
      <w:r>
        <w:rPr>
          <w:rFonts w:hint="eastAsia" w:ascii="Times New Roman" w:hAnsi="HiddenHorzOCR-Identity-H"/>
          <w:color w:val="auto"/>
          <w:sz w:val="24"/>
          <w:szCs w:val="24"/>
          <w:highlight w:val="none"/>
          <w:u w:val="none"/>
        </w:rPr>
        <w:t>优先采用再生产品；</w:t>
      </w:r>
    </w:p>
    <w:p>
      <w:pPr>
        <w:pStyle w:val="12"/>
        <w:widowControl w:val="0"/>
        <w:adjustRightInd/>
        <w:snapToGrid/>
        <w:spacing w:after="0" w:line="360" w:lineRule="auto"/>
        <w:ind w:firstLine="240" w:firstLineChars="100"/>
        <w:jc w:val="left"/>
        <w:rPr>
          <w:rFonts w:hint="eastAsia" w:ascii="Times New Roman" w:hAnsi="HiddenHorzOCR-Identity-H"/>
          <w:color w:val="auto"/>
          <w:sz w:val="24"/>
          <w:szCs w:val="24"/>
          <w:highlight w:val="none"/>
          <w:u w:val="none"/>
        </w:rPr>
      </w:pPr>
      <w:r>
        <w:rPr>
          <w:rFonts w:hint="eastAsia" w:ascii="Times New Roman" w:hAnsi="HiddenHorzOCR-Identity-H"/>
          <w:color w:val="auto"/>
          <w:sz w:val="24"/>
          <w:szCs w:val="24"/>
          <w:highlight w:val="none"/>
          <w:u w:val="none"/>
          <w:lang w:val="en-US" w:eastAsia="zh-CN"/>
        </w:rPr>
        <w:t xml:space="preserve">2 </w:t>
      </w:r>
      <w:r>
        <w:rPr>
          <w:rFonts w:hint="eastAsia" w:ascii="Times New Roman" w:hAnsi="HiddenHorzOCR-Identity-H"/>
          <w:color w:val="auto"/>
          <w:sz w:val="24"/>
          <w:szCs w:val="24"/>
          <w:highlight w:val="none"/>
          <w:u w:val="none"/>
        </w:rPr>
        <w:t>建设项目范围内的地面道路和停车场，</w:t>
      </w:r>
      <w:r>
        <w:rPr>
          <w:rFonts w:hint="eastAsia" w:ascii="Times New Roman" w:hAnsi="HiddenHorzOCR-Identity-H"/>
          <w:color w:val="auto"/>
          <w:sz w:val="24"/>
          <w:szCs w:val="24"/>
          <w:highlight w:val="none"/>
          <w:u w:val="none"/>
          <w:lang w:val="en-US" w:eastAsia="zh-CN"/>
        </w:rPr>
        <w:t>宜</w:t>
      </w:r>
      <w:r>
        <w:rPr>
          <w:rFonts w:hint="eastAsia" w:ascii="Times New Roman" w:hAnsi="HiddenHorzOCR-Identity-H"/>
          <w:color w:val="auto"/>
          <w:sz w:val="24"/>
          <w:szCs w:val="24"/>
          <w:highlight w:val="none"/>
          <w:u w:val="none"/>
        </w:rPr>
        <w:t>优先采用再生产品；</w:t>
      </w:r>
    </w:p>
    <w:p>
      <w:pPr>
        <w:pStyle w:val="12"/>
        <w:widowControl w:val="0"/>
        <w:adjustRightInd/>
        <w:snapToGrid/>
        <w:spacing w:after="0" w:line="360" w:lineRule="auto"/>
        <w:ind w:firstLine="240" w:firstLineChars="100"/>
        <w:jc w:val="left"/>
        <w:rPr>
          <w:rFonts w:hint="eastAsia" w:ascii="Times New Roman" w:hAnsi="HiddenHorzOCR-Identity-H" w:cs="Times New Roman"/>
          <w:b w:val="0"/>
          <w:bCs w:val="0"/>
          <w:color w:val="auto"/>
          <w:sz w:val="24"/>
          <w:szCs w:val="24"/>
          <w:highlight w:val="none"/>
          <w:u w:val="none"/>
          <w:lang w:val="en-US" w:eastAsia="zh-CN"/>
        </w:rPr>
      </w:pPr>
      <w:r>
        <w:rPr>
          <w:rFonts w:hint="eastAsia" w:ascii="Times New Roman" w:hAnsi="HiddenHorzOCR-Identity-H"/>
          <w:color w:val="auto"/>
          <w:sz w:val="24"/>
          <w:szCs w:val="24"/>
          <w:highlight w:val="none"/>
          <w:u w:val="none"/>
          <w:lang w:val="en-US" w:eastAsia="zh-CN"/>
        </w:rPr>
        <w:t xml:space="preserve">3 </w:t>
      </w:r>
      <w:r>
        <w:rPr>
          <w:rFonts w:hint="eastAsia" w:ascii="Times New Roman" w:hAnsi="HiddenHorzOCR-Identity-H"/>
          <w:color w:val="auto"/>
          <w:sz w:val="24"/>
          <w:szCs w:val="24"/>
          <w:highlight w:val="none"/>
          <w:u w:val="none"/>
        </w:rPr>
        <w:t>建设项目的基础垫层、围墙、管井、管沟、挡土墙</w:t>
      </w:r>
      <w:r>
        <w:rPr>
          <w:rFonts w:hint="eastAsia" w:ascii="Times New Roman" w:hAnsi="HiddenHorzOCR-Identity-H" w:eastAsia="宋体" w:cs="Times New Roman"/>
          <w:color w:val="auto"/>
          <w:kern w:val="2"/>
          <w:sz w:val="24"/>
          <w:szCs w:val="24"/>
          <w:highlight w:val="none"/>
          <w:u w:val="none"/>
          <w:lang w:val="en-US" w:eastAsia="zh-CN" w:bidi="ar"/>
        </w:rPr>
        <w:t>、非承重砌体结构</w:t>
      </w:r>
      <w:r>
        <w:rPr>
          <w:rFonts w:hint="eastAsia" w:ascii="Times New Roman" w:hAnsi="HiddenHorzOCR-Identity-H"/>
          <w:color w:val="auto"/>
          <w:sz w:val="24"/>
          <w:szCs w:val="24"/>
          <w:highlight w:val="none"/>
          <w:u w:val="none"/>
        </w:rPr>
        <w:t>及市政道路的路基垫层等部位，</w:t>
      </w:r>
      <w:r>
        <w:rPr>
          <w:rFonts w:hint="eastAsia" w:ascii="Times New Roman" w:hAnsi="HiddenHorzOCR-Identity-H"/>
          <w:color w:val="auto"/>
          <w:sz w:val="24"/>
          <w:szCs w:val="24"/>
          <w:highlight w:val="none"/>
          <w:u w:val="none"/>
          <w:lang w:val="en-US" w:eastAsia="zh-CN"/>
        </w:rPr>
        <w:t>宜</w:t>
      </w:r>
      <w:r>
        <w:rPr>
          <w:rFonts w:hint="eastAsia" w:ascii="Times New Roman" w:hAnsi="HiddenHorzOCR-Identity-H"/>
          <w:color w:val="auto"/>
          <w:sz w:val="24"/>
          <w:szCs w:val="24"/>
          <w:highlight w:val="none"/>
          <w:u w:val="none"/>
        </w:rPr>
        <w:t>优先采用再生产品。</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HiddenHorzOCR-Identity-H" w:eastAsia="宋体" w:cs="Times New Roman"/>
          <w:b w:val="0"/>
          <w:bCs w:val="0"/>
          <w:color w:val="auto"/>
          <w:sz w:val="24"/>
          <w:szCs w:val="24"/>
          <w:highlight w:val="none"/>
          <w:u w:val="none"/>
          <w:lang w:val="en-US" w:eastAsia="zh-CN"/>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8</w:t>
      </w:r>
      <w:r>
        <w:rPr>
          <w:rFonts w:hint="eastAsia" w:ascii="Times New Roman" w:hAnsi="HiddenHorzOCR-Identity-H" w:eastAsia="宋体" w:cs="Times New Roman"/>
          <w:b w:val="0"/>
          <w:bCs w:val="0"/>
          <w:color w:val="auto"/>
          <w:sz w:val="24"/>
          <w:szCs w:val="24"/>
          <w:highlight w:val="none"/>
          <w:u w:val="none"/>
          <w:lang w:val="en-US" w:eastAsia="zh-CN"/>
        </w:rPr>
        <w:t xml:space="preserve"> </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建筑垃圾中废金属、废塑料、废玻璃和废橡胶的再生利用应分别符合现行国家</w:t>
      </w:r>
      <w:r>
        <w:rPr>
          <w:rFonts w:hint="eastAsia" w:ascii="Times New Roman" w:hAnsi="HiddenHorzOCR-Identity-H" w:cs="Times New Roman"/>
          <w:b w:val="0"/>
          <w:bCs w:val="0"/>
          <w:color w:val="auto"/>
          <w:sz w:val="24"/>
          <w:szCs w:val="24"/>
          <w:highlight w:val="none"/>
          <w:u w:val="none"/>
          <w:lang w:val="en-US" w:eastAsia="zh-CN"/>
        </w:rPr>
        <w:t>及行业</w:t>
      </w:r>
      <w:r>
        <w:rPr>
          <w:rFonts w:hint="eastAsia" w:ascii="Times New Roman" w:hAnsi="HiddenHorzOCR-Identity-H" w:eastAsia="宋体" w:cs="Times New Roman"/>
          <w:b w:val="0"/>
          <w:bCs w:val="0"/>
          <w:color w:val="auto"/>
          <w:sz w:val="24"/>
          <w:szCs w:val="24"/>
          <w:highlight w:val="none"/>
          <w:u w:val="none"/>
          <w:lang w:val="en-US" w:eastAsia="zh-CN"/>
        </w:rPr>
        <w:t>标准《废钢铁》GB/T</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4223、</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废塑料回收分选技术规范》SB/T 11149、《废玻璃回收分拣技术规范》SB/T11108、《再生橡胶</w:t>
      </w:r>
      <w:r>
        <w:rPr>
          <w:rFonts w:hint="eastAsia" w:ascii="Times New Roman" w:hAnsi="HiddenHorzOCR-Identity-H" w:cs="Times New Roman"/>
          <w:b w:val="0"/>
          <w:bCs w:val="0"/>
          <w:color w:val="auto"/>
          <w:sz w:val="24"/>
          <w:szCs w:val="24"/>
          <w:highlight w:val="none"/>
          <w:u w:val="none"/>
          <w:lang w:val="en-US" w:eastAsia="zh-CN"/>
        </w:rPr>
        <w:t xml:space="preserve"> 通用规范</w:t>
      </w:r>
      <w:r>
        <w:rPr>
          <w:rFonts w:hint="eastAsia" w:ascii="Times New Roman" w:hAnsi="HiddenHorzOCR-Identity-H" w:eastAsia="宋体" w:cs="Times New Roman"/>
          <w:b w:val="0"/>
          <w:bCs w:val="0"/>
          <w:color w:val="auto"/>
          <w:sz w:val="24"/>
          <w:szCs w:val="24"/>
          <w:highlight w:val="none"/>
          <w:u w:val="none"/>
          <w:lang w:val="en-US" w:eastAsia="zh-CN"/>
        </w:rPr>
        <w:t xml:space="preserve">》GB/T 13460 </w:t>
      </w:r>
      <w:r>
        <w:rPr>
          <w:rFonts w:hint="eastAsia" w:ascii="Times New Roman" w:hAnsi="HiddenHorzOCR-Identity-H" w:cs="Times New Roman"/>
          <w:b w:val="0"/>
          <w:bCs w:val="0"/>
          <w:color w:val="auto"/>
          <w:sz w:val="24"/>
          <w:szCs w:val="24"/>
          <w:highlight w:val="none"/>
          <w:u w:val="none"/>
          <w:lang w:val="en-US" w:eastAsia="zh-CN"/>
        </w:rPr>
        <w:t>等</w:t>
      </w:r>
      <w:r>
        <w:rPr>
          <w:rFonts w:hint="eastAsia" w:ascii="Times New Roman" w:hAnsi="HiddenHorzOCR-Identity-H" w:eastAsia="宋体" w:cs="Times New Roman"/>
          <w:b w:val="0"/>
          <w:bCs w:val="0"/>
          <w:color w:val="auto"/>
          <w:sz w:val="24"/>
          <w:szCs w:val="24"/>
          <w:highlight w:val="none"/>
          <w:u w:val="none"/>
          <w:lang w:val="en-US" w:eastAsia="zh-CN"/>
        </w:rPr>
        <w:t>的</w:t>
      </w:r>
      <w:r>
        <w:rPr>
          <w:rFonts w:hint="eastAsia" w:ascii="Times New Roman" w:hAnsi="HiddenHorzOCR-Identity-H" w:eastAsia="宋体" w:cs="Times New Roman"/>
          <w:color w:val="auto"/>
          <w:sz w:val="24"/>
          <w:szCs w:val="24"/>
          <w:highlight w:val="none"/>
          <w:u w:val="none"/>
          <w:lang w:val="en-US" w:eastAsia="zh-CN"/>
        </w:rPr>
        <w:t>有关</w:t>
      </w:r>
      <w:r>
        <w:rPr>
          <w:rFonts w:hint="eastAsia" w:ascii="Times New Roman" w:hAnsi="HiddenHorzOCR-Identity-H" w:eastAsia="宋体" w:cs="Times New Roman"/>
          <w:b w:val="0"/>
          <w:bCs w:val="0"/>
          <w:color w:val="auto"/>
          <w:sz w:val="24"/>
          <w:szCs w:val="24"/>
          <w:highlight w:val="none"/>
          <w:u w:val="none"/>
          <w:lang w:val="en-US" w:eastAsia="zh-CN"/>
        </w:rPr>
        <w:t>规定。</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HiddenHorzOCR-Identity-H" w:eastAsia="宋体" w:cs="Times New Roman"/>
          <w:b w:val="0"/>
          <w:bCs w:val="0"/>
          <w:color w:val="auto"/>
          <w:sz w:val="24"/>
          <w:szCs w:val="24"/>
          <w:highlight w:val="none"/>
          <w:u w:val="none"/>
          <w:lang w:val="en-US" w:eastAsia="zh-CN"/>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9</w:t>
      </w:r>
      <w:r>
        <w:rPr>
          <w:rFonts w:hint="eastAsia" w:ascii="Times New Roman" w:hAnsi="HiddenHorzOCR-Identity-H" w:eastAsia="宋体" w:cs="Times New Roman"/>
          <w:b w:val="0"/>
          <w:bCs w:val="0"/>
          <w:color w:val="auto"/>
          <w:sz w:val="24"/>
          <w:szCs w:val="24"/>
          <w:highlight w:val="none"/>
          <w:u w:val="none"/>
          <w:lang w:val="en-US" w:eastAsia="zh-CN"/>
        </w:rPr>
        <w:t xml:space="preserve"> </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建筑垃圾中废木材的资源化再生利用应符合现行国家标准《废弃木质材料分类》GB/T 29408</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《废弃木质材料回收利用管理规范》GB/T22529</w:t>
      </w:r>
      <w:r>
        <w:rPr>
          <w:rFonts w:hint="eastAsia" w:ascii="Times New Roman" w:hAnsi="HiddenHorzOCR-Identity-H" w:cs="Times New Roman"/>
          <w:b w:val="0"/>
          <w:bCs w:val="0"/>
          <w:color w:val="auto"/>
          <w:sz w:val="24"/>
          <w:szCs w:val="24"/>
          <w:highlight w:val="none"/>
          <w:u w:val="none"/>
          <w:lang w:val="en-US" w:eastAsia="zh-CN"/>
        </w:rPr>
        <w:t>等</w:t>
      </w:r>
      <w:r>
        <w:rPr>
          <w:rFonts w:hint="eastAsia" w:ascii="Times New Roman" w:hAnsi="HiddenHorzOCR-Identity-H" w:eastAsia="宋体" w:cs="Times New Roman"/>
          <w:b w:val="0"/>
          <w:bCs w:val="0"/>
          <w:color w:val="auto"/>
          <w:sz w:val="24"/>
          <w:szCs w:val="24"/>
          <w:highlight w:val="none"/>
          <w:u w:val="none"/>
          <w:lang w:val="en-US" w:eastAsia="zh-CN"/>
        </w:rPr>
        <w:t>的</w:t>
      </w:r>
      <w:r>
        <w:rPr>
          <w:rFonts w:hint="eastAsia" w:ascii="Times New Roman" w:hAnsi="HiddenHorzOCR-Identity-H" w:eastAsia="宋体" w:cs="Times New Roman"/>
          <w:color w:val="auto"/>
          <w:sz w:val="24"/>
          <w:szCs w:val="24"/>
          <w:highlight w:val="none"/>
          <w:u w:val="none"/>
          <w:lang w:val="en-US" w:eastAsia="zh-CN"/>
        </w:rPr>
        <w:t>有关</w:t>
      </w:r>
      <w:r>
        <w:rPr>
          <w:rFonts w:hint="eastAsia" w:ascii="Times New Roman" w:hAnsi="HiddenHorzOCR-Identity-H" w:eastAsia="宋体" w:cs="Times New Roman"/>
          <w:b w:val="0"/>
          <w:bCs w:val="0"/>
          <w:color w:val="auto"/>
          <w:sz w:val="24"/>
          <w:szCs w:val="24"/>
          <w:highlight w:val="none"/>
          <w:u w:val="none"/>
          <w:lang w:val="en-US" w:eastAsia="zh-CN"/>
        </w:rPr>
        <w:t>规定。</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10 </w:t>
      </w:r>
      <w:r>
        <w:rPr>
          <w:rFonts w:hint="eastAsia" w:ascii="Times New Roman" w:hAnsi="HiddenHorzOCR-Identity-H" w:eastAsia="宋体" w:cs="Times New Roman"/>
          <w:b w:val="0"/>
          <w:bCs w:val="0"/>
          <w:color w:val="auto"/>
          <w:sz w:val="24"/>
          <w:szCs w:val="24"/>
          <w:highlight w:val="none"/>
          <w:u w:val="none"/>
          <w:lang w:val="en-US" w:eastAsia="zh-CN"/>
        </w:rPr>
        <w:t xml:space="preserve"> 建筑垃圾中废模板包括废弃竹木模板、塑料模板、钢或铝合金模板、复合模板等</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其再生利用应符合现行国家标准《工程施工废弃物再生利用技术规范》GB/T 50743的</w:t>
      </w:r>
      <w:r>
        <w:rPr>
          <w:rFonts w:hint="eastAsia" w:ascii="Times New Roman" w:hAnsi="HiddenHorzOCR-Identity-H" w:eastAsia="宋体" w:cs="Times New Roman"/>
          <w:color w:val="auto"/>
          <w:sz w:val="24"/>
          <w:szCs w:val="24"/>
          <w:highlight w:val="none"/>
          <w:u w:val="none"/>
          <w:lang w:val="en-US" w:eastAsia="zh-CN"/>
        </w:rPr>
        <w:t>有关</w:t>
      </w:r>
      <w:r>
        <w:rPr>
          <w:rFonts w:hint="eastAsia" w:ascii="Times New Roman" w:hAnsi="HiddenHorzOCR-Identity-H" w:eastAsia="宋体" w:cs="Times New Roman"/>
          <w:b w:val="0"/>
          <w:bCs w:val="0"/>
          <w:color w:val="auto"/>
          <w:sz w:val="24"/>
          <w:szCs w:val="24"/>
          <w:highlight w:val="none"/>
          <w:u w:val="none"/>
          <w:lang w:val="en-US" w:eastAsia="zh-CN"/>
        </w:rPr>
        <w:t>规定</w:t>
      </w:r>
      <w:r>
        <w:rPr>
          <w:rFonts w:hint="eastAsia" w:ascii="Times New Roman" w:hAnsi="HiddenHorzOCR-Identity-H" w:cs="Times New Roman"/>
          <w:b w:val="0"/>
          <w:bCs w:val="0"/>
          <w:color w:val="auto"/>
          <w:sz w:val="24"/>
          <w:szCs w:val="24"/>
          <w:highlight w:val="none"/>
          <w:u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11  </w:t>
      </w:r>
      <w:r>
        <w:rPr>
          <w:rFonts w:hint="eastAsia" w:ascii="Times New Roman" w:hAnsi="Times New Roman"/>
          <w:color w:val="auto"/>
          <w:spacing w:val="0"/>
          <w:sz w:val="24"/>
          <w:highlight w:val="none"/>
        </w:rPr>
        <w:t>建筑垃圾资源化利用</w:t>
      </w:r>
      <w:r>
        <w:rPr>
          <w:rFonts w:hint="eastAsia" w:ascii="Times New Roman" w:hAnsi="Times New Roman"/>
          <w:color w:val="auto"/>
          <w:spacing w:val="0"/>
          <w:sz w:val="24"/>
          <w:highlight w:val="none"/>
          <w:lang w:val="en-US" w:eastAsia="zh-CN"/>
        </w:rPr>
        <w:t>工厂</w:t>
      </w:r>
      <w:r>
        <w:rPr>
          <w:rFonts w:hint="eastAsia" w:ascii="Times New Roman" w:hAnsi="Times New Roman"/>
          <w:color w:val="auto"/>
          <w:spacing w:val="0"/>
          <w:sz w:val="24"/>
          <w:highlight w:val="none"/>
        </w:rPr>
        <w:t>应严格根据相关</w:t>
      </w:r>
      <w:r>
        <w:rPr>
          <w:rFonts w:hint="eastAsia" w:ascii="Times New Roman" w:hAnsi="Times New Roman"/>
          <w:color w:val="auto"/>
          <w:spacing w:val="0"/>
          <w:sz w:val="24"/>
          <w:highlight w:val="none"/>
          <w:lang w:val="en-US" w:eastAsia="zh-CN"/>
        </w:rPr>
        <w:t>产品</w:t>
      </w:r>
      <w:r>
        <w:rPr>
          <w:rFonts w:hint="eastAsia" w:ascii="Times New Roman" w:hAnsi="Times New Roman"/>
          <w:color w:val="auto"/>
          <w:spacing w:val="0"/>
          <w:sz w:val="24"/>
          <w:highlight w:val="none"/>
        </w:rPr>
        <w:t>标准，</w:t>
      </w:r>
      <w:r>
        <w:rPr>
          <w:rFonts w:hint="eastAsia" w:ascii="Times New Roman" w:hAnsi="Times New Roman"/>
          <w:color w:val="auto"/>
          <w:sz w:val="24"/>
          <w:szCs w:val="22"/>
          <w:highlight w:val="none"/>
          <w:lang w:val="en-US" w:eastAsia="zh-CN"/>
        </w:rPr>
        <w:t>对其生产的产品进行质量控制及检验</w:t>
      </w:r>
      <w:r>
        <w:rPr>
          <w:rFonts w:hint="eastAsia" w:ascii="Times New Roman" w:hAnsi="Times New Roman"/>
          <w:color w:val="auto"/>
          <w:sz w:val="24"/>
          <w:highlight w:val="none"/>
        </w:rPr>
        <w:t>。</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default" w:ascii="Times New Roman" w:hAnsi="Times New Roman"/>
          <w:color w:val="auto"/>
          <w:sz w:val="24"/>
          <w:highlight w:val="none"/>
          <w:lang w:val="en-US" w:eastAsia="zh-CN"/>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12  </w:t>
      </w:r>
      <w:r>
        <w:rPr>
          <w:rFonts w:hint="eastAsia" w:ascii="Times New Roman" w:hAnsi="Times New Roman"/>
          <w:color w:val="auto"/>
          <w:sz w:val="24"/>
          <w:highlight w:val="none"/>
        </w:rPr>
        <w:t>建筑垃圾再生</w:t>
      </w:r>
      <w:r>
        <w:rPr>
          <w:rFonts w:hint="eastAsia" w:ascii="Times New Roman" w:hAnsi="Times New Roman"/>
          <w:color w:val="auto"/>
          <w:sz w:val="24"/>
          <w:highlight w:val="none"/>
          <w:lang w:val="en-US" w:eastAsia="zh-CN"/>
        </w:rPr>
        <w:t>骨料</w:t>
      </w:r>
      <w:r>
        <w:rPr>
          <w:rFonts w:hint="eastAsia" w:ascii="Times New Roman" w:hAnsi="Times New Roman"/>
          <w:color w:val="auto"/>
          <w:sz w:val="24"/>
          <w:highlight w:val="none"/>
        </w:rPr>
        <w:t>用于预拌混凝土、预拌砂浆、矿物掺合料等</w:t>
      </w:r>
      <w:r>
        <w:rPr>
          <w:rFonts w:hint="eastAsia" w:ascii="Times New Roman" w:hAnsi="Times New Roman"/>
          <w:color w:val="auto"/>
          <w:sz w:val="24"/>
          <w:highlight w:val="none"/>
          <w:lang w:val="en-US" w:eastAsia="zh-CN"/>
        </w:rPr>
        <w:t>使用</w:t>
      </w:r>
      <w:r>
        <w:rPr>
          <w:rFonts w:hint="eastAsia" w:ascii="Times New Roman" w:hAnsi="Times New Roman"/>
          <w:color w:val="auto"/>
          <w:sz w:val="24"/>
          <w:highlight w:val="none"/>
        </w:rPr>
        <w:t>时，其取代率</w:t>
      </w:r>
      <w:r>
        <w:rPr>
          <w:rFonts w:hint="eastAsia" w:ascii="Times New Roman" w:hAnsi="Times New Roman" w:eastAsia="宋体" w:cs="Times New Roman"/>
          <w:color w:val="auto"/>
          <w:kern w:val="2"/>
          <w:sz w:val="24"/>
          <w:szCs w:val="22"/>
          <w:highlight w:val="none"/>
          <w:lang w:val="en-US" w:eastAsia="zh-CN" w:bidi="ar"/>
        </w:rPr>
        <w:t>应符合现行行业标准《再生骨料应用技术规程》JGJ/T240</w:t>
      </w:r>
      <w:r>
        <w:rPr>
          <w:rFonts w:hint="eastAsia" w:ascii="Times New Roman" w:hAnsi="Times New Roman" w:cs="Times New Roman"/>
          <w:color w:val="auto"/>
          <w:kern w:val="2"/>
          <w:sz w:val="24"/>
          <w:szCs w:val="22"/>
          <w:highlight w:val="none"/>
          <w:lang w:val="en-US" w:eastAsia="zh-CN" w:bidi="ar"/>
        </w:rPr>
        <w:t>及</w:t>
      </w:r>
      <w:r>
        <w:rPr>
          <w:rFonts w:hint="eastAsia" w:ascii="Times New Roman" w:hAnsi="Times New Roman"/>
          <w:color w:val="auto"/>
          <w:sz w:val="24"/>
          <w:highlight w:val="none"/>
        </w:rPr>
        <w:t>相应产品标准的</w:t>
      </w:r>
      <w:r>
        <w:rPr>
          <w:rFonts w:hint="eastAsia" w:ascii="Times New Roman" w:hAnsi="Times New Roman"/>
          <w:color w:val="auto"/>
          <w:sz w:val="24"/>
          <w:highlight w:val="none"/>
          <w:lang w:val="en-US" w:eastAsia="zh-CN"/>
        </w:rPr>
        <w:t>有关</w:t>
      </w:r>
      <w:r>
        <w:rPr>
          <w:rFonts w:hint="eastAsia" w:ascii="Times New Roman" w:hAnsi="Times New Roman"/>
          <w:color w:val="auto"/>
          <w:sz w:val="24"/>
          <w:highlight w:val="none"/>
        </w:rPr>
        <w:t>规定。</w:t>
      </w: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0" w:firstLine="0"/>
        <w:jc w:val="both"/>
        <w:textAlignment w:val="auto"/>
        <w:rPr>
          <w:rFonts w:hint="eastAsia" w:ascii="Times New Roman" w:hAnsi="Times New Roman"/>
          <w:color w:val="auto"/>
          <w:sz w:val="24"/>
          <w:highlight w:val="none"/>
        </w:rPr>
      </w:pPr>
      <w:r>
        <w:rPr>
          <w:rFonts w:hint="default" w:ascii="Times New Roman" w:hAnsi="Times New Roman" w:cs="Times New Roman"/>
          <w:b/>
          <w:bCs/>
          <w:color w:val="auto"/>
          <w:sz w:val="24"/>
          <w:highlight w:val="none"/>
          <w:lang w:val="en-US" w:eastAsia="zh-CN"/>
        </w:rPr>
        <w:t>7.</w:t>
      </w:r>
      <w:r>
        <w:rPr>
          <w:rFonts w:hint="eastAsia"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 xml:space="preserve">13  </w:t>
      </w:r>
      <w:r>
        <w:rPr>
          <w:rFonts w:hint="eastAsia" w:ascii="Times New Roman" w:hAnsi="Times New Roman"/>
          <w:color w:val="auto"/>
          <w:sz w:val="24"/>
          <w:highlight w:val="none"/>
        </w:rPr>
        <w:t>建筑垃圾再生材料和再生产品的放射性要求应符合《建筑材料放射性核素限量》</w:t>
      </w:r>
      <w:r>
        <w:rPr>
          <w:rFonts w:hint="eastAsia" w:ascii="Times New Roman" w:hAnsi="Times New Roman" w:eastAsia="宋体"/>
          <w:color w:val="auto"/>
          <w:sz w:val="24"/>
          <w:highlight w:val="none"/>
        </w:rPr>
        <w:t>GB</w:t>
      </w:r>
      <w:r>
        <w:rPr>
          <w:rFonts w:hint="eastAsia" w:ascii="Times New Roman" w:hAnsi="Times New Roman" w:eastAsia="宋体"/>
          <w:color w:val="auto"/>
          <w:spacing w:val="0"/>
          <w:sz w:val="24"/>
          <w:highlight w:val="none"/>
        </w:rPr>
        <w:t xml:space="preserve"> </w:t>
      </w:r>
      <w:r>
        <w:rPr>
          <w:rFonts w:hint="eastAsia" w:ascii="Times New Roman" w:hAnsi="Times New Roman" w:eastAsia="宋体"/>
          <w:color w:val="auto"/>
          <w:sz w:val="24"/>
          <w:highlight w:val="none"/>
        </w:rPr>
        <w:t>6566</w:t>
      </w:r>
      <w:r>
        <w:rPr>
          <w:rFonts w:hint="eastAsia" w:ascii="Times New Roman" w:hAnsi="Times New Roman" w:eastAsia="宋体"/>
          <w:color w:val="auto"/>
          <w:spacing w:val="0"/>
          <w:sz w:val="24"/>
          <w:highlight w:val="none"/>
        </w:rPr>
        <w:t xml:space="preserve"> </w:t>
      </w:r>
      <w:r>
        <w:rPr>
          <w:rFonts w:hint="eastAsia" w:ascii="Times New Roman" w:hAnsi="Times New Roman"/>
          <w:color w:val="auto"/>
          <w:sz w:val="24"/>
          <w:highlight w:val="none"/>
        </w:rPr>
        <w:t>的规定。</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HiddenHorzOCR-Identity-H" w:eastAsia="宋体" w:cs="Times New Roman"/>
          <w:color w:val="auto"/>
          <w:sz w:val="24"/>
          <w:szCs w:val="24"/>
          <w:highlight w:val="none"/>
          <w:u w:val="none"/>
          <w:lang w:val="en-US" w:eastAsia="zh-CN"/>
        </w:rPr>
      </w:pPr>
      <w:r>
        <w:rPr>
          <w:rFonts w:hint="default" w:ascii="Times New Roman" w:hAnsi="Times New Roman" w:cs="Times New Roman"/>
          <w:b/>
          <w:bCs/>
          <w:color w:val="auto"/>
          <w:sz w:val="24"/>
          <w:szCs w:val="22"/>
          <w:highlight w:val="none"/>
          <w:u w:val="none"/>
          <w:lang w:val="en-US" w:eastAsia="zh-CN"/>
        </w:rPr>
        <w:t>7.0.1</w:t>
      </w:r>
      <w:r>
        <w:rPr>
          <w:rFonts w:hint="eastAsia" w:ascii="Times New Roman" w:hAnsi="Times New Roman" w:cs="Times New Roman"/>
          <w:b/>
          <w:bCs/>
          <w:color w:val="auto"/>
          <w:sz w:val="24"/>
          <w:szCs w:val="22"/>
          <w:highlight w:val="none"/>
          <w:u w:val="none"/>
          <w:lang w:val="en-US" w:eastAsia="zh-CN"/>
        </w:rPr>
        <w:t>4</w:t>
      </w:r>
      <w:r>
        <w:rPr>
          <w:rFonts w:hint="eastAsia" w:ascii="Times New Roman" w:hAnsi="HiddenHorzOCR-Identity-H" w:eastAsia="宋体" w:cs="Times New Roman"/>
          <w:color w:val="auto"/>
          <w:sz w:val="24"/>
          <w:szCs w:val="24"/>
          <w:highlight w:val="none"/>
          <w:u w:val="none"/>
          <w:lang w:val="en-US" w:eastAsia="zh-CN"/>
        </w:rPr>
        <w:t xml:space="preserve"> </w:t>
      </w:r>
      <w:r>
        <w:rPr>
          <w:rFonts w:hint="eastAsia" w:ascii="Times New Roman" w:hAnsi="HiddenHorzOCR-Identity-H" w:cs="Times New Roman"/>
          <w:color w:val="auto"/>
          <w:sz w:val="24"/>
          <w:szCs w:val="24"/>
          <w:highlight w:val="none"/>
          <w:u w:val="none"/>
          <w:lang w:val="en-US" w:eastAsia="zh-CN"/>
        </w:rPr>
        <w:t xml:space="preserve"> </w:t>
      </w:r>
      <w:r>
        <w:rPr>
          <w:rFonts w:hint="eastAsia" w:ascii="Times New Roman" w:hAnsi="Times New Roman"/>
          <w:color w:val="auto"/>
          <w:sz w:val="24"/>
          <w:highlight w:val="none"/>
        </w:rPr>
        <w:t>建筑垃圾再生材料和</w:t>
      </w:r>
      <w:r>
        <w:rPr>
          <w:rFonts w:hint="eastAsia" w:ascii="Times New Roman" w:hAnsi="HiddenHorzOCR-Identity-H" w:eastAsia="宋体" w:cs="Times New Roman"/>
          <w:color w:val="auto"/>
          <w:sz w:val="24"/>
          <w:szCs w:val="24"/>
          <w:highlight w:val="none"/>
          <w:u w:val="none"/>
          <w:lang w:val="en-US" w:eastAsia="zh-CN"/>
        </w:rPr>
        <w:t>再生产品</w:t>
      </w:r>
      <w:r>
        <w:rPr>
          <w:rFonts w:hint="eastAsia" w:ascii="Times New Roman" w:hAnsi="HiddenHorzOCR-Identity-H" w:cs="Times New Roman"/>
          <w:color w:val="auto"/>
          <w:sz w:val="24"/>
          <w:szCs w:val="24"/>
          <w:highlight w:val="none"/>
          <w:u w:val="none"/>
          <w:lang w:val="en-US" w:eastAsia="zh-CN"/>
        </w:rPr>
        <w:t>的应用</w:t>
      </w:r>
      <w:r>
        <w:rPr>
          <w:rFonts w:hint="eastAsia" w:ascii="Times New Roman" w:hAnsi="HiddenHorzOCR-Identity-H" w:eastAsia="宋体" w:cs="Times New Roman"/>
          <w:color w:val="auto"/>
          <w:sz w:val="24"/>
          <w:szCs w:val="24"/>
          <w:highlight w:val="none"/>
          <w:u w:val="none"/>
          <w:lang w:val="en-US" w:eastAsia="zh-CN"/>
        </w:rPr>
        <w:t>应符合下列规定</w:t>
      </w:r>
      <w:r>
        <w:rPr>
          <w:rFonts w:hint="eastAsia" w:ascii="Times New Roman" w:hAnsi="HiddenHorzOCR-Identity-H" w:cs="Times New Roman"/>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HiddenHorzOCR-Identity-H" w:eastAsia="宋体" w:cs="Times New Roman"/>
          <w:color w:val="auto"/>
          <w:sz w:val="24"/>
          <w:szCs w:val="24"/>
          <w:highlight w:val="none"/>
          <w:u w:val="none"/>
          <w:lang w:val="en-US" w:eastAsia="zh-CN"/>
        </w:rPr>
      </w:pPr>
      <w:r>
        <w:rPr>
          <w:rFonts w:hint="eastAsia" w:ascii="Times New Roman" w:hAnsi="HiddenHorzOCR-Identity-H" w:cs="Times New Roman"/>
          <w:color w:val="auto"/>
          <w:sz w:val="24"/>
          <w:szCs w:val="24"/>
          <w:highlight w:val="none"/>
          <w:u w:val="none"/>
          <w:lang w:val="en-US" w:eastAsia="zh-CN"/>
        </w:rPr>
        <w:t xml:space="preserve">1 </w:t>
      </w:r>
      <w:r>
        <w:rPr>
          <w:rFonts w:hint="eastAsia" w:ascii="Times New Roman" w:hAnsi="HiddenHorzOCR-Identity-H" w:eastAsia="宋体" w:cs="Times New Roman"/>
          <w:color w:val="auto"/>
          <w:sz w:val="24"/>
          <w:szCs w:val="24"/>
          <w:highlight w:val="none"/>
          <w:u w:val="none"/>
          <w:lang w:val="en-US" w:eastAsia="zh-CN"/>
        </w:rPr>
        <w:t>再生骨料混凝土和砂浆用再生细骨料</w:t>
      </w:r>
      <w:r>
        <w:rPr>
          <w:rFonts w:hint="eastAsia" w:ascii="Times New Roman" w:hAnsi="HiddenHorzOCR-Identity-H" w:cs="Times New Roman"/>
          <w:color w:val="auto"/>
          <w:sz w:val="24"/>
          <w:szCs w:val="24"/>
          <w:highlight w:val="none"/>
          <w:u w:val="none"/>
          <w:lang w:val="en-US" w:eastAsia="zh-CN"/>
        </w:rPr>
        <w:t>、</w:t>
      </w:r>
      <w:r>
        <w:rPr>
          <w:rFonts w:hint="eastAsia" w:ascii="Times New Roman" w:hAnsi="HiddenHorzOCR-Identity-H" w:eastAsia="宋体" w:cs="Times New Roman"/>
          <w:color w:val="auto"/>
          <w:sz w:val="24"/>
          <w:szCs w:val="24"/>
          <w:highlight w:val="none"/>
          <w:u w:val="none"/>
          <w:lang w:val="en-US" w:eastAsia="zh-CN"/>
        </w:rPr>
        <w:t>再生粗骨料应符合现行国家</w:t>
      </w:r>
      <w:r>
        <w:rPr>
          <w:rFonts w:hint="eastAsia" w:ascii="Times New Roman" w:hAnsi="Times New Roman"/>
          <w:color w:val="auto"/>
          <w:sz w:val="24"/>
          <w:highlight w:val="none"/>
          <w:lang w:val="en-US" w:eastAsia="zh-CN"/>
        </w:rPr>
        <w:t>及地方标准</w:t>
      </w:r>
      <w:r>
        <w:rPr>
          <w:rFonts w:hint="eastAsia" w:ascii="Times New Roman" w:hAnsi="HiddenHorzOCR-Identity-H" w:eastAsia="宋体" w:cs="Times New Roman"/>
          <w:color w:val="auto"/>
          <w:sz w:val="24"/>
          <w:szCs w:val="24"/>
          <w:highlight w:val="none"/>
          <w:u w:val="none"/>
          <w:lang w:val="en-US" w:eastAsia="zh-CN"/>
        </w:rPr>
        <w:t>《混凝土和砂浆用再生细骨料》GB/T25176</w:t>
      </w:r>
      <w:r>
        <w:rPr>
          <w:rFonts w:hint="eastAsia" w:ascii="Times New Roman" w:hAnsi="HiddenHorzOCR-Identity-H" w:cs="Times New Roman"/>
          <w:color w:val="auto"/>
          <w:sz w:val="24"/>
          <w:szCs w:val="24"/>
          <w:highlight w:val="none"/>
          <w:u w:val="none"/>
          <w:lang w:val="en-US" w:eastAsia="zh-CN"/>
        </w:rPr>
        <w:t>、</w:t>
      </w:r>
      <w:r>
        <w:rPr>
          <w:rFonts w:hint="eastAsia" w:ascii="Times New Roman" w:hAnsi="HiddenHorzOCR-Identity-H" w:eastAsia="宋体" w:cs="Times New Roman"/>
          <w:color w:val="auto"/>
          <w:sz w:val="24"/>
          <w:szCs w:val="24"/>
          <w:highlight w:val="none"/>
          <w:u w:val="none"/>
          <w:lang w:val="en-US" w:eastAsia="zh-CN"/>
        </w:rPr>
        <w:t>《混凝土用再生粗骨料》GB/T 25177</w:t>
      </w:r>
      <w:r>
        <w:rPr>
          <w:rFonts w:hint="eastAsia" w:ascii="Times New Roman" w:hAnsi="Times New Roman"/>
          <w:color w:val="auto"/>
          <w:sz w:val="24"/>
          <w:highlight w:val="none"/>
        </w:rPr>
        <w:t>、《再生骨料应用技术规程》</w:t>
      </w:r>
      <w:r>
        <w:rPr>
          <w:rFonts w:hint="eastAsia" w:ascii="Times New Roman" w:hAnsi="Times New Roman" w:eastAsia="宋体"/>
          <w:color w:val="auto"/>
          <w:sz w:val="24"/>
          <w:highlight w:val="none"/>
        </w:rPr>
        <w:t>JGJ</w:t>
      </w:r>
      <w:r>
        <w:rPr>
          <w:rFonts w:hint="eastAsia" w:ascii="Times New Roman" w:hAnsi="Times New Roman" w:eastAsia="宋体"/>
          <w:color w:val="auto"/>
          <w:spacing w:val="0"/>
          <w:sz w:val="24"/>
          <w:highlight w:val="none"/>
        </w:rPr>
        <w:t xml:space="preserve"> </w:t>
      </w:r>
      <w:r>
        <w:rPr>
          <w:rFonts w:hint="eastAsia" w:ascii="Times New Roman" w:hAnsi="Times New Roman" w:eastAsia="宋体"/>
          <w:color w:val="auto"/>
          <w:sz w:val="24"/>
          <w:highlight w:val="none"/>
        </w:rPr>
        <w:t>/T</w:t>
      </w:r>
      <w:r>
        <w:rPr>
          <w:rFonts w:hint="eastAsia" w:ascii="Times New Roman" w:hAnsi="Times New Roman" w:eastAsia="宋体"/>
          <w:color w:val="auto"/>
          <w:spacing w:val="0"/>
          <w:sz w:val="24"/>
          <w:highlight w:val="none"/>
        </w:rPr>
        <w:t xml:space="preserve"> </w:t>
      </w:r>
      <w:r>
        <w:rPr>
          <w:rFonts w:hint="eastAsia" w:ascii="Times New Roman" w:hAnsi="Times New Roman" w:eastAsia="宋体"/>
          <w:color w:val="auto"/>
          <w:sz w:val="24"/>
          <w:highlight w:val="none"/>
        </w:rPr>
        <w:t>240</w:t>
      </w:r>
      <w:r>
        <w:rPr>
          <w:rFonts w:hint="eastAsia" w:ascii="Times New Roman" w:hAnsi="HiddenHorzOCR-Identity-H" w:cs="Times New Roman"/>
          <w:b w:val="0"/>
          <w:bCs w:val="0"/>
          <w:color w:val="auto"/>
          <w:sz w:val="24"/>
          <w:szCs w:val="24"/>
          <w:highlight w:val="none"/>
          <w:u w:val="none"/>
          <w:lang w:val="en-US" w:eastAsia="zh-CN"/>
        </w:rPr>
        <w:t>和《四川省再生骨料混凝土及制品应用技术规程》DBJ51/T 059</w:t>
      </w:r>
      <w:r>
        <w:rPr>
          <w:rFonts w:hint="eastAsia" w:ascii="Times New Roman" w:hAnsi="HiddenHorzOCR-Identity-H" w:eastAsia="宋体" w:cs="Times New Roman"/>
          <w:b w:val="0"/>
          <w:bCs w:val="0"/>
          <w:color w:val="auto"/>
          <w:sz w:val="24"/>
          <w:szCs w:val="24"/>
          <w:highlight w:val="none"/>
          <w:u w:val="none"/>
          <w:lang w:val="en-US" w:eastAsia="zh-CN"/>
        </w:rPr>
        <w:t>等有关规定</w:t>
      </w:r>
      <w:r>
        <w:rPr>
          <w:rFonts w:hint="eastAsia" w:ascii="Times New Roman" w:hAnsi="HiddenHorzOCR-Identity-H" w:eastAsia="宋体" w:cs="Times New Roman"/>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cs="Times New Roman"/>
          <w:color w:val="auto"/>
          <w:sz w:val="24"/>
          <w:szCs w:val="24"/>
          <w:highlight w:val="none"/>
          <w:u w:val="none"/>
          <w:lang w:val="en-US" w:eastAsia="zh-CN"/>
        </w:rPr>
        <w:t>2</w:t>
      </w:r>
      <w:r>
        <w:rPr>
          <w:rFonts w:hint="eastAsia" w:ascii="Times New Roman" w:hAnsi="HiddenHorzOCR-Identity-H" w:eastAsia="宋体" w:cs="Times New Roman"/>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再生骨料混凝土和砂浆用再生骨料、技术要求、配合比设计、制备与验收等应符合现行行业</w:t>
      </w:r>
      <w:r>
        <w:rPr>
          <w:rFonts w:hint="eastAsia" w:ascii="Times New Roman" w:hAnsi="Times New Roman"/>
          <w:color w:val="auto"/>
          <w:sz w:val="24"/>
          <w:highlight w:val="none"/>
          <w:lang w:val="en-US" w:eastAsia="zh-CN"/>
        </w:rPr>
        <w:t>及地方标准</w:t>
      </w:r>
      <w:r>
        <w:rPr>
          <w:rFonts w:hint="eastAsia" w:ascii="Times New Roman" w:hAnsi="HiddenHorzOCR-Identity-H" w:eastAsia="宋体" w:cs="Times New Roman"/>
          <w:b w:val="0"/>
          <w:bCs w:val="0"/>
          <w:color w:val="auto"/>
          <w:sz w:val="24"/>
          <w:szCs w:val="24"/>
          <w:highlight w:val="none"/>
          <w:u w:val="none"/>
          <w:lang w:val="en-US" w:eastAsia="zh-CN"/>
        </w:rPr>
        <w:t>《再生骨料应用技术规程》JGJ/T 240</w:t>
      </w:r>
      <w:r>
        <w:rPr>
          <w:rFonts w:hint="eastAsia" w:ascii="Times New Roman" w:hAnsi="HiddenHorzOCR-Identity-H" w:cs="Times New Roman"/>
          <w:b w:val="0"/>
          <w:bCs w:val="0"/>
          <w:color w:val="auto"/>
          <w:sz w:val="24"/>
          <w:szCs w:val="24"/>
          <w:highlight w:val="none"/>
          <w:u w:val="none"/>
          <w:lang w:val="en-US" w:eastAsia="zh-CN"/>
        </w:rPr>
        <w:t>、《四川省再生骨料混凝土及制品应用技术规程》DBJ51/T 059</w:t>
      </w:r>
      <w:r>
        <w:rPr>
          <w:rFonts w:hint="eastAsia" w:ascii="Times New Roman" w:hAnsi="HiddenHorzOCR-Identity-H" w:eastAsia="宋体" w:cs="Times New Roman"/>
          <w:b w:val="0"/>
          <w:bCs w:val="0"/>
          <w:color w:val="auto"/>
          <w:sz w:val="24"/>
          <w:szCs w:val="24"/>
          <w:highlight w:val="none"/>
          <w:u w:val="none"/>
          <w:lang w:val="en-US" w:eastAsia="zh-CN"/>
        </w:rPr>
        <w:t>等有关规定。</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HiddenHorzOCR-Identity-H" w:cs="Times New Roman"/>
          <w:b w:val="0"/>
          <w:bCs w:val="0"/>
          <w:color w:val="auto"/>
          <w:sz w:val="24"/>
          <w:szCs w:val="24"/>
          <w:highlight w:val="none"/>
          <w:u w:val="none"/>
          <w:lang w:val="en-US" w:eastAsia="zh-CN"/>
        </w:rPr>
      </w:pPr>
      <w:r>
        <w:rPr>
          <w:rFonts w:hint="eastAsia" w:ascii="Times New Roman" w:hAnsi="HiddenHorzOCR-Identity-H" w:cs="Times New Roman"/>
          <w:b w:val="0"/>
          <w:bCs w:val="0"/>
          <w:color w:val="auto"/>
          <w:sz w:val="24"/>
          <w:szCs w:val="24"/>
          <w:highlight w:val="none"/>
          <w:u w:val="none"/>
          <w:lang w:val="en-US" w:eastAsia="zh-CN"/>
        </w:rPr>
        <w:t xml:space="preserve">3 </w:t>
      </w:r>
      <w:r>
        <w:rPr>
          <w:rFonts w:hint="eastAsia" w:ascii="Times New Roman" w:hAnsi="HiddenHorzOCR-Identity-H" w:eastAsia="宋体" w:cs="Times New Roman"/>
          <w:b w:val="0"/>
          <w:bCs w:val="0"/>
          <w:color w:val="auto"/>
          <w:sz w:val="24"/>
          <w:szCs w:val="24"/>
          <w:highlight w:val="none"/>
          <w:u w:val="none"/>
          <w:lang w:val="en-US" w:eastAsia="zh-CN"/>
        </w:rPr>
        <w:t>当再生骨料混凝土用于公路工程时</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用于路面的再生骨料混凝土，其性能指标应符合现行行业标准</w:t>
      </w:r>
      <w:r>
        <w:rPr>
          <w:rFonts w:hint="eastAsia" w:ascii="宋体" w:hAnsi="宋体" w:eastAsia="宋体" w:cs="宋体"/>
          <w:color w:val="000000"/>
          <w:kern w:val="0"/>
          <w:sz w:val="24"/>
          <w:szCs w:val="24"/>
          <w:lang w:val="en-US" w:eastAsia="zh-CN" w:bidi="ar"/>
        </w:rPr>
        <w:t>《公路工程利用建筑垃圾技术规范》 JTG/T 2321</w:t>
      </w:r>
      <w:r>
        <w:rPr>
          <w:rFonts w:hint="eastAsia" w:ascii="宋体" w:hAnsi="宋体" w:cs="宋体"/>
          <w:color w:val="000000"/>
          <w:kern w:val="0"/>
          <w:sz w:val="24"/>
          <w:szCs w:val="24"/>
          <w:lang w:val="en-US" w:eastAsia="zh-CN" w:bidi="ar"/>
        </w:rPr>
        <w:t>、</w:t>
      </w:r>
      <w:r>
        <w:rPr>
          <w:rFonts w:hint="eastAsia" w:ascii="Times New Roman" w:hAnsi="HiddenHorzOCR-Identity-H" w:eastAsia="宋体" w:cs="Times New Roman"/>
          <w:b w:val="0"/>
          <w:bCs w:val="0"/>
          <w:color w:val="auto"/>
          <w:sz w:val="24"/>
          <w:szCs w:val="24"/>
          <w:highlight w:val="none"/>
          <w:u w:val="none"/>
          <w:lang w:val="en-US" w:eastAsia="zh-CN"/>
        </w:rPr>
        <w:t>《公路水泥混凝土路面设计规范》JTG</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D40和《公路水泥混凝土路面施工技术细则》JTG</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F30的</w:t>
      </w:r>
      <w:r>
        <w:rPr>
          <w:rFonts w:hint="eastAsia" w:ascii="Times New Roman" w:hAnsi="HiddenHorzOCR-Identity-H" w:eastAsia="宋体" w:cs="Times New Roman"/>
          <w:color w:val="auto"/>
          <w:sz w:val="24"/>
          <w:szCs w:val="24"/>
          <w:highlight w:val="none"/>
          <w:u w:val="none"/>
          <w:lang w:val="en-US" w:eastAsia="zh-CN"/>
        </w:rPr>
        <w:t>有关</w:t>
      </w:r>
      <w:r>
        <w:rPr>
          <w:rFonts w:hint="eastAsia" w:ascii="Times New Roman" w:hAnsi="HiddenHorzOCR-Identity-H" w:eastAsia="宋体" w:cs="Times New Roman"/>
          <w:b w:val="0"/>
          <w:bCs w:val="0"/>
          <w:color w:val="auto"/>
          <w:sz w:val="24"/>
          <w:szCs w:val="24"/>
          <w:highlight w:val="none"/>
          <w:u w:val="none"/>
          <w:lang w:val="en-US" w:eastAsia="zh-CN"/>
        </w:rPr>
        <w:t>规定</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用于桥涵的再生骨料混凝土，其性能指标应符合现行行业标准</w:t>
      </w:r>
      <w:r>
        <w:rPr>
          <w:rFonts w:hint="eastAsia" w:ascii="宋体" w:hAnsi="宋体" w:eastAsia="宋体" w:cs="宋体"/>
          <w:color w:val="000000"/>
          <w:kern w:val="0"/>
          <w:sz w:val="24"/>
          <w:szCs w:val="24"/>
          <w:lang w:val="en-US" w:eastAsia="zh-CN" w:bidi="ar"/>
        </w:rPr>
        <w:t>《公路工程利用建筑垃圾技术规范》 JTG/T 2321</w:t>
      </w:r>
      <w:r>
        <w:rPr>
          <w:rFonts w:hint="eastAsia" w:ascii="宋体" w:hAnsi="宋体" w:cs="宋体"/>
          <w:color w:val="000000"/>
          <w:kern w:val="0"/>
          <w:sz w:val="24"/>
          <w:szCs w:val="24"/>
          <w:lang w:val="en-US" w:eastAsia="zh-CN" w:bidi="ar"/>
        </w:rPr>
        <w:t>、</w:t>
      </w:r>
      <w:r>
        <w:rPr>
          <w:rFonts w:hint="eastAsia" w:ascii="Times New Roman" w:hAnsi="HiddenHorzOCR-Identity-H" w:eastAsia="宋体" w:cs="Times New Roman"/>
          <w:b w:val="0"/>
          <w:bCs w:val="0"/>
          <w:color w:val="auto"/>
          <w:sz w:val="24"/>
          <w:szCs w:val="24"/>
          <w:highlight w:val="none"/>
          <w:u w:val="none"/>
          <w:lang w:val="en-US" w:eastAsia="zh-CN"/>
        </w:rPr>
        <w:t>《公路桥涵施工技术规范》</w:t>
      </w:r>
      <w:r>
        <w:rPr>
          <w:rFonts w:hint="eastAsia" w:ascii="Times New Roman" w:hAnsi="HiddenHorzOCR-Identity-H" w:cs="Times New Roman"/>
          <w:b w:val="0"/>
          <w:bCs w:val="0"/>
          <w:color w:val="auto"/>
          <w:sz w:val="24"/>
          <w:szCs w:val="24"/>
          <w:highlight w:val="none"/>
          <w:u w:val="none"/>
          <w:lang w:val="en-US" w:eastAsia="zh-CN"/>
        </w:rPr>
        <w:t>J</w:t>
      </w:r>
      <w:r>
        <w:rPr>
          <w:rFonts w:hint="eastAsia" w:ascii="Times New Roman" w:hAnsi="HiddenHorzOCR-Identity-H" w:eastAsia="宋体" w:cs="Times New Roman"/>
          <w:b w:val="0"/>
          <w:bCs w:val="0"/>
          <w:color w:val="auto"/>
          <w:sz w:val="24"/>
          <w:szCs w:val="24"/>
          <w:highlight w:val="none"/>
          <w:u w:val="none"/>
          <w:lang w:val="en-US" w:eastAsia="zh-CN"/>
        </w:rPr>
        <w:t>TG/T</w:t>
      </w:r>
      <w:r>
        <w:rPr>
          <w:rFonts w:hint="eastAsia" w:ascii="Times New Roman" w:hAnsi="HiddenHorzOCR-Identity-H" w:cs="Times New Roman"/>
          <w:b w:val="0"/>
          <w:bCs w:val="0"/>
          <w:color w:val="auto"/>
          <w:sz w:val="24"/>
          <w:szCs w:val="24"/>
          <w:highlight w:val="none"/>
          <w:u w:val="none"/>
          <w:lang w:val="en-US" w:eastAsia="zh-CN"/>
        </w:rPr>
        <w:t xml:space="preserve"> 36</w:t>
      </w:r>
      <w:r>
        <w:rPr>
          <w:rFonts w:hint="eastAsia" w:ascii="Times New Roman" w:hAnsi="HiddenHorzOCR-Identity-H" w:eastAsia="宋体" w:cs="Times New Roman"/>
          <w:b w:val="0"/>
          <w:bCs w:val="0"/>
          <w:color w:val="auto"/>
          <w:sz w:val="24"/>
          <w:szCs w:val="24"/>
          <w:highlight w:val="none"/>
          <w:u w:val="none"/>
          <w:lang w:val="en-US" w:eastAsia="zh-CN"/>
        </w:rPr>
        <w:t>50</w:t>
      </w:r>
      <w:r>
        <w:rPr>
          <w:rFonts w:hint="eastAsia" w:ascii="Times New Roman" w:hAnsi="HiddenHorzOCR-Identity-H" w:cs="Times New Roman"/>
          <w:b w:val="0"/>
          <w:bCs w:val="0"/>
          <w:color w:val="auto"/>
          <w:sz w:val="24"/>
          <w:szCs w:val="24"/>
          <w:highlight w:val="none"/>
          <w:u w:val="none"/>
          <w:lang w:val="en-US" w:eastAsia="zh-CN"/>
        </w:rPr>
        <w:t>等</w:t>
      </w:r>
      <w:r>
        <w:rPr>
          <w:rFonts w:hint="eastAsia" w:ascii="Times New Roman" w:hAnsi="HiddenHorzOCR-Identity-H" w:eastAsia="宋体" w:cs="Times New Roman"/>
          <w:b w:val="0"/>
          <w:bCs w:val="0"/>
          <w:color w:val="auto"/>
          <w:sz w:val="24"/>
          <w:szCs w:val="24"/>
          <w:highlight w:val="none"/>
          <w:u w:val="none"/>
          <w:lang w:val="en-US" w:eastAsia="zh-CN"/>
        </w:rPr>
        <w:t>的</w:t>
      </w:r>
      <w:r>
        <w:rPr>
          <w:rFonts w:hint="eastAsia" w:ascii="Times New Roman" w:hAnsi="HiddenHorzOCR-Identity-H" w:eastAsia="宋体" w:cs="Times New Roman"/>
          <w:color w:val="auto"/>
          <w:sz w:val="24"/>
          <w:szCs w:val="24"/>
          <w:highlight w:val="none"/>
          <w:u w:val="none"/>
          <w:lang w:val="en-US" w:eastAsia="zh-CN"/>
        </w:rPr>
        <w:t>有关</w:t>
      </w:r>
      <w:r>
        <w:rPr>
          <w:rFonts w:hint="eastAsia" w:ascii="Times New Roman" w:hAnsi="HiddenHorzOCR-Identity-H" w:eastAsia="宋体" w:cs="Times New Roman"/>
          <w:b w:val="0"/>
          <w:bCs w:val="0"/>
          <w:color w:val="auto"/>
          <w:sz w:val="24"/>
          <w:szCs w:val="24"/>
          <w:highlight w:val="none"/>
          <w:u w:val="none"/>
          <w:lang w:val="en-US" w:eastAsia="zh-CN"/>
        </w:rPr>
        <w:t>规定</w:t>
      </w:r>
      <w:r>
        <w:rPr>
          <w:rFonts w:hint="eastAsia" w:ascii="Times New Roman" w:hAnsi="HiddenHorzOCR-Identity-H" w:cs="Times New Roman"/>
          <w:b w:val="0"/>
          <w:b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cs="Times New Roman"/>
          <w:color w:val="auto"/>
          <w:sz w:val="24"/>
          <w:szCs w:val="24"/>
          <w:highlight w:val="none"/>
          <w:u w:val="none"/>
          <w:lang w:val="en-US" w:eastAsia="zh-CN"/>
        </w:rPr>
        <w:t xml:space="preserve">4 </w:t>
      </w:r>
      <w:r>
        <w:rPr>
          <w:rFonts w:hint="eastAsia" w:ascii="Times New Roman" w:hAnsi="HiddenHorzOCR-Identity-H" w:eastAsia="宋体" w:cs="Times New Roman"/>
          <w:color w:val="auto"/>
          <w:sz w:val="24"/>
          <w:szCs w:val="24"/>
          <w:highlight w:val="none"/>
          <w:u w:val="none"/>
          <w:lang w:val="en-US" w:eastAsia="zh-CN"/>
        </w:rPr>
        <w:t>再生骨料砖</w:t>
      </w:r>
      <w:r>
        <w:rPr>
          <w:rFonts w:hint="eastAsia" w:ascii="Times New Roman" w:hAnsi="HiddenHorzOCR-Identity-H" w:cs="Times New Roman"/>
          <w:color w:val="auto"/>
          <w:sz w:val="24"/>
          <w:szCs w:val="24"/>
          <w:highlight w:val="none"/>
          <w:u w:val="none"/>
          <w:lang w:val="en-US" w:eastAsia="zh-CN"/>
        </w:rPr>
        <w:t>（砌块）性能应符合</w:t>
      </w:r>
      <w:r>
        <w:rPr>
          <w:rFonts w:hint="eastAsia" w:ascii="Times New Roman" w:hAnsi="HiddenHorzOCR-Identity-H" w:eastAsia="宋体" w:cs="Times New Roman"/>
          <w:b w:val="0"/>
          <w:bCs w:val="0"/>
          <w:color w:val="auto"/>
          <w:sz w:val="24"/>
          <w:szCs w:val="24"/>
          <w:highlight w:val="none"/>
          <w:u w:val="none"/>
          <w:lang w:val="en-US" w:eastAsia="zh-CN"/>
        </w:rPr>
        <w:t>现行国家、行业标准《建筑垃圾再生骨料实心砖》JG/T 505、</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砂基透水砖》JG/T 376、《非承重混凝土空心砖》GB/T 24492、《装饰混凝土砖》GB/T 24493、《透水路面砖和透水路面板》GB/T 25993、《混凝土路面砖》GB/T 28635、《非烧结垃圾尾矿砖》JC/T 422</w:t>
      </w: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color w:val="auto"/>
          <w:sz w:val="24"/>
          <w:szCs w:val="24"/>
          <w:highlight w:val="none"/>
          <w:u w:val="none"/>
          <w:lang w:val="en-US" w:eastAsia="zh-CN"/>
        </w:rPr>
        <w:t>《普通混凝土小型砌块》GB/T 8239</w:t>
      </w:r>
      <w:r>
        <w:rPr>
          <w:rFonts w:hint="eastAsia" w:ascii="Times New Roman" w:hAnsi="HiddenHorzOCR-Identity-H" w:eastAsia="宋体" w:cs="Times New Roman"/>
          <w:b w:val="0"/>
          <w:bCs w:val="0"/>
          <w:color w:val="auto"/>
          <w:sz w:val="24"/>
          <w:szCs w:val="24"/>
          <w:highlight w:val="none"/>
          <w:u w:val="none"/>
          <w:lang w:val="en-US" w:eastAsia="zh-CN"/>
        </w:rPr>
        <w:t xml:space="preserve">、《轻集料混凝土小型空心砌块》GB/T </w:t>
      </w:r>
      <w:r>
        <w:rPr>
          <w:rFonts w:hint="eastAsia" w:ascii="Times New Roman" w:hAnsi="HiddenHorzOCR-Identity-H" w:cs="Times New Roman"/>
          <w:b w:val="0"/>
          <w:bCs w:val="0"/>
          <w:color w:val="auto"/>
          <w:sz w:val="24"/>
          <w:szCs w:val="24"/>
          <w:highlight w:val="none"/>
          <w:u w:val="none"/>
          <w:lang w:val="en-US" w:eastAsia="zh-CN"/>
        </w:rPr>
        <w:t>1</w:t>
      </w:r>
      <w:r>
        <w:rPr>
          <w:rFonts w:hint="eastAsia" w:ascii="Times New Roman" w:hAnsi="HiddenHorzOCR-Identity-H" w:eastAsia="宋体" w:cs="Times New Roman"/>
          <w:b w:val="0"/>
          <w:bCs w:val="0"/>
          <w:color w:val="auto"/>
          <w:sz w:val="24"/>
          <w:szCs w:val="24"/>
          <w:highlight w:val="none"/>
          <w:u w:val="none"/>
          <w:lang w:val="en-US" w:eastAsia="zh-CN"/>
        </w:rPr>
        <w:t>5229、《装饰混凝土砌块 》JC/T 641</w:t>
      </w:r>
      <w:r>
        <w:rPr>
          <w:rFonts w:hint="eastAsia" w:ascii="Times New Roman" w:hAnsi="HiddenHorzOCR-Identity-H" w:cs="Times New Roman"/>
          <w:color w:val="auto"/>
          <w:sz w:val="24"/>
          <w:szCs w:val="24"/>
          <w:highlight w:val="none"/>
          <w:u w:val="none"/>
          <w:lang w:val="en-US" w:eastAsia="zh-CN"/>
        </w:rPr>
        <w:t>、</w:t>
      </w:r>
      <w:r>
        <w:rPr>
          <w:rFonts w:hint="eastAsia" w:ascii="Times New Roman" w:hAnsi="HiddenHorzOCR-Identity-H" w:eastAsia="宋体" w:cs="Times New Roman"/>
          <w:color w:val="auto"/>
          <w:kern w:val="2"/>
          <w:sz w:val="24"/>
          <w:szCs w:val="24"/>
          <w:highlight w:val="none"/>
          <w:u w:val="none"/>
          <w:lang w:bidi="ar"/>
        </w:rPr>
        <w:t>《混凝土实心砖》GB/T21144、《自保温混凝土复合砌块》JG/T407</w:t>
      </w:r>
      <w:r>
        <w:rPr>
          <w:rFonts w:hint="eastAsia" w:ascii="Times New Roman" w:hAnsi="HiddenHorzOCR-Identity-H" w:cs="Times New Roman"/>
          <w:color w:val="auto"/>
          <w:kern w:val="2"/>
          <w:sz w:val="24"/>
          <w:szCs w:val="24"/>
          <w:highlight w:val="none"/>
          <w:u w:val="none"/>
          <w:lang w:eastAsia="zh-CN" w:bidi="ar"/>
        </w:rPr>
        <w:t>、</w:t>
      </w:r>
      <w:r>
        <w:rPr>
          <w:rFonts w:hint="eastAsia" w:ascii="Times New Roman" w:hAnsi="HiddenHorzOCR-Identity-H" w:cs="Times New Roman"/>
          <w:color w:val="auto"/>
          <w:sz w:val="24"/>
          <w:szCs w:val="24"/>
          <w:highlight w:val="none"/>
          <w:u w:val="none"/>
          <w:lang w:val="en-US" w:eastAsia="zh-CN"/>
        </w:rPr>
        <w:t>《再生骨料应用技术规程》JGJ/T240</w:t>
      </w:r>
      <w:r>
        <w:rPr>
          <w:rFonts w:hint="eastAsia" w:ascii="Times New Roman" w:hAnsi="HiddenHorzOCR-Identity-H" w:eastAsia="宋体" w:cs="Times New Roman"/>
          <w:b w:val="0"/>
          <w:bCs w:val="0"/>
          <w:color w:val="auto"/>
          <w:sz w:val="24"/>
          <w:szCs w:val="24"/>
          <w:highlight w:val="none"/>
          <w:u w:val="none"/>
          <w:lang w:val="en-US" w:eastAsia="zh-CN"/>
        </w:rPr>
        <w:t>等的</w:t>
      </w:r>
      <w:r>
        <w:rPr>
          <w:rFonts w:hint="eastAsia" w:ascii="Times New Roman" w:hAnsi="HiddenHorzOCR-Identity-H" w:eastAsia="宋体" w:cs="Times New Roman"/>
          <w:color w:val="auto"/>
          <w:sz w:val="24"/>
          <w:szCs w:val="24"/>
          <w:highlight w:val="none"/>
          <w:u w:val="none"/>
          <w:lang w:val="en-US" w:eastAsia="zh-CN"/>
        </w:rPr>
        <w:t>有关规定</w:t>
      </w:r>
      <w:r>
        <w:rPr>
          <w:rFonts w:hint="eastAsia" w:ascii="Times New Roman" w:hAnsi="HiddenHorzOCR-Identity-H" w:eastAsia="宋体" w:cs="Times New Roman"/>
          <w:b w:val="0"/>
          <w:b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cs="Times New Roman"/>
          <w:color w:val="auto"/>
          <w:sz w:val="24"/>
          <w:szCs w:val="24"/>
          <w:highlight w:val="none"/>
          <w:u w:val="none"/>
          <w:lang w:val="en-US" w:eastAsia="zh-CN"/>
        </w:rPr>
        <w:t xml:space="preserve">5 </w:t>
      </w:r>
      <w:r>
        <w:rPr>
          <w:rFonts w:hint="eastAsia" w:ascii="Times New Roman" w:hAnsi="HiddenHorzOCR-Identity-H" w:eastAsia="宋体" w:cs="Times New Roman"/>
          <w:b w:val="0"/>
          <w:bCs w:val="0"/>
          <w:color w:val="auto"/>
          <w:sz w:val="24"/>
          <w:szCs w:val="24"/>
          <w:highlight w:val="none"/>
          <w:u w:val="none"/>
          <w:lang w:val="en-US" w:eastAsia="zh-CN"/>
        </w:rPr>
        <w:t>再生沥青类建筑制品应符合现行行业标准《建筑垃圾处理技术规范》CJJ134 和《公路沥青路面再生技术规范》</w:t>
      </w:r>
      <w:r>
        <w:rPr>
          <w:rFonts w:hint="eastAsia" w:ascii="Times New Roman" w:hAnsi="HiddenHorzOCR-Identity-H" w:eastAsia="宋体" w:cs="Times New Roman"/>
          <w:i w:val="0"/>
          <w:iCs w:val="0"/>
          <w:caps w:val="0"/>
          <w:color w:val="auto"/>
          <w:spacing w:val="0"/>
          <w:sz w:val="24"/>
          <w:szCs w:val="24"/>
          <w:highlight w:val="none"/>
          <w:u w:val="none"/>
          <w:shd w:val="clear"/>
        </w:rPr>
        <w:t>JTG/T 5521</w:t>
      </w:r>
      <w:r>
        <w:rPr>
          <w:rFonts w:hint="eastAsia" w:ascii="Times New Roman" w:hAnsi="HiddenHorzOCR-Identity-H" w:eastAsia="宋体" w:cs="Times New Roman"/>
          <w:b w:val="0"/>
          <w:bCs w:val="0"/>
          <w:color w:val="auto"/>
          <w:sz w:val="24"/>
          <w:szCs w:val="24"/>
          <w:highlight w:val="none"/>
          <w:u w:val="none"/>
          <w:lang w:val="en-US" w:eastAsia="zh-CN"/>
        </w:rPr>
        <w:t>等的</w:t>
      </w:r>
      <w:r>
        <w:rPr>
          <w:rFonts w:hint="eastAsia" w:ascii="Times New Roman" w:hAnsi="HiddenHorzOCR-Identity-H" w:eastAsia="宋体" w:cs="Times New Roman"/>
          <w:color w:val="auto"/>
          <w:sz w:val="24"/>
          <w:szCs w:val="24"/>
          <w:highlight w:val="none"/>
          <w:u w:val="none"/>
          <w:lang w:val="en-US" w:eastAsia="zh-CN"/>
        </w:rPr>
        <w:t>有关规定</w:t>
      </w:r>
      <w:r>
        <w:rPr>
          <w:rFonts w:hint="eastAsia" w:ascii="Times New Roman" w:hAnsi="HiddenHorzOCR-Identity-H" w:eastAsia="宋体" w:cs="Times New Roman"/>
          <w:b w:val="0"/>
          <w:b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HiddenHorzOCR-Identity-H" w:eastAsia="宋体" w:cs="Times New Roman"/>
          <w:b w:val="0"/>
          <w:bCs w:val="0"/>
          <w:color w:val="auto"/>
          <w:sz w:val="24"/>
          <w:szCs w:val="24"/>
          <w:highlight w:val="none"/>
          <w:u w:val="none"/>
          <w:lang w:val="en-US" w:eastAsia="zh-CN"/>
        </w:rPr>
      </w:pPr>
      <w:r>
        <w:rPr>
          <w:rFonts w:hint="eastAsia" w:ascii="Times New Roman" w:hAnsi="HiddenHorzOCR-Identity-H" w:cs="Times New Roman"/>
          <w:b w:val="0"/>
          <w:bCs w:val="0"/>
          <w:color w:val="auto"/>
          <w:sz w:val="24"/>
          <w:szCs w:val="24"/>
          <w:highlight w:val="none"/>
          <w:u w:val="none"/>
          <w:lang w:val="en-US" w:eastAsia="zh-CN"/>
        </w:rPr>
        <w:t>6 建筑垃圾再生骨料、再生粉体可作为再生级配骨料直接应用于道路工程，也可制成再生骨料无机混合料应用于道路工程。再生级配骨料与再生骨料无机混合料应符合现行行业标准</w:t>
      </w:r>
      <w:r>
        <w:rPr>
          <w:rFonts w:hint="eastAsia" w:ascii="宋体" w:hAnsi="宋体" w:eastAsia="宋体" w:cs="宋体"/>
          <w:color w:val="000000"/>
          <w:kern w:val="0"/>
          <w:sz w:val="24"/>
          <w:szCs w:val="24"/>
          <w:lang w:val="en-US" w:eastAsia="zh-CN" w:bidi="ar"/>
        </w:rPr>
        <w:t>《公路工程利用建筑垃圾技术规范》 JTG/T 2321</w:t>
      </w:r>
      <w:r>
        <w:rPr>
          <w:rFonts w:hint="eastAsia" w:ascii="宋体" w:hAnsi="宋体" w:cs="宋体"/>
          <w:color w:val="000000"/>
          <w:kern w:val="0"/>
          <w:sz w:val="24"/>
          <w:szCs w:val="24"/>
          <w:lang w:val="en-US" w:eastAsia="zh-CN" w:bidi="ar"/>
        </w:rPr>
        <w:t>、</w:t>
      </w:r>
      <w:r>
        <w:rPr>
          <w:rFonts w:hint="eastAsia" w:ascii="Times New Roman" w:hAnsi="HiddenHorzOCR-Identity-H" w:cs="Times New Roman"/>
          <w:b w:val="0"/>
          <w:bCs w:val="0"/>
          <w:color w:val="auto"/>
          <w:sz w:val="24"/>
          <w:szCs w:val="24"/>
          <w:highlight w:val="none"/>
          <w:u w:val="none"/>
          <w:lang w:val="en-US" w:eastAsia="zh-CN"/>
        </w:rPr>
        <w:t>《道路用建筑垃圾再生骨料无机混合料》JC/T2281的规定。再生级配骨料和再生骨料无机混合料用于道路工程，应符合现行行业标准《公路路面基层施工技术细则》JTG/T F20和《城镇道路工程施工与质量验收规范》CJJ 1等的</w:t>
      </w:r>
      <w:r>
        <w:rPr>
          <w:rFonts w:hint="eastAsia" w:ascii="Times New Roman" w:hAnsi="HiddenHorzOCR-Identity-H" w:eastAsia="宋体" w:cs="Times New Roman"/>
          <w:color w:val="auto"/>
          <w:sz w:val="24"/>
          <w:szCs w:val="24"/>
          <w:highlight w:val="none"/>
          <w:u w:val="none"/>
          <w:lang w:val="en-US" w:eastAsia="zh-CN"/>
        </w:rPr>
        <w:t>有关</w:t>
      </w:r>
      <w:r>
        <w:rPr>
          <w:rFonts w:hint="eastAsia" w:ascii="Times New Roman" w:hAnsi="HiddenHorzOCR-Identity-H" w:cs="Times New Roman"/>
          <w:b w:val="0"/>
          <w:bCs w:val="0"/>
          <w:color w:val="auto"/>
          <w:sz w:val="24"/>
          <w:szCs w:val="24"/>
          <w:highlight w:val="none"/>
          <w:u w:val="none"/>
          <w:lang w:val="en-US" w:eastAsia="zh-CN"/>
        </w:rPr>
        <w:t>规定。</w:t>
      </w:r>
    </w:p>
    <w:p>
      <w:pPr>
        <w:widowControl/>
        <w:spacing w:line="360" w:lineRule="auto"/>
        <w:ind w:firstLine="240" w:firstLineChars="100"/>
        <w:rPr>
          <w:rFonts w:hint="eastAsia" w:ascii="Times New Roman" w:hAnsi="HiddenHorzOCR-Identity-H" w:eastAsia="宋体" w:cs="Times New Roman"/>
          <w:color w:val="auto"/>
          <w:sz w:val="24"/>
          <w:szCs w:val="24"/>
          <w:highlight w:val="none"/>
          <w:u w:val="none"/>
          <w:lang w:val="en-US" w:eastAsia="zh-CN"/>
        </w:rPr>
      </w:pPr>
    </w:p>
    <w:p>
      <w:pPr>
        <w:widowControl/>
        <w:spacing w:line="360" w:lineRule="auto"/>
        <w:ind w:firstLine="240" w:firstLineChars="100"/>
        <w:rPr>
          <w:rFonts w:hint="eastAsia" w:ascii="Times New Roman" w:hAnsi="HiddenHorzOCR-Identity-H" w:eastAsia="宋体" w:cs="Times New Roman"/>
          <w:b w:val="0"/>
          <w:bCs w:val="0"/>
          <w:color w:val="auto"/>
          <w:sz w:val="24"/>
          <w:szCs w:val="24"/>
          <w:highlight w:val="none"/>
          <w:u w:val="none"/>
          <w:lang w:val="en-US" w:eastAsia="zh-CN"/>
        </w:rPr>
      </w:pPr>
    </w:p>
    <w:p>
      <w:pPr>
        <w:widowControl/>
        <w:spacing w:line="360" w:lineRule="auto"/>
        <w:ind w:firstLine="240" w:firstLineChars="100"/>
        <w:rPr>
          <w:rFonts w:hint="eastAsia" w:ascii="Times New Roman" w:hAnsi="HiddenHorzOCR-Identity-H" w:eastAsia="宋体" w:cs="Times New Roman"/>
          <w:b w:val="0"/>
          <w:bCs w:val="0"/>
          <w:color w:val="auto"/>
          <w:sz w:val="24"/>
          <w:szCs w:val="24"/>
          <w:highlight w:val="none"/>
          <w:u w:val="none"/>
          <w:lang w:val="en-US" w:eastAsia="zh-CN"/>
        </w:rPr>
      </w:pPr>
    </w:p>
    <w:p>
      <w:pPr>
        <w:widowControl/>
        <w:spacing w:line="360" w:lineRule="auto"/>
        <w:ind w:firstLine="240" w:firstLineChars="100"/>
        <w:rPr>
          <w:rFonts w:hint="eastAsia" w:ascii="Times New Roman" w:hAnsi="HiddenHorzOCR-Identity-H" w:eastAsia="宋体" w:cs="Times New Roman"/>
          <w:b w:val="0"/>
          <w:bCs w:val="0"/>
          <w:color w:val="auto"/>
          <w:sz w:val="24"/>
          <w:szCs w:val="24"/>
          <w:highlight w:val="none"/>
          <w:u w:val="none"/>
          <w:lang w:val="en-US" w:eastAsia="zh-CN"/>
        </w:rPr>
      </w:pP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Pr>
        <w:pStyle w:val="2"/>
        <w:pageBreakBefore/>
        <w:spacing w:line="360" w:lineRule="auto"/>
        <w:rPr>
          <w:rFonts w:ascii="Times New Roman" w:hAnsi="Times New Roman"/>
          <w:color w:val="auto"/>
          <w:szCs w:val="28"/>
          <w:highlight w:val="none"/>
        </w:rPr>
      </w:pPr>
      <w:bookmarkStart w:id="163" w:name="_Toc28900"/>
      <w:bookmarkStart w:id="164" w:name="_Toc140769710"/>
      <w:bookmarkStart w:id="165" w:name="_Toc16601"/>
      <w:bookmarkStart w:id="166" w:name="_Toc140769577"/>
      <w:bookmarkStart w:id="167" w:name="_Toc136502197"/>
      <w:bookmarkStart w:id="168" w:name="_Toc22818"/>
      <w:bookmarkStart w:id="169" w:name="_Toc16993"/>
      <w:bookmarkStart w:id="170" w:name="_Toc8738"/>
      <w:bookmarkStart w:id="171" w:name="_Toc16135"/>
      <w:bookmarkStart w:id="172" w:name="_Toc22528"/>
      <w:bookmarkStart w:id="173" w:name="_Toc29838"/>
      <w:r>
        <w:rPr>
          <w:rFonts w:ascii="Times New Roman" w:hAnsi="Times New Roman"/>
          <w:color w:val="auto"/>
          <w:szCs w:val="28"/>
          <w:highlight w:val="none"/>
        </w:rPr>
        <w:t>本</w:t>
      </w:r>
      <w:r>
        <w:rPr>
          <w:rFonts w:hint="eastAsia" w:ascii="Times New Roman" w:hAnsi="Times New Roman"/>
          <w:color w:val="auto"/>
          <w:szCs w:val="28"/>
          <w:highlight w:val="none"/>
        </w:rPr>
        <w:t>标准</w:t>
      </w:r>
      <w:r>
        <w:rPr>
          <w:rFonts w:ascii="Times New Roman" w:hAnsi="Times New Roman"/>
          <w:color w:val="auto"/>
          <w:szCs w:val="28"/>
          <w:highlight w:val="none"/>
        </w:rPr>
        <w:t>用词说明</w:t>
      </w:r>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1.为便于在执行</w:t>
      </w:r>
      <w:r>
        <w:rPr>
          <w:rFonts w:hint="eastAsia" w:ascii="Times New Roman" w:hAnsi="Times New Roman" w:cs="Times New Roman"/>
          <w:color w:val="auto"/>
          <w:sz w:val="24"/>
          <w:highlight w:val="none"/>
          <w:lang w:val="en-US" w:eastAsia="zh-CN"/>
        </w:rPr>
        <w:t>本标准</w:t>
      </w:r>
      <w:r>
        <w:rPr>
          <w:rFonts w:hint="default" w:ascii="Times New Roman" w:hAnsi="Times New Roman" w:cs="Times New Roman"/>
          <w:color w:val="auto"/>
          <w:sz w:val="24"/>
          <w:highlight w:val="none"/>
          <w:lang w:val="en-US" w:eastAsia="zh-CN"/>
        </w:rPr>
        <w:t>条文时区别对待，对要求严格程度不同的用词说明如下：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1）表示很严格，非这样做不可的：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正面词采用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必须</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，反面词采用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严禁</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2）表示严格，在正常情况下均应这样做的：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正面词采用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应</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，反面词采用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不应</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或</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不得</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3）表示允许稍有选择，在条件许可时首先应这样做的：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正面词采用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宜</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，反面词采用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不宜</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4）表示有选择，在一定条件下可以这样做的，采用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可</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标准</w:t>
      </w:r>
      <w:r>
        <w:rPr>
          <w:rFonts w:hint="default" w:ascii="Times New Roman" w:hAnsi="Times New Roman" w:cs="Times New Roman"/>
          <w:color w:val="auto"/>
          <w:sz w:val="24"/>
          <w:highlight w:val="none"/>
          <w:lang w:val="en-US" w:eastAsia="zh-CN"/>
        </w:rPr>
        <w:t>中指明应按其他规范、规程、标准执行时，采用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应按……执行</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或</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应符合……的要求或规定</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bookmarkStart w:id="174" w:name="_TOC_250000"/>
      <w:bookmarkEnd w:id="174"/>
    </w:p>
    <w:p>
      <w:pPr>
        <w:spacing w:line="360" w:lineRule="auto"/>
        <w:rPr>
          <w:rFonts w:ascii="Times New Roman" w:hAnsi="Times New Roman"/>
          <w:color w:val="auto"/>
          <w:sz w:val="24"/>
          <w:szCs w:val="24"/>
          <w:highlight w:val="none"/>
        </w:rPr>
      </w:pPr>
    </w:p>
    <w:p>
      <w:pPr>
        <w:pStyle w:val="2"/>
        <w:pageBreakBefore/>
        <w:spacing w:line="360" w:lineRule="auto"/>
        <w:rPr>
          <w:rFonts w:ascii="Times New Roman" w:hAnsi="Times New Roman"/>
          <w:color w:val="auto"/>
          <w:szCs w:val="28"/>
          <w:highlight w:val="none"/>
        </w:rPr>
      </w:pPr>
      <w:bookmarkStart w:id="175" w:name="_Toc30530"/>
      <w:bookmarkStart w:id="176" w:name="_Toc3967"/>
      <w:bookmarkStart w:id="177" w:name="_Toc11254"/>
      <w:bookmarkStart w:id="178" w:name="_Toc961"/>
      <w:bookmarkStart w:id="179" w:name="_Toc152"/>
      <w:bookmarkStart w:id="180" w:name="_Toc9699"/>
      <w:bookmarkStart w:id="181" w:name="_Toc5352"/>
      <w:bookmarkStart w:id="182" w:name="_Toc136502198"/>
      <w:bookmarkStart w:id="183" w:name="_Toc140769711"/>
      <w:bookmarkStart w:id="184" w:name="_Toc119424415"/>
      <w:bookmarkStart w:id="185" w:name="_Toc20255"/>
      <w:bookmarkStart w:id="186" w:name="_Toc140769578"/>
      <w:r>
        <w:rPr>
          <w:rFonts w:ascii="Times New Roman" w:hAnsi="Times New Roman"/>
          <w:color w:val="auto"/>
          <w:szCs w:val="28"/>
          <w:highlight w:val="none"/>
        </w:rPr>
        <w:t>引用标准目录</w:t>
      </w:r>
      <w:bookmarkEnd w:id="175"/>
      <w:bookmarkEnd w:id="176"/>
      <w:bookmarkEnd w:id="177"/>
      <w:bookmarkEnd w:id="178"/>
      <w:bookmarkEnd w:id="179"/>
      <w:bookmarkEnd w:id="180"/>
      <w:bookmarkEnd w:id="181"/>
    </w:p>
    <w:p>
      <w:pPr>
        <w:pStyle w:val="85"/>
        <w:numPr>
          <w:ilvl w:val="2"/>
          <w:numId w:val="1"/>
        </w:numPr>
        <w:tabs>
          <w:tab w:val="left" w:pos="1260"/>
          <w:tab w:val="left" w:pos="2100"/>
        </w:tabs>
        <w:spacing w:before="73"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《环境空气质量标准》</w:t>
      </w:r>
      <w:r>
        <w:rPr>
          <w:rFonts w:hint="default" w:ascii="Times New Roman" w:hAnsi="Times New Roman" w:eastAsia="宋体" w:cs="Times New Roman"/>
          <w:color w:val="auto"/>
          <w:sz w:val="24"/>
          <w:highlight w:val="none"/>
        </w:rPr>
        <w:t>GB</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3095</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《废钢铁》GB/T</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4223</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《建筑材料放射性核素限量》</w:t>
      </w:r>
      <w:r>
        <w:rPr>
          <w:rFonts w:hint="default" w:ascii="Times New Roman" w:hAnsi="Times New Roman" w:eastAsia="宋体" w:cs="Times New Roman"/>
          <w:color w:val="auto"/>
          <w:sz w:val="24"/>
          <w:highlight w:val="none"/>
        </w:rPr>
        <w:t>GB</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6566</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olor w:val="auto"/>
          <w:sz w:val="24"/>
          <w:szCs w:val="24"/>
          <w:highlight w:val="none"/>
          <w:u w:val="none"/>
          <w:lang w:val="en-US" w:eastAsia="zh-CN"/>
        </w:rPr>
        <w:t>《普通混凝土小型砌块》GB/T 8239</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olor w:val="auto"/>
          <w:sz w:val="24"/>
          <w:szCs w:val="24"/>
          <w:highlight w:val="none"/>
          <w:u w:val="none"/>
          <w:lang w:eastAsia="zh-CN"/>
        </w:rPr>
        <w:t>《污水综合排放标准》</w:t>
      </w:r>
      <w:r>
        <w:rPr>
          <w:rFonts w:hint="eastAsia" w:ascii="Times New Roman" w:hAnsi="HiddenHorzOCR-Identity-H" w:eastAsia="宋体"/>
          <w:color w:val="auto"/>
          <w:sz w:val="24"/>
          <w:szCs w:val="24"/>
          <w:highlight w:val="none"/>
          <w:u w:val="none"/>
          <w:lang w:eastAsia="zh-CN"/>
        </w:rPr>
        <w:t>GB 8978</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olor w:val="auto"/>
          <w:sz w:val="24"/>
          <w:szCs w:val="24"/>
          <w:highlight w:val="none"/>
          <w:u w:val="none"/>
          <w:lang w:eastAsia="zh-CN"/>
        </w:rPr>
        <w:t>《建筑施工场界环境噪声排放标准》</w:t>
      </w:r>
      <w:r>
        <w:rPr>
          <w:rFonts w:hint="eastAsia" w:ascii="Times New Roman" w:hAnsi="HiddenHorzOCR-Identity-H" w:eastAsia="宋体"/>
          <w:color w:val="auto"/>
          <w:sz w:val="24"/>
          <w:szCs w:val="24"/>
          <w:highlight w:val="none"/>
          <w:u w:val="none"/>
          <w:lang w:eastAsia="zh-CN"/>
        </w:rPr>
        <w:t>GB</w:t>
      </w:r>
      <w:r>
        <w:rPr>
          <w:rFonts w:hint="eastAsia" w:ascii="Times New Roman" w:hAnsi="HiddenHorzOCR-Identity-H"/>
          <w:color w:val="auto"/>
          <w:sz w:val="24"/>
          <w:szCs w:val="24"/>
          <w:highlight w:val="none"/>
          <w:u w:val="none"/>
          <w:lang w:val="en-US" w:eastAsia="zh-CN"/>
        </w:rPr>
        <w:t xml:space="preserve"> </w:t>
      </w:r>
      <w:r>
        <w:rPr>
          <w:rFonts w:hint="eastAsia" w:ascii="Times New Roman" w:hAnsi="HiddenHorzOCR-Identity-H" w:eastAsia="宋体"/>
          <w:color w:val="auto"/>
          <w:sz w:val="24"/>
          <w:szCs w:val="24"/>
          <w:highlight w:val="none"/>
          <w:u w:val="none"/>
          <w:lang w:eastAsia="zh-CN"/>
        </w:rPr>
        <w:t>12523</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《再生橡胶</w:t>
      </w:r>
      <w:r>
        <w:rPr>
          <w:rFonts w:hint="eastAsia" w:ascii="Times New Roman" w:hAnsi="HiddenHorzOCR-Identity-H" w:cs="Times New Roman"/>
          <w:b w:val="0"/>
          <w:bCs w:val="0"/>
          <w:color w:val="auto"/>
          <w:sz w:val="24"/>
          <w:szCs w:val="24"/>
          <w:highlight w:val="none"/>
          <w:u w:val="none"/>
          <w:lang w:val="en-US" w:eastAsia="zh-CN"/>
        </w:rPr>
        <w:t xml:space="preserve"> 通用规范</w:t>
      </w:r>
      <w:r>
        <w:rPr>
          <w:rFonts w:hint="eastAsia" w:ascii="Times New Roman" w:hAnsi="HiddenHorzOCR-Identity-H" w:eastAsia="宋体" w:cs="Times New Roman"/>
          <w:b w:val="0"/>
          <w:bCs w:val="0"/>
          <w:color w:val="auto"/>
          <w:sz w:val="24"/>
          <w:szCs w:val="24"/>
          <w:highlight w:val="none"/>
          <w:u w:val="none"/>
          <w:lang w:val="en-US" w:eastAsia="zh-CN"/>
        </w:rPr>
        <w:t>》GB/T 13460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 xml:space="preserve">《轻集料混凝土小型空心砌块》GB/T </w:t>
      </w:r>
      <w:r>
        <w:rPr>
          <w:rFonts w:hint="eastAsia" w:ascii="Times New Roman" w:hAnsi="HiddenHorzOCR-Identity-H" w:cs="Times New Roman"/>
          <w:b w:val="0"/>
          <w:bCs w:val="0"/>
          <w:color w:val="auto"/>
          <w:sz w:val="24"/>
          <w:szCs w:val="24"/>
          <w:highlight w:val="none"/>
          <w:u w:val="none"/>
          <w:lang w:val="en-US" w:eastAsia="zh-CN"/>
        </w:rPr>
        <w:t>1</w:t>
      </w:r>
      <w:r>
        <w:rPr>
          <w:rFonts w:hint="eastAsia" w:ascii="Times New Roman" w:hAnsi="HiddenHorzOCR-Identity-H" w:eastAsia="宋体" w:cs="Times New Roman"/>
          <w:b w:val="0"/>
          <w:bCs w:val="0"/>
          <w:color w:val="auto"/>
          <w:sz w:val="24"/>
          <w:szCs w:val="24"/>
          <w:highlight w:val="none"/>
          <w:u w:val="none"/>
          <w:lang w:val="en-US" w:eastAsia="zh-CN"/>
        </w:rPr>
        <w:t>5229</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olor w:val="auto"/>
          <w:sz w:val="24"/>
          <w:szCs w:val="24"/>
          <w:highlight w:val="none"/>
          <w:u w:val="none"/>
          <w:lang w:eastAsia="zh-CN"/>
        </w:rPr>
        <w:t>《大气污染物综合排放标准》</w:t>
      </w:r>
      <w:r>
        <w:rPr>
          <w:rFonts w:hint="eastAsia" w:ascii="Times New Roman" w:hAnsi="HiddenHorzOCR-Identity-H" w:eastAsia="宋体"/>
          <w:color w:val="auto"/>
          <w:sz w:val="24"/>
          <w:szCs w:val="24"/>
          <w:highlight w:val="none"/>
          <w:u w:val="none"/>
          <w:lang w:eastAsia="zh-CN"/>
        </w:rPr>
        <w:t>GB 16297</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《废弃木质材料回收利用管理规范》GB/T</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22529</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《非承重混凝土空心砖》GB/T 24492</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《装饰混凝土砖》GB/T 24493</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《混凝土和砂浆用再生细骨料》</w:t>
      </w:r>
      <w:r>
        <w:rPr>
          <w:rFonts w:hint="default" w:ascii="Times New Roman" w:hAnsi="Times New Roman" w:eastAsia="宋体" w:cs="Times New Roman"/>
          <w:color w:val="auto"/>
          <w:sz w:val="24"/>
          <w:highlight w:val="none"/>
        </w:rPr>
        <w:t>GB/T</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25176</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《混凝土用再生粗骨料》</w:t>
      </w:r>
      <w:r>
        <w:rPr>
          <w:rFonts w:hint="default" w:ascii="Times New Roman" w:hAnsi="Times New Roman" w:eastAsia="宋体" w:cs="Times New Roman"/>
          <w:color w:val="auto"/>
          <w:sz w:val="24"/>
          <w:highlight w:val="none"/>
        </w:rPr>
        <w:t>GB/T</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25177</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《透水路面砖和透水路面板》GB/T 25993</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《混凝土路面砖》GB/T 28635</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《废弃木质材料分类》GB/T 29408</w:t>
      </w:r>
    </w:p>
    <w:p>
      <w:pPr>
        <w:pStyle w:val="85"/>
        <w:numPr>
          <w:ilvl w:val="2"/>
          <w:numId w:val="1"/>
        </w:numPr>
        <w:tabs>
          <w:tab w:val="left" w:pos="1260"/>
          <w:tab w:val="left" w:pos="2100"/>
        </w:tabs>
        <w:spacing w:before="73"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w:t>
      </w:r>
      <w:r>
        <w:rPr>
          <w:rFonts w:hint="eastAsia" w:ascii="Times New Roman" w:hAnsi="HiddenHorzOCR-Identity-H"/>
          <w:color w:val="auto"/>
          <w:sz w:val="24"/>
          <w:szCs w:val="24"/>
          <w:highlight w:val="none"/>
          <w:u w:val="none"/>
          <w:lang w:val="en-US" w:eastAsia="zh-CN"/>
        </w:rPr>
        <w:t>建筑与市政工程绿色施工评价标准</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highlight w:val="none"/>
        </w:rPr>
        <w:t>GB/T</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50640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《工程施工废弃物再生利用技术规范》</w:t>
      </w:r>
      <w:r>
        <w:rPr>
          <w:rFonts w:hint="default" w:ascii="Times New Roman" w:hAnsi="Times New Roman" w:eastAsia="宋体" w:cs="Times New Roman"/>
          <w:color w:val="auto"/>
          <w:sz w:val="24"/>
          <w:highlight w:val="none"/>
        </w:rPr>
        <w:t>GB/T</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50743</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《建筑工程绿色施工规范》</w:t>
      </w:r>
      <w:r>
        <w:rPr>
          <w:rFonts w:hint="default" w:ascii="Times New Roman" w:hAnsi="Times New Roman" w:eastAsia="宋体" w:cs="Times New Roman"/>
          <w:color w:val="auto"/>
          <w:sz w:val="24"/>
          <w:highlight w:val="none"/>
        </w:rPr>
        <w:t>GB/T</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50905</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《城镇道路工程施工与质量验收规范》</w:t>
      </w:r>
      <w:r>
        <w:rPr>
          <w:rFonts w:hint="eastAsia" w:ascii="Times New Roman" w:hAnsi="HiddenHorzOCR-Identity-H" w:cs="Times New Roman"/>
          <w:b w:val="0"/>
          <w:bCs w:val="0"/>
          <w:color w:val="auto"/>
          <w:sz w:val="24"/>
          <w:szCs w:val="24"/>
          <w:highlight w:val="none"/>
          <w:u w:val="none"/>
          <w:lang w:val="en-US" w:eastAsia="zh-CN"/>
        </w:rPr>
        <w:t>CJJ 1</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olor w:val="auto"/>
          <w:sz w:val="24"/>
          <w:szCs w:val="24"/>
          <w:highlight w:val="none"/>
        </w:rPr>
        <w:t>《建筑垃圾处理技术规范》</w:t>
      </w:r>
      <w:r>
        <w:rPr>
          <w:rFonts w:hint="eastAsia" w:ascii="Times New Roman" w:hAnsi="HiddenHorzOCR-Identity-H" w:eastAsia="宋体"/>
          <w:color w:val="auto"/>
          <w:sz w:val="24"/>
          <w:szCs w:val="24"/>
          <w:highlight w:val="none"/>
        </w:rPr>
        <w:t>CJJ/T</w:t>
      </w:r>
      <w:r>
        <w:rPr>
          <w:rFonts w:hint="eastAsia" w:ascii="Times New Roman" w:hAnsi="HiddenHorzOCR-Identity-H" w:eastAsia="宋体"/>
          <w:color w:val="auto"/>
          <w:spacing w:val="0"/>
          <w:sz w:val="24"/>
          <w:szCs w:val="24"/>
          <w:highlight w:val="none"/>
        </w:rPr>
        <w:t xml:space="preserve"> </w:t>
      </w:r>
      <w:r>
        <w:rPr>
          <w:rFonts w:hint="eastAsia" w:ascii="Times New Roman" w:hAnsi="HiddenHorzOCR-Identity-H" w:eastAsia="宋体"/>
          <w:color w:val="auto"/>
          <w:sz w:val="24"/>
          <w:szCs w:val="24"/>
          <w:highlight w:val="none"/>
        </w:rPr>
        <w:t>134</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《非烧结垃圾尾矿砖》JC/T 422</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《装饰混凝土砌块 》JC/T 641</w:t>
      </w:r>
    </w:p>
    <w:p>
      <w:pPr>
        <w:pStyle w:val="85"/>
        <w:numPr>
          <w:ilvl w:val="2"/>
          <w:numId w:val="1"/>
        </w:numPr>
        <w:tabs>
          <w:tab w:val="left" w:pos="1260"/>
          <w:tab w:val="left" w:pos="2100"/>
        </w:tabs>
        <w:spacing w:before="73"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《道路用建筑垃圾再生骨料无机混合料》</w:t>
      </w:r>
      <w:r>
        <w:rPr>
          <w:rFonts w:hint="default" w:ascii="Times New Roman" w:hAnsi="Times New Roman" w:eastAsia="宋体" w:cs="Times New Roman"/>
          <w:color w:val="auto"/>
          <w:sz w:val="24"/>
          <w:highlight w:val="none"/>
        </w:rPr>
        <w:t>JC/T</w:t>
      </w:r>
      <w:r>
        <w:rPr>
          <w:rFonts w:hint="default" w:ascii="Times New Roman" w:hAnsi="Times New Roman" w:eastAsia="宋体" w:cs="Times New Roman"/>
          <w:color w:val="auto"/>
          <w:spacing w:val="0"/>
          <w:sz w:val="24"/>
          <w:highlight w:val="none"/>
        </w:rPr>
        <w:t xml:space="preserve"> </w:t>
      </w:r>
      <w:r>
        <w:rPr>
          <w:rFonts w:hint="default" w:ascii="Times New Roman" w:hAnsi="Times New Roman" w:eastAsia="宋体" w:cs="Times New Roman"/>
          <w:color w:val="auto"/>
          <w:sz w:val="24"/>
          <w:highlight w:val="none"/>
        </w:rPr>
        <w:t>2281</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砂基透水砖》JG/T 376</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《建筑垃圾再生骨料实心砖》JG/T 505</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s="Times New Roman"/>
          <w:color w:val="auto"/>
          <w:sz w:val="24"/>
          <w:szCs w:val="24"/>
          <w:highlight w:val="none"/>
          <w:u w:val="none"/>
          <w:lang w:val="en-US" w:eastAsia="zh-CN"/>
        </w:rPr>
        <w:t>《再生骨料应用技术规程》JGJ/T 240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default" w:ascii="Times New Roman" w:hAnsi="HiddenHorzOCR-Identity-H"/>
          <w:color w:val="auto"/>
          <w:sz w:val="24"/>
          <w:szCs w:val="24"/>
          <w:highlight w:val="none"/>
          <w:lang w:val="en-US" w:eastAsia="zh-CN"/>
        </w:rPr>
        <w:t>《建筑拆除工程安全技术规范》JGJ147</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《公路水泥混凝土路面设计规范》JTG</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D40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公路路面基层施工技术细则》JTG/T F20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w:t>
      </w:r>
      <w:bookmarkStart w:id="187" w:name="OLE_LINK2"/>
      <w:r>
        <w:rPr>
          <w:rFonts w:hint="eastAsia" w:ascii="Times New Roman" w:hAnsi="HiddenHorzOCR-Identity-H" w:eastAsia="宋体" w:cs="Times New Roman"/>
          <w:b w:val="0"/>
          <w:bCs w:val="0"/>
          <w:color w:val="auto"/>
          <w:sz w:val="24"/>
          <w:szCs w:val="24"/>
          <w:highlight w:val="none"/>
          <w:u w:val="none"/>
          <w:lang w:val="en-US" w:eastAsia="zh-CN"/>
        </w:rPr>
        <w:t>公路水泥混凝土路面施工技术细则</w:t>
      </w:r>
      <w:bookmarkEnd w:id="187"/>
      <w:r>
        <w:rPr>
          <w:rFonts w:hint="eastAsia" w:ascii="Times New Roman" w:hAnsi="HiddenHorzOCR-Identity-H" w:eastAsia="宋体" w:cs="Times New Roman"/>
          <w:b w:val="0"/>
          <w:bCs w:val="0"/>
          <w:color w:val="auto"/>
          <w:sz w:val="24"/>
          <w:szCs w:val="24"/>
          <w:highlight w:val="none"/>
          <w:u w:val="none"/>
          <w:lang w:val="en-US" w:eastAsia="zh-CN"/>
        </w:rPr>
        <w:t>》JTG</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F30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宋体" w:hAnsi="宋体" w:eastAsia="宋体" w:cs="宋体"/>
          <w:color w:val="000000"/>
          <w:kern w:val="0"/>
          <w:sz w:val="24"/>
          <w:szCs w:val="24"/>
          <w:lang w:val="en-US" w:eastAsia="zh-CN" w:bidi="ar"/>
        </w:rPr>
        <w:t>《公路工程利用建筑垃圾技术规范》 JTG/T 2321</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《公路工程集料试验规程》JTG</w:t>
      </w:r>
      <w:r>
        <w:rPr>
          <w:rFonts w:hint="eastAsia" w:ascii="Times New Roman" w:hAnsi="HiddenHorzOCR-Identity-H" w:cs="Times New Roman"/>
          <w:b w:val="0"/>
          <w:bCs w:val="0"/>
          <w:color w:val="auto"/>
          <w:sz w:val="24"/>
          <w:szCs w:val="24"/>
          <w:highlight w:val="none"/>
          <w:u w:val="none"/>
          <w:lang w:val="en-US" w:eastAsia="zh-CN"/>
        </w:rPr>
        <w:t xml:space="preserve"> 3432</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《公路桥涵施工技术规范》</w:t>
      </w:r>
      <w:r>
        <w:rPr>
          <w:rFonts w:hint="eastAsia" w:ascii="Times New Roman" w:hAnsi="HiddenHorzOCR-Identity-H" w:cs="Times New Roman"/>
          <w:b w:val="0"/>
          <w:bCs w:val="0"/>
          <w:color w:val="auto"/>
          <w:sz w:val="24"/>
          <w:szCs w:val="24"/>
          <w:highlight w:val="none"/>
          <w:u w:val="none"/>
          <w:lang w:val="en-US" w:eastAsia="zh-CN"/>
        </w:rPr>
        <w:t>J</w:t>
      </w:r>
      <w:r>
        <w:rPr>
          <w:rFonts w:hint="eastAsia" w:ascii="Times New Roman" w:hAnsi="HiddenHorzOCR-Identity-H" w:eastAsia="宋体" w:cs="Times New Roman"/>
          <w:b w:val="0"/>
          <w:bCs w:val="0"/>
          <w:color w:val="auto"/>
          <w:sz w:val="24"/>
          <w:szCs w:val="24"/>
          <w:highlight w:val="none"/>
          <w:u w:val="none"/>
          <w:lang w:val="en-US" w:eastAsia="zh-CN"/>
        </w:rPr>
        <w:t>TG/T</w:t>
      </w:r>
      <w:r>
        <w:rPr>
          <w:rFonts w:hint="eastAsia" w:ascii="Times New Roman" w:hAnsi="HiddenHorzOCR-Identity-H" w:cs="Times New Roman"/>
          <w:b w:val="0"/>
          <w:bCs w:val="0"/>
          <w:color w:val="auto"/>
          <w:sz w:val="24"/>
          <w:szCs w:val="24"/>
          <w:highlight w:val="none"/>
          <w:u w:val="none"/>
          <w:lang w:val="en-US" w:eastAsia="zh-CN"/>
        </w:rPr>
        <w:t xml:space="preserve"> 36</w:t>
      </w:r>
      <w:r>
        <w:rPr>
          <w:rFonts w:hint="eastAsia" w:ascii="Times New Roman" w:hAnsi="HiddenHorzOCR-Identity-H" w:eastAsia="宋体" w:cs="Times New Roman"/>
          <w:b w:val="0"/>
          <w:bCs w:val="0"/>
          <w:color w:val="auto"/>
          <w:sz w:val="24"/>
          <w:szCs w:val="24"/>
          <w:highlight w:val="none"/>
          <w:u w:val="none"/>
          <w:lang w:val="en-US" w:eastAsia="zh-CN"/>
        </w:rPr>
        <w:t>50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w:t>
      </w:r>
      <w:bookmarkStart w:id="188" w:name="OLE_LINK3"/>
      <w:r>
        <w:rPr>
          <w:rFonts w:hint="eastAsia" w:ascii="Times New Roman" w:hAnsi="HiddenHorzOCR-Identity-H" w:eastAsia="宋体" w:cs="Times New Roman"/>
          <w:b w:val="0"/>
          <w:bCs w:val="0"/>
          <w:color w:val="auto"/>
          <w:sz w:val="24"/>
          <w:szCs w:val="24"/>
          <w:highlight w:val="none"/>
          <w:u w:val="none"/>
          <w:lang w:val="en-US" w:eastAsia="zh-CN"/>
        </w:rPr>
        <w:t>公路沥青路面再生技术规范</w:t>
      </w:r>
      <w:bookmarkEnd w:id="188"/>
      <w:r>
        <w:rPr>
          <w:rFonts w:hint="eastAsia" w:ascii="Times New Roman" w:hAnsi="HiddenHorzOCR-Identity-H" w:eastAsia="宋体" w:cs="Times New Roman"/>
          <w:b w:val="0"/>
          <w:bCs w:val="0"/>
          <w:color w:val="auto"/>
          <w:sz w:val="24"/>
          <w:szCs w:val="24"/>
          <w:highlight w:val="none"/>
          <w:u w:val="none"/>
          <w:lang w:val="en-US" w:eastAsia="zh-CN"/>
        </w:rPr>
        <w:t>》</w:t>
      </w:r>
      <w:r>
        <w:rPr>
          <w:rFonts w:hint="eastAsia" w:ascii="Times New Roman" w:hAnsi="HiddenHorzOCR-Identity-H" w:eastAsia="宋体" w:cs="Times New Roman"/>
          <w:i w:val="0"/>
          <w:iCs w:val="0"/>
          <w:caps w:val="0"/>
          <w:color w:val="auto"/>
          <w:spacing w:val="0"/>
          <w:sz w:val="24"/>
          <w:szCs w:val="24"/>
          <w:highlight w:val="none"/>
          <w:u w:val="none"/>
          <w:shd w:val="clear"/>
        </w:rPr>
        <w:t>JTG/T 5521</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废玻璃分类》SB/T</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10900</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eastAsia="宋体" w:cs="Times New Roman"/>
          <w:b w:val="0"/>
          <w:bCs w:val="0"/>
          <w:color w:val="auto"/>
          <w:sz w:val="24"/>
          <w:szCs w:val="24"/>
          <w:highlight w:val="none"/>
          <w:u w:val="none"/>
          <w:lang w:val="en-US" w:eastAsia="zh-CN"/>
        </w:rPr>
        <w:t>《废玻璃回收分拣技术规范》SB/T</w:t>
      </w:r>
      <w:r>
        <w:rPr>
          <w:rFonts w:hint="eastAsia" w:ascii="Times New Roman" w:hAnsi="HiddenHorzOCR-Identity-H" w:cs="Times New Roman"/>
          <w:b w:val="0"/>
          <w:bCs w:val="0"/>
          <w:color w:val="auto"/>
          <w:sz w:val="24"/>
          <w:szCs w:val="24"/>
          <w:highlight w:val="none"/>
          <w:u w:val="none"/>
          <w:lang w:val="en-US" w:eastAsia="zh-CN"/>
        </w:rPr>
        <w:t xml:space="preserve"> </w:t>
      </w:r>
      <w:r>
        <w:rPr>
          <w:rFonts w:hint="eastAsia" w:ascii="Times New Roman" w:hAnsi="HiddenHorzOCR-Identity-H" w:eastAsia="宋体" w:cs="Times New Roman"/>
          <w:b w:val="0"/>
          <w:bCs w:val="0"/>
          <w:color w:val="auto"/>
          <w:sz w:val="24"/>
          <w:szCs w:val="24"/>
          <w:highlight w:val="none"/>
          <w:u w:val="none"/>
          <w:lang w:val="en-US" w:eastAsia="zh-CN"/>
        </w:rPr>
        <w:t>11108</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s="Times New Roman"/>
          <w:b w:val="0"/>
          <w:bCs w:val="0"/>
          <w:color w:val="auto"/>
          <w:sz w:val="24"/>
          <w:szCs w:val="24"/>
          <w:highlight w:val="none"/>
          <w:u w:val="none"/>
          <w:lang w:val="en-US" w:eastAsia="zh-CN"/>
        </w:rPr>
        <w:t>《</w:t>
      </w:r>
      <w:r>
        <w:rPr>
          <w:rFonts w:hint="eastAsia" w:ascii="Times New Roman" w:hAnsi="HiddenHorzOCR-Identity-H" w:eastAsia="宋体" w:cs="Times New Roman"/>
          <w:b w:val="0"/>
          <w:bCs w:val="0"/>
          <w:color w:val="auto"/>
          <w:sz w:val="24"/>
          <w:szCs w:val="24"/>
          <w:highlight w:val="none"/>
          <w:u w:val="none"/>
          <w:lang w:val="en-US" w:eastAsia="zh-CN"/>
        </w:rPr>
        <w:t>废塑料回收分选技术规范》SB/T 11149</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s="Times New Roman"/>
          <w:b w:val="0"/>
          <w:bCs w:val="0"/>
          <w:color w:val="auto"/>
          <w:sz w:val="24"/>
          <w:szCs w:val="24"/>
          <w:highlight w:val="none"/>
          <w:u w:val="none"/>
          <w:lang w:val="en-US" w:eastAsia="zh-CN"/>
        </w:rPr>
        <w:t>《四川省再生骨料混凝土及制品应用技术规程》DBJ51/T 059</w:t>
      </w:r>
    </w:p>
    <w:p>
      <w:pPr>
        <w:pStyle w:val="85"/>
        <w:numPr>
          <w:ilvl w:val="2"/>
          <w:numId w:val="1"/>
        </w:numPr>
        <w:tabs>
          <w:tab w:val="left" w:pos="1260"/>
          <w:tab w:val="left" w:pos="2100"/>
        </w:tabs>
        <w:spacing w:before="72" w:line="480" w:lineRule="exact"/>
        <w:ind w:left="420" w:leftChars="200" w:firstLine="420" w:firstLineChars="175"/>
        <w:jc w:val="both"/>
        <w:rPr>
          <w:rFonts w:hint="default" w:ascii="Times New Roman" w:hAnsi="Times New Roman" w:eastAsia="宋体" w:cs="Times New Roman"/>
          <w:color w:val="auto"/>
          <w:sz w:val="24"/>
          <w:highlight w:val="none"/>
        </w:rPr>
      </w:pPr>
      <w:r>
        <w:rPr>
          <w:rFonts w:hint="eastAsia" w:ascii="Times New Roman" w:hAnsi="HiddenHorzOCR-Identity-H"/>
          <w:color w:val="auto"/>
          <w:sz w:val="24"/>
          <w:szCs w:val="24"/>
          <w:highlight w:val="none"/>
          <w:lang w:eastAsia="zh-CN"/>
        </w:rPr>
        <w:t>《</w:t>
      </w:r>
      <w:r>
        <w:rPr>
          <w:rFonts w:hint="eastAsia" w:ascii="Times New Roman" w:hAnsi="HiddenHorzOCR-Identity-H" w:eastAsia="宋体"/>
          <w:b w:val="0"/>
          <w:bCs w:val="0"/>
          <w:color w:val="auto"/>
          <w:sz w:val="24"/>
          <w:szCs w:val="24"/>
          <w:highlight w:val="none"/>
        </w:rPr>
        <w:t>四川省建筑垃圾资源化利用及处置场所建设标准</w:t>
      </w:r>
      <w:r>
        <w:rPr>
          <w:rFonts w:hint="eastAsia" w:ascii="Times New Roman" w:hAnsi="HiddenHorzOCR-Identity-H"/>
          <w:color w:val="auto"/>
          <w:sz w:val="24"/>
          <w:szCs w:val="24"/>
          <w:highlight w:val="none"/>
          <w:lang w:eastAsia="zh-CN"/>
        </w:rPr>
        <w:t>》</w:t>
      </w:r>
      <w:r>
        <w:rPr>
          <w:rFonts w:hint="eastAsia" w:ascii="Times New Roman" w:hAnsi="HiddenHorzOCR-Identity-H"/>
          <w:color w:val="auto"/>
          <w:sz w:val="24"/>
          <w:szCs w:val="24"/>
          <w:highlight w:val="none"/>
        </w:rPr>
        <w:t>DBJ51/T 230</w:t>
      </w:r>
    </w:p>
    <w:bookmarkEnd w:id="182"/>
    <w:bookmarkEnd w:id="183"/>
    <w:bookmarkEnd w:id="184"/>
    <w:bookmarkEnd w:id="185"/>
    <w:bookmarkEnd w:id="186"/>
    <w:p>
      <w:pPr>
        <w:pageBreakBefore/>
        <w:spacing w:line="360" w:lineRule="auto"/>
        <w:jc w:val="center"/>
        <w:outlineLvl w:val="0"/>
        <w:rPr>
          <w:rFonts w:ascii="Times New Roman" w:hAnsi="Times New Roman"/>
          <w:b/>
          <w:color w:val="auto"/>
          <w:sz w:val="32"/>
          <w:szCs w:val="32"/>
          <w:highlight w:val="none"/>
        </w:rPr>
      </w:pPr>
      <w:bookmarkStart w:id="189" w:name="1__总____则"/>
      <w:bookmarkEnd w:id="189"/>
      <w:bookmarkStart w:id="190" w:name="7__验__收"/>
      <w:bookmarkEnd w:id="190"/>
      <w:bookmarkStart w:id="191" w:name="_Toc191572346"/>
      <w:bookmarkStart w:id="192" w:name="_Toc23682"/>
      <w:bookmarkStart w:id="193" w:name="_Toc7303"/>
      <w:bookmarkStart w:id="194" w:name="_Toc314819635"/>
      <w:bookmarkStart w:id="195" w:name="_Toc314819425"/>
      <w:bookmarkStart w:id="196" w:name="_Toc314819922"/>
      <w:bookmarkStart w:id="197" w:name="_Toc339465027"/>
      <w:bookmarkStart w:id="198" w:name="_Toc326076110"/>
      <w:bookmarkStart w:id="199" w:name="_Toc314819968"/>
      <w:bookmarkStart w:id="200" w:name="_Toc331163849"/>
      <w:bookmarkStart w:id="201" w:name="_Toc28703"/>
      <w:bookmarkStart w:id="202" w:name="_Toc315786655"/>
      <w:bookmarkStart w:id="203" w:name="_Toc15376"/>
      <w:bookmarkStart w:id="204" w:name="_Toc26215"/>
      <w:bookmarkStart w:id="205" w:name="_Toc337734061"/>
      <w:bookmarkStart w:id="206" w:name="_Toc11789"/>
      <w:bookmarkStart w:id="207" w:name="_Toc346804409"/>
      <w:bookmarkStart w:id="208" w:name="_Toc329789386"/>
      <w:r>
        <w:rPr>
          <w:rFonts w:ascii="Times New Roman" w:hAnsi="Times New Roman"/>
          <w:b/>
          <w:color w:val="auto"/>
          <w:sz w:val="32"/>
          <w:szCs w:val="32"/>
          <w:highlight w:val="none"/>
        </w:rPr>
        <w:t>四川省工程建设地方标准</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jc w:val="center"/>
        <w:rPr>
          <w:rFonts w:ascii="Times New Roman" w:hAnsi="Times New Roman"/>
          <w:b/>
          <w:color w:val="auto"/>
          <w:sz w:val="40"/>
          <w:szCs w:val="44"/>
          <w:highlight w:val="none"/>
        </w:rPr>
      </w:pPr>
    </w:p>
    <w:p>
      <w:pPr>
        <w:spacing w:line="360" w:lineRule="auto"/>
        <w:jc w:val="center"/>
        <w:rPr>
          <w:rFonts w:ascii="Times New Roman" w:hAnsi="Times New Roman"/>
          <w:b/>
          <w:color w:val="auto"/>
          <w:sz w:val="40"/>
          <w:szCs w:val="44"/>
          <w:highlight w:val="none"/>
        </w:rPr>
      </w:pPr>
    </w:p>
    <w:p>
      <w:pPr>
        <w:spacing w:before="120" w:beforeLines="50"/>
        <w:ind w:firstLine="720" w:firstLineChars="200"/>
        <w:jc w:val="center"/>
        <w:outlineLvl w:val="0"/>
        <w:rPr>
          <w:rFonts w:ascii="Times New Roman" w:hAnsi="Times New Roman" w:eastAsia="黑体"/>
          <w:color w:val="auto"/>
          <w:sz w:val="36"/>
          <w:szCs w:val="36"/>
          <w:highlight w:val="none"/>
        </w:rPr>
      </w:pPr>
    </w:p>
    <w:p>
      <w:pPr>
        <w:spacing w:before="120" w:beforeLines="50"/>
        <w:ind w:firstLine="643" w:firstLineChars="200"/>
        <w:outlineLvl w:val="0"/>
        <w:rPr>
          <w:rFonts w:hint="eastAsia" w:ascii="Times New Roman" w:hAnsi="Times New Roman"/>
          <w:b/>
          <w:bCs/>
          <w:color w:val="auto"/>
          <w:sz w:val="32"/>
          <w:szCs w:val="32"/>
          <w:highlight w:val="none"/>
        </w:rPr>
      </w:pPr>
      <w:bookmarkStart w:id="209" w:name="_Toc22037"/>
      <w:bookmarkStart w:id="210" w:name="_Toc3378"/>
      <w:bookmarkStart w:id="211" w:name="_Toc372710288"/>
      <w:bookmarkStart w:id="212" w:name="_Toc329789387"/>
      <w:bookmarkStart w:id="213" w:name="_Toc372799318"/>
      <w:bookmarkStart w:id="214" w:name="_Toc402788480"/>
      <w:bookmarkStart w:id="215" w:name="_Toc314819923"/>
      <w:bookmarkStart w:id="216" w:name="_Toc402789593"/>
      <w:bookmarkStart w:id="217" w:name="_Toc315786656"/>
      <w:bookmarkStart w:id="218" w:name="_Toc402789553"/>
      <w:bookmarkStart w:id="219" w:name="_Toc331163850"/>
      <w:r>
        <w:rPr>
          <w:rFonts w:hint="eastAsia" w:ascii="Times New Roman" w:hAnsi="Times New Roman" w:eastAsia="宋体" w:cs="Times New Roman"/>
          <w:b/>
          <w:bCs/>
          <w:color w:val="auto"/>
          <w:sz w:val="32"/>
          <w:szCs w:val="32"/>
          <w:highlight w:val="none"/>
        </w:rPr>
        <w:t>四川省建筑垃圾分类减量及资源化利用技术标准</w:t>
      </w:r>
      <w:bookmarkEnd w:id="209"/>
      <w:bookmarkEnd w:id="210"/>
    </w:p>
    <w:p>
      <w:pPr>
        <w:rPr>
          <w:rFonts w:ascii="Times New Roman" w:hAnsi="Times New Roman"/>
          <w:color w:val="auto"/>
          <w:highlight w:val="none"/>
        </w:rPr>
      </w:pPr>
    </w:p>
    <w:p>
      <w:pPr>
        <w:spacing w:line="360" w:lineRule="auto"/>
        <w:ind w:firstLine="280" w:firstLineChars="100"/>
        <w:jc w:val="center"/>
        <w:rPr>
          <w:rFonts w:hint="default" w:ascii="Times New Roman" w:hAnsi="Times New Roman"/>
          <w:b/>
          <w:color w:val="auto"/>
          <w:highlight w:val="none"/>
          <w:lang w:val="en-US"/>
        </w:rPr>
      </w:pPr>
      <w:r>
        <w:rPr>
          <w:rFonts w:hint="eastAsia" w:ascii="Times New Roman" w:hAnsi="Times New Roman"/>
          <w:color w:val="auto"/>
          <w:sz w:val="28"/>
          <w:szCs w:val="28"/>
          <w:highlight w:val="none"/>
          <w:lang w:eastAsia="zh-CN"/>
        </w:rPr>
        <w:t>DBJ 51/T</w:t>
      </w:r>
      <w:r>
        <w:rPr>
          <w:rFonts w:hint="eastAsia" w:ascii="Times New Roman" w:hAnsi="Times New Roman"/>
          <w:color w:val="auto"/>
          <w:sz w:val="28"/>
          <w:szCs w:val="28"/>
          <w:highlight w:val="none"/>
          <w:lang w:val="en-US" w:eastAsia="zh-CN"/>
        </w:rPr>
        <w:t xml:space="preserve"> XXX</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XXXX</w:t>
      </w:r>
    </w:p>
    <w:bookmarkEnd w:id="211"/>
    <w:bookmarkEnd w:id="212"/>
    <w:bookmarkEnd w:id="213"/>
    <w:bookmarkEnd w:id="214"/>
    <w:bookmarkEnd w:id="215"/>
    <w:bookmarkEnd w:id="216"/>
    <w:bookmarkEnd w:id="217"/>
    <w:bookmarkEnd w:id="218"/>
    <w:bookmarkEnd w:id="219"/>
    <w:p>
      <w:pPr>
        <w:bidi w:val="0"/>
        <w:jc w:val="center"/>
        <w:rPr>
          <w:rFonts w:hint="eastAsia"/>
          <w:sz w:val="28"/>
          <w:szCs w:val="28"/>
        </w:rPr>
      </w:pPr>
      <w:bookmarkStart w:id="220" w:name="_Toc28393"/>
      <w:bookmarkStart w:id="221" w:name="_Toc140769712"/>
      <w:bookmarkStart w:id="222" w:name="_Toc9377"/>
      <w:bookmarkStart w:id="223" w:name="_Toc140769579"/>
      <w:bookmarkStart w:id="224" w:name="_Toc1742"/>
      <w:bookmarkStart w:id="225" w:name="_Toc2885"/>
      <w:bookmarkStart w:id="226" w:name="_Toc17067"/>
      <w:bookmarkStart w:id="227" w:name="_Toc17454"/>
      <w:bookmarkStart w:id="228" w:name="_Toc136502199"/>
      <w:bookmarkStart w:id="229" w:name="_Toc20076"/>
      <w:bookmarkStart w:id="230" w:name="_Toc8310"/>
    </w:p>
    <w:p>
      <w:pPr>
        <w:bidi w:val="0"/>
        <w:jc w:val="center"/>
        <w:rPr>
          <w:rFonts w:hint="eastAsia"/>
          <w:sz w:val="28"/>
          <w:szCs w:val="28"/>
        </w:rPr>
      </w:pPr>
    </w:p>
    <w:p>
      <w:pPr>
        <w:bidi w:val="0"/>
        <w:jc w:val="center"/>
        <w:rPr>
          <w:sz w:val="28"/>
          <w:szCs w:val="28"/>
        </w:rPr>
      </w:pPr>
      <w:r>
        <w:rPr>
          <w:rFonts w:hint="eastAsia"/>
          <w:sz w:val="28"/>
          <w:szCs w:val="28"/>
        </w:rPr>
        <w:t>条文说明</w:t>
      </w:r>
      <w:bookmarkEnd w:id="220"/>
      <w:bookmarkEnd w:id="221"/>
      <w:bookmarkEnd w:id="222"/>
      <w:bookmarkEnd w:id="223"/>
      <w:bookmarkEnd w:id="224"/>
      <w:bookmarkEnd w:id="225"/>
      <w:bookmarkEnd w:id="226"/>
      <w:bookmarkEnd w:id="227"/>
      <w:bookmarkEnd w:id="228"/>
      <w:bookmarkEnd w:id="229"/>
      <w:bookmarkEnd w:id="230"/>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both"/>
        <w:rPr>
          <w:rFonts w:ascii="Times New Roman" w:hAnsi="Times New Roman"/>
          <w:color w:val="auto"/>
          <w:highlight w:val="none"/>
        </w:rPr>
      </w:pPr>
      <w:r>
        <w:rPr>
          <w:rFonts w:ascii="Times New Roman" w:hAnsi="Times New Roman"/>
          <w:color w:val="auto"/>
          <w:highlight w:val="none"/>
        </w:rPr>
        <w:br w:type="page"/>
      </w:r>
    </w:p>
    <w:p>
      <w:pPr>
        <w:jc w:val="both"/>
        <w:rPr>
          <w:rFonts w:ascii="Times New Roman" w:hAnsi="Times New Roman"/>
          <w:color w:val="auto"/>
          <w:highlight w:val="none"/>
        </w:rPr>
      </w:pPr>
    </w:p>
    <w:p>
      <w:pPr>
        <w:jc w:val="both"/>
        <w:rPr>
          <w:rFonts w:ascii="Times New Roman" w:hAnsi="Times New Roman"/>
          <w:color w:val="auto"/>
          <w:highlight w:val="none"/>
        </w:rPr>
      </w:pPr>
    </w:p>
    <w:p>
      <w:pPr>
        <w:spacing w:line="360" w:lineRule="auto"/>
        <w:ind w:firstLine="402" w:firstLineChars="100"/>
        <w:jc w:val="center"/>
        <w:outlineLvl w:val="0"/>
        <w:rPr>
          <w:rFonts w:ascii="Times New Roman" w:hAnsi="Times New Roman"/>
          <w:b/>
          <w:color w:val="auto"/>
          <w:sz w:val="40"/>
          <w:szCs w:val="44"/>
          <w:highlight w:val="none"/>
        </w:rPr>
      </w:pPr>
      <w:bookmarkStart w:id="231" w:name="_Toc16766"/>
      <w:bookmarkStart w:id="232" w:name="_Toc11578"/>
      <w:bookmarkStart w:id="233" w:name="_Toc11224"/>
      <w:bookmarkStart w:id="234" w:name="_Toc15654"/>
      <w:bookmarkStart w:id="235" w:name="_Toc23071"/>
      <w:bookmarkStart w:id="236" w:name="_Toc3749"/>
      <w:r>
        <w:rPr>
          <w:rFonts w:ascii="Times New Roman" w:hAnsi="Times New Roman"/>
          <w:b/>
          <w:color w:val="auto"/>
          <w:sz w:val="40"/>
          <w:szCs w:val="44"/>
          <w:highlight w:val="none"/>
        </w:rPr>
        <w:t>制定说明</w:t>
      </w:r>
      <w:bookmarkEnd w:id="231"/>
      <w:bookmarkEnd w:id="232"/>
      <w:bookmarkEnd w:id="233"/>
      <w:bookmarkEnd w:id="234"/>
      <w:bookmarkEnd w:id="235"/>
      <w:bookmarkEnd w:id="236"/>
    </w:p>
    <w:p>
      <w:pPr>
        <w:spacing w:line="360" w:lineRule="auto"/>
        <w:ind w:firstLine="402" w:firstLineChars="100"/>
        <w:jc w:val="both"/>
        <w:rPr>
          <w:rFonts w:ascii="Times New Roman" w:hAnsi="Times New Roman"/>
          <w:b/>
          <w:color w:val="auto"/>
          <w:sz w:val="40"/>
          <w:szCs w:val="44"/>
          <w:highlight w:val="none"/>
        </w:rPr>
      </w:pPr>
    </w:p>
    <w:p>
      <w:pPr>
        <w:widowControl/>
        <w:spacing w:line="440" w:lineRule="exact"/>
        <w:ind w:firstLine="420"/>
        <w:rPr>
          <w:rFonts w:ascii="Times New Roman" w:hAnsi="Times New Roman"/>
          <w:color w:val="auto"/>
          <w:sz w:val="24"/>
          <w:highlight w:val="none"/>
        </w:rPr>
      </w:pPr>
      <w:r>
        <w:rPr>
          <w:rFonts w:ascii="Times New Roman" w:hAnsi="Times New Roman"/>
          <w:color w:val="auto"/>
          <w:sz w:val="24"/>
          <w:highlight w:val="none"/>
        </w:rPr>
        <w:t>《</w:t>
      </w:r>
      <w:r>
        <w:rPr>
          <w:rFonts w:hint="eastAsia" w:ascii="Times New Roman" w:hAnsi="Times New Roman" w:eastAsia="宋体" w:cs="Times New Roman"/>
          <w:b w:val="0"/>
          <w:bCs w:val="0"/>
          <w:color w:val="auto"/>
          <w:sz w:val="24"/>
          <w:szCs w:val="22"/>
          <w:highlight w:val="none"/>
        </w:rPr>
        <w:t>四川省建筑垃圾分类减量及资源化利用技术标准</w:t>
      </w:r>
      <w:r>
        <w:rPr>
          <w:rFonts w:ascii="Times New Roman" w:hAnsi="Times New Roman"/>
          <w:color w:val="auto"/>
          <w:sz w:val="24"/>
          <w:highlight w:val="none"/>
        </w:rPr>
        <w:t>》</w:t>
      </w:r>
      <w:r>
        <w:rPr>
          <w:rFonts w:hint="eastAsia" w:ascii="Times New Roman" w:hAnsi="Times New Roman"/>
          <w:color w:val="auto"/>
          <w:sz w:val="28"/>
          <w:szCs w:val="28"/>
          <w:highlight w:val="none"/>
          <w:lang w:eastAsia="zh-CN"/>
        </w:rPr>
        <w:t>DBJ 51/T</w:t>
      </w:r>
      <w:r>
        <w:rPr>
          <w:rFonts w:hint="eastAsia" w:ascii="Times New Roman" w:hAnsi="Times New Roman"/>
          <w:color w:val="auto"/>
          <w:sz w:val="28"/>
          <w:szCs w:val="28"/>
          <w:highlight w:val="none"/>
          <w:lang w:val="en-US" w:eastAsia="zh-CN"/>
        </w:rPr>
        <w:t xml:space="preserve"> XXX</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XXXXX</w:t>
      </w:r>
      <w:r>
        <w:rPr>
          <w:rFonts w:ascii="Times New Roman" w:hAnsi="Times New Roman"/>
          <w:color w:val="auto"/>
          <w:sz w:val="24"/>
          <w:highlight w:val="none"/>
        </w:rPr>
        <w:t>，经四川省住房和城乡建设厅xx年xx 月xx 日以川建标发</w:t>
      </w:r>
      <w:r>
        <w:rPr>
          <w:rFonts w:hint="eastAsia" w:ascii="Times New Roman" w:hAnsi="Times New Roman"/>
          <w:color w:val="auto"/>
          <w:sz w:val="24"/>
          <w:highlight w:val="none"/>
        </w:rPr>
        <w:t>〔2</w:t>
      </w:r>
      <w:r>
        <w:rPr>
          <w:rFonts w:ascii="Times New Roman" w:hAnsi="Times New Roman"/>
          <w:color w:val="auto"/>
          <w:sz w:val="24"/>
          <w:highlight w:val="none"/>
        </w:rPr>
        <w:t>02X</w:t>
      </w:r>
      <w:r>
        <w:rPr>
          <w:rFonts w:hint="eastAsia" w:ascii="Times New Roman" w:hAnsi="Times New Roman"/>
          <w:color w:val="auto"/>
          <w:sz w:val="24"/>
          <w:highlight w:val="none"/>
        </w:rPr>
        <w:t>〕</w:t>
      </w:r>
      <w:r>
        <w:rPr>
          <w:rFonts w:ascii="Times New Roman" w:hAnsi="Times New Roman"/>
          <w:color w:val="auto"/>
          <w:sz w:val="24"/>
          <w:highlight w:val="none"/>
        </w:rPr>
        <w:t>xx号文公告批准发布。</w:t>
      </w:r>
    </w:p>
    <w:p>
      <w:pPr>
        <w:widowControl/>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为了便于广大</w:t>
      </w:r>
      <w:r>
        <w:rPr>
          <w:rFonts w:hint="eastAsia" w:ascii="Times New Roman" w:hAnsi="Times New Roman"/>
          <w:color w:val="auto"/>
          <w:sz w:val="24"/>
          <w:highlight w:val="none"/>
          <w:lang w:val="en-US" w:eastAsia="zh-CN"/>
        </w:rPr>
        <w:t>建设、</w:t>
      </w:r>
      <w:r>
        <w:rPr>
          <w:rFonts w:ascii="Times New Roman" w:hAnsi="Times New Roman"/>
          <w:color w:val="auto"/>
          <w:sz w:val="24"/>
          <w:highlight w:val="none"/>
        </w:rPr>
        <w:t>设计、施工、科研、学校等单位有关人员在使用本标准时能准确理解和执行条文规定，《</w:t>
      </w:r>
      <w:r>
        <w:rPr>
          <w:rFonts w:hint="eastAsia" w:ascii="Times New Roman" w:hAnsi="Times New Roman" w:eastAsia="宋体" w:cs="Times New Roman"/>
          <w:b w:val="0"/>
          <w:bCs w:val="0"/>
          <w:color w:val="auto"/>
          <w:sz w:val="24"/>
          <w:szCs w:val="22"/>
          <w:highlight w:val="none"/>
        </w:rPr>
        <w:t>四川省建筑垃圾分类减量及资源化利用技术标准</w:t>
      </w:r>
      <w:r>
        <w:rPr>
          <w:rFonts w:ascii="Times New Roman" w:hAnsi="Times New Roman"/>
          <w:color w:val="auto"/>
          <w:sz w:val="24"/>
          <w:highlight w:val="none"/>
        </w:rPr>
        <w:t>》编制组按章、节、条顺序编制了本标准的条文说明，对条文规定的目的、依据以及执行中需要注意到有关事项进行了说明。但是，本</w:t>
      </w:r>
      <w:r>
        <w:rPr>
          <w:rFonts w:hint="eastAsia" w:ascii="Times New Roman" w:hAnsi="Times New Roman"/>
          <w:color w:val="auto"/>
          <w:sz w:val="24"/>
          <w:highlight w:val="none"/>
        </w:rPr>
        <w:t>标准</w:t>
      </w:r>
      <w:r>
        <w:rPr>
          <w:rFonts w:ascii="Times New Roman" w:hAnsi="Times New Roman"/>
          <w:color w:val="auto"/>
          <w:sz w:val="24"/>
          <w:highlight w:val="none"/>
        </w:rPr>
        <w:t>的条文</w:t>
      </w:r>
      <w:r>
        <w:rPr>
          <w:rFonts w:hint="eastAsia" w:ascii="Times New Roman" w:hAnsi="Times New Roman"/>
          <w:color w:val="auto"/>
          <w:sz w:val="24"/>
          <w:highlight w:val="none"/>
          <w:lang w:val="en-US" w:eastAsia="zh-CN"/>
        </w:rPr>
        <w:t>说明</w:t>
      </w:r>
      <w:r>
        <w:rPr>
          <w:rFonts w:ascii="Times New Roman" w:hAnsi="Times New Roman"/>
          <w:color w:val="auto"/>
          <w:sz w:val="24"/>
          <w:highlight w:val="none"/>
        </w:rPr>
        <w:t>不具备和</w:t>
      </w:r>
      <w:r>
        <w:rPr>
          <w:rFonts w:hint="eastAsia" w:ascii="Times New Roman" w:hAnsi="Times New Roman"/>
          <w:color w:val="auto"/>
          <w:sz w:val="24"/>
          <w:highlight w:val="none"/>
          <w:lang w:val="en-US" w:eastAsia="zh-CN"/>
        </w:rPr>
        <w:t>标准</w:t>
      </w:r>
      <w:r>
        <w:rPr>
          <w:rFonts w:ascii="Times New Roman" w:hAnsi="Times New Roman"/>
          <w:color w:val="auto"/>
          <w:sz w:val="24"/>
          <w:highlight w:val="none"/>
        </w:rPr>
        <w:t>正文同等的法律效力，仅供使用者作为理解和把握</w:t>
      </w:r>
      <w:r>
        <w:rPr>
          <w:rFonts w:hint="eastAsia" w:ascii="Times New Roman" w:hAnsi="Times New Roman"/>
          <w:color w:val="auto"/>
          <w:sz w:val="24"/>
          <w:highlight w:val="none"/>
        </w:rPr>
        <w:t>标准</w:t>
      </w:r>
      <w:r>
        <w:rPr>
          <w:rFonts w:ascii="Times New Roman" w:hAnsi="Times New Roman"/>
          <w:color w:val="auto"/>
          <w:sz w:val="24"/>
          <w:highlight w:val="none"/>
        </w:rPr>
        <w:t>规定的参考。</w:t>
      </w:r>
    </w:p>
    <w:p>
      <w:pPr>
        <w:spacing w:line="360" w:lineRule="auto"/>
        <w:ind w:firstLine="210" w:firstLineChars="100"/>
        <w:jc w:val="both"/>
        <w:rPr>
          <w:rFonts w:ascii="Times New Roman" w:hAnsi="Times New Roman"/>
          <w:color w:val="auto"/>
          <w:szCs w:val="32"/>
          <w:highlight w:val="none"/>
        </w:rPr>
      </w:pPr>
      <w:bookmarkStart w:id="237" w:name="_Toc140738149"/>
      <w:bookmarkStart w:id="238" w:name="_Toc140738078"/>
    </w:p>
    <w:p>
      <w:pPr>
        <w:spacing w:line="360" w:lineRule="auto"/>
        <w:ind w:firstLine="210" w:firstLineChars="100"/>
        <w:jc w:val="both"/>
        <w:rPr>
          <w:rFonts w:ascii="Times New Roman" w:hAnsi="Times New Roman"/>
          <w:color w:val="auto"/>
          <w:szCs w:val="32"/>
          <w:highlight w:val="none"/>
        </w:rPr>
      </w:pPr>
    </w:p>
    <w:p>
      <w:pPr>
        <w:widowControl/>
        <w:spacing w:line="440" w:lineRule="exact"/>
        <w:ind w:firstLine="420" w:firstLineChars="0"/>
        <w:jc w:val="both"/>
        <w:rPr>
          <w:rFonts w:hint="eastAsia" w:ascii="Times New Roman" w:hAnsi="Times New Roman"/>
          <w:color w:val="auto"/>
          <w:sz w:val="24"/>
          <w:szCs w:val="2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p>
      <w:pPr>
        <w:spacing w:line="360" w:lineRule="auto"/>
        <w:ind w:firstLine="210" w:firstLineChars="100"/>
        <w:jc w:val="both"/>
        <w:rPr>
          <w:rFonts w:ascii="Times New Roman" w:hAnsi="Times New Roman"/>
          <w:color w:val="auto"/>
          <w:szCs w:val="32"/>
          <w:highlight w:val="none"/>
        </w:rPr>
      </w:pPr>
    </w:p>
    <w:bookmarkEnd w:id="237"/>
    <w:bookmarkEnd w:id="238"/>
    <w:p>
      <w:pPr>
        <w:rPr>
          <w:rFonts w:ascii="Times New Roman" w:hAnsi="Times New Roman"/>
          <w:color w:val="auto"/>
          <w:highlight w:val="none"/>
        </w:rPr>
      </w:pPr>
    </w:p>
    <w:sectPr>
      <w:footerReference r:id="rId5" w:type="default"/>
      <w:pgSz w:w="11907" w:h="16840"/>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iddenHorzOCR-Identity-H">
    <w:altName w:val="Times New Roman"/>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F3BE5"/>
    <w:multiLevelType w:val="multilevel"/>
    <w:tmpl w:val="2B3F3B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4ZjQ5NjRlYzc5NzAzZjgzOTdjYzZlMjNlMTc4NzcifQ=="/>
    <w:docVar w:name="KSO_WPS_MARK_KEY" w:val="57c06f20-9255-4dcd-a104-02a9d9ff4736"/>
  </w:docVars>
  <w:rsids>
    <w:rsidRoot w:val="00142A8F"/>
    <w:rsid w:val="00003FC4"/>
    <w:rsid w:val="0000481C"/>
    <w:rsid w:val="00004C5B"/>
    <w:rsid w:val="00005AAB"/>
    <w:rsid w:val="00006E57"/>
    <w:rsid w:val="000107B7"/>
    <w:rsid w:val="00011F89"/>
    <w:rsid w:val="00013DB0"/>
    <w:rsid w:val="00013F57"/>
    <w:rsid w:val="000142F4"/>
    <w:rsid w:val="000163BB"/>
    <w:rsid w:val="00020DF7"/>
    <w:rsid w:val="00022297"/>
    <w:rsid w:val="00022A41"/>
    <w:rsid w:val="000240C7"/>
    <w:rsid w:val="000243DF"/>
    <w:rsid w:val="00026254"/>
    <w:rsid w:val="00026A63"/>
    <w:rsid w:val="0003067D"/>
    <w:rsid w:val="00030CFF"/>
    <w:rsid w:val="000325F0"/>
    <w:rsid w:val="0003463E"/>
    <w:rsid w:val="000348F9"/>
    <w:rsid w:val="000374CA"/>
    <w:rsid w:val="00037866"/>
    <w:rsid w:val="0004049B"/>
    <w:rsid w:val="00040883"/>
    <w:rsid w:val="00041513"/>
    <w:rsid w:val="00041B3F"/>
    <w:rsid w:val="000421D2"/>
    <w:rsid w:val="00042DA0"/>
    <w:rsid w:val="000443D1"/>
    <w:rsid w:val="00045786"/>
    <w:rsid w:val="00046F17"/>
    <w:rsid w:val="000506C6"/>
    <w:rsid w:val="00050E07"/>
    <w:rsid w:val="00050FC1"/>
    <w:rsid w:val="000518F6"/>
    <w:rsid w:val="00051D95"/>
    <w:rsid w:val="0005531D"/>
    <w:rsid w:val="000558E1"/>
    <w:rsid w:val="000561D3"/>
    <w:rsid w:val="00056278"/>
    <w:rsid w:val="0006165F"/>
    <w:rsid w:val="00061B9D"/>
    <w:rsid w:val="00062406"/>
    <w:rsid w:val="000639C7"/>
    <w:rsid w:val="00063AEB"/>
    <w:rsid w:val="0006451D"/>
    <w:rsid w:val="00064CB4"/>
    <w:rsid w:val="00065EF6"/>
    <w:rsid w:val="000674BD"/>
    <w:rsid w:val="00067760"/>
    <w:rsid w:val="00067D83"/>
    <w:rsid w:val="000701D3"/>
    <w:rsid w:val="00071E36"/>
    <w:rsid w:val="0007303F"/>
    <w:rsid w:val="000733C2"/>
    <w:rsid w:val="00075472"/>
    <w:rsid w:val="00075B56"/>
    <w:rsid w:val="00076C14"/>
    <w:rsid w:val="0007752F"/>
    <w:rsid w:val="00077630"/>
    <w:rsid w:val="0007781E"/>
    <w:rsid w:val="000804B4"/>
    <w:rsid w:val="00080B46"/>
    <w:rsid w:val="000816B8"/>
    <w:rsid w:val="000822EB"/>
    <w:rsid w:val="000830D3"/>
    <w:rsid w:val="00083477"/>
    <w:rsid w:val="00083E4A"/>
    <w:rsid w:val="0008401C"/>
    <w:rsid w:val="00084F13"/>
    <w:rsid w:val="000850FD"/>
    <w:rsid w:val="0008566F"/>
    <w:rsid w:val="0008578C"/>
    <w:rsid w:val="000858E1"/>
    <w:rsid w:val="00085BBB"/>
    <w:rsid w:val="000864B0"/>
    <w:rsid w:val="000879AA"/>
    <w:rsid w:val="00091C58"/>
    <w:rsid w:val="000926E7"/>
    <w:rsid w:val="000948D7"/>
    <w:rsid w:val="000A0E2E"/>
    <w:rsid w:val="000A23F7"/>
    <w:rsid w:val="000A350D"/>
    <w:rsid w:val="000A637C"/>
    <w:rsid w:val="000A7039"/>
    <w:rsid w:val="000B09C5"/>
    <w:rsid w:val="000B0C31"/>
    <w:rsid w:val="000B1E8A"/>
    <w:rsid w:val="000B2104"/>
    <w:rsid w:val="000B250C"/>
    <w:rsid w:val="000B2BB1"/>
    <w:rsid w:val="000B34CB"/>
    <w:rsid w:val="000B3876"/>
    <w:rsid w:val="000B55F2"/>
    <w:rsid w:val="000C0445"/>
    <w:rsid w:val="000C0496"/>
    <w:rsid w:val="000C3194"/>
    <w:rsid w:val="000C3431"/>
    <w:rsid w:val="000C3D70"/>
    <w:rsid w:val="000C5F42"/>
    <w:rsid w:val="000C70CE"/>
    <w:rsid w:val="000C7A49"/>
    <w:rsid w:val="000D009B"/>
    <w:rsid w:val="000D0280"/>
    <w:rsid w:val="000D05EF"/>
    <w:rsid w:val="000D0665"/>
    <w:rsid w:val="000D0B88"/>
    <w:rsid w:val="000D1640"/>
    <w:rsid w:val="000D1F08"/>
    <w:rsid w:val="000D3F02"/>
    <w:rsid w:val="000D479E"/>
    <w:rsid w:val="000D48EF"/>
    <w:rsid w:val="000D4A32"/>
    <w:rsid w:val="000D4A85"/>
    <w:rsid w:val="000D6400"/>
    <w:rsid w:val="000D7C6C"/>
    <w:rsid w:val="000E024B"/>
    <w:rsid w:val="000E0F24"/>
    <w:rsid w:val="000E13C8"/>
    <w:rsid w:val="000E2A5B"/>
    <w:rsid w:val="000E331A"/>
    <w:rsid w:val="000E42B4"/>
    <w:rsid w:val="000E4AE2"/>
    <w:rsid w:val="000E5147"/>
    <w:rsid w:val="000E707E"/>
    <w:rsid w:val="000E7552"/>
    <w:rsid w:val="000F0252"/>
    <w:rsid w:val="000F28D1"/>
    <w:rsid w:val="000F3B14"/>
    <w:rsid w:val="000F4005"/>
    <w:rsid w:val="000F56F1"/>
    <w:rsid w:val="001006B5"/>
    <w:rsid w:val="0010099F"/>
    <w:rsid w:val="00100E2D"/>
    <w:rsid w:val="00103E70"/>
    <w:rsid w:val="00104220"/>
    <w:rsid w:val="0010505B"/>
    <w:rsid w:val="001054F9"/>
    <w:rsid w:val="00105A4F"/>
    <w:rsid w:val="00106498"/>
    <w:rsid w:val="00113137"/>
    <w:rsid w:val="001135B9"/>
    <w:rsid w:val="00113D82"/>
    <w:rsid w:val="00114632"/>
    <w:rsid w:val="00115276"/>
    <w:rsid w:val="00115CEE"/>
    <w:rsid w:val="001177D7"/>
    <w:rsid w:val="00121DD2"/>
    <w:rsid w:val="001222F0"/>
    <w:rsid w:val="00123CA9"/>
    <w:rsid w:val="0012438C"/>
    <w:rsid w:val="001256A3"/>
    <w:rsid w:val="00125B29"/>
    <w:rsid w:val="00127028"/>
    <w:rsid w:val="00130B08"/>
    <w:rsid w:val="00131AE7"/>
    <w:rsid w:val="00134EBD"/>
    <w:rsid w:val="0013626D"/>
    <w:rsid w:val="00136472"/>
    <w:rsid w:val="00137EFF"/>
    <w:rsid w:val="00142A8F"/>
    <w:rsid w:val="001447DE"/>
    <w:rsid w:val="00145E76"/>
    <w:rsid w:val="001465D8"/>
    <w:rsid w:val="001476F1"/>
    <w:rsid w:val="00147CB9"/>
    <w:rsid w:val="00147F55"/>
    <w:rsid w:val="00150C35"/>
    <w:rsid w:val="00150F1D"/>
    <w:rsid w:val="00151F7D"/>
    <w:rsid w:val="00153C37"/>
    <w:rsid w:val="00154D15"/>
    <w:rsid w:val="001556D3"/>
    <w:rsid w:val="00155BE3"/>
    <w:rsid w:val="00157042"/>
    <w:rsid w:val="001573EC"/>
    <w:rsid w:val="001573FC"/>
    <w:rsid w:val="001576C0"/>
    <w:rsid w:val="001615DB"/>
    <w:rsid w:val="0016258E"/>
    <w:rsid w:val="00163197"/>
    <w:rsid w:val="00163605"/>
    <w:rsid w:val="0016398F"/>
    <w:rsid w:val="00164707"/>
    <w:rsid w:val="00164897"/>
    <w:rsid w:val="00166159"/>
    <w:rsid w:val="00166ACC"/>
    <w:rsid w:val="00167C1B"/>
    <w:rsid w:val="001720C6"/>
    <w:rsid w:val="001725B3"/>
    <w:rsid w:val="001725BD"/>
    <w:rsid w:val="00172E88"/>
    <w:rsid w:val="0017387C"/>
    <w:rsid w:val="00174F2B"/>
    <w:rsid w:val="00175A96"/>
    <w:rsid w:val="00176463"/>
    <w:rsid w:val="00176AF2"/>
    <w:rsid w:val="00177AC0"/>
    <w:rsid w:val="0018004B"/>
    <w:rsid w:val="001805B6"/>
    <w:rsid w:val="00180900"/>
    <w:rsid w:val="00180A22"/>
    <w:rsid w:val="00181054"/>
    <w:rsid w:val="00183BB2"/>
    <w:rsid w:val="00185EBE"/>
    <w:rsid w:val="0018687D"/>
    <w:rsid w:val="00187B0F"/>
    <w:rsid w:val="00187E2E"/>
    <w:rsid w:val="001901A5"/>
    <w:rsid w:val="00190DAA"/>
    <w:rsid w:val="00191111"/>
    <w:rsid w:val="001936B3"/>
    <w:rsid w:val="00195392"/>
    <w:rsid w:val="00195CE5"/>
    <w:rsid w:val="001A042F"/>
    <w:rsid w:val="001A0CE2"/>
    <w:rsid w:val="001A3670"/>
    <w:rsid w:val="001A3842"/>
    <w:rsid w:val="001A4AAE"/>
    <w:rsid w:val="001A6814"/>
    <w:rsid w:val="001A6FB2"/>
    <w:rsid w:val="001A7B3D"/>
    <w:rsid w:val="001B06A0"/>
    <w:rsid w:val="001B124A"/>
    <w:rsid w:val="001B1438"/>
    <w:rsid w:val="001B2E63"/>
    <w:rsid w:val="001B6DA6"/>
    <w:rsid w:val="001C12B4"/>
    <w:rsid w:val="001C24FA"/>
    <w:rsid w:val="001C471D"/>
    <w:rsid w:val="001C54F1"/>
    <w:rsid w:val="001C5539"/>
    <w:rsid w:val="001C61F7"/>
    <w:rsid w:val="001C7291"/>
    <w:rsid w:val="001C7C8F"/>
    <w:rsid w:val="001D1337"/>
    <w:rsid w:val="001D1417"/>
    <w:rsid w:val="001D1A17"/>
    <w:rsid w:val="001D3D7A"/>
    <w:rsid w:val="001D46D9"/>
    <w:rsid w:val="001D47FF"/>
    <w:rsid w:val="001D63FF"/>
    <w:rsid w:val="001E0060"/>
    <w:rsid w:val="001E0F6E"/>
    <w:rsid w:val="001E0FB5"/>
    <w:rsid w:val="001E3252"/>
    <w:rsid w:val="001E3575"/>
    <w:rsid w:val="001E360A"/>
    <w:rsid w:val="001E3947"/>
    <w:rsid w:val="001E503D"/>
    <w:rsid w:val="001E54CD"/>
    <w:rsid w:val="001E7397"/>
    <w:rsid w:val="001F0E2D"/>
    <w:rsid w:val="001F1B57"/>
    <w:rsid w:val="001F1D37"/>
    <w:rsid w:val="001F1D3A"/>
    <w:rsid w:val="001F2443"/>
    <w:rsid w:val="001F34B9"/>
    <w:rsid w:val="001F4D17"/>
    <w:rsid w:val="001F4F12"/>
    <w:rsid w:val="001F5CB8"/>
    <w:rsid w:val="00200318"/>
    <w:rsid w:val="0020058C"/>
    <w:rsid w:val="0020237C"/>
    <w:rsid w:val="0020290B"/>
    <w:rsid w:val="002045BE"/>
    <w:rsid w:val="00204630"/>
    <w:rsid w:val="002055D1"/>
    <w:rsid w:val="0020650B"/>
    <w:rsid w:val="00206C64"/>
    <w:rsid w:val="00206E62"/>
    <w:rsid w:val="00207644"/>
    <w:rsid w:val="002076AE"/>
    <w:rsid w:val="00210011"/>
    <w:rsid w:val="00210097"/>
    <w:rsid w:val="00210839"/>
    <w:rsid w:val="002113CE"/>
    <w:rsid w:val="00212F75"/>
    <w:rsid w:val="00214565"/>
    <w:rsid w:val="00215043"/>
    <w:rsid w:val="00215A13"/>
    <w:rsid w:val="0021601E"/>
    <w:rsid w:val="00217B8C"/>
    <w:rsid w:val="00222525"/>
    <w:rsid w:val="0022345F"/>
    <w:rsid w:val="002267B5"/>
    <w:rsid w:val="00226FAD"/>
    <w:rsid w:val="00227FF8"/>
    <w:rsid w:val="00231741"/>
    <w:rsid w:val="00241117"/>
    <w:rsid w:val="002411D8"/>
    <w:rsid w:val="002431AE"/>
    <w:rsid w:val="002446DB"/>
    <w:rsid w:val="00244F45"/>
    <w:rsid w:val="00245263"/>
    <w:rsid w:val="002453E2"/>
    <w:rsid w:val="00245858"/>
    <w:rsid w:val="00245B54"/>
    <w:rsid w:val="00245DE7"/>
    <w:rsid w:val="0024618F"/>
    <w:rsid w:val="00247D5B"/>
    <w:rsid w:val="00247EA6"/>
    <w:rsid w:val="00253EEA"/>
    <w:rsid w:val="00254523"/>
    <w:rsid w:val="002563FE"/>
    <w:rsid w:val="00256885"/>
    <w:rsid w:val="00256993"/>
    <w:rsid w:val="00256A23"/>
    <w:rsid w:val="002575C2"/>
    <w:rsid w:val="002615B8"/>
    <w:rsid w:val="00262422"/>
    <w:rsid w:val="00265253"/>
    <w:rsid w:val="002668A9"/>
    <w:rsid w:val="00267F70"/>
    <w:rsid w:val="00270191"/>
    <w:rsid w:val="002722F8"/>
    <w:rsid w:val="002724C3"/>
    <w:rsid w:val="00272BF7"/>
    <w:rsid w:val="002741B8"/>
    <w:rsid w:val="0027439B"/>
    <w:rsid w:val="002747E5"/>
    <w:rsid w:val="00274A26"/>
    <w:rsid w:val="00274FA4"/>
    <w:rsid w:val="00276222"/>
    <w:rsid w:val="00276C54"/>
    <w:rsid w:val="00277E09"/>
    <w:rsid w:val="00280446"/>
    <w:rsid w:val="00280CBF"/>
    <w:rsid w:val="00280FBD"/>
    <w:rsid w:val="002810C3"/>
    <w:rsid w:val="00283FF3"/>
    <w:rsid w:val="00284EB9"/>
    <w:rsid w:val="00287877"/>
    <w:rsid w:val="002878F0"/>
    <w:rsid w:val="00290B87"/>
    <w:rsid w:val="0029177E"/>
    <w:rsid w:val="002920AD"/>
    <w:rsid w:val="00292900"/>
    <w:rsid w:val="00292EE4"/>
    <w:rsid w:val="002936DE"/>
    <w:rsid w:val="00294112"/>
    <w:rsid w:val="00294421"/>
    <w:rsid w:val="00295C5B"/>
    <w:rsid w:val="002978AF"/>
    <w:rsid w:val="002A07EC"/>
    <w:rsid w:val="002A17AA"/>
    <w:rsid w:val="002A262E"/>
    <w:rsid w:val="002A6688"/>
    <w:rsid w:val="002A6A9D"/>
    <w:rsid w:val="002A797C"/>
    <w:rsid w:val="002A7F8F"/>
    <w:rsid w:val="002B08B2"/>
    <w:rsid w:val="002B0DBB"/>
    <w:rsid w:val="002B37BB"/>
    <w:rsid w:val="002B40F8"/>
    <w:rsid w:val="002B60E3"/>
    <w:rsid w:val="002B643C"/>
    <w:rsid w:val="002C0926"/>
    <w:rsid w:val="002C1522"/>
    <w:rsid w:val="002C1BBF"/>
    <w:rsid w:val="002C1D2E"/>
    <w:rsid w:val="002C1F77"/>
    <w:rsid w:val="002C3470"/>
    <w:rsid w:val="002C38D5"/>
    <w:rsid w:val="002C4718"/>
    <w:rsid w:val="002C4AF4"/>
    <w:rsid w:val="002C523E"/>
    <w:rsid w:val="002C583B"/>
    <w:rsid w:val="002C6EB6"/>
    <w:rsid w:val="002C77EC"/>
    <w:rsid w:val="002D01D9"/>
    <w:rsid w:val="002D07EE"/>
    <w:rsid w:val="002D09F8"/>
    <w:rsid w:val="002D13E7"/>
    <w:rsid w:val="002D18EB"/>
    <w:rsid w:val="002D1D14"/>
    <w:rsid w:val="002D248D"/>
    <w:rsid w:val="002D28A2"/>
    <w:rsid w:val="002D2B86"/>
    <w:rsid w:val="002D33A0"/>
    <w:rsid w:val="002D4885"/>
    <w:rsid w:val="002D5802"/>
    <w:rsid w:val="002D5C21"/>
    <w:rsid w:val="002D6548"/>
    <w:rsid w:val="002D6869"/>
    <w:rsid w:val="002D7BA1"/>
    <w:rsid w:val="002E292E"/>
    <w:rsid w:val="002E4493"/>
    <w:rsid w:val="002E4C38"/>
    <w:rsid w:val="002E6704"/>
    <w:rsid w:val="002E7943"/>
    <w:rsid w:val="002E7FAF"/>
    <w:rsid w:val="002F0FF7"/>
    <w:rsid w:val="002F15EF"/>
    <w:rsid w:val="002F2A26"/>
    <w:rsid w:val="002F5B6C"/>
    <w:rsid w:val="002F609A"/>
    <w:rsid w:val="002F6506"/>
    <w:rsid w:val="002F6FE1"/>
    <w:rsid w:val="002F798A"/>
    <w:rsid w:val="0030057C"/>
    <w:rsid w:val="00300B28"/>
    <w:rsid w:val="00300BF9"/>
    <w:rsid w:val="0030209A"/>
    <w:rsid w:val="003020E8"/>
    <w:rsid w:val="00302BC4"/>
    <w:rsid w:val="0030305F"/>
    <w:rsid w:val="00304B2C"/>
    <w:rsid w:val="00305172"/>
    <w:rsid w:val="00305339"/>
    <w:rsid w:val="00305F33"/>
    <w:rsid w:val="003066EB"/>
    <w:rsid w:val="003072A4"/>
    <w:rsid w:val="00311B73"/>
    <w:rsid w:val="00311B94"/>
    <w:rsid w:val="00311E92"/>
    <w:rsid w:val="00314FF9"/>
    <w:rsid w:val="00316441"/>
    <w:rsid w:val="00316852"/>
    <w:rsid w:val="003176EA"/>
    <w:rsid w:val="0032179E"/>
    <w:rsid w:val="00321B54"/>
    <w:rsid w:val="00321DB9"/>
    <w:rsid w:val="00323A04"/>
    <w:rsid w:val="00325976"/>
    <w:rsid w:val="00327711"/>
    <w:rsid w:val="00330282"/>
    <w:rsid w:val="00331A7D"/>
    <w:rsid w:val="00331DE5"/>
    <w:rsid w:val="0033234B"/>
    <w:rsid w:val="003323C9"/>
    <w:rsid w:val="00333098"/>
    <w:rsid w:val="003337D9"/>
    <w:rsid w:val="00334B22"/>
    <w:rsid w:val="00334E2B"/>
    <w:rsid w:val="00335EC4"/>
    <w:rsid w:val="003364BD"/>
    <w:rsid w:val="00336DB1"/>
    <w:rsid w:val="00336E9E"/>
    <w:rsid w:val="00337177"/>
    <w:rsid w:val="003401C0"/>
    <w:rsid w:val="003406F9"/>
    <w:rsid w:val="003407A7"/>
    <w:rsid w:val="003453C8"/>
    <w:rsid w:val="00345BE7"/>
    <w:rsid w:val="003523C9"/>
    <w:rsid w:val="003535B0"/>
    <w:rsid w:val="0035436F"/>
    <w:rsid w:val="00356495"/>
    <w:rsid w:val="00357707"/>
    <w:rsid w:val="00357A83"/>
    <w:rsid w:val="00357EA2"/>
    <w:rsid w:val="00360EB5"/>
    <w:rsid w:val="00361A81"/>
    <w:rsid w:val="00362B85"/>
    <w:rsid w:val="003638AA"/>
    <w:rsid w:val="00363F8D"/>
    <w:rsid w:val="00364DF3"/>
    <w:rsid w:val="00366B50"/>
    <w:rsid w:val="00366D78"/>
    <w:rsid w:val="003677F2"/>
    <w:rsid w:val="00370B14"/>
    <w:rsid w:val="003715A9"/>
    <w:rsid w:val="00372D94"/>
    <w:rsid w:val="00375E6D"/>
    <w:rsid w:val="00376505"/>
    <w:rsid w:val="00376624"/>
    <w:rsid w:val="0037695A"/>
    <w:rsid w:val="00376E15"/>
    <w:rsid w:val="00377B96"/>
    <w:rsid w:val="00381B8E"/>
    <w:rsid w:val="00382E01"/>
    <w:rsid w:val="003838EE"/>
    <w:rsid w:val="003902BC"/>
    <w:rsid w:val="00391630"/>
    <w:rsid w:val="00393060"/>
    <w:rsid w:val="00393F8A"/>
    <w:rsid w:val="0039460D"/>
    <w:rsid w:val="00397478"/>
    <w:rsid w:val="00397C48"/>
    <w:rsid w:val="003A1642"/>
    <w:rsid w:val="003A30E5"/>
    <w:rsid w:val="003A35F0"/>
    <w:rsid w:val="003A4357"/>
    <w:rsid w:val="003A4892"/>
    <w:rsid w:val="003A4940"/>
    <w:rsid w:val="003A607E"/>
    <w:rsid w:val="003A6F35"/>
    <w:rsid w:val="003A7B8F"/>
    <w:rsid w:val="003B395D"/>
    <w:rsid w:val="003B4403"/>
    <w:rsid w:val="003B4B7B"/>
    <w:rsid w:val="003B7E33"/>
    <w:rsid w:val="003C0744"/>
    <w:rsid w:val="003C12F8"/>
    <w:rsid w:val="003C290A"/>
    <w:rsid w:val="003C2D9F"/>
    <w:rsid w:val="003C3199"/>
    <w:rsid w:val="003C3923"/>
    <w:rsid w:val="003C44CB"/>
    <w:rsid w:val="003C7C87"/>
    <w:rsid w:val="003D06FE"/>
    <w:rsid w:val="003D0B72"/>
    <w:rsid w:val="003D0F1F"/>
    <w:rsid w:val="003D2F0C"/>
    <w:rsid w:val="003D4424"/>
    <w:rsid w:val="003D5645"/>
    <w:rsid w:val="003D6016"/>
    <w:rsid w:val="003D60B4"/>
    <w:rsid w:val="003D60B5"/>
    <w:rsid w:val="003D629D"/>
    <w:rsid w:val="003D7412"/>
    <w:rsid w:val="003D767A"/>
    <w:rsid w:val="003E2F9B"/>
    <w:rsid w:val="003E3570"/>
    <w:rsid w:val="003E39EC"/>
    <w:rsid w:val="003E3B0E"/>
    <w:rsid w:val="003E407D"/>
    <w:rsid w:val="003E6AD9"/>
    <w:rsid w:val="003F0263"/>
    <w:rsid w:val="003F13AD"/>
    <w:rsid w:val="003F2B1E"/>
    <w:rsid w:val="003F3A96"/>
    <w:rsid w:val="003F4945"/>
    <w:rsid w:val="003F506B"/>
    <w:rsid w:val="003F5B2D"/>
    <w:rsid w:val="003F7341"/>
    <w:rsid w:val="003F78EA"/>
    <w:rsid w:val="003F7BF6"/>
    <w:rsid w:val="0040010F"/>
    <w:rsid w:val="00401981"/>
    <w:rsid w:val="0040318B"/>
    <w:rsid w:val="00405450"/>
    <w:rsid w:val="00410923"/>
    <w:rsid w:val="0041165A"/>
    <w:rsid w:val="00411A8E"/>
    <w:rsid w:val="00412F00"/>
    <w:rsid w:val="00413A9E"/>
    <w:rsid w:val="00414D41"/>
    <w:rsid w:val="00415AF8"/>
    <w:rsid w:val="00420549"/>
    <w:rsid w:val="0042261E"/>
    <w:rsid w:val="00422C34"/>
    <w:rsid w:val="00423CCC"/>
    <w:rsid w:val="00424D76"/>
    <w:rsid w:val="004264E0"/>
    <w:rsid w:val="00426642"/>
    <w:rsid w:val="0043174F"/>
    <w:rsid w:val="00434248"/>
    <w:rsid w:val="00435451"/>
    <w:rsid w:val="00440BF0"/>
    <w:rsid w:val="00440D54"/>
    <w:rsid w:val="00441136"/>
    <w:rsid w:val="004422C8"/>
    <w:rsid w:val="004423D0"/>
    <w:rsid w:val="004448A8"/>
    <w:rsid w:val="00444C43"/>
    <w:rsid w:val="00446CEC"/>
    <w:rsid w:val="0044739A"/>
    <w:rsid w:val="00447804"/>
    <w:rsid w:val="0045140A"/>
    <w:rsid w:val="00452766"/>
    <w:rsid w:val="004536D3"/>
    <w:rsid w:val="004537A8"/>
    <w:rsid w:val="0045408C"/>
    <w:rsid w:val="00455016"/>
    <w:rsid w:val="0045547A"/>
    <w:rsid w:val="00455A38"/>
    <w:rsid w:val="004562DD"/>
    <w:rsid w:val="0046050A"/>
    <w:rsid w:val="0046057F"/>
    <w:rsid w:val="00461621"/>
    <w:rsid w:val="00461D68"/>
    <w:rsid w:val="0046218F"/>
    <w:rsid w:val="00462823"/>
    <w:rsid w:val="00464980"/>
    <w:rsid w:val="004700CC"/>
    <w:rsid w:val="00471356"/>
    <w:rsid w:val="0047255E"/>
    <w:rsid w:val="00472EE9"/>
    <w:rsid w:val="004735C1"/>
    <w:rsid w:val="00473EF6"/>
    <w:rsid w:val="00474628"/>
    <w:rsid w:val="00475F1E"/>
    <w:rsid w:val="00476AE8"/>
    <w:rsid w:val="00476E52"/>
    <w:rsid w:val="00477CFD"/>
    <w:rsid w:val="004803E3"/>
    <w:rsid w:val="00481C3D"/>
    <w:rsid w:val="00482D5C"/>
    <w:rsid w:val="00483F35"/>
    <w:rsid w:val="00484581"/>
    <w:rsid w:val="00484D83"/>
    <w:rsid w:val="00484D8D"/>
    <w:rsid w:val="00485114"/>
    <w:rsid w:val="0048532B"/>
    <w:rsid w:val="00485339"/>
    <w:rsid w:val="004907BC"/>
    <w:rsid w:val="00492C75"/>
    <w:rsid w:val="00493F8B"/>
    <w:rsid w:val="004953CE"/>
    <w:rsid w:val="0049611C"/>
    <w:rsid w:val="00496152"/>
    <w:rsid w:val="004961BB"/>
    <w:rsid w:val="00496AB0"/>
    <w:rsid w:val="00497F04"/>
    <w:rsid w:val="004A0219"/>
    <w:rsid w:val="004A160B"/>
    <w:rsid w:val="004A2B06"/>
    <w:rsid w:val="004A320B"/>
    <w:rsid w:val="004A40D8"/>
    <w:rsid w:val="004A4867"/>
    <w:rsid w:val="004A5AC2"/>
    <w:rsid w:val="004A5FFF"/>
    <w:rsid w:val="004A778A"/>
    <w:rsid w:val="004A7BBC"/>
    <w:rsid w:val="004B04C3"/>
    <w:rsid w:val="004B0B36"/>
    <w:rsid w:val="004B1B83"/>
    <w:rsid w:val="004B1FFA"/>
    <w:rsid w:val="004B2648"/>
    <w:rsid w:val="004B345F"/>
    <w:rsid w:val="004B518F"/>
    <w:rsid w:val="004B56DC"/>
    <w:rsid w:val="004B6024"/>
    <w:rsid w:val="004B63C4"/>
    <w:rsid w:val="004C02CD"/>
    <w:rsid w:val="004C158B"/>
    <w:rsid w:val="004C17FC"/>
    <w:rsid w:val="004C1D4E"/>
    <w:rsid w:val="004C2617"/>
    <w:rsid w:val="004C3732"/>
    <w:rsid w:val="004C38FB"/>
    <w:rsid w:val="004C46A4"/>
    <w:rsid w:val="004C492C"/>
    <w:rsid w:val="004C58D8"/>
    <w:rsid w:val="004C5BD5"/>
    <w:rsid w:val="004C6E3E"/>
    <w:rsid w:val="004D50B9"/>
    <w:rsid w:val="004D54FE"/>
    <w:rsid w:val="004D5EE8"/>
    <w:rsid w:val="004D608B"/>
    <w:rsid w:val="004D622A"/>
    <w:rsid w:val="004D6F7F"/>
    <w:rsid w:val="004D720D"/>
    <w:rsid w:val="004D7397"/>
    <w:rsid w:val="004D7853"/>
    <w:rsid w:val="004D7B24"/>
    <w:rsid w:val="004E2D7F"/>
    <w:rsid w:val="004E39BC"/>
    <w:rsid w:val="004E3DF1"/>
    <w:rsid w:val="004E4D46"/>
    <w:rsid w:val="004E5A46"/>
    <w:rsid w:val="004E600D"/>
    <w:rsid w:val="004F22EE"/>
    <w:rsid w:val="004F2C45"/>
    <w:rsid w:val="004F3E9D"/>
    <w:rsid w:val="004F5CB1"/>
    <w:rsid w:val="004F5E92"/>
    <w:rsid w:val="0050061D"/>
    <w:rsid w:val="005012B5"/>
    <w:rsid w:val="00504321"/>
    <w:rsid w:val="00504514"/>
    <w:rsid w:val="005070A9"/>
    <w:rsid w:val="005073AE"/>
    <w:rsid w:val="00507D4F"/>
    <w:rsid w:val="00510C80"/>
    <w:rsid w:val="0051347B"/>
    <w:rsid w:val="00513873"/>
    <w:rsid w:val="00513A4D"/>
    <w:rsid w:val="00513CBA"/>
    <w:rsid w:val="005144B0"/>
    <w:rsid w:val="00514EAB"/>
    <w:rsid w:val="00517F07"/>
    <w:rsid w:val="00520EA9"/>
    <w:rsid w:val="00521247"/>
    <w:rsid w:val="005228DD"/>
    <w:rsid w:val="00524452"/>
    <w:rsid w:val="00525112"/>
    <w:rsid w:val="005266CB"/>
    <w:rsid w:val="005277CD"/>
    <w:rsid w:val="00527B03"/>
    <w:rsid w:val="00527D69"/>
    <w:rsid w:val="00527F94"/>
    <w:rsid w:val="00530256"/>
    <w:rsid w:val="005324AF"/>
    <w:rsid w:val="00533FDA"/>
    <w:rsid w:val="005350E1"/>
    <w:rsid w:val="005368DA"/>
    <w:rsid w:val="00536918"/>
    <w:rsid w:val="00536AF4"/>
    <w:rsid w:val="005372DB"/>
    <w:rsid w:val="005402E2"/>
    <w:rsid w:val="00541382"/>
    <w:rsid w:val="00542722"/>
    <w:rsid w:val="00542C23"/>
    <w:rsid w:val="0054353C"/>
    <w:rsid w:val="0054356A"/>
    <w:rsid w:val="005550E5"/>
    <w:rsid w:val="00555E51"/>
    <w:rsid w:val="0055680A"/>
    <w:rsid w:val="0055683A"/>
    <w:rsid w:val="00556B4E"/>
    <w:rsid w:val="005613AA"/>
    <w:rsid w:val="00561FD7"/>
    <w:rsid w:val="00562024"/>
    <w:rsid w:val="005623C3"/>
    <w:rsid w:val="00562798"/>
    <w:rsid w:val="00562E04"/>
    <w:rsid w:val="0056333B"/>
    <w:rsid w:val="005636C5"/>
    <w:rsid w:val="00563B03"/>
    <w:rsid w:val="00563FD6"/>
    <w:rsid w:val="00564314"/>
    <w:rsid w:val="00564550"/>
    <w:rsid w:val="00565F05"/>
    <w:rsid w:val="00572EFD"/>
    <w:rsid w:val="00573572"/>
    <w:rsid w:val="0057390A"/>
    <w:rsid w:val="0057588D"/>
    <w:rsid w:val="00575A6A"/>
    <w:rsid w:val="00575B1F"/>
    <w:rsid w:val="00576356"/>
    <w:rsid w:val="005765C1"/>
    <w:rsid w:val="0057798C"/>
    <w:rsid w:val="00581198"/>
    <w:rsid w:val="00582184"/>
    <w:rsid w:val="00582758"/>
    <w:rsid w:val="00582BAB"/>
    <w:rsid w:val="00585C2F"/>
    <w:rsid w:val="0058675E"/>
    <w:rsid w:val="005877FA"/>
    <w:rsid w:val="00587B4D"/>
    <w:rsid w:val="00590A5B"/>
    <w:rsid w:val="00590CAF"/>
    <w:rsid w:val="00593662"/>
    <w:rsid w:val="00595F9A"/>
    <w:rsid w:val="005A0A58"/>
    <w:rsid w:val="005A1365"/>
    <w:rsid w:val="005A1687"/>
    <w:rsid w:val="005A19FA"/>
    <w:rsid w:val="005A3967"/>
    <w:rsid w:val="005A3A21"/>
    <w:rsid w:val="005A40E1"/>
    <w:rsid w:val="005A4395"/>
    <w:rsid w:val="005A51D6"/>
    <w:rsid w:val="005B15D0"/>
    <w:rsid w:val="005B1EA4"/>
    <w:rsid w:val="005B2BFC"/>
    <w:rsid w:val="005B2EE2"/>
    <w:rsid w:val="005B35CC"/>
    <w:rsid w:val="005B3873"/>
    <w:rsid w:val="005B3D1F"/>
    <w:rsid w:val="005B432A"/>
    <w:rsid w:val="005B44FC"/>
    <w:rsid w:val="005B4CCA"/>
    <w:rsid w:val="005B4F98"/>
    <w:rsid w:val="005B5EB0"/>
    <w:rsid w:val="005B6B93"/>
    <w:rsid w:val="005B7402"/>
    <w:rsid w:val="005C0073"/>
    <w:rsid w:val="005C0CAD"/>
    <w:rsid w:val="005C1141"/>
    <w:rsid w:val="005C16A8"/>
    <w:rsid w:val="005C1A8E"/>
    <w:rsid w:val="005C2F53"/>
    <w:rsid w:val="005C3F3E"/>
    <w:rsid w:val="005C409C"/>
    <w:rsid w:val="005C4991"/>
    <w:rsid w:val="005C6F43"/>
    <w:rsid w:val="005C75B4"/>
    <w:rsid w:val="005C774C"/>
    <w:rsid w:val="005C78EC"/>
    <w:rsid w:val="005C7BFE"/>
    <w:rsid w:val="005D07C6"/>
    <w:rsid w:val="005D084C"/>
    <w:rsid w:val="005D24BC"/>
    <w:rsid w:val="005D44E5"/>
    <w:rsid w:val="005D4F13"/>
    <w:rsid w:val="005D5063"/>
    <w:rsid w:val="005D545C"/>
    <w:rsid w:val="005D5796"/>
    <w:rsid w:val="005D7D6F"/>
    <w:rsid w:val="005E07DC"/>
    <w:rsid w:val="005E1415"/>
    <w:rsid w:val="005E19E8"/>
    <w:rsid w:val="005E2C91"/>
    <w:rsid w:val="005E58D6"/>
    <w:rsid w:val="005E6F68"/>
    <w:rsid w:val="005F1CC7"/>
    <w:rsid w:val="005F295E"/>
    <w:rsid w:val="005F37B9"/>
    <w:rsid w:val="005F635E"/>
    <w:rsid w:val="005F6C86"/>
    <w:rsid w:val="005F7EAF"/>
    <w:rsid w:val="00600E1D"/>
    <w:rsid w:val="00601246"/>
    <w:rsid w:val="00601B95"/>
    <w:rsid w:val="00602067"/>
    <w:rsid w:val="006027B4"/>
    <w:rsid w:val="00603920"/>
    <w:rsid w:val="00603AA4"/>
    <w:rsid w:val="00603CAC"/>
    <w:rsid w:val="00604175"/>
    <w:rsid w:val="00604A19"/>
    <w:rsid w:val="00606CC6"/>
    <w:rsid w:val="006075EB"/>
    <w:rsid w:val="00610589"/>
    <w:rsid w:val="0061083A"/>
    <w:rsid w:val="00611FB5"/>
    <w:rsid w:val="00612FFE"/>
    <w:rsid w:val="0061429F"/>
    <w:rsid w:val="00614CC9"/>
    <w:rsid w:val="00616AAC"/>
    <w:rsid w:val="0061771F"/>
    <w:rsid w:val="00617A3E"/>
    <w:rsid w:val="00621515"/>
    <w:rsid w:val="006222A5"/>
    <w:rsid w:val="00622EA1"/>
    <w:rsid w:val="006240AA"/>
    <w:rsid w:val="00630C4B"/>
    <w:rsid w:val="00630D00"/>
    <w:rsid w:val="006321A9"/>
    <w:rsid w:val="00632253"/>
    <w:rsid w:val="00633CAD"/>
    <w:rsid w:val="006342A6"/>
    <w:rsid w:val="00635E32"/>
    <w:rsid w:val="00637B89"/>
    <w:rsid w:val="006411A6"/>
    <w:rsid w:val="00642122"/>
    <w:rsid w:val="006425A7"/>
    <w:rsid w:val="0064318C"/>
    <w:rsid w:val="006447FC"/>
    <w:rsid w:val="00644F14"/>
    <w:rsid w:val="00650314"/>
    <w:rsid w:val="0065187A"/>
    <w:rsid w:val="00651F1F"/>
    <w:rsid w:val="006533CB"/>
    <w:rsid w:val="00653D8E"/>
    <w:rsid w:val="00654D41"/>
    <w:rsid w:val="00654EBC"/>
    <w:rsid w:val="00656A08"/>
    <w:rsid w:val="006576DC"/>
    <w:rsid w:val="006606A0"/>
    <w:rsid w:val="0066072F"/>
    <w:rsid w:val="006613D1"/>
    <w:rsid w:val="00663A9D"/>
    <w:rsid w:val="0066436D"/>
    <w:rsid w:val="0066553A"/>
    <w:rsid w:val="00667AAA"/>
    <w:rsid w:val="0067028F"/>
    <w:rsid w:val="00670E02"/>
    <w:rsid w:val="0067321D"/>
    <w:rsid w:val="006778C2"/>
    <w:rsid w:val="00680C3B"/>
    <w:rsid w:val="00681155"/>
    <w:rsid w:val="00682373"/>
    <w:rsid w:val="00682BBE"/>
    <w:rsid w:val="0068311F"/>
    <w:rsid w:val="00684CD5"/>
    <w:rsid w:val="00686C10"/>
    <w:rsid w:val="00687725"/>
    <w:rsid w:val="00687DAF"/>
    <w:rsid w:val="00690031"/>
    <w:rsid w:val="0069071D"/>
    <w:rsid w:val="00695D56"/>
    <w:rsid w:val="00696B6E"/>
    <w:rsid w:val="006A34AD"/>
    <w:rsid w:val="006A4D99"/>
    <w:rsid w:val="006A4FEE"/>
    <w:rsid w:val="006A599D"/>
    <w:rsid w:val="006A640B"/>
    <w:rsid w:val="006A6445"/>
    <w:rsid w:val="006A6CC5"/>
    <w:rsid w:val="006B1E21"/>
    <w:rsid w:val="006B3242"/>
    <w:rsid w:val="006B3416"/>
    <w:rsid w:val="006B3C61"/>
    <w:rsid w:val="006B6360"/>
    <w:rsid w:val="006B6AB0"/>
    <w:rsid w:val="006B7335"/>
    <w:rsid w:val="006C0781"/>
    <w:rsid w:val="006C2309"/>
    <w:rsid w:val="006C2AE1"/>
    <w:rsid w:val="006C3401"/>
    <w:rsid w:val="006C37E4"/>
    <w:rsid w:val="006C470A"/>
    <w:rsid w:val="006C64B7"/>
    <w:rsid w:val="006C6CB0"/>
    <w:rsid w:val="006C6F93"/>
    <w:rsid w:val="006C74D2"/>
    <w:rsid w:val="006D0E74"/>
    <w:rsid w:val="006D2C43"/>
    <w:rsid w:val="006D2CAD"/>
    <w:rsid w:val="006D3F16"/>
    <w:rsid w:val="006D47B0"/>
    <w:rsid w:val="006D4D71"/>
    <w:rsid w:val="006D5E93"/>
    <w:rsid w:val="006D5EE1"/>
    <w:rsid w:val="006D7670"/>
    <w:rsid w:val="006E0F43"/>
    <w:rsid w:val="006E38F2"/>
    <w:rsid w:val="006E4780"/>
    <w:rsid w:val="006E5419"/>
    <w:rsid w:val="006E5F6C"/>
    <w:rsid w:val="006E709E"/>
    <w:rsid w:val="006E73D9"/>
    <w:rsid w:val="006E73F6"/>
    <w:rsid w:val="006F2248"/>
    <w:rsid w:val="006F4A27"/>
    <w:rsid w:val="0070117B"/>
    <w:rsid w:val="00701BAF"/>
    <w:rsid w:val="007025E9"/>
    <w:rsid w:val="00702C39"/>
    <w:rsid w:val="00702EDA"/>
    <w:rsid w:val="007030EA"/>
    <w:rsid w:val="00704F43"/>
    <w:rsid w:val="00704F51"/>
    <w:rsid w:val="00704FDF"/>
    <w:rsid w:val="0070570C"/>
    <w:rsid w:val="00706120"/>
    <w:rsid w:val="007064D6"/>
    <w:rsid w:val="00706B25"/>
    <w:rsid w:val="00707B0A"/>
    <w:rsid w:val="007104C2"/>
    <w:rsid w:val="00710BF5"/>
    <w:rsid w:val="0071274F"/>
    <w:rsid w:val="00712F9B"/>
    <w:rsid w:val="007137BB"/>
    <w:rsid w:val="00713CA0"/>
    <w:rsid w:val="0071427F"/>
    <w:rsid w:val="007143A5"/>
    <w:rsid w:val="00714DE0"/>
    <w:rsid w:val="00715F36"/>
    <w:rsid w:val="00717ECC"/>
    <w:rsid w:val="0072102C"/>
    <w:rsid w:val="00721CA4"/>
    <w:rsid w:val="00722217"/>
    <w:rsid w:val="0072312D"/>
    <w:rsid w:val="007240DF"/>
    <w:rsid w:val="00724242"/>
    <w:rsid w:val="00725327"/>
    <w:rsid w:val="0072665F"/>
    <w:rsid w:val="00727BB8"/>
    <w:rsid w:val="007306C0"/>
    <w:rsid w:val="00730B5E"/>
    <w:rsid w:val="00732297"/>
    <w:rsid w:val="00732838"/>
    <w:rsid w:val="0073435C"/>
    <w:rsid w:val="007346FD"/>
    <w:rsid w:val="00734775"/>
    <w:rsid w:val="00735113"/>
    <w:rsid w:val="0073549F"/>
    <w:rsid w:val="00737F89"/>
    <w:rsid w:val="00740FE1"/>
    <w:rsid w:val="0074198C"/>
    <w:rsid w:val="00741EE0"/>
    <w:rsid w:val="00743306"/>
    <w:rsid w:val="00745083"/>
    <w:rsid w:val="007500A8"/>
    <w:rsid w:val="00750AAD"/>
    <w:rsid w:val="007510FE"/>
    <w:rsid w:val="00752D3B"/>
    <w:rsid w:val="00755DFA"/>
    <w:rsid w:val="0075643F"/>
    <w:rsid w:val="00756728"/>
    <w:rsid w:val="00756E14"/>
    <w:rsid w:val="007614A7"/>
    <w:rsid w:val="00762654"/>
    <w:rsid w:val="00770FB6"/>
    <w:rsid w:val="00771565"/>
    <w:rsid w:val="007716FC"/>
    <w:rsid w:val="00771DC0"/>
    <w:rsid w:val="00774942"/>
    <w:rsid w:val="00774D51"/>
    <w:rsid w:val="0077654F"/>
    <w:rsid w:val="00776968"/>
    <w:rsid w:val="007779A2"/>
    <w:rsid w:val="007801C2"/>
    <w:rsid w:val="0078046A"/>
    <w:rsid w:val="007813F1"/>
    <w:rsid w:val="007832C2"/>
    <w:rsid w:val="00790037"/>
    <w:rsid w:val="00790B06"/>
    <w:rsid w:val="00791131"/>
    <w:rsid w:val="00791435"/>
    <w:rsid w:val="00793762"/>
    <w:rsid w:val="00793FF5"/>
    <w:rsid w:val="007955F5"/>
    <w:rsid w:val="007969AF"/>
    <w:rsid w:val="007A04C2"/>
    <w:rsid w:val="007A1245"/>
    <w:rsid w:val="007A23A2"/>
    <w:rsid w:val="007A42BD"/>
    <w:rsid w:val="007A5701"/>
    <w:rsid w:val="007A6113"/>
    <w:rsid w:val="007A7058"/>
    <w:rsid w:val="007A7412"/>
    <w:rsid w:val="007A799E"/>
    <w:rsid w:val="007B06D8"/>
    <w:rsid w:val="007B3E85"/>
    <w:rsid w:val="007B7863"/>
    <w:rsid w:val="007C0773"/>
    <w:rsid w:val="007C2EDC"/>
    <w:rsid w:val="007C34B8"/>
    <w:rsid w:val="007C38D6"/>
    <w:rsid w:val="007D13D1"/>
    <w:rsid w:val="007D1B1C"/>
    <w:rsid w:val="007D2405"/>
    <w:rsid w:val="007D2735"/>
    <w:rsid w:val="007D4FDA"/>
    <w:rsid w:val="007D53D8"/>
    <w:rsid w:val="007D5980"/>
    <w:rsid w:val="007D6150"/>
    <w:rsid w:val="007D66C7"/>
    <w:rsid w:val="007D69CC"/>
    <w:rsid w:val="007D6B15"/>
    <w:rsid w:val="007D6E99"/>
    <w:rsid w:val="007D75F8"/>
    <w:rsid w:val="007E038B"/>
    <w:rsid w:val="007E2451"/>
    <w:rsid w:val="007E2498"/>
    <w:rsid w:val="007E2790"/>
    <w:rsid w:val="007E340F"/>
    <w:rsid w:val="007E4023"/>
    <w:rsid w:val="007E4609"/>
    <w:rsid w:val="007E68E7"/>
    <w:rsid w:val="007E6C53"/>
    <w:rsid w:val="007E7417"/>
    <w:rsid w:val="007E76E8"/>
    <w:rsid w:val="007E7840"/>
    <w:rsid w:val="007F1F49"/>
    <w:rsid w:val="007F33D3"/>
    <w:rsid w:val="007F4F14"/>
    <w:rsid w:val="007F5035"/>
    <w:rsid w:val="007F5ED7"/>
    <w:rsid w:val="007F6F59"/>
    <w:rsid w:val="007F74B4"/>
    <w:rsid w:val="007F75AE"/>
    <w:rsid w:val="008003CD"/>
    <w:rsid w:val="00801862"/>
    <w:rsid w:val="00803787"/>
    <w:rsid w:val="00803D35"/>
    <w:rsid w:val="00804349"/>
    <w:rsid w:val="00804A34"/>
    <w:rsid w:val="00807708"/>
    <w:rsid w:val="008079CA"/>
    <w:rsid w:val="008101F9"/>
    <w:rsid w:val="00810C6B"/>
    <w:rsid w:val="00815558"/>
    <w:rsid w:val="008161E4"/>
    <w:rsid w:val="00817839"/>
    <w:rsid w:val="00817E2B"/>
    <w:rsid w:val="00821431"/>
    <w:rsid w:val="0082349E"/>
    <w:rsid w:val="008234C9"/>
    <w:rsid w:val="00823BC9"/>
    <w:rsid w:val="00824D1D"/>
    <w:rsid w:val="008252B4"/>
    <w:rsid w:val="008252D7"/>
    <w:rsid w:val="00825330"/>
    <w:rsid w:val="00826975"/>
    <w:rsid w:val="008277CC"/>
    <w:rsid w:val="008279AE"/>
    <w:rsid w:val="00827A42"/>
    <w:rsid w:val="00827FCC"/>
    <w:rsid w:val="0083033C"/>
    <w:rsid w:val="00831AB8"/>
    <w:rsid w:val="008324C2"/>
    <w:rsid w:val="00833F32"/>
    <w:rsid w:val="00833F89"/>
    <w:rsid w:val="00835D66"/>
    <w:rsid w:val="00836E02"/>
    <w:rsid w:val="00840419"/>
    <w:rsid w:val="0084050E"/>
    <w:rsid w:val="0084086A"/>
    <w:rsid w:val="0084302C"/>
    <w:rsid w:val="008434EB"/>
    <w:rsid w:val="00845A5E"/>
    <w:rsid w:val="0084625F"/>
    <w:rsid w:val="00846CAC"/>
    <w:rsid w:val="00847110"/>
    <w:rsid w:val="00847CC0"/>
    <w:rsid w:val="00847DEC"/>
    <w:rsid w:val="0085049B"/>
    <w:rsid w:val="008517A0"/>
    <w:rsid w:val="008522E6"/>
    <w:rsid w:val="008544B8"/>
    <w:rsid w:val="008561D6"/>
    <w:rsid w:val="00860D6D"/>
    <w:rsid w:val="00861097"/>
    <w:rsid w:val="008625D1"/>
    <w:rsid w:val="008627D0"/>
    <w:rsid w:val="00863E18"/>
    <w:rsid w:val="00863FF1"/>
    <w:rsid w:val="00865591"/>
    <w:rsid w:val="00865C5D"/>
    <w:rsid w:val="008672AA"/>
    <w:rsid w:val="008726E1"/>
    <w:rsid w:val="00872D8C"/>
    <w:rsid w:val="00873537"/>
    <w:rsid w:val="0087455B"/>
    <w:rsid w:val="00874D02"/>
    <w:rsid w:val="00876370"/>
    <w:rsid w:val="0087660E"/>
    <w:rsid w:val="008767AD"/>
    <w:rsid w:val="0088066E"/>
    <w:rsid w:val="0088090F"/>
    <w:rsid w:val="00882D6F"/>
    <w:rsid w:val="00883DC5"/>
    <w:rsid w:val="00884E42"/>
    <w:rsid w:val="0088694B"/>
    <w:rsid w:val="00886A4D"/>
    <w:rsid w:val="0088724C"/>
    <w:rsid w:val="008909B9"/>
    <w:rsid w:val="00891AC4"/>
    <w:rsid w:val="008949EA"/>
    <w:rsid w:val="00896289"/>
    <w:rsid w:val="008A0015"/>
    <w:rsid w:val="008A00E8"/>
    <w:rsid w:val="008A0D30"/>
    <w:rsid w:val="008A3458"/>
    <w:rsid w:val="008A5D2E"/>
    <w:rsid w:val="008A6297"/>
    <w:rsid w:val="008A6499"/>
    <w:rsid w:val="008B168D"/>
    <w:rsid w:val="008B269A"/>
    <w:rsid w:val="008B3488"/>
    <w:rsid w:val="008B3C43"/>
    <w:rsid w:val="008B655D"/>
    <w:rsid w:val="008B69CD"/>
    <w:rsid w:val="008B6AC3"/>
    <w:rsid w:val="008B7606"/>
    <w:rsid w:val="008C1D15"/>
    <w:rsid w:val="008C2A7B"/>
    <w:rsid w:val="008C6797"/>
    <w:rsid w:val="008C7AC7"/>
    <w:rsid w:val="008D1E3F"/>
    <w:rsid w:val="008D2988"/>
    <w:rsid w:val="008D4DDC"/>
    <w:rsid w:val="008D56BC"/>
    <w:rsid w:val="008D6828"/>
    <w:rsid w:val="008D6B37"/>
    <w:rsid w:val="008D6D95"/>
    <w:rsid w:val="008D7C96"/>
    <w:rsid w:val="008E0673"/>
    <w:rsid w:val="008E0DAC"/>
    <w:rsid w:val="008E108D"/>
    <w:rsid w:val="008E14B3"/>
    <w:rsid w:val="008E23AD"/>
    <w:rsid w:val="008E2656"/>
    <w:rsid w:val="008E348E"/>
    <w:rsid w:val="008E3681"/>
    <w:rsid w:val="008E44EF"/>
    <w:rsid w:val="008E4D74"/>
    <w:rsid w:val="008E543C"/>
    <w:rsid w:val="008E5B88"/>
    <w:rsid w:val="008F2FBE"/>
    <w:rsid w:val="00900A98"/>
    <w:rsid w:val="00900DDA"/>
    <w:rsid w:val="00902320"/>
    <w:rsid w:val="00903F7D"/>
    <w:rsid w:val="00904159"/>
    <w:rsid w:val="00904A35"/>
    <w:rsid w:val="00905903"/>
    <w:rsid w:val="00905D76"/>
    <w:rsid w:val="00906C0B"/>
    <w:rsid w:val="00907B2F"/>
    <w:rsid w:val="00910AAA"/>
    <w:rsid w:val="00911134"/>
    <w:rsid w:val="009126A5"/>
    <w:rsid w:val="0091288F"/>
    <w:rsid w:val="009133EE"/>
    <w:rsid w:val="0091371C"/>
    <w:rsid w:val="00913E9D"/>
    <w:rsid w:val="00914FAB"/>
    <w:rsid w:val="00915DB8"/>
    <w:rsid w:val="00917878"/>
    <w:rsid w:val="00917BEB"/>
    <w:rsid w:val="00920345"/>
    <w:rsid w:val="00921206"/>
    <w:rsid w:val="00921696"/>
    <w:rsid w:val="0092215D"/>
    <w:rsid w:val="00922D7C"/>
    <w:rsid w:val="00923CD7"/>
    <w:rsid w:val="00924C06"/>
    <w:rsid w:val="009252A4"/>
    <w:rsid w:val="0092653B"/>
    <w:rsid w:val="00926914"/>
    <w:rsid w:val="009271EC"/>
    <w:rsid w:val="0093122E"/>
    <w:rsid w:val="00931925"/>
    <w:rsid w:val="00931D52"/>
    <w:rsid w:val="009329E7"/>
    <w:rsid w:val="00933213"/>
    <w:rsid w:val="0093341C"/>
    <w:rsid w:val="0093554C"/>
    <w:rsid w:val="00935B35"/>
    <w:rsid w:val="00935CA9"/>
    <w:rsid w:val="00935E8C"/>
    <w:rsid w:val="00937157"/>
    <w:rsid w:val="00937A57"/>
    <w:rsid w:val="00937B26"/>
    <w:rsid w:val="00941039"/>
    <w:rsid w:val="009413AF"/>
    <w:rsid w:val="0094195B"/>
    <w:rsid w:val="0095011D"/>
    <w:rsid w:val="0095348E"/>
    <w:rsid w:val="00954712"/>
    <w:rsid w:val="0095510C"/>
    <w:rsid w:val="00957040"/>
    <w:rsid w:val="009601DA"/>
    <w:rsid w:val="009604F3"/>
    <w:rsid w:val="00960F06"/>
    <w:rsid w:val="009612BC"/>
    <w:rsid w:val="00961FC7"/>
    <w:rsid w:val="0096354D"/>
    <w:rsid w:val="00966FED"/>
    <w:rsid w:val="009679AA"/>
    <w:rsid w:val="00970401"/>
    <w:rsid w:val="009715FF"/>
    <w:rsid w:val="00972FC0"/>
    <w:rsid w:val="009737F6"/>
    <w:rsid w:val="00973FAA"/>
    <w:rsid w:val="009742AB"/>
    <w:rsid w:val="009751FD"/>
    <w:rsid w:val="00976241"/>
    <w:rsid w:val="00976351"/>
    <w:rsid w:val="009768CC"/>
    <w:rsid w:val="00976A74"/>
    <w:rsid w:val="00976FA5"/>
    <w:rsid w:val="00977F2B"/>
    <w:rsid w:val="009816D5"/>
    <w:rsid w:val="009817EF"/>
    <w:rsid w:val="00981A9A"/>
    <w:rsid w:val="009846B7"/>
    <w:rsid w:val="009850D8"/>
    <w:rsid w:val="009854F9"/>
    <w:rsid w:val="00987191"/>
    <w:rsid w:val="009871A8"/>
    <w:rsid w:val="009908C9"/>
    <w:rsid w:val="009928F8"/>
    <w:rsid w:val="00992C50"/>
    <w:rsid w:val="00993A0A"/>
    <w:rsid w:val="00993E37"/>
    <w:rsid w:val="00994984"/>
    <w:rsid w:val="0099660C"/>
    <w:rsid w:val="00996C0D"/>
    <w:rsid w:val="00997899"/>
    <w:rsid w:val="009979CC"/>
    <w:rsid w:val="009A148D"/>
    <w:rsid w:val="009A1D6A"/>
    <w:rsid w:val="009A2859"/>
    <w:rsid w:val="009A4EB0"/>
    <w:rsid w:val="009A5C19"/>
    <w:rsid w:val="009A6D2D"/>
    <w:rsid w:val="009A76C1"/>
    <w:rsid w:val="009B141C"/>
    <w:rsid w:val="009B1CC9"/>
    <w:rsid w:val="009B445A"/>
    <w:rsid w:val="009B48BE"/>
    <w:rsid w:val="009B51E8"/>
    <w:rsid w:val="009B616D"/>
    <w:rsid w:val="009B6FA4"/>
    <w:rsid w:val="009C076C"/>
    <w:rsid w:val="009C69E8"/>
    <w:rsid w:val="009C715C"/>
    <w:rsid w:val="009C782F"/>
    <w:rsid w:val="009D0AA1"/>
    <w:rsid w:val="009D131D"/>
    <w:rsid w:val="009D141E"/>
    <w:rsid w:val="009D1D58"/>
    <w:rsid w:val="009D223C"/>
    <w:rsid w:val="009D274E"/>
    <w:rsid w:val="009D2979"/>
    <w:rsid w:val="009D29A5"/>
    <w:rsid w:val="009D29CF"/>
    <w:rsid w:val="009D2CC6"/>
    <w:rsid w:val="009D5CD0"/>
    <w:rsid w:val="009D73CF"/>
    <w:rsid w:val="009D7FC0"/>
    <w:rsid w:val="009E1C28"/>
    <w:rsid w:val="009E29DB"/>
    <w:rsid w:val="009E3D03"/>
    <w:rsid w:val="009E3D9F"/>
    <w:rsid w:val="009E4CE9"/>
    <w:rsid w:val="009E62DD"/>
    <w:rsid w:val="009E7211"/>
    <w:rsid w:val="009F16F9"/>
    <w:rsid w:val="009F36F7"/>
    <w:rsid w:val="009F4095"/>
    <w:rsid w:val="009F4A32"/>
    <w:rsid w:val="009F7984"/>
    <w:rsid w:val="00A002AF"/>
    <w:rsid w:val="00A00EBC"/>
    <w:rsid w:val="00A01A3B"/>
    <w:rsid w:val="00A02283"/>
    <w:rsid w:val="00A02720"/>
    <w:rsid w:val="00A03EEC"/>
    <w:rsid w:val="00A051A1"/>
    <w:rsid w:val="00A06A81"/>
    <w:rsid w:val="00A07F55"/>
    <w:rsid w:val="00A10250"/>
    <w:rsid w:val="00A1193A"/>
    <w:rsid w:val="00A12B76"/>
    <w:rsid w:val="00A14DDC"/>
    <w:rsid w:val="00A20BB8"/>
    <w:rsid w:val="00A258C9"/>
    <w:rsid w:val="00A26405"/>
    <w:rsid w:val="00A26917"/>
    <w:rsid w:val="00A270CA"/>
    <w:rsid w:val="00A303CF"/>
    <w:rsid w:val="00A31505"/>
    <w:rsid w:val="00A320FF"/>
    <w:rsid w:val="00A328D7"/>
    <w:rsid w:val="00A32E2F"/>
    <w:rsid w:val="00A331D6"/>
    <w:rsid w:val="00A33A63"/>
    <w:rsid w:val="00A34217"/>
    <w:rsid w:val="00A35B50"/>
    <w:rsid w:val="00A35D3A"/>
    <w:rsid w:val="00A37CA5"/>
    <w:rsid w:val="00A402CB"/>
    <w:rsid w:val="00A5070C"/>
    <w:rsid w:val="00A51372"/>
    <w:rsid w:val="00A527E2"/>
    <w:rsid w:val="00A566DC"/>
    <w:rsid w:val="00A57213"/>
    <w:rsid w:val="00A607A5"/>
    <w:rsid w:val="00A63E53"/>
    <w:rsid w:val="00A65AC6"/>
    <w:rsid w:val="00A65B38"/>
    <w:rsid w:val="00A65FC0"/>
    <w:rsid w:val="00A66C98"/>
    <w:rsid w:val="00A711A3"/>
    <w:rsid w:val="00A711DD"/>
    <w:rsid w:val="00A729E0"/>
    <w:rsid w:val="00A72F92"/>
    <w:rsid w:val="00A73274"/>
    <w:rsid w:val="00A7359E"/>
    <w:rsid w:val="00A75097"/>
    <w:rsid w:val="00A758E6"/>
    <w:rsid w:val="00A77EF9"/>
    <w:rsid w:val="00A828A6"/>
    <w:rsid w:val="00A84AF1"/>
    <w:rsid w:val="00A850BF"/>
    <w:rsid w:val="00A85645"/>
    <w:rsid w:val="00A86207"/>
    <w:rsid w:val="00A86D9D"/>
    <w:rsid w:val="00A87762"/>
    <w:rsid w:val="00A9012A"/>
    <w:rsid w:val="00A92A33"/>
    <w:rsid w:val="00A92E30"/>
    <w:rsid w:val="00A93996"/>
    <w:rsid w:val="00A95E1B"/>
    <w:rsid w:val="00A965FD"/>
    <w:rsid w:val="00AA1466"/>
    <w:rsid w:val="00AA1CA3"/>
    <w:rsid w:val="00AA1DC6"/>
    <w:rsid w:val="00AA1ED4"/>
    <w:rsid w:val="00AA3155"/>
    <w:rsid w:val="00AA329A"/>
    <w:rsid w:val="00AA3B2B"/>
    <w:rsid w:val="00AA3BA5"/>
    <w:rsid w:val="00AB2BA0"/>
    <w:rsid w:val="00AB5F44"/>
    <w:rsid w:val="00AB6043"/>
    <w:rsid w:val="00AB60C5"/>
    <w:rsid w:val="00AB7849"/>
    <w:rsid w:val="00AB7EC2"/>
    <w:rsid w:val="00AC021C"/>
    <w:rsid w:val="00AC17B3"/>
    <w:rsid w:val="00AC21C4"/>
    <w:rsid w:val="00AC2EB9"/>
    <w:rsid w:val="00AC457A"/>
    <w:rsid w:val="00AC6EB3"/>
    <w:rsid w:val="00AC732F"/>
    <w:rsid w:val="00AC7C94"/>
    <w:rsid w:val="00AD1F21"/>
    <w:rsid w:val="00AD25A7"/>
    <w:rsid w:val="00AD28AC"/>
    <w:rsid w:val="00AD2E84"/>
    <w:rsid w:val="00AD416A"/>
    <w:rsid w:val="00AD5C3E"/>
    <w:rsid w:val="00AD5ECA"/>
    <w:rsid w:val="00AD5F2C"/>
    <w:rsid w:val="00AD671C"/>
    <w:rsid w:val="00AD7DEC"/>
    <w:rsid w:val="00AE435C"/>
    <w:rsid w:val="00AE4DC8"/>
    <w:rsid w:val="00AE55BD"/>
    <w:rsid w:val="00AE561D"/>
    <w:rsid w:val="00AE5751"/>
    <w:rsid w:val="00AE5BEC"/>
    <w:rsid w:val="00AF05BC"/>
    <w:rsid w:val="00AF1D9F"/>
    <w:rsid w:val="00AF3C94"/>
    <w:rsid w:val="00AF3CE7"/>
    <w:rsid w:val="00AF3EB6"/>
    <w:rsid w:val="00AF6A13"/>
    <w:rsid w:val="00B0204B"/>
    <w:rsid w:val="00B025BE"/>
    <w:rsid w:val="00B03534"/>
    <w:rsid w:val="00B03966"/>
    <w:rsid w:val="00B04173"/>
    <w:rsid w:val="00B05F5B"/>
    <w:rsid w:val="00B05FB4"/>
    <w:rsid w:val="00B10543"/>
    <w:rsid w:val="00B11859"/>
    <w:rsid w:val="00B12430"/>
    <w:rsid w:val="00B13227"/>
    <w:rsid w:val="00B14F71"/>
    <w:rsid w:val="00B151E1"/>
    <w:rsid w:val="00B15A7B"/>
    <w:rsid w:val="00B15DB8"/>
    <w:rsid w:val="00B16D5D"/>
    <w:rsid w:val="00B17F44"/>
    <w:rsid w:val="00B20296"/>
    <w:rsid w:val="00B203C1"/>
    <w:rsid w:val="00B21A6B"/>
    <w:rsid w:val="00B221EE"/>
    <w:rsid w:val="00B22724"/>
    <w:rsid w:val="00B23117"/>
    <w:rsid w:val="00B23404"/>
    <w:rsid w:val="00B254CA"/>
    <w:rsid w:val="00B255FB"/>
    <w:rsid w:val="00B25DA2"/>
    <w:rsid w:val="00B26EE6"/>
    <w:rsid w:val="00B27A04"/>
    <w:rsid w:val="00B3142F"/>
    <w:rsid w:val="00B32BDD"/>
    <w:rsid w:val="00B3537C"/>
    <w:rsid w:val="00B353E0"/>
    <w:rsid w:val="00B35846"/>
    <w:rsid w:val="00B372F8"/>
    <w:rsid w:val="00B373CF"/>
    <w:rsid w:val="00B378F3"/>
    <w:rsid w:val="00B40E2D"/>
    <w:rsid w:val="00B41A0F"/>
    <w:rsid w:val="00B43BE2"/>
    <w:rsid w:val="00B442EC"/>
    <w:rsid w:val="00B4453C"/>
    <w:rsid w:val="00B44D43"/>
    <w:rsid w:val="00B4527A"/>
    <w:rsid w:val="00B4600B"/>
    <w:rsid w:val="00B46CDD"/>
    <w:rsid w:val="00B47450"/>
    <w:rsid w:val="00B47791"/>
    <w:rsid w:val="00B47AAB"/>
    <w:rsid w:val="00B503D6"/>
    <w:rsid w:val="00B503DD"/>
    <w:rsid w:val="00B507FD"/>
    <w:rsid w:val="00B510EE"/>
    <w:rsid w:val="00B52A4B"/>
    <w:rsid w:val="00B54267"/>
    <w:rsid w:val="00B54C97"/>
    <w:rsid w:val="00B57584"/>
    <w:rsid w:val="00B57FEE"/>
    <w:rsid w:val="00B618A5"/>
    <w:rsid w:val="00B62676"/>
    <w:rsid w:val="00B6378D"/>
    <w:rsid w:val="00B63CA8"/>
    <w:rsid w:val="00B64020"/>
    <w:rsid w:val="00B6402B"/>
    <w:rsid w:val="00B64C5D"/>
    <w:rsid w:val="00B64D69"/>
    <w:rsid w:val="00B66071"/>
    <w:rsid w:val="00B66BCF"/>
    <w:rsid w:val="00B67230"/>
    <w:rsid w:val="00B675B8"/>
    <w:rsid w:val="00B701CE"/>
    <w:rsid w:val="00B70847"/>
    <w:rsid w:val="00B73E2B"/>
    <w:rsid w:val="00B73EA4"/>
    <w:rsid w:val="00B7448C"/>
    <w:rsid w:val="00B744AF"/>
    <w:rsid w:val="00B75535"/>
    <w:rsid w:val="00B77D60"/>
    <w:rsid w:val="00B77EF7"/>
    <w:rsid w:val="00B818E3"/>
    <w:rsid w:val="00B81F52"/>
    <w:rsid w:val="00B82A14"/>
    <w:rsid w:val="00B82B65"/>
    <w:rsid w:val="00B82E2E"/>
    <w:rsid w:val="00B86CE8"/>
    <w:rsid w:val="00B87C99"/>
    <w:rsid w:val="00B922AC"/>
    <w:rsid w:val="00B924F6"/>
    <w:rsid w:val="00B94024"/>
    <w:rsid w:val="00B94BD9"/>
    <w:rsid w:val="00B96166"/>
    <w:rsid w:val="00B973B7"/>
    <w:rsid w:val="00BA0A32"/>
    <w:rsid w:val="00BA0E4B"/>
    <w:rsid w:val="00BA10C5"/>
    <w:rsid w:val="00BA4C5D"/>
    <w:rsid w:val="00BA4EDA"/>
    <w:rsid w:val="00BA54DF"/>
    <w:rsid w:val="00BA568D"/>
    <w:rsid w:val="00BA58B7"/>
    <w:rsid w:val="00BA6BAB"/>
    <w:rsid w:val="00BB1B1F"/>
    <w:rsid w:val="00BB1CB8"/>
    <w:rsid w:val="00BB447F"/>
    <w:rsid w:val="00BB5EC5"/>
    <w:rsid w:val="00BB644E"/>
    <w:rsid w:val="00BB6851"/>
    <w:rsid w:val="00BB7503"/>
    <w:rsid w:val="00BB7CA5"/>
    <w:rsid w:val="00BC1AF4"/>
    <w:rsid w:val="00BC3D29"/>
    <w:rsid w:val="00BC4FA3"/>
    <w:rsid w:val="00BC5828"/>
    <w:rsid w:val="00BC5F5B"/>
    <w:rsid w:val="00BC72FE"/>
    <w:rsid w:val="00BC74A7"/>
    <w:rsid w:val="00BD0BAC"/>
    <w:rsid w:val="00BD2BE8"/>
    <w:rsid w:val="00BD3527"/>
    <w:rsid w:val="00BD55D5"/>
    <w:rsid w:val="00BD6008"/>
    <w:rsid w:val="00BE0403"/>
    <w:rsid w:val="00BE2F77"/>
    <w:rsid w:val="00BE4364"/>
    <w:rsid w:val="00BE4D5C"/>
    <w:rsid w:val="00BE5083"/>
    <w:rsid w:val="00BE6085"/>
    <w:rsid w:val="00BE726B"/>
    <w:rsid w:val="00BE76AF"/>
    <w:rsid w:val="00BE78C3"/>
    <w:rsid w:val="00BE7EC3"/>
    <w:rsid w:val="00BF09AD"/>
    <w:rsid w:val="00BF1405"/>
    <w:rsid w:val="00BF1A74"/>
    <w:rsid w:val="00BF2373"/>
    <w:rsid w:val="00BF3A21"/>
    <w:rsid w:val="00BF4468"/>
    <w:rsid w:val="00BF4F03"/>
    <w:rsid w:val="00BF4F20"/>
    <w:rsid w:val="00BF5AEB"/>
    <w:rsid w:val="00BF7455"/>
    <w:rsid w:val="00BF7CB0"/>
    <w:rsid w:val="00C014EC"/>
    <w:rsid w:val="00C0190B"/>
    <w:rsid w:val="00C01B58"/>
    <w:rsid w:val="00C01DD8"/>
    <w:rsid w:val="00C02798"/>
    <w:rsid w:val="00C03633"/>
    <w:rsid w:val="00C04314"/>
    <w:rsid w:val="00C05F0A"/>
    <w:rsid w:val="00C06F04"/>
    <w:rsid w:val="00C06F9D"/>
    <w:rsid w:val="00C0725A"/>
    <w:rsid w:val="00C07EFF"/>
    <w:rsid w:val="00C10D98"/>
    <w:rsid w:val="00C11039"/>
    <w:rsid w:val="00C13132"/>
    <w:rsid w:val="00C1671C"/>
    <w:rsid w:val="00C16D7D"/>
    <w:rsid w:val="00C22E05"/>
    <w:rsid w:val="00C236A4"/>
    <w:rsid w:val="00C23874"/>
    <w:rsid w:val="00C23B3C"/>
    <w:rsid w:val="00C24030"/>
    <w:rsid w:val="00C26831"/>
    <w:rsid w:val="00C270B1"/>
    <w:rsid w:val="00C31945"/>
    <w:rsid w:val="00C3343E"/>
    <w:rsid w:val="00C33B4D"/>
    <w:rsid w:val="00C33E45"/>
    <w:rsid w:val="00C347E7"/>
    <w:rsid w:val="00C3556F"/>
    <w:rsid w:val="00C35A85"/>
    <w:rsid w:val="00C3672A"/>
    <w:rsid w:val="00C37D99"/>
    <w:rsid w:val="00C40690"/>
    <w:rsid w:val="00C4085D"/>
    <w:rsid w:val="00C41197"/>
    <w:rsid w:val="00C413F0"/>
    <w:rsid w:val="00C41F7D"/>
    <w:rsid w:val="00C420E6"/>
    <w:rsid w:val="00C424A2"/>
    <w:rsid w:val="00C42E77"/>
    <w:rsid w:val="00C438A2"/>
    <w:rsid w:val="00C43D91"/>
    <w:rsid w:val="00C45888"/>
    <w:rsid w:val="00C45A67"/>
    <w:rsid w:val="00C45F80"/>
    <w:rsid w:val="00C46762"/>
    <w:rsid w:val="00C46E8B"/>
    <w:rsid w:val="00C47DE4"/>
    <w:rsid w:val="00C50ADE"/>
    <w:rsid w:val="00C532FA"/>
    <w:rsid w:val="00C5338B"/>
    <w:rsid w:val="00C53AE5"/>
    <w:rsid w:val="00C544C7"/>
    <w:rsid w:val="00C55C34"/>
    <w:rsid w:val="00C566CB"/>
    <w:rsid w:val="00C574D8"/>
    <w:rsid w:val="00C57810"/>
    <w:rsid w:val="00C602F6"/>
    <w:rsid w:val="00C6122B"/>
    <w:rsid w:val="00C61AD1"/>
    <w:rsid w:val="00C61C26"/>
    <w:rsid w:val="00C6215D"/>
    <w:rsid w:val="00C6289C"/>
    <w:rsid w:val="00C63C41"/>
    <w:rsid w:val="00C6477F"/>
    <w:rsid w:val="00C649BB"/>
    <w:rsid w:val="00C655DF"/>
    <w:rsid w:val="00C664A8"/>
    <w:rsid w:val="00C70FE1"/>
    <w:rsid w:val="00C72E1B"/>
    <w:rsid w:val="00C72EAA"/>
    <w:rsid w:val="00C74536"/>
    <w:rsid w:val="00C764BF"/>
    <w:rsid w:val="00C76C0B"/>
    <w:rsid w:val="00C802EC"/>
    <w:rsid w:val="00C80CA0"/>
    <w:rsid w:val="00C824BF"/>
    <w:rsid w:val="00C840D9"/>
    <w:rsid w:val="00C85A95"/>
    <w:rsid w:val="00C860F9"/>
    <w:rsid w:val="00C87F07"/>
    <w:rsid w:val="00C9010F"/>
    <w:rsid w:val="00C913BA"/>
    <w:rsid w:val="00C93267"/>
    <w:rsid w:val="00C93CDF"/>
    <w:rsid w:val="00C9509E"/>
    <w:rsid w:val="00C95863"/>
    <w:rsid w:val="00C95DFD"/>
    <w:rsid w:val="00C96A28"/>
    <w:rsid w:val="00CA1E01"/>
    <w:rsid w:val="00CA22C1"/>
    <w:rsid w:val="00CA281A"/>
    <w:rsid w:val="00CA4E85"/>
    <w:rsid w:val="00CA54F3"/>
    <w:rsid w:val="00CA6155"/>
    <w:rsid w:val="00CA6369"/>
    <w:rsid w:val="00CA63A3"/>
    <w:rsid w:val="00CA7B1E"/>
    <w:rsid w:val="00CB2111"/>
    <w:rsid w:val="00CB76D8"/>
    <w:rsid w:val="00CB7F74"/>
    <w:rsid w:val="00CC2253"/>
    <w:rsid w:val="00CC269A"/>
    <w:rsid w:val="00CC28F3"/>
    <w:rsid w:val="00CC3999"/>
    <w:rsid w:val="00CC3F36"/>
    <w:rsid w:val="00CC437A"/>
    <w:rsid w:val="00CC4CAA"/>
    <w:rsid w:val="00CC6FDF"/>
    <w:rsid w:val="00CC7AA8"/>
    <w:rsid w:val="00CD0496"/>
    <w:rsid w:val="00CD0565"/>
    <w:rsid w:val="00CD13D6"/>
    <w:rsid w:val="00CD1438"/>
    <w:rsid w:val="00CD1DA9"/>
    <w:rsid w:val="00CD2115"/>
    <w:rsid w:val="00CD2843"/>
    <w:rsid w:val="00CD39A4"/>
    <w:rsid w:val="00CD4205"/>
    <w:rsid w:val="00CD50CF"/>
    <w:rsid w:val="00CD55D9"/>
    <w:rsid w:val="00CD6481"/>
    <w:rsid w:val="00CD7ACE"/>
    <w:rsid w:val="00CE1F80"/>
    <w:rsid w:val="00CE24B7"/>
    <w:rsid w:val="00CE2680"/>
    <w:rsid w:val="00CE37B4"/>
    <w:rsid w:val="00CE3DE8"/>
    <w:rsid w:val="00CE48DA"/>
    <w:rsid w:val="00CE4CB3"/>
    <w:rsid w:val="00CE5042"/>
    <w:rsid w:val="00CE5DDC"/>
    <w:rsid w:val="00CE7556"/>
    <w:rsid w:val="00CF154E"/>
    <w:rsid w:val="00CF16C8"/>
    <w:rsid w:val="00CF27AF"/>
    <w:rsid w:val="00CF2BBF"/>
    <w:rsid w:val="00CF4044"/>
    <w:rsid w:val="00CF69B4"/>
    <w:rsid w:val="00CF7D25"/>
    <w:rsid w:val="00D0046F"/>
    <w:rsid w:val="00D0249F"/>
    <w:rsid w:val="00D0360A"/>
    <w:rsid w:val="00D04095"/>
    <w:rsid w:val="00D046E3"/>
    <w:rsid w:val="00D04D92"/>
    <w:rsid w:val="00D0574F"/>
    <w:rsid w:val="00D05A24"/>
    <w:rsid w:val="00D07B2E"/>
    <w:rsid w:val="00D12E90"/>
    <w:rsid w:val="00D132D0"/>
    <w:rsid w:val="00D14086"/>
    <w:rsid w:val="00D1462F"/>
    <w:rsid w:val="00D17F43"/>
    <w:rsid w:val="00D2004D"/>
    <w:rsid w:val="00D20999"/>
    <w:rsid w:val="00D20C93"/>
    <w:rsid w:val="00D213F3"/>
    <w:rsid w:val="00D22562"/>
    <w:rsid w:val="00D2409C"/>
    <w:rsid w:val="00D2448A"/>
    <w:rsid w:val="00D24A04"/>
    <w:rsid w:val="00D26172"/>
    <w:rsid w:val="00D30597"/>
    <w:rsid w:val="00D31B04"/>
    <w:rsid w:val="00D33972"/>
    <w:rsid w:val="00D33F68"/>
    <w:rsid w:val="00D34311"/>
    <w:rsid w:val="00D34599"/>
    <w:rsid w:val="00D377C7"/>
    <w:rsid w:val="00D404C0"/>
    <w:rsid w:val="00D41513"/>
    <w:rsid w:val="00D41CB6"/>
    <w:rsid w:val="00D41F50"/>
    <w:rsid w:val="00D43443"/>
    <w:rsid w:val="00D44072"/>
    <w:rsid w:val="00D451CC"/>
    <w:rsid w:val="00D45805"/>
    <w:rsid w:val="00D45CBD"/>
    <w:rsid w:val="00D46682"/>
    <w:rsid w:val="00D46692"/>
    <w:rsid w:val="00D47AA0"/>
    <w:rsid w:val="00D50245"/>
    <w:rsid w:val="00D51244"/>
    <w:rsid w:val="00D51CCB"/>
    <w:rsid w:val="00D540FE"/>
    <w:rsid w:val="00D548CD"/>
    <w:rsid w:val="00D554FB"/>
    <w:rsid w:val="00D55A42"/>
    <w:rsid w:val="00D57079"/>
    <w:rsid w:val="00D57D92"/>
    <w:rsid w:val="00D60516"/>
    <w:rsid w:val="00D62F97"/>
    <w:rsid w:val="00D63C7B"/>
    <w:rsid w:val="00D63F43"/>
    <w:rsid w:val="00D64682"/>
    <w:rsid w:val="00D647C7"/>
    <w:rsid w:val="00D659AE"/>
    <w:rsid w:val="00D666F0"/>
    <w:rsid w:val="00D713DC"/>
    <w:rsid w:val="00D71994"/>
    <w:rsid w:val="00D72644"/>
    <w:rsid w:val="00D72B30"/>
    <w:rsid w:val="00D746E1"/>
    <w:rsid w:val="00D751CE"/>
    <w:rsid w:val="00D75741"/>
    <w:rsid w:val="00D76BE7"/>
    <w:rsid w:val="00D77F6B"/>
    <w:rsid w:val="00D80BA2"/>
    <w:rsid w:val="00D80EE2"/>
    <w:rsid w:val="00D8241E"/>
    <w:rsid w:val="00D82875"/>
    <w:rsid w:val="00D834A0"/>
    <w:rsid w:val="00D83F1B"/>
    <w:rsid w:val="00D8469D"/>
    <w:rsid w:val="00D84AD5"/>
    <w:rsid w:val="00D86A74"/>
    <w:rsid w:val="00D90CAC"/>
    <w:rsid w:val="00D90FEA"/>
    <w:rsid w:val="00D913FC"/>
    <w:rsid w:val="00D92081"/>
    <w:rsid w:val="00D9418D"/>
    <w:rsid w:val="00D94380"/>
    <w:rsid w:val="00D956D9"/>
    <w:rsid w:val="00D96382"/>
    <w:rsid w:val="00D96E36"/>
    <w:rsid w:val="00D96ED0"/>
    <w:rsid w:val="00DA22AC"/>
    <w:rsid w:val="00DA5922"/>
    <w:rsid w:val="00DA6BE4"/>
    <w:rsid w:val="00DA6BF8"/>
    <w:rsid w:val="00DA7E82"/>
    <w:rsid w:val="00DB06E3"/>
    <w:rsid w:val="00DB14A2"/>
    <w:rsid w:val="00DB36F7"/>
    <w:rsid w:val="00DB3E33"/>
    <w:rsid w:val="00DB4632"/>
    <w:rsid w:val="00DB4CEA"/>
    <w:rsid w:val="00DB5A3C"/>
    <w:rsid w:val="00DB5A80"/>
    <w:rsid w:val="00DB6DE5"/>
    <w:rsid w:val="00DB6F03"/>
    <w:rsid w:val="00DB778C"/>
    <w:rsid w:val="00DB78CB"/>
    <w:rsid w:val="00DB79E2"/>
    <w:rsid w:val="00DC02B2"/>
    <w:rsid w:val="00DC050B"/>
    <w:rsid w:val="00DC292E"/>
    <w:rsid w:val="00DC5E75"/>
    <w:rsid w:val="00DC67F9"/>
    <w:rsid w:val="00DC764B"/>
    <w:rsid w:val="00DC7F71"/>
    <w:rsid w:val="00DD0744"/>
    <w:rsid w:val="00DD145B"/>
    <w:rsid w:val="00DD2316"/>
    <w:rsid w:val="00DD2B43"/>
    <w:rsid w:val="00DD2F69"/>
    <w:rsid w:val="00DD3133"/>
    <w:rsid w:val="00DD36CE"/>
    <w:rsid w:val="00DD4871"/>
    <w:rsid w:val="00DD4E1A"/>
    <w:rsid w:val="00DD546A"/>
    <w:rsid w:val="00DD57C1"/>
    <w:rsid w:val="00DD588A"/>
    <w:rsid w:val="00DD6053"/>
    <w:rsid w:val="00DD6B3F"/>
    <w:rsid w:val="00DD753C"/>
    <w:rsid w:val="00DE00D3"/>
    <w:rsid w:val="00DE145A"/>
    <w:rsid w:val="00DE1D41"/>
    <w:rsid w:val="00DE3DF2"/>
    <w:rsid w:val="00DE4B1C"/>
    <w:rsid w:val="00DE4C94"/>
    <w:rsid w:val="00DE4D3A"/>
    <w:rsid w:val="00DE5D2A"/>
    <w:rsid w:val="00DE68FE"/>
    <w:rsid w:val="00DE7942"/>
    <w:rsid w:val="00DF1430"/>
    <w:rsid w:val="00DF23BC"/>
    <w:rsid w:val="00DF25ED"/>
    <w:rsid w:val="00DF2871"/>
    <w:rsid w:val="00DF2C5C"/>
    <w:rsid w:val="00DF2FDB"/>
    <w:rsid w:val="00DF4B35"/>
    <w:rsid w:val="00DF4BFA"/>
    <w:rsid w:val="00DF4CEA"/>
    <w:rsid w:val="00DF5364"/>
    <w:rsid w:val="00E021A8"/>
    <w:rsid w:val="00E02EDB"/>
    <w:rsid w:val="00E046B9"/>
    <w:rsid w:val="00E05CE7"/>
    <w:rsid w:val="00E06A69"/>
    <w:rsid w:val="00E0791B"/>
    <w:rsid w:val="00E10F5D"/>
    <w:rsid w:val="00E12E08"/>
    <w:rsid w:val="00E130CE"/>
    <w:rsid w:val="00E14C95"/>
    <w:rsid w:val="00E1509D"/>
    <w:rsid w:val="00E16DE5"/>
    <w:rsid w:val="00E17D95"/>
    <w:rsid w:val="00E20BB9"/>
    <w:rsid w:val="00E22132"/>
    <w:rsid w:val="00E257C2"/>
    <w:rsid w:val="00E25F17"/>
    <w:rsid w:val="00E27240"/>
    <w:rsid w:val="00E30A95"/>
    <w:rsid w:val="00E3189A"/>
    <w:rsid w:val="00E33C78"/>
    <w:rsid w:val="00E33F4B"/>
    <w:rsid w:val="00E36382"/>
    <w:rsid w:val="00E3642C"/>
    <w:rsid w:val="00E40B21"/>
    <w:rsid w:val="00E42E9E"/>
    <w:rsid w:val="00E442F6"/>
    <w:rsid w:val="00E44C0F"/>
    <w:rsid w:val="00E44F29"/>
    <w:rsid w:val="00E45529"/>
    <w:rsid w:val="00E45574"/>
    <w:rsid w:val="00E4561B"/>
    <w:rsid w:val="00E45B5D"/>
    <w:rsid w:val="00E4633E"/>
    <w:rsid w:val="00E477D3"/>
    <w:rsid w:val="00E47CE4"/>
    <w:rsid w:val="00E5013F"/>
    <w:rsid w:val="00E50253"/>
    <w:rsid w:val="00E503D8"/>
    <w:rsid w:val="00E50477"/>
    <w:rsid w:val="00E507EF"/>
    <w:rsid w:val="00E508AE"/>
    <w:rsid w:val="00E536C2"/>
    <w:rsid w:val="00E53B5C"/>
    <w:rsid w:val="00E5476B"/>
    <w:rsid w:val="00E56BEC"/>
    <w:rsid w:val="00E579A3"/>
    <w:rsid w:val="00E6005C"/>
    <w:rsid w:val="00E604C9"/>
    <w:rsid w:val="00E629E8"/>
    <w:rsid w:val="00E63461"/>
    <w:rsid w:val="00E63AD0"/>
    <w:rsid w:val="00E6481C"/>
    <w:rsid w:val="00E64E81"/>
    <w:rsid w:val="00E65753"/>
    <w:rsid w:val="00E7019F"/>
    <w:rsid w:val="00E7206E"/>
    <w:rsid w:val="00E72630"/>
    <w:rsid w:val="00E732BB"/>
    <w:rsid w:val="00E74518"/>
    <w:rsid w:val="00E74C00"/>
    <w:rsid w:val="00E74E7B"/>
    <w:rsid w:val="00E80137"/>
    <w:rsid w:val="00E801DA"/>
    <w:rsid w:val="00E81293"/>
    <w:rsid w:val="00E81549"/>
    <w:rsid w:val="00E8385F"/>
    <w:rsid w:val="00E85A46"/>
    <w:rsid w:val="00E85DC9"/>
    <w:rsid w:val="00E87635"/>
    <w:rsid w:val="00E90F2A"/>
    <w:rsid w:val="00E94D53"/>
    <w:rsid w:val="00E9707D"/>
    <w:rsid w:val="00E97827"/>
    <w:rsid w:val="00E97C44"/>
    <w:rsid w:val="00EA206A"/>
    <w:rsid w:val="00EA326E"/>
    <w:rsid w:val="00EA3559"/>
    <w:rsid w:val="00EA3AA3"/>
    <w:rsid w:val="00EA3C93"/>
    <w:rsid w:val="00EA5336"/>
    <w:rsid w:val="00EA69C4"/>
    <w:rsid w:val="00EA6D6D"/>
    <w:rsid w:val="00EA6E19"/>
    <w:rsid w:val="00EA7F7D"/>
    <w:rsid w:val="00EB23F5"/>
    <w:rsid w:val="00EB3C05"/>
    <w:rsid w:val="00EB41E7"/>
    <w:rsid w:val="00EB50B5"/>
    <w:rsid w:val="00EB65A1"/>
    <w:rsid w:val="00EB7EFA"/>
    <w:rsid w:val="00EC28B8"/>
    <w:rsid w:val="00EC40D6"/>
    <w:rsid w:val="00EC4440"/>
    <w:rsid w:val="00EC518F"/>
    <w:rsid w:val="00EC5AF4"/>
    <w:rsid w:val="00EC5E88"/>
    <w:rsid w:val="00EC628E"/>
    <w:rsid w:val="00EC64FA"/>
    <w:rsid w:val="00EC6C79"/>
    <w:rsid w:val="00EC7C23"/>
    <w:rsid w:val="00ED0165"/>
    <w:rsid w:val="00ED043F"/>
    <w:rsid w:val="00ED0CAA"/>
    <w:rsid w:val="00ED0FB6"/>
    <w:rsid w:val="00ED2434"/>
    <w:rsid w:val="00ED34EF"/>
    <w:rsid w:val="00ED460C"/>
    <w:rsid w:val="00ED4CF3"/>
    <w:rsid w:val="00ED4D89"/>
    <w:rsid w:val="00ED528C"/>
    <w:rsid w:val="00ED54B4"/>
    <w:rsid w:val="00ED6B2B"/>
    <w:rsid w:val="00ED6CE2"/>
    <w:rsid w:val="00ED78DF"/>
    <w:rsid w:val="00ED791E"/>
    <w:rsid w:val="00EE0235"/>
    <w:rsid w:val="00EE1AFF"/>
    <w:rsid w:val="00EE34FE"/>
    <w:rsid w:val="00EE35CD"/>
    <w:rsid w:val="00EE3EC8"/>
    <w:rsid w:val="00EE4316"/>
    <w:rsid w:val="00EE43C9"/>
    <w:rsid w:val="00EE451C"/>
    <w:rsid w:val="00EE68B5"/>
    <w:rsid w:val="00EE6B02"/>
    <w:rsid w:val="00EE6D1B"/>
    <w:rsid w:val="00EF01CD"/>
    <w:rsid w:val="00EF141E"/>
    <w:rsid w:val="00EF26EC"/>
    <w:rsid w:val="00EF3E7C"/>
    <w:rsid w:val="00EF4AFC"/>
    <w:rsid w:val="00EF4E09"/>
    <w:rsid w:val="00EF6D19"/>
    <w:rsid w:val="00EF7CF7"/>
    <w:rsid w:val="00F00481"/>
    <w:rsid w:val="00F004C6"/>
    <w:rsid w:val="00F0078E"/>
    <w:rsid w:val="00F04669"/>
    <w:rsid w:val="00F063E9"/>
    <w:rsid w:val="00F067E0"/>
    <w:rsid w:val="00F06C82"/>
    <w:rsid w:val="00F06D39"/>
    <w:rsid w:val="00F06D9E"/>
    <w:rsid w:val="00F06FBC"/>
    <w:rsid w:val="00F075DA"/>
    <w:rsid w:val="00F07C85"/>
    <w:rsid w:val="00F101E2"/>
    <w:rsid w:val="00F10366"/>
    <w:rsid w:val="00F10C7B"/>
    <w:rsid w:val="00F119AE"/>
    <w:rsid w:val="00F120C4"/>
    <w:rsid w:val="00F13948"/>
    <w:rsid w:val="00F14A4D"/>
    <w:rsid w:val="00F15906"/>
    <w:rsid w:val="00F177C0"/>
    <w:rsid w:val="00F17AE5"/>
    <w:rsid w:val="00F17BC3"/>
    <w:rsid w:val="00F21276"/>
    <w:rsid w:val="00F31803"/>
    <w:rsid w:val="00F320C9"/>
    <w:rsid w:val="00F33B4D"/>
    <w:rsid w:val="00F34BF6"/>
    <w:rsid w:val="00F35751"/>
    <w:rsid w:val="00F35AFE"/>
    <w:rsid w:val="00F36EC5"/>
    <w:rsid w:val="00F36FBB"/>
    <w:rsid w:val="00F41245"/>
    <w:rsid w:val="00F43CEE"/>
    <w:rsid w:val="00F441DE"/>
    <w:rsid w:val="00F44B64"/>
    <w:rsid w:val="00F47063"/>
    <w:rsid w:val="00F475DF"/>
    <w:rsid w:val="00F50CC7"/>
    <w:rsid w:val="00F51A2C"/>
    <w:rsid w:val="00F557B9"/>
    <w:rsid w:val="00F5601E"/>
    <w:rsid w:val="00F56463"/>
    <w:rsid w:val="00F57131"/>
    <w:rsid w:val="00F617F8"/>
    <w:rsid w:val="00F62787"/>
    <w:rsid w:val="00F645B4"/>
    <w:rsid w:val="00F64A21"/>
    <w:rsid w:val="00F654F5"/>
    <w:rsid w:val="00F656A5"/>
    <w:rsid w:val="00F65B76"/>
    <w:rsid w:val="00F6637F"/>
    <w:rsid w:val="00F67F78"/>
    <w:rsid w:val="00F70CE6"/>
    <w:rsid w:val="00F71AF3"/>
    <w:rsid w:val="00F7513D"/>
    <w:rsid w:val="00F7636B"/>
    <w:rsid w:val="00F76853"/>
    <w:rsid w:val="00F8043C"/>
    <w:rsid w:val="00F8123F"/>
    <w:rsid w:val="00F81E6E"/>
    <w:rsid w:val="00F82F0B"/>
    <w:rsid w:val="00F84001"/>
    <w:rsid w:val="00F857CD"/>
    <w:rsid w:val="00F87746"/>
    <w:rsid w:val="00F87947"/>
    <w:rsid w:val="00F90058"/>
    <w:rsid w:val="00F90DFD"/>
    <w:rsid w:val="00F91D5D"/>
    <w:rsid w:val="00F937F3"/>
    <w:rsid w:val="00F93B31"/>
    <w:rsid w:val="00F95216"/>
    <w:rsid w:val="00F9597A"/>
    <w:rsid w:val="00F95E1F"/>
    <w:rsid w:val="00F976A8"/>
    <w:rsid w:val="00F97D7F"/>
    <w:rsid w:val="00FA0516"/>
    <w:rsid w:val="00FA06BE"/>
    <w:rsid w:val="00FA139D"/>
    <w:rsid w:val="00FA1884"/>
    <w:rsid w:val="00FA1B5A"/>
    <w:rsid w:val="00FA1C23"/>
    <w:rsid w:val="00FA1C41"/>
    <w:rsid w:val="00FA1EBE"/>
    <w:rsid w:val="00FA28DE"/>
    <w:rsid w:val="00FA59B2"/>
    <w:rsid w:val="00FA6157"/>
    <w:rsid w:val="00FA689A"/>
    <w:rsid w:val="00FA71E6"/>
    <w:rsid w:val="00FA72C2"/>
    <w:rsid w:val="00FB0043"/>
    <w:rsid w:val="00FB2756"/>
    <w:rsid w:val="00FB4A9B"/>
    <w:rsid w:val="00FB4F1F"/>
    <w:rsid w:val="00FB6BCA"/>
    <w:rsid w:val="00FB7038"/>
    <w:rsid w:val="00FB7EDE"/>
    <w:rsid w:val="00FC0347"/>
    <w:rsid w:val="00FC066E"/>
    <w:rsid w:val="00FC0AB4"/>
    <w:rsid w:val="00FC0E2A"/>
    <w:rsid w:val="00FC141A"/>
    <w:rsid w:val="00FC16F4"/>
    <w:rsid w:val="00FC1DE5"/>
    <w:rsid w:val="00FC27DA"/>
    <w:rsid w:val="00FC2827"/>
    <w:rsid w:val="00FC2E77"/>
    <w:rsid w:val="00FC2ECB"/>
    <w:rsid w:val="00FC2F77"/>
    <w:rsid w:val="00FC446C"/>
    <w:rsid w:val="00FC48AD"/>
    <w:rsid w:val="00FC7636"/>
    <w:rsid w:val="00FC799F"/>
    <w:rsid w:val="00FC7C6B"/>
    <w:rsid w:val="00FC7F81"/>
    <w:rsid w:val="00FD15BD"/>
    <w:rsid w:val="00FD2F7E"/>
    <w:rsid w:val="00FD3B2F"/>
    <w:rsid w:val="00FD3BF4"/>
    <w:rsid w:val="00FD4541"/>
    <w:rsid w:val="00FE03A1"/>
    <w:rsid w:val="00FE0747"/>
    <w:rsid w:val="00FE0C53"/>
    <w:rsid w:val="00FE2034"/>
    <w:rsid w:val="00FE3382"/>
    <w:rsid w:val="00FE6147"/>
    <w:rsid w:val="00FE61F7"/>
    <w:rsid w:val="00FE6325"/>
    <w:rsid w:val="00FF13F8"/>
    <w:rsid w:val="00FF19F2"/>
    <w:rsid w:val="00FF3A2D"/>
    <w:rsid w:val="00FF50B1"/>
    <w:rsid w:val="00FF64CA"/>
    <w:rsid w:val="01115B19"/>
    <w:rsid w:val="011D2955"/>
    <w:rsid w:val="01312FCE"/>
    <w:rsid w:val="013840C3"/>
    <w:rsid w:val="0139378E"/>
    <w:rsid w:val="01531C2F"/>
    <w:rsid w:val="01570887"/>
    <w:rsid w:val="016F27E7"/>
    <w:rsid w:val="01797DC6"/>
    <w:rsid w:val="01831488"/>
    <w:rsid w:val="0183453D"/>
    <w:rsid w:val="018508D0"/>
    <w:rsid w:val="019A3B52"/>
    <w:rsid w:val="01D43202"/>
    <w:rsid w:val="01DB319C"/>
    <w:rsid w:val="020D47D8"/>
    <w:rsid w:val="022A49B8"/>
    <w:rsid w:val="02316129"/>
    <w:rsid w:val="024154A7"/>
    <w:rsid w:val="0254342C"/>
    <w:rsid w:val="026378F3"/>
    <w:rsid w:val="027001A4"/>
    <w:rsid w:val="02746D61"/>
    <w:rsid w:val="027D00B1"/>
    <w:rsid w:val="02A231E1"/>
    <w:rsid w:val="02A82995"/>
    <w:rsid w:val="02B22312"/>
    <w:rsid w:val="02F4124E"/>
    <w:rsid w:val="02F72AA4"/>
    <w:rsid w:val="03060F81"/>
    <w:rsid w:val="030A2589"/>
    <w:rsid w:val="030C130F"/>
    <w:rsid w:val="030C697C"/>
    <w:rsid w:val="031214C2"/>
    <w:rsid w:val="031E6E19"/>
    <w:rsid w:val="032D239F"/>
    <w:rsid w:val="03455F4E"/>
    <w:rsid w:val="03477570"/>
    <w:rsid w:val="035A360D"/>
    <w:rsid w:val="035E5934"/>
    <w:rsid w:val="03B671EE"/>
    <w:rsid w:val="04011D74"/>
    <w:rsid w:val="04175703"/>
    <w:rsid w:val="043166A0"/>
    <w:rsid w:val="043A4DAA"/>
    <w:rsid w:val="046D7C52"/>
    <w:rsid w:val="0481705D"/>
    <w:rsid w:val="04A0281C"/>
    <w:rsid w:val="04DE2BC9"/>
    <w:rsid w:val="05076F90"/>
    <w:rsid w:val="052A2088"/>
    <w:rsid w:val="055E026D"/>
    <w:rsid w:val="057D69E2"/>
    <w:rsid w:val="058D57D2"/>
    <w:rsid w:val="05A0193A"/>
    <w:rsid w:val="05A03755"/>
    <w:rsid w:val="05A218F4"/>
    <w:rsid w:val="05BA6ECD"/>
    <w:rsid w:val="05E36731"/>
    <w:rsid w:val="05EA78BF"/>
    <w:rsid w:val="060379FA"/>
    <w:rsid w:val="06081B6F"/>
    <w:rsid w:val="060A2EF6"/>
    <w:rsid w:val="060C0620"/>
    <w:rsid w:val="061848E2"/>
    <w:rsid w:val="06236A7F"/>
    <w:rsid w:val="06261EED"/>
    <w:rsid w:val="062B37B6"/>
    <w:rsid w:val="064340F9"/>
    <w:rsid w:val="0648365F"/>
    <w:rsid w:val="064A12E8"/>
    <w:rsid w:val="06524776"/>
    <w:rsid w:val="068A5CBB"/>
    <w:rsid w:val="069D7EE6"/>
    <w:rsid w:val="06A8377C"/>
    <w:rsid w:val="06AC0501"/>
    <w:rsid w:val="06B14AF5"/>
    <w:rsid w:val="06E92A43"/>
    <w:rsid w:val="06FC4B75"/>
    <w:rsid w:val="07104177"/>
    <w:rsid w:val="07165382"/>
    <w:rsid w:val="071952FF"/>
    <w:rsid w:val="071A2D33"/>
    <w:rsid w:val="072018C2"/>
    <w:rsid w:val="07206880"/>
    <w:rsid w:val="0721638A"/>
    <w:rsid w:val="073F7CB8"/>
    <w:rsid w:val="07413A65"/>
    <w:rsid w:val="075901F6"/>
    <w:rsid w:val="079E606D"/>
    <w:rsid w:val="07B04961"/>
    <w:rsid w:val="07C87113"/>
    <w:rsid w:val="07CE2E09"/>
    <w:rsid w:val="07DD595F"/>
    <w:rsid w:val="07E76C04"/>
    <w:rsid w:val="07FA3DBD"/>
    <w:rsid w:val="08196AEE"/>
    <w:rsid w:val="084459C9"/>
    <w:rsid w:val="084E6A3C"/>
    <w:rsid w:val="08931509"/>
    <w:rsid w:val="08A54AA2"/>
    <w:rsid w:val="08B03DAC"/>
    <w:rsid w:val="08B762AF"/>
    <w:rsid w:val="08CD7BD6"/>
    <w:rsid w:val="08F24482"/>
    <w:rsid w:val="09292A93"/>
    <w:rsid w:val="09333F78"/>
    <w:rsid w:val="09351657"/>
    <w:rsid w:val="09685642"/>
    <w:rsid w:val="09756055"/>
    <w:rsid w:val="0976196F"/>
    <w:rsid w:val="09815806"/>
    <w:rsid w:val="09905A49"/>
    <w:rsid w:val="09A12204"/>
    <w:rsid w:val="09AA6736"/>
    <w:rsid w:val="09B62B0B"/>
    <w:rsid w:val="09D27A29"/>
    <w:rsid w:val="09F82490"/>
    <w:rsid w:val="0A177819"/>
    <w:rsid w:val="0A326B00"/>
    <w:rsid w:val="0A5A2D85"/>
    <w:rsid w:val="0A622F41"/>
    <w:rsid w:val="0A841FD0"/>
    <w:rsid w:val="0A872B2D"/>
    <w:rsid w:val="0AA03A6A"/>
    <w:rsid w:val="0AA96DC2"/>
    <w:rsid w:val="0AC0410C"/>
    <w:rsid w:val="0AD57322"/>
    <w:rsid w:val="0ADF5C12"/>
    <w:rsid w:val="0AEB7358"/>
    <w:rsid w:val="0B3A7C30"/>
    <w:rsid w:val="0B686CD2"/>
    <w:rsid w:val="0B7A4561"/>
    <w:rsid w:val="0B8D7DA2"/>
    <w:rsid w:val="0BA333AA"/>
    <w:rsid w:val="0BA56BF9"/>
    <w:rsid w:val="0BB239E9"/>
    <w:rsid w:val="0BBB2941"/>
    <w:rsid w:val="0BBC2B25"/>
    <w:rsid w:val="0BC65B7B"/>
    <w:rsid w:val="0BDB1103"/>
    <w:rsid w:val="0C0544CC"/>
    <w:rsid w:val="0C2904A2"/>
    <w:rsid w:val="0C360B29"/>
    <w:rsid w:val="0C480432"/>
    <w:rsid w:val="0C5137AD"/>
    <w:rsid w:val="0C6649C2"/>
    <w:rsid w:val="0C6A750D"/>
    <w:rsid w:val="0C807CE3"/>
    <w:rsid w:val="0C891C49"/>
    <w:rsid w:val="0C8C0CE0"/>
    <w:rsid w:val="0CAB09CA"/>
    <w:rsid w:val="0CAF34A3"/>
    <w:rsid w:val="0CCA3020"/>
    <w:rsid w:val="0CE54CE4"/>
    <w:rsid w:val="0D154302"/>
    <w:rsid w:val="0D1A7DB2"/>
    <w:rsid w:val="0D1F336B"/>
    <w:rsid w:val="0D4E21C4"/>
    <w:rsid w:val="0D540455"/>
    <w:rsid w:val="0D5761E7"/>
    <w:rsid w:val="0DAF6B00"/>
    <w:rsid w:val="0DB00467"/>
    <w:rsid w:val="0DB066B9"/>
    <w:rsid w:val="0DB514E2"/>
    <w:rsid w:val="0DC04CE2"/>
    <w:rsid w:val="0DE201D3"/>
    <w:rsid w:val="0E08050B"/>
    <w:rsid w:val="0E0E1730"/>
    <w:rsid w:val="0E166D97"/>
    <w:rsid w:val="0E5B1C79"/>
    <w:rsid w:val="0E7E0C6F"/>
    <w:rsid w:val="0E7F3BCD"/>
    <w:rsid w:val="0E851619"/>
    <w:rsid w:val="0E964A03"/>
    <w:rsid w:val="0EB63ABB"/>
    <w:rsid w:val="0ED92450"/>
    <w:rsid w:val="0EE041CB"/>
    <w:rsid w:val="0EEC778C"/>
    <w:rsid w:val="0EF366C5"/>
    <w:rsid w:val="0EF37117"/>
    <w:rsid w:val="0EFA0CA0"/>
    <w:rsid w:val="0F0260AC"/>
    <w:rsid w:val="0F31019B"/>
    <w:rsid w:val="0F321AD8"/>
    <w:rsid w:val="0F5E2F43"/>
    <w:rsid w:val="0F64150A"/>
    <w:rsid w:val="0F8D6B50"/>
    <w:rsid w:val="0F9B669D"/>
    <w:rsid w:val="0FB333AE"/>
    <w:rsid w:val="0FBC110F"/>
    <w:rsid w:val="0FC240F4"/>
    <w:rsid w:val="0FCC4E3A"/>
    <w:rsid w:val="0FD11D75"/>
    <w:rsid w:val="0FE32D76"/>
    <w:rsid w:val="0FEA282E"/>
    <w:rsid w:val="10092132"/>
    <w:rsid w:val="102072FA"/>
    <w:rsid w:val="1024194C"/>
    <w:rsid w:val="10350C32"/>
    <w:rsid w:val="10392996"/>
    <w:rsid w:val="106D2640"/>
    <w:rsid w:val="106F63B8"/>
    <w:rsid w:val="10702130"/>
    <w:rsid w:val="10752CEB"/>
    <w:rsid w:val="108135CF"/>
    <w:rsid w:val="10B35A73"/>
    <w:rsid w:val="10B93D1B"/>
    <w:rsid w:val="10BE3E04"/>
    <w:rsid w:val="10CB7366"/>
    <w:rsid w:val="10FF5C1B"/>
    <w:rsid w:val="1101791C"/>
    <w:rsid w:val="11041EE6"/>
    <w:rsid w:val="11064547"/>
    <w:rsid w:val="1110524C"/>
    <w:rsid w:val="1116392E"/>
    <w:rsid w:val="11457FEE"/>
    <w:rsid w:val="114D3A73"/>
    <w:rsid w:val="114E226A"/>
    <w:rsid w:val="115A17CF"/>
    <w:rsid w:val="11755B31"/>
    <w:rsid w:val="11767FF3"/>
    <w:rsid w:val="117874EE"/>
    <w:rsid w:val="11914AFB"/>
    <w:rsid w:val="11A402E3"/>
    <w:rsid w:val="11B5604C"/>
    <w:rsid w:val="11B90B64"/>
    <w:rsid w:val="11B96F13"/>
    <w:rsid w:val="11D67003"/>
    <w:rsid w:val="11FD07C1"/>
    <w:rsid w:val="1250459A"/>
    <w:rsid w:val="1269538D"/>
    <w:rsid w:val="12787CDD"/>
    <w:rsid w:val="128A7BF7"/>
    <w:rsid w:val="12945F88"/>
    <w:rsid w:val="12951A6B"/>
    <w:rsid w:val="12AB6F4C"/>
    <w:rsid w:val="12AF7E37"/>
    <w:rsid w:val="12B34A15"/>
    <w:rsid w:val="12CF59E8"/>
    <w:rsid w:val="12EC460E"/>
    <w:rsid w:val="1303345D"/>
    <w:rsid w:val="131E3211"/>
    <w:rsid w:val="134753CA"/>
    <w:rsid w:val="134A1B2B"/>
    <w:rsid w:val="134E3743"/>
    <w:rsid w:val="137220F3"/>
    <w:rsid w:val="13D4128A"/>
    <w:rsid w:val="13E0722A"/>
    <w:rsid w:val="13EE637E"/>
    <w:rsid w:val="13F05E65"/>
    <w:rsid w:val="1408676B"/>
    <w:rsid w:val="14184FB8"/>
    <w:rsid w:val="14264850"/>
    <w:rsid w:val="14397409"/>
    <w:rsid w:val="144109CB"/>
    <w:rsid w:val="14560C4C"/>
    <w:rsid w:val="14754F2B"/>
    <w:rsid w:val="14796D08"/>
    <w:rsid w:val="147F0B94"/>
    <w:rsid w:val="1494138F"/>
    <w:rsid w:val="14BD0673"/>
    <w:rsid w:val="14BE7B39"/>
    <w:rsid w:val="14F02AB4"/>
    <w:rsid w:val="14F75C2C"/>
    <w:rsid w:val="151204EB"/>
    <w:rsid w:val="151933B7"/>
    <w:rsid w:val="152662C1"/>
    <w:rsid w:val="153636E4"/>
    <w:rsid w:val="156449E7"/>
    <w:rsid w:val="15681628"/>
    <w:rsid w:val="15690030"/>
    <w:rsid w:val="1579329E"/>
    <w:rsid w:val="158A5CE5"/>
    <w:rsid w:val="15D030B6"/>
    <w:rsid w:val="15D2352F"/>
    <w:rsid w:val="15F66164"/>
    <w:rsid w:val="160F5C48"/>
    <w:rsid w:val="16574435"/>
    <w:rsid w:val="166679DB"/>
    <w:rsid w:val="166C2945"/>
    <w:rsid w:val="1670731A"/>
    <w:rsid w:val="167E6457"/>
    <w:rsid w:val="168C097F"/>
    <w:rsid w:val="16AE7042"/>
    <w:rsid w:val="16B80030"/>
    <w:rsid w:val="16BF1147"/>
    <w:rsid w:val="16DA5964"/>
    <w:rsid w:val="16EB7512"/>
    <w:rsid w:val="17271FF1"/>
    <w:rsid w:val="174E0593"/>
    <w:rsid w:val="17707100"/>
    <w:rsid w:val="179C0BCE"/>
    <w:rsid w:val="17BA5F49"/>
    <w:rsid w:val="17C07C32"/>
    <w:rsid w:val="17C36A94"/>
    <w:rsid w:val="17CE4F1B"/>
    <w:rsid w:val="17D366F2"/>
    <w:rsid w:val="180B4D80"/>
    <w:rsid w:val="180C2574"/>
    <w:rsid w:val="181E7808"/>
    <w:rsid w:val="18217BA4"/>
    <w:rsid w:val="18276508"/>
    <w:rsid w:val="182E29AC"/>
    <w:rsid w:val="182E5BF7"/>
    <w:rsid w:val="18364E5C"/>
    <w:rsid w:val="183923CC"/>
    <w:rsid w:val="18496DE3"/>
    <w:rsid w:val="185232C7"/>
    <w:rsid w:val="185244D1"/>
    <w:rsid w:val="185465F6"/>
    <w:rsid w:val="185B5474"/>
    <w:rsid w:val="185D512A"/>
    <w:rsid w:val="18671E9E"/>
    <w:rsid w:val="186938B7"/>
    <w:rsid w:val="187E1824"/>
    <w:rsid w:val="18F224C9"/>
    <w:rsid w:val="190426B9"/>
    <w:rsid w:val="190C421B"/>
    <w:rsid w:val="19107799"/>
    <w:rsid w:val="19573E8D"/>
    <w:rsid w:val="19632DB3"/>
    <w:rsid w:val="19691E83"/>
    <w:rsid w:val="197D7F56"/>
    <w:rsid w:val="199B298D"/>
    <w:rsid w:val="19AB6542"/>
    <w:rsid w:val="19B14D58"/>
    <w:rsid w:val="19B66515"/>
    <w:rsid w:val="19E555DC"/>
    <w:rsid w:val="19ED6FF5"/>
    <w:rsid w:val="1A203063"/>
    <w:rsid w:val="1AB96C34"/>
    <w:rsid w:val="1AC46368"/>
    <w:rsid w:val="1AC807BA"/>
    <w:rsid w:val="1AE87493"/>
    <w:rsid w:val="1AF358E9"/>
    <w:rsid w:val="1AFA077C"/>
    <w:rsid w:val="1B1A7F06"/>
    <w:rsid w:val="1B1D4C4E"/>
    <w:rsid w:val="1B247A42"/>
    <w:rsid w:val="1B4548E5"/>
    <w:rsid w:val="1B601C8B"/>
    <w:rsid w:val="1B8D1DE8"/>
    <w:rsid w:val="1BAF16D7"/>
    <w:rsid w:val="1BD527FB"/>
    <w:rsid w:val="1BE70A2E"/>
    <w:rsid w:val="1BF920A3"/>
    <w:rsid w:val="1C046376"/>
    <w:rsid w:val="1C4850F5"/>
    <w:rsid w:val="1C5A43C0"/>
    <w:rsid w:val="1C692664"/>
    <w:rsid w:val="1C6B65AE"/>
    <w:rsid w:val="1C706441"/>
    <w:rsid w:val="1C812CB2"/>
    <w:rsid w:val="1C98733F"/>
    <w:rsid w:val="1CA05783"/>
    <w:rsid w:val="1CA90611"/>
    <w:rsid w:val="1CB90E55"/>
    <w:rsid w:val="1CC15DCB"/>
    <w:rsid w:val="1CDC4D20"/>
    <w:rsid w:val="1CE55B95"/>
    <w:rsid w:val="1D0D796C"/>
    <w:rsid w:val="1D3637B7"/>
    <w:rsid w:val="1D417FC2"/>
    <w:rsid w:val="1D571472"/>
    <w:rsid w:val="1D7644E2"/>
    <w:rsid w:val="1D774AFE"/>
    <w:rsid w:val="1D860DFD"/>
    <w:rsid w:val="1DA57E20"/>
    <w:rsid w:val="1DDA7F85"/>
    <w:rsid w:val="1E0D5153"/>
    <w:rsid w:val="1E1020B1"/>
    <w:rsid w:val="1E257EF0"/>
    <w:rsid w:val="1E332637"/>
    <w:rsid w:val="1E614138"/>
    <w:rsid w:val="1E756442"/>
    <w:rsid w:val="1E7C3D2C"/>
    <w:rsid w:val="1EAE27ED"/>
    <w:rsid w:val="1EBF224F"/>
    <w:rsid w:val="1EC83421"/>
    <w:rsid w:val="1EE54D9B"/>
    <w:rsid w:val="1EE76CC2"/>
    <w:rsid w:val="1EE82AC9"/>
    <w:rsid w:val="1EF02DBA"/>
    <w:rsid w:val="1EF67CA4"/>
    <w:rsid w:val="1F0440EA"/>
    <w:rsid w:val="1F1A6718"/>
    <w:rsid w:val="1F1F1647"/>
    <w:rsid w:val="1F444AA3"/>
    <w:rsid w:val="1F461130"/>
    <w:rsid w:val="1F5076F3"/>
    <w:rsid w:val="1F680C44"/>
    <w:rsid w:val="1F8376C5"/>
    <w:rsid w:val="1F8F49EB"/>
    <w:rsid w:val="1FA0171F"/>
    <w:rsid w:val="1FAE3114"/>
    <w:rsid w:val="1FB321FD"/>
    <w:rsid w:val="1FB42B93"/>
    <w:rsid w:val="1FBF3122"/>
    <w:rsid w:val="1FC972B5"/>
    <w:rsid w:val="1FCD6CB1"/>
    <w:rsid w:val="1FD2426D"/>
    <w:rsid w:val="1FD31DC3"/>
    <w:rsid w:val="1FD97438"/>
    <w:rsid w:val="1FDE1DC0"/>
    <w:rsid w:val="201D3832"/>
    <w:rsid w:val="203929A5"/>
    <w:rsid w:val="2039708F"/>
    <w:rsid w:val="20566D27"/>
    <w:rsid w:val="2059536D"/>
    <w:rsid w:val="207044A5"/>
    <w:rsid w:val="20790B8D"/>
    <w:rsid w:val="20800FE2"/>
    <w:rsid w:val="208B19DD"/>
    <w:rsid w:val="209E6A55"/>
    <w:rsid w:val="20DE357A"/>
    <w:rsid w:val="20E27647"/>
    <w:rsid w:val="20E424AA"/>
    <w:rsid w:val="2110329F"/>
    <w:rsid w:val="211F2B68"/>
    <w:rsid w:val="21233B6B"/>
    <w:rsid w:val="214C0CAD"/>
    <w:rsid w:val="2169685C"/>
    <w:rsid w:val="216F5067"/>
    <w:rsid w:val="21724401"/>
    <w:rsid w:val="218B377C"/>
    <w:rsid w:val="218D591F"/>
    <w:rsid w:val="21C35F1E"/>
    <w:rsid w:val="21D346AF"/>
    <w:rsid w:val="21F52EEB"/>
    <w:rsid w:val="22054EBA"/>
    <w:rsid w:val="220E5D0D"/>
    <w:rsid w:val="22176285"/>
    <w:rsid w:val="22197663"/>
    <w:rsid w:val="22261312"/>
    <w:rsid w:val="22263816"/>
    <w:rsid w:val="224366C4"/>
    <w:rsid w:val="2254723A"/>
    <w:rsid w:val="2255795E"/>
    <w:rsid w:val="227453DF"/>
    <w:rsid w:val="22981651"/>
    <w:rsid w:val="22A41BE1"/>
    <w:rsid w:val="22A67FDA"/>
    <w:rsid w:val="22CB0257"/>
    <w:rsid w:val="22CC3193"/>
    <w:rsid w:val="22CE7213"/>
    <w:rsid w:val="22CE7D05"/>
    <w:rsid w:val="23041987"/>
    <w:rsid w:val="23051A6A"/>
    <w:rsid w:val="230A1C12"/>
    <w:rsid w:val="23147543"/>
    <w:rsid w:val="23165DAD"/>
    <w:rsid w:val="231F3E74"/>
    <w:rsid w:val="232455CD"/>
    <w:rsid w:val="23262F73"/>
    <w:rsid w:val="23444890"/>
    <w:rsid w:val="23457B9E"/>
    <w:rsid w:val="23593F78"/>
    <w:rsid w:val="23715B1A"/>
    <w:rsid w:val="23855686"/>
    <w:rsid w:val="238E67FF"/>
    <w:rsid w:val="23973C9E"/>
    <w:rsid w:val="23A210F0"/>
    <w:rsid w:val="23B64696"/>
    <w:rsid w:val="23BB43E8"/>
    <w:rsid w:val="23E171CE"/>
    <w:rsid w:val="23EE53EE"/>
    <w:rsid w:val="23F971DB"/>
    <w:rsid w:val="24171AC2"/>
    <w:rsid w:val="24173864"/>
    <w:rsid w:val="246F5DAF"/>
    <w:rsid w:val="247E76DD"/>
    <w:rsid w:val="249738DE"/>
    <w:rsid w:val="249C1BE8"/>
    <w:rsid w:val="25070282"/>
    <w:rsid w:val="254576D4"/>
    <w:rsid w:val="255C3C0E"/>
    <w:rsid w:val="25635456"/>
    <w:rsid w:val="256A366E"/>
    <w:rsid w:val="257A000D"/>
    <w:rsid w:val="25A3201B"/>
    <w:rsid w:val="25A71C42"/>
    <w:rsid w:val="25C37261"/>
    <w:rsid w:val="25D9690F"/>
    <w:rsid w:val="26012016"/>
    <w:rsid w:val="260C0C79"/>
    <w:rsid w:val="260F18CA"/>
    <w:rsid w:val="260F1E5A"/>
    <w:rsid w:val="26173B6F"/>
    <w:rsid w:val="2643564F"/>
    <w:rsid w:val="264F2FF3"/>
    <w:rsid w:val="26573321"/>
    <w:rsid w:val="26614687"/>
    <w:rsid w:val="266B72AF"/>
    <w:rsid w:val="269074BB"/>
    <w:rsid w:val="26B415CC"/>
    <w:rsid w:val="26C357C5"/>
    <w:rsid w:val="26CC22C2"/>
    <w:rsid w:val="26EA6965"/>
    <w:rsid w:val="26EF0F68"/>
    <w:rsid w:val="26FF6A2D"/>
    <w:rsid w:val="27116E14"/>
    <w:rsid w:val="27123E54"/>
    <w:rsid w:val="272B4588"/>
    <w:rsid w:val="27351355"/>
    <w:rsid w:val="27392E24"/>
    <w:rsid w:val="275910BF"/>
    <w:rsid w:val="275D4D64"/>
    <w:rsid w:val="27604855"/>
    <w:rsid w:val="278C5E46"/>
    <w:rsid w:val="279156C4"/>
    <w:rsid w:val="27986ECE"/>
    <w:rsid w:val="27B47943"/>
    <w:rsid w:val="27B95B31"/>
    <w:rsid w:val="27E774BE"/>
    <w:rsid w:val="27F32686"/>
    <w:rsid w:val="27F805AF"/>
    <w:rsid w:val="28051E63"/>
    <w:rsid w:val="28065902"/>
    <w:rsid w:val="281F39ED"/>
    <w:rsid w:val="283317EA"/>
    <w:rsid w:val="283F665A"/>
    <w:rsid w:val="28402B5E"/>
    <w:rsid w:val="28621C7F"/>
    <w:rsid w:val="28852586"/>
    <w:rsid w:val="288F719F"/>
    <w:rsid w:val="289E31B0"/>
    <w:rsid w:val="28B648D9"/>
    <w:rsid w:val="28FD2D51"/>
    <w:rsid w:val="28FE3DDA"/>
    <w:rsid w:val="290D2120"/>
    <w:rsid w:val="29233D8C"/>
    <w:rsid w:val="292420CD"/>
    <w:rsid w:val="292D1081"/>
    <w:rsid w:val="293A26DA"/>
    <w:rsid w:val="293B5331"/>
    <w:rsid w:val="29477A7A"/>
    <w:rsid w:val="29532732"/>
    <w:rsid w:val="29606AF1"/>
    <w:rsid w:val="2964258A"/>
    <w:rsid w:val="29663C82"/>
    <w:rsid w:val="296A7E25"/>
    <w:rsid w:val="298432E5"/>
    <w:rsid w:val="298F1421"/>
    <w:rsid w:val="29911725"/>
    <w:rsid w:val="299F54DA"/>
    <w:rsid w:val="299F78B6"/>
    <w:rsid w:val="29B328DF"/>
    <w:rsid w:val="29BB30CC"/>
    <w:rsid w:val="29CA4E9C"/>
    <w:rsid w:val="29FB0EEE"/>
    <w:rsid w:val="2A0A5C99"/>
    <w:rsid w:val="2A8A049E"/>
    <w:rsid w:val="2AA754F3"/>
    <w:rsid w:val="2AB33D71"/>
    <w:rsid w:val="2AD058BE"/>
    <w:rsid w:val="2AF50752"/>
    <w:rsid w:val="2B0218DB"/>
    <w:rsid w:val="2B1128C1"/>
    <w:rsid w:val="2B380E5B"/>
    <w:rsid w:val="2B4012D0"/>
    <w:rsid w:val="2B536F21"/>
    <w:rsid w:val="2B7A3C88"/>
    <w:rsid w:val="2B9B2C3A"/>
    <w:rsid w:val="2BC1178C"/>
    <w:rsid w:val="2BD97A80"/>
    <w:rsid w:val="2BE7317C"/>
    <w:rsid w:val="2BF62852"/>
    <w:rsid w:val="2C006A04"/>
    <w:rsid w:val="2C0E6545"/>
    <w:rsid w:val="2C3D6D8F"/>
    <w:rsid w:val="2C4D25A4"/>
    <w:rsid w:val="2C554743"/>
    <w:rsid w:val="2C5A1872"/>
    <w:rsid w:val="2C5E18A2"/>
    <w:rsid w:val="2C637E3C"/>
    <w:rsid w:val="2C713EE8"/>
    <w:rsid w:val="2C7D570A"/>
    <w:rsid w:val="2C9E484A"/>
    <w:rsid w:val="2CBE62A5"/>
    <w:rsid w:val="2CF14FE6"/>
    <w:rsid w:val="2CF41B74"/>
    <w:rsid w:val="2D18338A"/>
    <w:rsid w:val="2D275BA3"/>
    <w:rsid w:val="2D2A56E9"/>
    <w:rsid w:val="2D400202"/>
    <w:rsid w:val="2D4921EF"/>
    <w:rsid w:val="2D761FE1"/>
    <w:rsid w:val="2D8079FF"/>
    <w:rsid w:val="2D8E0EF7"/>
    <w:rsid w:val="2D9D1BEA"/>
    <w:rsid w:val="2DA0589D"/>
    <w:rsid w:val="2DAA682A"/>
    <w:rsid w:val="2DC70C24"/>
    <w:rsid w:val="2DD934D4"/>
    <w:rsid w:val="2DE25FC3"/>
    <w:rsid w:val="2E0E0B66"/>
    <w:rsid w:val="2E3920B9"/>
    <w:rsid w:val="2E4F2E86"/>
    <w:rsid w:val="2E653E92"/>
    <w:rsid w:val="2E760DC3"/>
    <w:rsid w:val="2E7C78CA"/>
    <w:rsid w:val="2EBA6F40"/>
    <w:rsid w:val="2EDC77C1"/>
    <w:rsid w:val="2EE83FFA"/>
    <w:rsid w:val="2F0B211E"/>
    <w:rsid w:val="2F7112CC"/>
    <w:rsid w:val="2FA572A9"/>
    <w:rsid w:val="2FA861E1"/>
    <w:rsid w:val="2FA96FD3"/>
    <w:rsid w:val="2FB2548D"/>
    <w:rsid w:val="2FBC29D3"/>
    <w:rsid w:val="2FC36C4E"/>
    <w:rsid w:val="30017308"/>
    <w:rsid w:val="30197863"/>
    <w:rsid w:val="302217C5"/>
    <w:rsid w:val="30530207"/>
    <w:rsid w:val="305E1F06"/>
    <w:rsid w:val="30825F87"/>
    <w:rsid w:val="30A16B37"/>
    <w:rsid w:val="30A35E59"/>
    <w:rsid w:val="30AB11D0"/>
    <w:rsid w:val="30C96FC7"/>
    <w:rsid w:val="30D35CC2"/>
    <w:rsid w:val="30D96BFA"/>
    <w:rsid w:val="30E233C0"/>
    <w:rsid w:val="30E72080"/>
    <w:rsid w:val="30E80B4C"/>
    <w:rsid w:val="31024912"/>
    <w:rsid w:val="31144C77"/>
    <w:rsid w:val="31191AA6"/>
    <w:rsid w:val="31600BD9"/>
    <w:rsid w:val="3164080A"/>
    <w:rsid w:val="316A2DFD"/>
    <w:rsid w:val="31740B8C"/>
    <w:rsid w:val="318D09DE"/>
    <w:rsid w:val="319064E7"/>
    <w:rsid w:val="319331E3"/>
    <w:rsid w:val="31A95E27"/>
    <w:rsid w:val="31B22390"/>
    <w:rsid w:val="31B862AC"/>
    <w:rsid w:val="31DD5420"/>
    <w:rsid w:val="31FF437A"/>
    <w:rsid w:val="32191775"/>
    <w:rsid w:val="327637D6"/>
    <w:rsid w:val="32977517"/>
    <w:rsid w:val="329B0E37"/>
    <w:rsid w:val="32EF4071"/>
    <w:rsid w:val="32F42B33"/>
    <w:rsid w:val="32FC18D5"/>
    <w:rsid w:val="330501F6"/>
    <w:rsid w:val="331B306F"/>
    <w:rsid w:val="331C5394"/>
    <w:rsid w:val="33356376"/>
    <w:rsid w:val="33404098"/>
    <w:rsid w:val="335D0B51"/>
    <w:rsid w:val="335F6A40"/>
    <w:rsid w:val="336D3876"/>
    <w:rsid w:val="33743B62"/>
    <w:rsid w:val="33746DD8"/>
    <w:rsid w:val="33874918"/>
    <w:rsid w:val="33955BF3"/>
    <w:rsid w:val="33A51D26"/>
    <w:rsid w:val="33BB353F"/>
    <w:rsid w:val="33C14AFB"/>
    <w:rsid w:val="33D4015C"/>
    <w:rsid w:val="33E26AEF"/>
    <w:rsid w:val="33F013AE"/>
    <w:rsid w:val="34093BEC"/>
    <w:rsid w:val="341C7F56"/>
    <w:rsid w:val="342E077B"/>
    <w:rsid w:val="342E2998"/>
    <w:rsid w:val="343F50AA"/>
    <w:rsid w:val="344F7751"/>
    <w:rsid w:val="345B6DFB"/>
    <w:rsid w:val="346910D7"/>
    <w:rsid w:val="348002E4"/>
    <w:rsid w:val="34A63A09"/>
    <w:rsid w:val="34A90068"/>
    <w:rsid w:val="34B9286C"/>
    <w:rsid w:val="350C1B78"/>
    <w:rsid w:val="3513569B"/>
    <w:rsid w:val="352011B6"/>
    <w:rsid w:val="3524125B"/>
    <w:rsid w:val="353617C1"/>
    <w:rsid w:val="353C7231"/>
    <w:rsid w:val="354632DC"/>
    <w:rsid w:val="359D682E"/>
    <w:rsid w:val="35C67F79"/>
    <w:rsid w:val="35CB1A33"/>
    <w:rsid w:val="35CB23D2"/>
    <w:rsid w:val="35F81F9A"/>
    <w:rsid w:val="36240AB2"/>
    <w:rsid w:val="36310B5F"/>
    <w:rsid w:val="363F7524"/>
    <w:rsid w:val="36476D96"/>
    <w:rsid w:val="365A34BC"/>
    <w:rsid w:val="367A016E"/>
    <w:rsid w:val="368238CA"/>
    <w:rsid w:val="36840A7D"/>
    <w:rsid w:val="369414DD"/>
    <w:rsid w:val="36CA30C3"/>
    <w:rsid w:val="36F856AA"/>
    <w:rsid w:val="3701203B"/>
    <w:rsid w:val="37130A00"/>
    <w:rsid w:val="373873CF"/>
    <w:rsid w:val="376E0CFE"/>
    <w:rsid w:val="37A1466C"/>
    <w:rsid w:val="37B355BD"/>
    <w:rsid w:val="38022573"/>
    <w:rsid w:val="380C5999"/>
    <w:rsid w:val="38227B21"/>
    <w:rsid w:val="38506374"/>
    <w:rsid w:val="38513B03"/>
    <w:rsid w:val="38803F2B"/>
    <w:rsid w:val="389D5348"/>
    <w:rsid w:val="38B30C88"/>
    <w:rsid w:val="38B44069"/>
    <w:rsid w:val="38D27C52"/>
    <w:rsid w:val="38D819F5"/>
    <w:rsid w:val="38E644AD"/>
    <w:rsid w:val="39324DFB"/>
    <w:rsid w:val="393D67A4"/>
    <w:rsid w:val="394356C1"/>
    <w:rsid w:val="39525501"/>
    <w:rsid w:val="39A66576"/>
    <w:rsid w:val="39C56E8F"/>
    <w:rsid w:val="39C66BB3"/>
    <w:rsid w:val="39CA50CF"/>
    <w:rsid w:val="39D35D53"/>
    <w:rsid w:val="39F52DBF"/>
    <w:rsid w:val="39F552D0"/>
    <w:rsid w:val="3A0550CD"/>
    <w:rsid w:val="3A1A44E3"/>
    <w:rsid w:val="3A2247C3"/>
    <w:rsid w:val="3A2F5723"/>
    <w:rsid w:val="3A595C63"/>
    <w:rsid w:val="3A6002EC"/>
    <w:rsid w:val="3A706E2E"/>
    <w:rsid w:val="3A7B0D84"/>
    <w:rsid w:val="3A9B5E78"/>
    <w:rsid w:val="3AD46181"/>
    <w:rsid w:val="3AD76784"/>
    <w:rsid w:val="3ADC2B83"/>
    <w:rsid w:val="3AF75C06"/>
    <w:rsid w:val="3B275E7C"/>
    <w:rsid w:val="3B337AE5"/>
    <w:rsid w:val="3B34287C"/>
    <w:rsid w:val="3B435BFD"/>
    <w:rsid w:val="3B57150A"/>
    <w:rsid w:val="3B851485"/>
    <w:rsid w:val="3B870D5A"/>
    <w:rsid w:val="3BAE5B4E"/>
    <w:rsid w:val="3BB854E6"/>
    <w:rsid w:val="3BDF20DE"/>
    <w:rsid w:val="3BE46C58"/>
    <w:rsid w:val="3C0E312C"/>
    <w:rsid w:val="3C125F23"/>
    <w:rsid w:val="3C185099"/>
    <w:rsid w:val="3C64516F"/>
    <w:rsid w:val="3CDB2409"/>
    <w:rsid w:val="3CF16B08"/>
    <w:rsid w:val="3D234703"/>
    <w:rsid w:val="3D3D76D7"/>
    <w:rsid w:val="3D41145A"/>
    <w:rsid w:val="3D683120"/>
    <w:rsid w:val="3D735FCD"/>
    <w:rsid w:val="3D902001"/>
    <w:rsid w:val="3DBD59F8"/>
    <w:rsid w:val="3DBD73DD"/>
    <w:rsid w:val="3DC7056E"/>
    <w:rsid w:val="3DE73D3F"/>
    <w:rsid w:val="3DF2123B"/>
    <w:rsid w:val="3DFE0E7D"/>
    <w:rsid w:val="3E197BF0"/>
    <w:rsid w:val="3E1C65F6"/>
    <w:rsid w:val="3E287A9F"/>
    <w:rsid w:val="3E300B3D"/>
    <w:rsid w:val="3E31176C"/>
    <w:rsid w:val="3E3F701F"/>
    <w:rsid w:val="3E463134"/>
    <w:rsid w:val="3E6334E7"/>
    <w:rsid w:val="3E78424B"/>
    <w:rsid w:val="3EED6576"/>
    <w:rsid w:val="3EF56308"/>
    <w:rsid w:val="3EFC1E43"/>
    <w:rsid w:val="3F317DCD"/>
    <w:rsid w:val="3F4832CD"/>
    <w:rsid w:val="3F50084A"/>
    <w:rsid w:val="3F732B39"/>
    <w:rsid w:val="3F770D52"/>
    <w:rsid w:val="3F785466"/>
    <w:rsid w:val="3F7E440F"/>
    <w:rsid w:val="3F851DC1"/>
    <w:rsid w:val="3FE61FB7"/>
    <w:rsid w:val="3FE76BF2"/>
    <w:rsid w:val="40345DC0"/>
    <w:rsid w:val="403A296A"/>
    <w:rsid w:val="40592D90"/>
    <w:rsid w:val="408B0022"/>
    <w:rsid w:val="408F01FF"/>
    <w:rsid w:val="40A02FB4"/>
    <w:rsid w:val="40B958E6"/>
    <w:rsid w:val="40BF7250"/>
    <w:rsid w:val="40C116B6"/>
    <w:rsid w:val="40CF393B"/>
    <w:rsid w:val="40E165AE"/>
    <w:rsid w:val="40E64874"/>
    <w:rsid w:val="411A3C2E"/>
    <w:rsid w:val="4144601E"/>
    <w:rsid w:val="415648A7"/>
    <w:rsid w:val="416F4811"/>
    <w:rsid w:val="417149B4"/>
    <w:rsid w:val="41761D6B"/>
    <w:rsid w:val="417B091F"/>
    <w:rsid w:val="418238EE"/>
    <w:rsid w:val="41A57FDF"/>
    <w:rsid w:val="41AC50C9"/>
    <w:rsid w:val="41B0642A"/>
    <w:rsid w:val="41D47143"/>
    <w:rsid w:val="41E2754C"/>
    <w:rsid w:val="41E41EB2"/>
    <w:rsid w:val="41F14E3F"/>
    <w:rsid w:val="42147DED"/>
    <w:rsid w:val="422B389D"/>
    <w:rsid w:val="4244593C"/>
    <w:rsid w:val="42520DEA"/>
    <w:rsid w:val="42670C19"/>
    <w:rsid w:val="426D0845"/>
    <w:rsid w:val="428C577E"/>
    <w:rsid w:val="42944BED"/>
    <w:rsid w:val="42957651"/>
    <w:rsid w:val="42AC1902"/>
    <w:rsid w:val="42C35F6C"/>
    <w:rsid w:val="42D05A12"/>
    <w:rsid w:val="42E20F30"/>
    <w:rsid w:val="42E66FC5"/>
    <w:rsid w:val="42E76A0E"/>
    <w:rsid w:val="42EC00D8"/>
    <w:rsid w:val="42F76CF5"/>
    <w:rsid w:val="43166D1E"/>
    <w:rsid w:val="431C167A"/>
    <w:rsid w:val="43264004"/>
    <w:rsid w:val="43393E5D"/>
    <w:rsid w:val="435B2648"/>
    <w:rsid w:val="43661FA0"/>
    <w:rsid w:val="437421E0"/>
    <w:rsid w:val="438B1380"/>
    <w:rsid w:val="438F3EB4"/>
    <w:rsid w:val="43953838"/>
    <w:rsid w:val="43A3648A"/>
    <w:rsid w:val="43B0496A"/>
    <w:rsid w:val="43C11799"/>
    <w:rsid w:val="43CB6FE2"/>
    <w:rsid w:val="43D0274E"/>
    <w:rsid w:val="43DB1093"/>
    <w:rsid w:val="43E73A30"/>
    <w:rsid w:val="43E84F07"/>
    <w:rsid w:val="44150E3F"/>
    <w:rsid w:val="441C3663"/>
    <w:rsid w:val="443063F6"/>
    <w:rsid w:val="443D2C73"/>
    <w:rsid w:val="44406040"/>
    <w:rsid w:val="444A6902"/>
    <w:rsid w:val="444C64BC"/>
    <w:rsid w:val="446F0254"/>
    <w:rsid w:val="449A3EC2"/>
    <w:rsid w:val="44BD4652"/>
    <w:rsid w:val="44D33741"/>
    <w:rsid w:val="44DB0CC0"/>
    <w:rsid w:val="44E16B7D"/>
    <w:rsid w:val="44E24D0F"/>
    <w:rsid w:val="44F63427"/>
    <w:rsid w:val="45034D45"/>
    <w:rsid w:val="458D482C"/>
    <w:rsid w:val="45A46519"/>
    <w:rsid w:val="45A837D4"/>
    <w:rsid w:val="45AA255A"/>
    <w:rsid w:val="45AA6CD7"/>
    <w:rsid w:val="45AF69E2"/>
    <w:rsid w:val="45F5072B"/>
    <w:rsid w:val="462B5FAB"/>
    <w:rsid w:val="46327DAD"/>
    <w:rsid w:val="463446BC"/>
    <w:rsid w:val="46414C6D"/>
    <w:rsid w:val="468661F2"/>
    <w:rsid w:val="46900627"/>
    <w:rsid w:val="46A07630"/>
    <w:rsid w:val="46A73B3C"/>
    <w:rsid w:val="46BA0431"/>
    <w:rsid w:val="46C155A5"/>
    <w:rsid w:val="46D02A05"/>
    <w:rsid w:val="46DD105A"/>
    <w:rsid w:val="46E91D19"/>
    <w:rsid w:val="46FA5CA9"/>
    <w:rsid w:val="47200AC8"/>
    <w:rsid w:val="472F1C99"/>
    <w:rsid w:val="47370CD6"/>
    <w:rsid w:val="47571378"/>
    <w:rsid w:val="475A449F"/>
    <w:rsid w:val="475B34C2"/>
    <w:rsid w:val="476B7381"/>
    <w:rsid w:val="47767A51"/>
    <w:rsid w:val="478A52AA"/>
    <w:rsid w:val="479B2A58"/>
    <w:rsid w:val="47E756D8"/>
    <w:rsid w:val="48112949"/>
    <w:rsid w:val="48422B98"/>
    <w:rsid w:val="484511D1"/>
    <w:rsid w:val="485A59D8"/>
    <w:rsid w:val="4867511B"/>
    <w:rsid w:val="48766137"/>
    <w:rsid w:val="48C579AF"/>
    <w:rsid w:val="48C82F75"/>
    <w:rsid w:val="48E374F8"/>
    <w:rsid w:val="48F919B1"/>
    <w:rsid w:val="490528A9"/>
    <w:rsid w:val="490C1CEF"/>
    <w:rsid w:val="49183A9A"/>
    <w:rsid w:val="491D2DEA"/>
    <w:rsid w:val="49552A36"/>
    <w:rsid w:val="49782F41"/>
    <w:rsid w:val="49926698"/>
    <w:rsid w:val="499835BD"/>
    <w:rsid w:val="49A860AB"/>
    <w:rsid w:val="49B669F5"/>
    <w:rsid w:val="49CF51F6"/>
    <w:rsid w:val="49E21902"/>
    <w:rsid w:val="49ED6324"/>
    <w:rsid w:val="49FD6207"/>
    <w:rsid w:val="49FD6C71"/>
    <w:rsid w:val="49FE3F08"/>
    <w:rsid w:val="4A0F2BD4"/>
    <w:rsid w:val="4A104F60"/>
    <w:rsid w:val="4A175848"/>
    <w:rsid w:val="4A5112C1"/>
    <w:rsid w:val="4A5676C5"/>
    <w:rsid w:val="4A660BD1"/>
    <w:rsid w:val="4A693DF0"/>
    <w:rsid w:val="4AAF1B39"/>
    <w:rsid w:val="4ABA40F8"/>
    <w:rsid w:val="4AC6307D"/>
    <w:rsid w:val="4ACB2B41"/>
    <w:rsid w:val="4AD124CC"/>
    <w:rsid w:val="4AD359CF"/>
    <w:rsid w:val="4AD532E4"/>
    <w:rsid w:val="4ADD62DF"/>
    <w:rsid w:val="4ADF3B5F"/>
    <w:rsid w:val="4AEC1066"/>
    <w:rsid w:val="4B0B04B0"/>
    <w:rsid w:val="4B2F2CA8"/>
    <w:rsid w:val="4B352317"/>
    <w:rsid w:val="4B427308"/>
    <w:rsid w:val="4B5754BC"/>
    <w:rsid w:val="4B602768"/>
    <w:rsid w:val="4B7459FA"/>
    <w:rsid w:val="4B986A12"/>
    <w:rsid w:val="4BF84636"/>
    <w:rsid w:val="4C325E79"/>
    <w:rsid w:val="4C36597F"/>
    <w:rsid w:val="4C6E6E00"/>
    <w:rsid w:val="4C72630D"/>
    <w:rsid w:val="4CAC4903"/>
    <w:rsid w:val="4CB571EA"/>
    <w:rsid w:val="4CBC7068"/>
    <w:rsid w:val="4CC93B32"/>
    <w:rsid w:val="4CD7788D"/>
    <w:rsid w:val="4CF1268D"/>
    <w:rsid w:val="4D292E6F"/>
    <w:rsid w:val="4D2F0C0B"/>
    <w:rsid w:val="4D3B28F9"/>
    <w:rsid w:val="4D520243"/>
    <w:rsid w:val="4D5B7E1D"/>
    <w:rsid w:val="4D6457C9"/>
    <w:rsid w:val="4D857D45"/>
    <w:rsid w:val="4D911E79"/>
    <w:rsid w:val="4DAC5729"/>
    <w:rsid w:val="4DC40DEA"/>
    <w:rsid w:val="4DCF645F"/>
    <w:rsid w:val="4E0A1EFF"/>
    <w:rsid w:val="4E5A3F3C"/>
    <w:rsid w:val="4E91777B"/>
    <w:rsid w:val="4EAE074F"/>
    <w:rsid w:val="4EC72940"/>
    <w:rsid w:val="4EE47996"/>
    <w:rsid w:val="4EF05A30"/>
    <w:rsid w:val="4F3F63A8"/>
    <w:rsid w:val="4F485E9E"/>
    <w:rsid w:val="4F4D2326"/>
    <w:rsid w:val="4F570369"/>
    <w:rsid w:val="4F656329"/>
    <w:rsid w:val="4F6B558B"/>
    <w:rsid w:val="4F75557F"/>
    <w:rsid w:val="4F785BC0"/>
    <w:rsid w:val="4F8A5A0E"/>
    <w:rsid w:val="4F964606"/>
    <w:rsid w:val="4F964D9C"/>
    <w:rsid w:val="4F9A44F8"/>
    <w:rsid w:val="4FAA2F2F"/>
    <w:rsid w:val="4FAF4286"/>
    <w:rsid w:val="4FDF7053"/>
    <w:rsid w:val="4FE15C83"/>
    <w:rsid w:val="4FFF73AA"/>
    <w:rsid w:val="5002014F"/>
    <w:rsid w:val="503841B3"/>
    <w:rsid w:val="50462462"/>
    <w:rsid w:val="50472755"/>
    <w:rsid w:val="504908E4"/>
    <w:rsid w:val="505718DF"/>
    <w:rsid w:val="505B47D3"/>
    <w:rsid w:val="505C278E"/>
    <w:rsid w:val="507F399C"/>
    <w:rsid w:val="50C72598"/>
    <w:rsid w:val="50E04873"/>
    <w:rsid w:val="50EF6903"/>
    <w:rsid w:val="51254295"/>
    <w:rsid w:val="513A240F"/>
    <w:rsid w:val="515959D3"/>
    <w:rsid w:val="515C307D"/>
    <w:rsid w:val="518122C6"/>
    <w:rsid w:val="518A6F8B"/>
    <w:rsid w:val="51A97AC9"/>
    <w:rsid w:val="51C22ECF"/>
    <w:rsid w:val="51D30376"/>
    <w:rsid w:val="52014B7D"/>
    <w:rsid w:val="52157ECE"/>
    <w:rsid w:val="52324DF9"/>
    <w:rsid w:val="52353AC8"/>
    <w:rsid w:val="527E5A0B"/>
    <w:rsid w:val="528172AA"/>
    <w:rsid w:val="528E48AC"/>
    <w:rsid w:val="52911917"/>
    <w:rsid w:val="529F7C39"/>
    <w:rsid w:val="52A52F70"/>
    <w:rsid w:val="52A754CF"/>
    <w:rsid w:val="52AF158E"/>
    <w:rsid w:val="52B269C3"/>
    <w:rsid w:val="52B3072C"/>
    <w:rsid w:val="52B37A46"/>
    <w:rsid w:val="52BA5040"/>
    <w:rsid w:val="52BD6B2D"/>
    <w:rsid w:val="52D16ADF"/>
    <w:rsid w:val="52E635B0"/>
    <w:rsid w:val="52FB1B32"/>
    <w:rsid w:val="53130629"/>
    <w:rsid w:val="53191BD8"/>
    <w:rsid w:val="532610A5"/>
    <w:rsid w:val="533F3520"/>
    <w:rsid w:val="534371C2"/>
    <w:rsid w:val="53454399"/>
    <w:rsid w:val="536A0177"/>
    <w:rsid w:val="53894668"/>
    <w:rsid w:val="53902360"/>
    <w:rsid w:val="53AC3CF8"/>
    <w:rsid w:val="53B255E9"/>
    <w:rsid w:val="53C06244"/>
    <w:rsid w:val="53C47D96"/>
    <w:rsid w:val="53D13CB4"/>
    <w:rsid w:val="53E97329"/>
    <w:rsid w:val="53F21D8F"/>
    <w:rsid w:val="53F7410C"/>
    <w:rsid w:val="53FE7929"/>
    <w:rsid w:val="54077FBB"/>
    <w:rsid w:val="542F13F1"/>
    <w:rsid w:val="54512658"/>
    <w:rsid w:val="54B7310D"/>
    <w:rsid w:val="54BE472B"/>
    <w:rsid w:val="54DE2980"/>
    <w:rsid w:val="552158E7"/>
    <w:rsid w:val="553B78BE"/>
    <w:rsid w:val="554D7759"/>
    <w:rsid w:val="55597431"/>
    <w:rsid w:val="55846FDD"/>
    <w:rsid w:val="55956861"/>
    <w:rsid w:val="55B4717A"/>
    <w:rsid w:val="55EB0899"/>
    <w:rsid w:val="55FC709A"/>
    <w:rsid w:val="561A1E1D"/>
    <w:rsid w:val="562468CA"/>
    <w:rsid w:val="562A696B"/>
    <w:rsid w:val="563022F4"/>
    <w:rsid w:val="56522EAE"/>
    <w:rsid w:val="566B2528"/>
    <w:rsid w:val="566E6F5B"/>
    <w:rsid w:val="56714854"/>
    <w:rsid w:val="56807EC7"/>
    <w:rsid w:val="5683367D"/>
    <w:rsid w:val="56876E58"/>
    <w:rsid w:val="56877D7E"/>
    <w:rsid w:val="56972BE1"/>
    <w:rsid w:val="56B52866"/>
    <w:rsid w:val="56EE442C"/>
    <w:rsid w:val="56FC342C"/>
    <w:rsid w:val="570B0ECB"/>
    <w:rsid w:val="5714693E"/>
    <w:rsid w:val="571F6D7F"/>
    <w:rsid w:val="57233722"/>
    <w:rsid w:val="57253E9C"/>
    <w:rsid w:val="573857E8"/>
    <w:rsid w:val="574D25BF"/>
    <w:rsid w:val="578C42F0"/>
    <w:rsid w:val="579922B2"/>
    <w:rsid w:val="579E2A81"/>
    <w:rsid w:val="57A31A70"/>
    <w:rsid w:val="57B55916"/>
    <w:rsid w:val="57BC6A48"/>
    <w:rsid w:val="57C7431A"/>
    <w:rsid w:val="57DB2DA1"/>
    <w:rsid w:val="57F2133B"/>
    <w:rsid w:val="57F75F10"/>
    <w:rsid w:val="580637F9"/>
    <w:rsid w:val="581A04FE"/>
    <w:rsid w:val="58474262"/>
    <w:rsid w:val="586B5B85"/>
    <w:rsid w:val="58733B38"/>
    <w:rsid w:val="589C0049"/>
    <w:rsid w:val="58B04CC5"/>
    <w:rsid w:val="58BC6596"/>
    <w:rsid w:val="58F47A17"/>
    <w:rsid w:val="58F53540"/>
    <w:rsid w:val="58FC4B39"/>
    <w:rsid w:val="58FC58DC"/>
    <w:rsid w:val="59140133"/>
    <w:rsid w:val="5915699E"/>
    <w:rsid w:val="5919648E"/>
    <w:rsid w:val="591F64C4"/>
    <w:rsid w:val="592941F7"/>
    <w:rsid w:val="5943447E"/>
    <w:rsid w:val="5962424C"/>
    <w:rsid w:val="59867461"/>
    <w:rsid w:val="598B1658"/>
    <w:rsid w:val="5997006D"/>
    <w:rsid w:val="5A171684"/>
    <w:rsid w:val="5A232EA3"/>
    <w:rsid w:val="5A24333C"/>
    <w:rsid w:val="5A292D4C"/>
    <w:rsid w:val="5A33532D"/>
    <w:rsid w:val="5A485C44"/>
    <w:rsid w:val="5A5E54F6"/>
    <w:rsid w:val="5A7D5FEA"/>
    <w:rsid w:val="5A7E608F"/>
    <w:rsid w:val="5A837D03"/>
    <w:rsid w:val="5A84202D"/>
    <w:rsid w:val="5A960E60"/>
    <w:rsid w:val="5A9F3CAF"/>
    <w:rsid w:val="5ADF7244"/>
    <w:rsid w:val="5AF73B4C"/>
    <w:rsid w:val="5B3D7C9E"/>
    <w:rsid w:val="5B5C0EA9"/>
    <w:rsid w:val="5B5F11CE"/>
    <w:rsid w:val="5B7050D2"/>
    <w:rsid w:val="5B706D1E"/>
    <w:rsid w:val="5B727188"/>
    <w:rsid w:val="5BF071B3"/>
    <w:rsid w:val="5C0A490D"/>
    <w:rsid w:val="5C15725E"/>
    <w:rsid w:val="5C1874A6"/>
    <w:rsid w:val="5C245479"/>
    <w:rsid w:val="5C2F3B0C"/>
    <w:rsid w:val="5C3422B9"/>
    <w:rsid w:val="5C5128D5"/>
    <w:rsid w:val="5C5B5C22"/>
    <w:rsid w:val="5C8E7193"/>
    <w:rsid w:val="5C9525AA"/>
    <w:rsid w:val="5CCF11D3"/>
    <w:rsid w:val="5CDD2E06"/>
    <w:rsid w:val="5CF16AF9"/>
    <w:rsid w:val="5CFF599B"/>
    <w:rsid w:val="5D0B5D8D"/>
    <w:rsid w:val="5D1212B2"/>
    <w:rsid w:val="5D21468D"/>
    <w:rsid w:val="5D5B1855"/>
    <w:rsid w:val="5D6103D3"/>
    <w:rsid w:val="5D6E17E2"/>
    <w:rsid w:val="5D7C606A"/>
    <w:rsid w:val="5D8366F8"/>
    <w:rsid w:val="5D8B26C2"/>
    <w:rsid w:val="5DA2372A"/>
    <w:rsid w:val="5DE7421F"/>
    <w:rsid w:val="5DE973E1"/>
    <w:rsid w:val="5DF86FCD"/>
    <w:rsid w:val="5E022164"/>
    <w:rsid w:val="5E0F095E"/>
    <w:rsid w:val="5E2C5511"/>
    <w:rsid w:val="5E320906"/>
    <w:rsid w:val="5E474816"/>
    <w:rsid w:val="5E4C38F2"/>
    <w:rsid w:val="5E4F2949"/>
    <w:rsid w:val="5E600D58"/>
    <w:rsid w:val="5E706EDA"/>
    <w:rsid w:val="5E960D45"/>
    <w:rsid w:val="5E965989"/>
    <w:rsid w:val="5E9807BF"/>
    <w:rsid w:val="5EAF150A"/>
    <w:rsid w:val="5EBF067F"/>
    <w:rsid w:val="5EC60B1A"/>
    <w:rsid w:val="5EC9659D"/>
    <w:rsid w:val="5F0F1702"/>
    <w:rsid w:val="5F440FE2"/>
    <w:rsid w:val="5F511A23"/>
    <w:rsid w:val="5FAE5456"/>
    <w:rsid w:val="5FB36851"/>
    <w:rsid w:val="5FEE64DF"/>
    <w:rsid w:val="5FF003B5"/>
    <w:rsid w:val="5FFD3B72"/>
    <w:rsid w:val="5FFF2121"/>
    <w:rsid w:val="601C6864"/>
    <w:rsid w:val="60494F5F"/>
    <w:rsid w:val="604B503E"/>
    <w:rsid w:val="607349CF"/>
    <w:rsid w:val="60805044"/>
    <w:rsid w:val="609C7695"/>
    <w:rsid w:val="60A13315"/>
    <w:rsid w:val="60B8623B"/>
    <w:rsid w:val="60CF1147"/>
    <w:rsid w:val="60D71E88"/>
    <w:rsid w:val="60E4748A"/>
    <w:rsid w:val="6142291C"/>
    <w:rsid w:val="6164512F"/>
    <w:rsid w:val="61870E06"/>
    <w:rsid w:val="618F71C4"/>
    <w:rsid w:val="61AE29AB"/>
    <w:rsid w:val="61BF39DC"/>
    <w:rsid w:val="61C31C73"/>
    <w:rsid w:val="62130A76"/>
    <w:rsid w:val="621D4AF7"/>
    <w:rsid w:val="62264CBE"/>
    <w:rsid w:val="6246603D"/>
    <w:rsid w:val="625048C9"/>
    <w:rsid w:val="6266285D"/>
    <w:rsid w:val="626D2A9F"/>
    <w:rsid w:val="627B0DBE"/>
    <w:rsid w:val="627D7D64"/>
    <w:rsid w:val="62B7249A"/>
    <w:rsid w:val="62B75719"/>
    <w:rsid w:val="62E04946"/>
    <w:rsid w:val="62E80B03"/>
    <w:rsid w:val="631737A5"/>
    <w:rsid w:val="63195DA5"/>
    <w:rsid w:val="63343621"/>
    <w:rsid w:val="633A6ABD"/>
    <w:rsid w:val="633F4960"/>
    <w:rsid w:val="63624ED5"/>
    <w:rsid w:val="63861052"/>
    <w:rsid w:val="638F59E4"/>
    <w:rsid w:val="63B32EF7"/>
    <w:rsid w:val="63CE1AC2"/>
    <w:rsid w:val="63ED5D7D"/>
    <w:rsid w:val="63F409F3"/>
    <w:rsid w:val="63F47795"/>
    <w:rsid w:val="64120FDC"/>
    <w:rsid w:val="641E6E0A"/>
    <w:rsid w:val="6429110F"/>
    <w:rsid w:val="642A5414"/>
    <w:rsid w:val="64414217"/>
    <w:rsid w:val="64644EA0"/>
    <w:rsid w:val="6472739A"/>
    <w:rsid w:val="6487582F"/>
    <w:rsid w:val="648D6A04"/>
    <w:rsid w:val="648F141D"/>
    <w:rsid w:val="64991FAB"/>
    <w:rsid w:val="64A57516"/>
    <w:rsid w:val="64B5010A"/>
    <w:rsid w:val="64B66E59"/>
    <w:rsid w:val="64BA1C4E"/>
    <w:rsid w:val="64BD6867"/>
    <w:rsid w:val="64BE24B6"/>
    <w:rsid w:val="64C77EA5"/>
    <w:rsid w:val="64F57CD1"/>
    <w:rsid w:val="651C3F02"/>
    <w:rsid w:val="65227438"/>
    <w:rsid w:val="65694534"/>
    <w:rsid w:val="657D45EA"/>
    <w:rsid w:val="65867AD7"/>
    <w:rsid w:val="65A11CE5"/>
    <w:rsid w:val="65BE0655"/>
    <w:rsid w:val="65E62DDF"/>
    <w:rsid w:val="65F57799"/>
    <w:rsid w:val="660351B8"/>
    <w:rsid w:val="661E7317"/>
    <w:rsid w:val="666F3B91"/>
    <w:rsid w:val="667B7FAF"/>
    <w:rsid w:val="668D1107"/>
    <w:rsid w:val="66B5531C"/>
    <w:rsid w:val="66C75E24"/>
    <w:rsid w:val="6701538B"/>
    <w:rsid w:val="672A6364"/>
    <w:rsid w:val="67421678"/>
    <w:rsid w:val="67543FCF"/>
    <w:rsid w:val="67550AE6"/>
    <w:rsid w:val="676815AB"/>
    <w:rsid w:val="67714FB8"/>
    <w:rsid w:val="678036DB"/>
    <w:rsid w:val="678F5B8F"/>
    <w:rsid w:val="679909C4"/>
    <w:rsid w:val="67997C61"/>
    <w:rsid w:val="679C68E0"/>
    <w:rsid w:val="67A36F6F"/>
    <w:rsid w:val="67AA6857"/>
    <w:rsid w:val="67B02A6A"/>
    <w:rsid w:val="67B40230"/>
    <w:rsid w:val="67B94B3A"/>
    <w:rsid w:val="67BD36DC"/>
    <w:rsid w:val="67CC4E4F"/>
    <w:rsid w:val="67E63ED9"/>
    <w:rsid w:val="67EB2D8A"/>
    <w:rsid w:val="67F92EC9"/>
    <w:rsid w:val="68042CCD"/>
    <w:rsid w:val="680B5F52"/>
    <w:rsid w:val="684D75AC"/>
    <w:rsid w:val="685329E2"/>
    <w:rsid w:val="685B7298"/>
    <w:rsid w:val="6861404E"/>
    <w:rsid w:val="68AE2934"/>
    <w:rsid w:val="68B63CF9"/>
    <w:rsid w:val="68B80BF0"/>
    <w:rsid w:val="68BA1354"/>
    <w:rsid w:val="68E123A3"/>
    <w:rsid w:val="68F05F69"/>
    <w:rsid w:val="68F250E4"/>
    <w:rsid w:val="68F26BB5"/>
    <w:rsid w:val="68F56AC0"/>
    <w:rsid w:val="691A347C"/>
    <w:rsid w:val="691B28BA"/>
    <w:rsid w:val="69475D21"/>
    <w:rsid w:val="696F5D94"/>
    <w:rsid w:val="697E7F44"/>
    <w:rsid w:val="698347C8"/>
    <w:rsid w:val="699804BB"/>
    <w:rsid w:val="699F264E"/>
    <w:rsid w:val="69B26274"/>
    <w:rsid w:val="69B90695"/>
    <w:rsid w:val="69E53544"/>
    <w:rsid w:val="69EF32BA"/>
    <w:rsid w:val="6A026ACA"/>
    <w:rsid w:val="6A132F25"/>
    <w:rsid w:val="6A244374"/>
    <w:rsid w:val="6A2803C8"/>
    <w:rsid w:val="6A4938A4"/>
    <w:rsid w:val="6A617D11"/>
    <w:rsid w:val="6A970CEE"/>
    <w:rsid w:val="6AA11FFE"/>
    <w:rsid w:val="6AD00976"/>
    <w:rsid w:val="6AD211B7"/>
    <w:rsid w:val="6AE22AB0"/>
    <w:rsid w:val="6AE539F8"/>
    <w:rsid w:val="6B053465"/>
    <w:rsid w:val="6B2B4F53"/>
    <w:rsid w:val="6B4F516A"/>
    <w:rsid w:val="6B4F5C31"/>
    <w:rsid w:val="6B7615DB"/>
    <w:rsid w:val="6B9478CA"/>
    <w:rsid w:val="6BB63007"/>
    <w:rsid w:val="6BB91F99"/>
    <w:rsid w:val="6BC075B5"/>
    <w:rsid w:val="6BE75F78"/>
    <w:rsid w:val="6BEA06D5"/>
    <w:rsid w:val="6BF6440D"/>
    <w:rsid w:val="6BF75464"/>
    <w:rsid w:val="6C217FB4"/>
    <w:rsid w:val="6C376EFF"/>
    <w:rsid w:val="6C5001CC"/>
    <w:rsid w:val="6C7D35A8"/>
    <w:rsid w:val="6CB81C11"/>
    <w:rsid w:val="6CC85897"/>
    <w:rsid w:val="6CCF5C9D"/>
    <w:rsid w:val="6CF105C9"/>
    <w:rsid w:val="6D0653CA"/>
    <w:rsid w:val="6D22650D"/>
    <w:rsid w:val="6D282002"/>
    <w:rsid w:val="6D2D20B0"/>
    <w:rsid w:val="6D594C53"/>
    <w:rsid w:val="6D85303B"/>
    <w:rsid w:val="6D9767D9"/>
    <w:rsid w:val="6DA92E9D"/>
    <w:rsid w:val="6DBA3707"/>
    <w:rsid w:val="6DBE53FE"/>
    <w:rsid w:val="6DC04CD2"/>
    <w:rsid w:val="6DE875C9"/>
    <w:rsid w:val="6DF77990"/>
    <w:rsid w:val="6E5B561D"/>
    <w:rsid w:val="6E5C309F"/>
    <w:rsid w:val="6E953A1A"/>
    <w:rsid w:val="6E9A3B62"/>
    <w:rsid w:val="6EAA26A0"/>
    <w:rsid w:val="6EAD5D66"/>
    <w:rsid w:val="6EAF680E"/>
    <w:rsid w:val="6EC539C8"/>
    <w:rsid w:val="6EE40B78"/>
    <w:rsid w:val="6F185FDF"/>
    <w:rsid w:val="6F201B84"/>
    <w:rsid w:val="6F216314"/>
    <w:rsid w:val="6F314061"/>
    <w:rsid w:val="6F32657A"/>
    <w:rsid w:val="6F3B4F58"/>
    <w:rsid w:val="6F541B76"/>
    <w:rsid w:val="6F5B228E"/>
    <w:rsid w:val="6FA80114"/>
    <w:rsid w:val="6FA93191"/>
    <w:rsid w:val="6FBA3AF3"/>
    <w:rsid w:val="6FC60341"/>
    <w:rsid w:val="6FCA1077"/>
    <w:rsid w:val="6FD57B29"/>
    <w:rsid w:val="6FD74B4D"/>
    <w:rsid w:val="6FD827A7"/>
    <w:rsid w:val="6FE92338"/>
    <w:rsid w:val="6FF43359"/>
    <w:rsid w:val="6FFD3FBC"/>
    <w:rsid w:val="70035D2E"/>
    <w:rsid w:val="701262E2"/>
    <w:rsid w:val="70280CF3"/>
    <w:rsid w:val="704F12C7"/>
    <w:rsid w:val="70653DDE"/>
    <w:rsid w:val="706F3A4A"/>
    <w:rsid w:val="70765057"/>
    <w:rsid w:val="7082657D"/>
    <w:rsid w:val="708E28C9"/>
    <w:rsid w:val="70C61F23"/>
    <w:rsid w:val="70D05498"/>
    <w:rsid w:val="70E36741"/>
    <w:rsid w:val="70FF5871"/>
    <w:rsid w:val="71080E6A"/>
    <w:rsid w:val="710C022E"/>
    <w:rsid w:val="71292EAD"/>
    <w:rsid w:val="71690525"/>
    <w:rsid w:val="716D2A82"/>
    <w:rsid w:val="71715AA4"/>
    <w:rsid w:val="71973F9C"/>
    <w:rsid w:val="71A339C3"/>
    <w:rsid w:val="71CA6BCB"/>
    <w:rsid w:val="71DD63DF"/>
    <w:rsid w:val="723F39A8"/>
    <w:rsid w:val="72417502"/>
    <w:rsid w:val="72477770"/>
    <w:rsid w:val="72495A66"/>
    <w:rsid w:val="72515DD1"/>
    <w:rsid w:val="725A3BBD"/>
    <w:rsid w:val="725D2773"/>
    <w:rsid w:val="7275275B"/>
    <w:rsid w:val="72CA6AA9"/>
    <w:rsid w:val="72D30239"/>
    <w:rsid w:val="72D52600"/>
    <w:rsid w:val="72E22563"/>
    <w:rsid w:val="72E53AEF"/>
    <w:rsid w:val="72F42E4A"/>
    <w:rsid w:val="72FC7EC4"/>
    <w:rsid w:val="730C1C11"/>
    <w:rsid w:val="732D5122"/>
    <w:rsid w:val="73340BBE"/>
    <w:rsid w:val="73397A01"/>
    <w:rsid w:val="7347559C"/>
    <w:rsid w:val="735078BB"/>
    <w:rsid w:val="736F311B"/>
    <w:rsid w:val="7375627A"/>
    <w:rsid w:val="73797F8E"/>
    <w:rsid w:val="737C4FA4"/>
    <w:rsid w:val="738A079E"/>
    <w:rsid w:val="738F33AD"/>
    <w:rsid w:val="73AB5460"/>
    <w:rsid w:val="73AC152D"/>
    <w:rsid w:val="73C44DF0"/>
    <w:rsid w:val="73CA6D08"/>
    <w:rsid w:val="73F114CC"/>
    <w:rsid w:val="73FF230F"/>
    <w:rsid w:val="740A456F"/>
    <w:rsid w:val="7410410E"/>
    <w:rsid w:val="74160CEC"/>
    <w:rsid w:val="742835D1"/>
    <w:rsid w:val="742B3D29"/>
    <w:rsid w:val="7438763D"/>
    <w:rsid w:val="744B7C3A"/>
    <w:rsid w:val="74566BED"/>
    <w:rsid w:val="7464403B"/>
    <w:rsid w:val="749C0F58"/>
    <w:rsid w:val="74AB47D4"/>
    <w:rsid w:val="74AE17FA"/>
    <w:rsid w:val="74C64922"/>
    <w:rsid w:val="74D844C5"/>
    <w:rsid w:val="74E45571"/>
    <w:rsid w:val="750A13FE"/>
    <w:rsid w:val="75154A19"/>
    <w:rsid w:val="752217B8"/>
    <w:rsid w:val="752274FB"/>
    <w:rsid w:val="75231E2F"/>
    <w:rsid w:val="752A6249"/>
    <w:rsid w:val="75502949"/>
    <w:rsid w:val="75531CD2"/>
    <w:rsid w:val="756316A5"/>
    <w:rsid w:val="756F61BB"/>
    <w:rsid w:val="75AB309B"/>
    <w:rsid w:val="75B570E6"/>
    <w:rsid w:val="75B93C1B"/>
    <w:rsid w:val="75D2630D"/>
    <w:rsid w:val="75D27C98"/>
    <w:rsid w:val="75E91AE4"/>
    <w:rsid w:val="760D7B75"/>
    <w:rsid w:val="760E76E5"/>
    <w:rsid w:val="76373F9F"/>
    <w:rsid w:val="76983D38"/>
    <w:rsid w:val="76A40E52"/>
    <w:rsid w:val="76AF5C16"/>
    <w:rsid w:val="76B5327C"/>
    <w:rsid w:val="76D1404D"/>
    <w:rsid w:val="76DC5312"/>
    <w:rsid w:val="76F67388"/>
    <w:rsid w:val="76F75253"/>
    <w:rsid w:val="7702492A"/>
    <w:rsid w:val="77072A78"/>
    <w:rsid w:val="770F3562"/>
    <w:rsid w:val="77183AF9"/>
    <w:rsid w:val="774B41E2"/>
    <w:rsid w:val="775A7812"/>
    <w:rsid w:val="77962EF7"/>
    <w:rsid w:val="77CB4ADF"/>
    <w:rsid w:val="77DB680B"/>
    <w:rsid w:val="77E1458E"/>
    <w:rsid w:val="78071252"/>
    <w:rsid w:val="780F2DE1"/>
    <w:rsid w:val="78105AA2"/>
    <w:rsid w:val="78260025"/>
    <w:rsid w:val="78306EF8"/>
    <w:rsid w:val="7838322D"/>
    <w:rsid w:val="784D20BA"/>
    <w:rsid w:val="787365E2"/>
    <w:rsid w:val="789A2A9D"/>
    <w:rsid w:val="78B605DA"/>
    <w:rsid w:val="78E852DF"/>
    <w:rsid w:val="78EC257B"/>
    <w:rsid w:val="78F42577"/>
    <w:rsid w:val="7909389B"/>
    <w:rsid w:val="791E32C2"/>
    <w:rsid w:val="79544418"/>
    <w:rsid w:val="796F6E2F"/>
    <w:rsid w:val="79797086"/>
    <w:rsid w:val="79BF067B"/>
    <w:rsid w:val="79D42231"/>
    <w:rsid w:val="79D53106"/>
    <w:rsid w:val="79EC5B0C"/>
    <w:rsid w:val="79F42021"/>
    <w:rsid w:val="79FE07D2"/>
    <w:rsid w:val="79FE178E"/>
    <w:rsid w:val="7A005149"/>
    <w:rsid w:val="7A077959"/>
    <w:rsid w:val="7A0C5A0B"/>
    <w:rsid w:val="7A1B2BDB"/>
    <w:rsid w:val="7A335F5A"/>
    <w:rsid w:val="7A5769BE"/>
    <w:rsid w:val="7A691A61"/>
    <w:rsid w:val="7A6D6D03"/>
    <w:rsid w:val="7A6F6E4D"/>
    <w:rsid w:val="7ACF2507"/>
    <w:rsid w:val="7AD54773"/>
    <w:rsid w:val="7AF55CFE"/>
    <w:rsid w:val="7B1707F1"/>
    <w:rsid w:val="7B1A0118"/>
    <w:rsid w:val="7B363662"/>
    <w:rsid w:val="7B4E2C98"/>
    <w:rsid w:val="7B4E6BA2"/>
    <w:rsid w:val="7BB04A18"/>
    <w:rsid w:val="7BC938EC"/>
    <w:rsid w:val="7BF37FF2"/>
    <w:rsid w:val="7BFB0099"/>
    <w:rsid w:val="7C0178A5"/>
    <w:rsid w:val="7C255789"/>
    <w:rsid w:val="7C414104"/>
    <w:rsid w:val="7C4D263C"/>
    <w:rsid w:val="7C822E38"/>
    <w:rsid w:val="7C8F2529"/>
    <w:rsid w:val="7C925776"/>
    <w:rsid w:val="7C92616D"/>
    <w:rsid w:val="7CBA4421"/>
    <w:rsid w:val="7CBB5EC3"/>
    <w:rsid w:val="7CD67ABD"/>
    <w:rsid w:val="7CEE6A2C"/>
    <w:rsid w:val="7D111885"/>
    <w:rsid w:val="7D11554A"/>
    <w:rsid w:val="7D146DE8"/>
    <w:rsid w:val="7D3F40C0"/>
    <w:rsid w:val="7D5F50CC"/>
    <w:rsid w:val="7D820F1C"/>
    <w:rsid w:val="7D8477FB"/>
    <w:rsid w:val="7D950B96"/>
    <w:rsid w:val="7D9B4E14"/>
    <w:rsid w:val="7DA51626"/>
    <w:rsid w:val="7DA978E7"/>
    <w:rsid w:val="7DD97EF6"/>
    <w:rsid w:val="7DED1C9B"/>
    <w:rsid w:val="7E417769"/>
    <w:rsid w:val="7E4C09C1"/>
    <w:rsid w:val="7E7A0EC3"/>
    <w:rsid w:val="7E8531C8"/>
    <w:rsid w:val="7EC8160F"/>
    <w:rsid w:val="7EF727D7"/>
    <w:rsid w:val="7F0C344E"/>
    <w:rsid w:val="7F3E014D"/>
    <w:rsid w:val="7F501747"/>
    <w:rsid w:val="7F6D1B2F"/>
    <w:rsid w:val="7F7A6486"/>
    <w:rsid w:val="7F8A3392"/>
    <w:rsid w:val="7F8F7C89"/>
    <w:rsid w:val="7FA51F7A"/>
    <w:rsid w:val="7FAB7A67"/>
    <w:rsid w:val="7FD76BF0"/>
    <w:rsid w:val="7FE964B5"/>
    <w:rsid w:val="7FF13411"/>
    <w:rsid w:val="7FF52F01"/>
    <w:rsid w:val="7FFB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1"/>
    <w:pPr>
      <w:keepNext/>
      <w:keepLines/>
      <w:spacing w:before="340" w:after="330" w:line="578" w:lineRule="auto"/>
      <w:jc w:val="center"/>
      <w:outlineLvl w:val="0"/>
    </w:pPr>
    <w:rPr>
      <w:b/>
      <w:bCs/>
      <w:kern w:val="44"/>
      <w:sz w:val="28"/>
      <w:szCs w:val="44"/>
    </w:rPr>
  </w:style>
  <w:style w:type="paragraph" w:styleId="3">
    <w:name w:val="heading 2"/>
    <w:basedOn w:val="1"/>
    <w:next w:val="1"/>
    <w:link w:val="39"/>
    <w:qFormat/>
    <w:uiPriority w:val="1"/>
    <w:pPr>
      <w:keepNext/>
      <w:keepLines/>
      <w:spacing w:before="260" w:after="260" w:line="416" w:lineRule="auto"/>
      <w:jc w:val="center"/>
      <w:outlineLvl w:val="1"/>
    </w:pPr>
    <w:rPr>
      <w:rFonts w:ascii="Cambria" w:hAnsi="Cambria" w:eastAsia="宋体"/>
      <w:b/>
      <w:bCs/>
      <w:sz w:val="24"/>
      <w:szCs w:val="32"/>
    </w:rPr>
  </w:style>
  <w:style w:type="paragraph" w:styleId="4">
    <w:name w:val="heading 3"/>
    <w:basedOn w:val="1"/>
    <w:next w:val="1"/>
    <w:link w:val="41"/>
    <w:qFormat/>
    <w:uiPriority w:val="1"/>
    <w:pPr>
      <w:keepNext/>
      <w:keepLines/>
      <w:spacing w:before="260" w:after="260" w:line="416" w:lineRule="auto"/>
      <w:outlineLvl w:val="2"/>
    </w:pPr>
    <w:rPr>
      <w:b/>
      <w:bCs/>
      <w:sz w:val="32"/>
      <w:szCs w:val="32"/>
    </w:rPr>
  </w:style>
  <w:style w:type="paragraph" w:styleId="5">
    <w:name w:val="heading 4"/>
    <w:basedOn w:val="1"/>
    <w:next w:val="1"/>
    <w:link w:val="42"/>
    <w:qFormat/>
    <w:uiPriority w:val="1"/>
    <w:pPr>
      <w:autoSpaceDE w:val="0"/>
      <w:autoSpaceDN w:val="0"/>
      <w:spacing w:before="29"/>
      <w:ind w:left="27" w:right="49"/>
      <w:jc w:val="center"/>
      <w:outlineLvl w:val="3"/>
    </w:pPr>
    <w:rPr>
      <w:rFonts w:ascii="Times New Roman" w:hAnsi="Times New Roman" w:eastAsia="Times New Roman"/>
      <w:kern w:val="0"/>
      <w:sz w:val="30"/>
      <w:szCs w:val="30"/>
      <w:lang w:eastAsia="en-US" w:bidi="en-US"/>
    </w:rPr>
  </w:style>
  <w:style w:type="paragraph" w:styleId="6">
    <w:name w:val="heading 5"/>
    <w:basedOn w:val="1"/>
    <w:next w:val="1"/>
    <w:link w:val="43"/>
    <w:qFormat/>
    <w:uiPriority w:val="1"/>
    <w:pPr>
      <w:autoSpaceDE w:val="0"/>
      <w:autoSpaceDN w:val="0"/>
      <w:spacing w:before="44"/>
      <w:ind w:left="4421" w:hanging="464"/>
      <w:jc w:val="left"/>
      <w:outlineLvl w:val="4"/>
    </w:pPr>
    <w:rPr>
      <w:rFonts w:ascii="宋体" w:hAnsi="宋体" w:cs="宋体"/>
      <w:b/>
      <w:bCs/>
      <w:kern w:val="0"/>
      <w:sz w:val="28"/>
      <w:szCs w:val="28"/>
      <w:lang w:eastAsia="en-US" w:bidi="en-US"/>
    </w:rPr>
  </w:style>
  <w:style w:type="paragraph" w:styleId="7">
    <w:name w:val="heading 6"/>
    <w:basedOn w:val="1"/>
    <w:next w:val="1"/>
    <w:link w:val="44"/>
    <w:qFormat/>
    <w:uiPriority w:val="1"/>
    <w:pPr>
      <w:autoSpaceDE w:val="0"/>
      <w:autoSpaceDN w:val="0"/>
      <w:spacing w:before="49"/>
      <w:ind w:left="2844"/>
      <w:jc w:val="left"/>
      <w:outlineLvl w:val="5"/>
    </w:pPr>
    <w:rPr>
      <w:rFonts w:ascii="宋体" w:hAnsi="宋体" w:cs="宋体"/>
      <w:b/>
      <w:bCs/>
      <w:kern w:val="0"/>
      <w:sz w:val="24"/>
      <w:szCs w:val="24"/>
      <w:lang w:eastAsia="en-US" w:bidi="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Theme="minorHAnsi" w:hAnsiTheme="minorHAnsi" w:eastAsiaTheme="minorEastAsia" w:cstheme="minorBidi"/>
      <w14:ligatures w14:val="standardContextual"/>
    </w:rPr>
  </w:style>
  <w:style w:type="paragraph" w:styleId="9">
    <w:name w:val="Normal Indent"/>
    <w:basedOn w:val="1"/>
    <w:link w:val="64"/>
    <w:qFormat/>
    <w:uiPriority w:val="0"/>
    <w:pPr>
      <w:ind w:firstLine="420" w:firstLineChars="200"/>
    </w:pPr>
    <w:rPr>
      <w:rFonts w:ascii="Times New Roman" w:hAnsi="Times New Roman"/>
      <w:szCs w:val="24"/>
    </w:rPr>
  </w:style>
  <w:style w:type="paragraph" w:styleId="10">
    <w:name w:val="Document Map"/>
    <w:basedOn w:val="1"/>
    <w:link w:val="53"/>
    <w:unhideWhenUsed/>
    <w:qFormat/>
    <w:uiPriority w:val="99"/>
    <w:rPr>
      <w:rFonts w:ascii="宋体"/>
      <w:sz w:val="18"/>
      <w:szCs w:val="18"/>
    </w:rPr>
  </w:style>
  <w:style w:type="paragraph" w:styleId="11">
    <w:name w:val="annotation text"/>
    <w:basedOn w:val="1"/>
    <w:link w:val="60"/>
    <w:unhideWhenUsed/>
    <w:qFormat/>
    <w:uiPriority w:val="99"/>
    <w:pPr>
      <w:jc w:val="left"/>
    </w:pPr>
  </w:style>
  <w:style w:type="paragraph" w:styleId="12">
    <w:name w:val="Body Text"/>
    <w:basedOn w:val="1"/>
    <w:link w:val="48"/>
    <w:unhideWhenUsed/>
    <w:qFormat/>
    <w:uiPriority w:val="1"/>
    <w:pPr>
      <w:spacing w:after="120"/>
    </w:pPr>
  </w:style>
  <w:style w:type="paragraph" w:styleId="13">
    <w:name w:val="Body Text Indent"/>
    <w:basedOn w:val="1"/>
    <w:link w:val="65"/>
    <w:qFormat/>
    <w:uiPriority w:val="0"/>
    <w:pPr>
      <w:ind w:firstLine="420"/>
    </w:pPr>
    <w:rPr>
      <w:rFonts w:ascii="Times New Roman" w:hAnsi="Times New Roman" w:eastAsia="楷体_GB2312"/>
      <w:color w:val="0000FF"/>
      <w:szCs w:val="21"/>
    </w:rPr>
  </w:style>
  <w:style w:type="paragraph" w:styleId="14">
    <w:name w:val="toc 5"/>
    <w:basedOn w:val="1"/>
    <w:next w:val="1"/>
    <w:unhideWhenUsed/>
    <w:qFormat/>
    <w:uiPriority w:val="39"/>
    <w:pPr>
      <w:ind w:left="1680" w:leftChars="800"/>
    </w:pPr>
    <w:rPr>
      <w:rFonts w:asciiTheme="minorHAnsi" w:hAnsiTheme="minorHAnsi" w:eastAsiaTheme="minorEastAsia" w:cstheme="minorBidi"/>
      <w14:ligatures w14:val="standardContextual"/>
    </w:rPr>
  </w:style>
  <w:style w:type="paragraph" w:styleId="15">
    <w:name w:val="toc 3"/>
    <w:basedOn w:val="1"/>
    <w:next w:val="1"/>
    <w:unhideWhenUsed/>
    <w:qFormat/>
    <w:uiPriority w:val="39"/>
    <w:pPr>
      <w:widowControl/>
      <w:spacing w:after="100" w:line="276" w:lineRule="auto"/>
      <w:ind w:left="440"/>
      <w:jc w:val="left"/>
    </w:pPr>
    <w:rPr>
      <w:kern w:val="0"/>
      <w:sz w:val="22"/>
    </w:rPr>
  </w:style>
  <w:style w:type="paragraph" w:styleId="16">
    <w:name w:val="Plain Text"/>
    <w:basedOn w:val="1"/>
    <w:link w:val="58"/>
    <w:qFormat/>
    <w:uiPriority w:val="0"/>
    <w:rPr>
      <w:rFonts w:ascii="宋体" w:hAnsi="Courier New" w:cs="Courier New"/>
      <w:szCs w:val="21"/>
    </w:rPr>
  </w:style>
  <w:style w:type="paragraph" w:styleId="17">
    <w:name w:val="toc 8"/>
    <w:basedOn w:val="1"/>
    <w:next w:val="1"/>
    <w:unhideWhenUsed/>
    <w:qFormat/>
    <w:uiPriority w:val="39"/>
    <w:pPr>
      <w:ind w:left="2940" w:leftChars="1400"/>
    </w:pPr>
    <w:rPr>
      <w:rFonts w:asciiTheme="minorHAnsi" w:hAnsiTheme="minorHAnsi" w:eastAsiaTheme="minorEastAsia" w:cstheme="minorBidi"/>
      <w14:ligatures w14:val="standardContextual"/>
    </w:rPr>
  </w:style>
  <w:style w:type="paragraph" w:styleId="18">
    <w:name w:val="Date"/>
    <w:basedOn w:val="1"/>
    <w:next w:val="1"/>
    <w:link w:val="59"/>
    <w:unhideWhenUsed/>
    <w:qFormat/>
    <w:uiPriority w:val="0"/>
    <w:pPr>
      <w:ind w:left="100" w:leftChars="2500"/>
    </w:pPr>
  </w:style>
  <w:style w:type="paragraph" w:styleId="19">
    <w:name w:val="Balloon Text"/>
    <w:basedOn w:val="1"/>
    <w:link w:val="47"/>
    <w:unhideWhenUsed/>
    <w:qFormat/>
    <w:uiPriority w:val="0"/>
    <w:rPr>
      <w:sz w:val="18"/>
      <w:szCs w:val="18"/>
    </w:rPr>
  </w:style>
  <w:style w:type="paragraph" w:styleId="20">
    <w:name w:val="footer"/>
    <w:basedOn w:val="1"/>
    <w:link w:val="50"/>
    <w:unhideWhenUsed/>
    <w:qFormat/>
    <w:uiPriority w:val="0"/>
    <w:pPr>
      <w:tabs>
        <w:tab w:val="center" w:pos="4153"/>
        <w:tab w:val="right" w:pos="8306"/>
      </w:tabs>
      <w:snapToGrid w:val="0"/>
      <w:jc w:val="left"/>
    </w:pPr>
    <w:rPr>
      <w:sz w:val="18"/>
      <w:szCs w:val="18"/>
    </w:rPr>
  </w:style>
  <w:style w:type="paragraph" w:styleId="21">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link w:val="100"/>
    <w:unhideWhenUsed/>
    <w:qFormat/>
    <w:uiPriority w:val="39"/>
    <w:pPr>
      <w:tabs>
        <w:tab w:val="right" w:leader="dot" w:pos="9016"/>
      </w:tabs>
    </w:pPr>
    <w:rPr>
      <w:color w:val="000000"/>
    </w:rPr>
  </w:style>
  <w:style w:type="paragraph" w:styleId="23">
    <w:name w:val="toc 4"/>
    <w:basedOn w:val="1"/>
    <w:next w:val="1"/>
    <w:unhideWhenUsed/>
    <w:qFormat/>
    <w:uiPriority w:val="39"/>
    <w:pPr>
      <w:ind w:left="1260" w:leftChars="600"/>
    </w:pPr>
    <w:rPr>
      <w:rFonts w:asciiTheme="minorHAnsi" w:hAnsiTheme="minorHAnsi" w:eastAsiaTheme="minorEastAsia" w:cstheme="minorBidi"/>
      <w14:ligatures w14:val="standardContextual"/>
    </w:rPr>
  </w:style>
  <w:style w:type="paragraph" w:styleId="24">
    <w:name w:val="toc 6"/>
    <w:basedOn w:val="1"/>
    <w:next w:val="1"/>
    <w:unhideWhenUsed/>
    <w:qFormat/>
    <w:uiPriority w:val="39"/>
    <w:pPr>
      <w:ind w:left="2100" w:leftChars="1000"/>
    </w:pPr>
    <w:rPr>
      <w:rFonts w:asciiTheme="minorHAnsi" w:hAnsiTheme="minorHAnsi" w:eastAsiaTheme="minorEastAsia" w:cstheme="minorBidi"/>
      <w14:ligatures w14:val="standardContextual"/>
    </w:rPr>
  </w:style>
  <w:style w:type="paragraph" w:styleId="25">
    <w:name w:val="toc 2"/>
    <w:basedOn w:val="1"/>
    <w:next w:val="1"/>
    <w:unhideWhenUsed/>
    <w:qFormat/>
    <w:uiPriority w:val="39"/>
    <w:pPr>
      <w:tabs>
        <w:tab w:val="right" w:leader="dot" w:pos="9016"/>
      </w:tabs>
      <w:spacing w:line="360" w:lineRule="auto"/>
      <w:ind w:left="420" w:leftChars="200"/>
    </w:pPr>
    <w:rPr>
      <w:rFonts w:ascii="Times New Roman" w:hAnsi="Times New Roman"/>
      <w:color w:val="000000"/>
      <w:sz w:val="24"/>
    </w:rPr>
  </w:style>
  <w:style w:type="paragraph" w:styleId="26">
    <w:name w:val="toc 9"/>
    <w:basedOn w:val="1"/>
    <w:next w:val="1"/>
    <w:unhideWhenUsed/>
    <w:qFormat/>
    <w:uiPriority w:val="39"/>
    <w:pPr>
      <w:ind w:left="3360" w:leftChars="1600"/>
    </w:pPr>
    <w:rPr>
      <w:rFonts w:asciiTheme="minorHAnsi" w:hAnsiTheme="minorHAnsi" w:eastAsiaTheme="minorEastAsia" w:cstheme="minorBidi"/>
      <w14:ligatures w14:val="standardContextual"/>
    </w:rPr>
  </w:style>
  <w:style w:type="paragraph" w:styleId="27">
    <w:name w:val="Body Text 2"/>
    <w:basedOn w:val="1"/>
    <w:link w:val="57"/>
    <w:unhideWhenUsed/>
    <w:qFormat/>
    <w:uiPriority w:val="0"/>
    <w:pPr>
      <w:spacing w:after="120" w:line="480" w:lineRule="auto"/>
    </w:pPr>
  </w:style>
  <w:style w:type="paragraph" w:styleId="28">
    <w:name w:val="Normal (Web)"/>
    <w:basedOn w:val="1"/>
    <w:unhideWhenUsed/>
    <w:qFormat/>
    <w:uiPriority w:val="99"/>
    <w:pPr>
      <w:widowControl/>
      <w:spacing w:before="100" w:beforeAutospacing="1" w:after="100" w:afterAutospacing="1" w:line="330" w:lineRule="atLeast"/>
      <w:jc w:val="left"/>
    </w:pPr>
    <w:rPr>
      <w:rFonts w:ascii="宋体" w:hAnsi="宋体" w:cs="宋体"/>
      <w:kern w:val="0"/>
      <w:sz w:val="22"/>
    </w:rPr>
  </w:style>
  <w:style w:type="paragraph" w:styleId="29">
    <w:name w:val="Title"/>
    <w:basedOn w:val="1"/>
    <w:next w:val="1"/>
    <w:qFormat/>
    <w:uiPriority w:val="0"/>
    <w:pPr>
      <w:spacing w:before="240" w:after="60"/>
      <w:jc w:val="center"/>
      <w:outlineLvl w:val="0"/>
    </w:pPr>
    <w:rPr>
      <w:rFonts w:asciiTheme="majorHAnsi" w:hAnsiTheme="majorHAnsi" w:cstheme="majorBidi"/>
      <w:b/>
      <w:bCs/>
      <w:sz w:val="36"/>
      <w:szCs w:val="36"/>
    </w:rPr>
  </w:style>
  <w:style w:type="paragraph" w:styleId="30">
    <w:name w:val="annotation subject"/>
    <w:basedOn w:val="11"/>
    <w:next w:val="11"/>
    <w:link w:val="63"/>
    <w:unhideWhenUsed/>
    <w:qFormat/>
    <w:uiPriority w:val="99"/>
    <w:rPr>
      <w:b/>
      <w:bCs/>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bCs/>
    </w:rPr>
  </w:style>
  <w:style w:type="character" w:styleId="35">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6">
    <w:name w:val="Emphasis"/>
    <w:basedOn w:val="33"/>
    <w:qFormat/>
    <w:uiPriority w:val="20"/>
    <w:rPr>
      <w:color w:val="CC0000"/>
    </w:rPr>
  </w:style>
  <w:style w:type="character" w:styleId="37">
    <w:name w:val="Hyperlink"/>
    <w:basedOn w:val="33"/>
    <w:unhideWhenUsed/>
    <w:qFormat/>
    <w:uiPriority w:val="99"/>
    <w:rPr>
      <w:color w:val="0000FF"/>
      <w:u w:val="single"/>
    </w:rPr>
  </w:style>
  <w:style w:type="character" w:styleId="38">
    <w:name w:val="annotation reference"/>
    <w:basedOn w:val="33"/>
    <w:unhideWhenUsed/>
    <w:qFormat/>
    <w:uiPriority w:val="99"/>
    <w:rPr>
      <w:sz w:val="21"/>
      <w:szCs w:val="21"/>
    </w:rPr>
  </w:style>
  <w:style w:type="character" w:customStyle="1" w:styleId="39">
    <w:name w:val="标题 2 字符"/>
    <w:basedOn w:val="33"/>
    <w:link w:val="3"/>
    <w:qFormat/>
    <w:uiPriority w:val="9"/>
    <w:rPr>
      <w:rFonts w:ascii="Cambria" w:hAnsi="Cambria" w:eastAsia="宋体" w:cs="Times New Roman"/>
      <w:b/>
      <w:bCs/>
      <w:sz w:val="24"/>
      <w:szCs w:val="32"/>
    </w:rPr>
  </w:style>
  <w:style w:type="character" w:customStyle="1" w:styleId="40">
    <w:name w:val="标题 1 字符"/>
    <w:basedOn w:val="33"/>
    <w:link w:val="2"/>
    <w:qFormat/>
    <w:uiPriority w:val="9"/>
    <w:rPr>
      <w:rFonts w:ascii="Calibri" w:hAnsi="Calibri" w:eastAsia="宋体" w:cs="Times New Roman"/>
      <w:b/>
      <w:bCs/>
      <w:kern w:val="44"/>
      <w:sz w:val="28"/>
      <w:szCs w:val="44"/>
    </w:rPr>
  </w:style>
  <w:style w:type="character" w:customStyle="1" w:styleId="41">
    <w:name w:val="标题 3 字符"/>
    <w:basedOn w:val="33"/>
    <w:link w:val="4"/>
    <w:semiHidden/>
    <w:qFormat/>
    <w:uiPriority w:val="9"/>
    <w:rPr>
      <w:rFonts w:ascii="Calibri" w:hAnsi="Calibri" w:eastAsia="宋体" w:cs="Times New Roman"/>
      <w:b/>
      <w:bCs/>
      <w:sz w:val="32"/>
      <w:szCs w:val="32"/>
    </w:rPr>
  </w:style>
  <w:style w:type="character" w:customStyle="1" w:styleId="42">
    <w:name w:val="标题 4 字符"/>
    <w:basedOn w:val="33"/>
    <w:link w:val="5"/>
    <w:qFormat/>
    <w:uiPriority w:val="1"/>
    <w:rPr>
      <w:rFonts w:ascii="Times New Roman" w:hAnsi="Times New Roman" w:eastAsia="Times New Roman"/>
      <w:sz w:val="30"/>
      <w:szCs w:val="30"/>
      <w:lang w:eastAsia="en-US" w:bidi="en-US"/>
    </w:rPr>
  </w:style>
  <w:style w:type="character" w:customStyle="1" w:styleId="43">
    <w:name w:val="标题 5 字符"/>
    <w:basedOn w:val="33"/>
    <w:link w:val="6"/>
    <w:qFormat/>
    <w:uiPriority w:val="1"/>
    <w:rPr>
      <w:rFonts w:ascii="宋体" w:hAnsi="宋体" w:cs="宋体"/>
      <w:b/>
      <w:bCs/>
      <w:sz w:val="28"/>
      <w:szCs w:val="28"/>
      <w:lang w:eastAsia="en-US" w:bidi="en-US"/>
    </w:rPr>
  </w:style>
  <w:style w:type="character" w:customStyle="1" w:styleId="44">
    <w:name w:val="标题 6 字符"/>
    <w:basedOn w:val="33"/>
    <w:link w:val="7"/>
    <w:qFormat/>
    <w:uiPriority w:val="1"/>
    <w:rPr>
      <w:rFonts w:ascii="宋体" w:hAnsi="宋体" w:cs="宋体"/>
      <w:b/>
      <w:bCs/>
      <w:sz w:val="24"/>
      <w:szCs w:val="24"/>
      <w:lang w:eastAsia="en-US" w:bidi="en-US"/>
    </w:rPr>
  </w:style>
  <w:style w:type="character" w:customStyle="1" w:styleId="45">
    <w:name w:val="hps"/>
    <w:basedOn w:val="33"/>
    <w:qFormat/>
    <w:uiPriority w:val="0"/>
  </w:style>
  <w:style w:type="character" w:customStyle="1" w:styleId="46">
    <w:name w:val="highlight1"/>
    <w:basedOn w:val="33"/>
    <w:qFormat/>
    <w:uiPriority w:val="0"/>
    <w:rPr>
      <w:shd w:val="clear" w:color="auto" w:fill="FFFF00"/>
    </w:rPr>
  </w:style>
  <w:style w:type="character" w:customStyle="1" w:styleId="47">
    <w:name w:val="批注框文本 字符"/>
    <w:basedOn w:val="33"/>
    <w:link w:val="19"/>
    <w:qFormat/>
    <w:uiPriority w:val="0"/>
    <w:rPr>
      <w:rFonts w:ascii="Calibri" w:hAnsi="Calibri" w:eastAsia="宋体" w:cs="Times New Roman"/>
      <w:sz w:val="18"/>
      <w:szCs w:val="18"/>
    </w:rPr>
  </w:style>
  <w:style w:type="character" w:customStyle="1" w:styleId="48">
    <w:name w:val="正文文本 字符"/>
    <w:basedOn w:val="33"/>
    <w:link w:val="12"/>
    <w:semiHidden/>
    <w:qFormat/>
    <w:uiPriority w:val="99"/>
    <w:rPr>
      <w:rFonts w:ascii="Calibri" w:hAnsi="Calibri" w:eastAsia="宋体" w:cs="Times New Roman"/>
    </w:rPr>
  </w:style>
  <w:style w:type="character" w:customStyle="1" w:styleId="49">
    <w:name w:val="Font Style129"/>
    <w:basedOn w:val="33"/>
    <w:qFormat/>
    <w:uiPriority w:val="0"/>
    <w:rPr>
      <w:rFonts w:ascii="宋体" w:eastAsia="宋体" w:cs="宋体"/>
      <w:b/>
      <w:bCs/>
      <w:sz w:val="18"/>
      <w:szCs w:val="18"/>
    </w:rPr>
  </w:style>
  <w:style w:type="character" w:customStyle="1" w:styleId="50">
    <w:name w:val="页脚 字符"/>
    <w:basedOn w:val="33"/>
    <w:link w:val="20"/>
    <w:qFormat/>
    <w:uiPriority w:val="0"/>
    <w:rPr>
      <w:sz w:val="18"/>
      <w:szCs w:val="18"/>
    </w:rPr>
  </w:style>
  <w:style w:type="character" w:customStyle="1" w:styleId="51">
    <w:name w:val="段 Char"/>
    <w:basedOn w:val="33"/>
    <w:link w:val="52"/>
    <w:qFormat/>
    <w:uiPriority w:val="0"/>
    <w:rPr>
      <w:rFonts w:ascii="宋体" w:hAnsi="Times New Roman" w:eastAsia="宋体" w:cs="Times New Roman"/>
      <w:kern w:val="0"/>
      <w:szCs w:val="20"/>
    </w:rPr>
  </w:style>
  <w:style w:type="paragraph" w:customStyle="1" w:styleId="52">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3">
    <w:name w:val="文档结构图 字符"/>
    <w:basedOn w:val="33"/>
    <w:link w:val="10"/>
    <w:semiHidden/>
    <w:qFormat/>
    <w:uiPriority w:val="99"/>
    <w:rPr>
      <w:rFonts w:ascii="宋体" w:hAnsi="Calibri" w:eastAsia="宋体" w:cs="Times New Roman"/>
      <w:sz w:val="18"/>
      <w:szCs w:val="18"/>
    </w:rPr>
  </w:style>
  <w:style w:type="character" w:customStyle="1" w:styleId="54">
    <w:name w:val="highlight"/>
    <w:basedOn w:val="33"/>
    <w:qFormat/>
    <w:uiPriority w:val="0"/>
  </w:style>
  <w:style w:type="character" w:customStyle="1" w:styleId="55">
    <w:name w:val="页眉 字符"/>
    <w:basedOn w:val="33"/>
    <w:link w:val="21"/>
    <w:qFormat/>
    <w:uiPriority w:val="0"/>
    <w:rPr>
      <w:sz w:val="18"/>
      <w:szCs w:val="18"/>
    </w:rPr>
  </w:style>
  <w:style w:type="character" w:customStyle="1" w:styleId="56">
    <w:name w:val="apple-style-span"/>
    <w:basedOn w:val="33"/>
    <w:qFormat/>
    <w:uiPriority w:val="0"/>
  </w:style>
  <w:style w:type="character" w:customStyle="1" w:styleId="57">
    <w:name w:val="正文文本 2 字符"/>
    <w:basedOn w:val="33"/>
    <w:link w:val="27"/>
    <w:qFormat/>
    <w:uiPriority w:val="0"/>
    <w:rPr>
      <w:rFonts w:ascii="Calibri" w:hAnsi="Calibri" w:eastAsia="宋体" w:cs="Times New Roman"/>
    </w:rPr>
  </w:style>
  <w:style w:type="character" w:customStyle="1" w:styleId="58">
    <w:name w:val="纯文本 字符"/>
    <w:basedOn w:val="33"/>
    <w:link w:val="16"/>
    <w:qFormat/>
    <w:uiPriority w:val="0"/>
    <w:rPr>
      <w:rFonts w:ascii="宋体" w:hAnsi="Courier New" w:eastAsia="宋体" w:cs="Courier New"/>
      <w:szCs w:val="21"/>
    </w:rPr>
  </w:style>
  <w:style w:type="character" w:customStyle="1" w:styleId="59">
    <w:name w:val="日期 字符"/>
    <w:basedOn w:val="33"/>
    <w:link w:val="18"/>
    <w:qFormat/>
    <w:uiPriority w:val="0"/>
    <w:rPr>
      <w:rFonts w:ascii="Calibri" w:hAnsi="Calibri" w:eastAsia="宋体" w:cs="Times New Roman"/>
    </w:rPr>
  </w:style>
  <w:style w:type="character" w:customStyle="1" w:styleId="60">
    <w:name w:val="批注文字 字符"/>
    <w:basedOn w:val="33"/>
    <w:link w:val="11"/>
    <w:qFormat/>
    <w:uiPriority w:val="99"/>
    <w:rPr>
      <w:rFonts w:ascii="Calibri" w:hAnsi="Calibri" w:eastAsia="宋体" w:cs="Times New Roman"/>
    </w:rPr>
  </w:style>
  <w:style w:type="character" w:customStyle="1" w:styleId="61">
    <w:name w:val="apple-converted-space"/>
    <w:basedOn w:val="33"/>
    <w:qFormat/>
    <w:uiPriority w:val="0"/>
  </w:style>
  <w:style w:type="character" w:customStyle="1" w:styleId="62">
    <w:name w:val="占位符文本1"/>
    <w:basedOn w:val="33"/>
    <w:semiHidden/>
    <w:qFormat/>
    <w:uiPriority w:val="99"/>
    <w:rPr>
      <w:color w:val="808080"/>
    </w:rPr>
  </w:style>
  <w:style w:type="character" w:customStyle="1" w:styleId="63">
    <w:name w:val="批注主题 字符"/>
    <w:basedOn w:val="60"/>
    <w:link w:val="30"/>
    <w:semiHidden/>
    <w:qFormat/>
    <w:uiPriority w:val="99"/>
    <w:rPr>
      <w:rFonts w:ascii="Calibri" w:hAnsi="Calibri" w:eastAsia="宋体" w:cs="Times New Roman"/>
      <w:b/>
      <w:bCs/>
    </w:rPr>
  </w:style>
  <w:style w:type="character" w:customStyle="1" w:styleId="64">
    <w:name w:val="正文缩进 字符"/>
    <w:basedOn w:val="33"/>
    <w:link w:val="9"/>
    <w:qFormat/>
    <w:uiPriority w:val="0"/>
    <w:rPr>
      <w:rFonts w:ascii="Times New Roman" w:hAnsi="Times New Roman" w:eastAsia="宋体" w:cs="Times New Roman"/>
      <w:szCs w:val="24"/>
    </w:rPr>
  </w:style>
  <w:style w:type="character" w:customStyle="1" w:styleId="65">
    <w:name w:val="正文文本缩进 字符"/>
    <w:basedOn w:val="33"/>
    <w:link w:val="13"/>
    <w:qFormat/>
    <w:uiPriority w:val="0"/>
    <w:rPr>
      <w:rFonts w:ascii="Times New Roman" w:hAnsi="Times New Roman" w:eastAsia="楷体_GB2312" w:cs="Times New Roman"/>
      <w:color w:val="0000FF"/>
      <w:szCs w:val="21"/>
    </w:rPr>
  </w:style>
  <w:style w:type="paragraph" w:customStyle="1" w:styleId="66">
    <w:name w:val="Char Char Char Char Char Char Char Char Char Char Char Char Char Char Char Char"/>
    <w:basedOn w:val="1"/>
    <w:qFormat/>
    <w:uiPriority w:val="0"/>
    <w:pPr>
      <w:tabs>
        <w:tab w:val="left" w:pos="360"/>
      </w:tabs>
    </w:pPr>
    <w:rPr>
      <w:rFonts w:ascii="Times New Roman" w:hAnsi="Times New Roman"/>
      <w:sz w:val="24"/>
      <w:szCs w:val="24"/>
    </w:rPr>
  </w:style>
  <w:style w:type="paragraph" w:customStyle="1" w:styleId="67">
    <w:name w:val="Char Char Char Char"/>
    <w:basedOn w:val="1"/>
    <w:qFormat/>
    <w:uiPriority w:val="0"/>
    <w:pPr>
      <w:spacing w:line="360" w:lineRule="auto"/>
    </w:pPr>
    <w:rPr>
      <w:rFonts w:ascii="Tahoma" w:hAnsi="Tahoma"/>
      <w:sz w:val="24"/>
      <w:szCs w:val="20"/>
    </w:rPr>
  </w:style>
  <w:style w:type="paragraph" w:customStyle="1" w:styleId="68">
    <w:name w:val="一级条标题"/>
    <w:next w:val="5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0">
    <w:name w:val="Char"/>
    <w:basedOn w:val="1"/>
    <w:qFormat/>
    <w:uiPriority w:val="0"/>
    <w:pPr>
      <w:tabs>
        <w:tab w:val="left" w:pos="4665"/>
        <w:tab w:val="left" w:pos="8970"/>
      </w:tabs>
      <w:ind w:firstLine="400"/>
    </w:pPr>
    <w:rPr>
      <w:rFonts w:ascii="Tahoma" w:hAnsi="Tahoma" w:cs="Tahoma"/>
      <w:sz w:val="24"/>
      <w:szCs w:val="24"/>
    </w:rPr>
  </w:style>
  <w:style w:type="paragraph" w:customStyle="1" w:styleId="71">
    <w:name w:val="五级条标题"/>
    <w:basedOn w:val="72"/>
    <w:next w:val="52"/>
    <w:qFormat/>
    <w:uiPriority w:val="0"/>
    <w:pPr>
      <w:outlineLvl w:val="6"/>
    </w:pPr>
  </w:style>
  <w:style w:type="paragraph" w:customStyle="1" w:styleId="72">
    <w:name w:val="四级条标题"/>
    <w:basedOn w:val="73"/>
    <w:next w:val="52"/>
    <w:qFormat/>
    <w:uiPriority w:val="0"/>
    <w:pPr>
      <w:outlineLvl w:val="5"/>
    </w:pPr>
  </w:style>
  <w:style w:type="paragraph" w:customStyle="1" w:styleId="73">
    <w:name w:val="三级条标题"/>
    <w:basedOn w:val="74"/>
    <w:next w:val="52"/>
    <w:qFormat/>
    <w:uiPriority w:val="0"/>
    <w:pPr>
      <w:outlineLvl w:val="4"/>
    </w:pPr>
  </w:style>
  <w:style w:type="paragraph" w:customStyle="1" w:styleId="74">
    <w:name w:val="二级条标题"/>
    <w:basedOn w:val="68"/>
    <w:next w:val="52"/>
    <w:qFormat/>
    <w:uiPriority w:val="0"/>
    <w:pPr>
      <w:spacing w:before="50" w:after="50"/>
      <w:outlineLvl w:val="3"/>
    </w:pPr>
  </w:style>
  <w:style w:type="paragraph" w:customStyle="1" w:styleId="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6">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77">
    <w:name w:val="正文表标题"/>
    <w:next w:val="5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8">
    <w:name w:val="列出段落1"/>
    <w:basedOn w:val="1"/>
    <w:qFormat/>
    <w:uiPriority w:val="1"/>
    <w:pPr>
      <w:ind w:firstLine="420" w:firstLineChars="200"/>
    </w:pPr>
  </w:style>
  <w:style w:type="paragraph" w:customStyle="1" w:styleId="79">
    <w:name w:val="列出段落2"/>
    <w:basedOn w:val="1"/>
    <w:unhideWhenUsed/>
    <w:qFormat/>
    <w:uiPriority w:val="99"/>
    <w:pPr>
      <w:ind w:firstLine="420" w:firstLineChars="200"/>
    </w:pPr>
  </w:style>
  <w:style w:type="paragraph" w:customStyle="1" w:styleId="80">
    <w:name w:val="TOC 标题2"/>
    <w:basedOn w:val="2"/>
    <w:next w:val="1"/>
    <w:unhideWhenUsed/>
    <w:qFormat/>
    <w:uiPriority w:val="39"/>
    <w:pPr>
      <w:jc w:val="both"/>
      <w:outlineLvl w:val="9"/>
    </w:pPr>
    <w:rPr>
      <w:sz w:val="44"/>
    </w:rPr>
  </w:style>
  <w:style w:type="paragraph" w:customStyle="1" w:styleId="81">
    <w:name w:val="tgt2"/>
    <w:basedOn w:val="1"/>
    <w:qFormat/>
    <w:uiPriority w:val="0"/>
    <w:pPr>
      <w:widowControl/>
      <w:spacing w:after="125" w:line="360" w:lineRule="auto"/>
      <w:jc w:val="left"/>
    </w:pPr>
    <w:rPr>
      <w:rFonts w:ascii="宋体" w:hAnsi="宋体" w:cs="宋体"/>
      <w:b/>
      <w:bCs/>
      <w:kern w:val="0"/>
      <w:sz w:val="36"/>
      <w:szCs w:val="36"/>
    </w:rPr>
  </w:style>
  <w:style w:type="paragraph" w:customStyle="1" w:styleId="82">
    <w:name w:val="章标题"/>
    <w:next w:val="5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3">
    <w:name w:val="修订1"/>
    <w:semiHidden/>
    <w:qFormat/>
    <w:uiPriority w:val="99"/>
    <w:rPr>
      <w:rFonts w:ascii="Calibri" w:hAnsi="Calibri" w:eastAsia="宋体" w:cs="Times New Roman"/>
      <w:kern w:val="2"/>
      <w:sz w:val="21"/>
      <w:szCs w:val="22"/>
      <w:lang w:val="en-US" w:eastAsia="zh-CN" w:bidi="ar-SA"/>
    </w:rPr>
  </w:style>
  <w:style w:type="paragraph" w:customStyle="1" w:styleId="84">
    <w:name w:val="Table Paragraph"/>
    <w:basedOn w:val="1"/>
    <w:qFormat/>
    <w:uiPriority w:val="1"/>
    <w:pPr>
      <w:autoSpaceDE w:val="0"/>
      <w:autoSpaceDN w:val="0"/>
      <w:jc w:val="left"/>
    </w:pPr>
    <w:rPr>
      <w:rFonts w:ascii="Times New Roman" w:hAnsi="Times New Roman" w:eastAsia="Times New Roman"/>
      <w:kern w:val="0"/>
      <w:sz w:val="22"/>
      <w:lang w:eastAsia="en-US" w:bidi="en-US"/>
    </w:rPr>
  </w:style>
  <w:style w:type="paragraph" w:styleId="85">
    <w:name w:val="List Paragraph"/>
    <w:basedOn w:val="1"/>
    <w:qFormat/>
    <w:uiPriority w:val="1"/>
    <w:pPr>
      <w:ind w:firstLine="420" w:firstLineChars="200"/>
    </w:pPr>
  </w:style>
  <w:style w:type="character" w:customStyle="1" w:styleId="86">
    <w:name w:val="num8"/>
    <w:basedOn w:val="33"/>
    <w:qFormat/>
    <w:uiPriority w:val="0"/>
  </w:style>
  <w:style w:type="character" w:customStyle="1" w:styleId="87">
    <w:name w:val="fontstyle01"/>
    <w:basedOn w:val="33"/>
    <w:qFormat/>
    <w:uiPriority w:val="0"/>
    <w:rPr>
      <w:rFonts w:hint="default" w:ascii="HiddenHorzOCR-Identity-H" w:hAnsi="HiddenHorzOCR-Identity-H"/>
      <w:color w:val="333333"/>
      <w:sz w:val="18"/>
      <w:szCs w:val="18"/>
    </w:rPr>
  </w:style>
  <w:style w:type="character" w:customStyle="1" w:styleId="88">
    <w:name w:val="fontstyle21"/>
    <w:basedOn w:val="33"/>
    <w:qFormat/>
    <w:uiPriority w:val="0"/>
    <w:rPr>
      <w:rFonts w:hint="default" w:ascii="Times-Roman" w:hAnsi="Times-Roman"/>
      <w:color w:val="535353"/>
      <w:sz w:val="22"/>
      <w:szCs w:val="22"/>
    </w:rPr>
  </w:style>
  <w:style w:type="table" w:customStyle="1" w:styleId="89">
    <w:name w:val="Table Normal"/>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90">
    <w:name w:val="修订2"/>
    <w:hidden/>
    <w:semiHidden/>
    <w:qFormat/>
    <w:uiPriority w:val="99"/>
    <w:rPr>
      <w:rFonts w:ascii="Calibri" w:hAnsi="Calibri" w:eastAsia="宋体" w:cs="Times New Roman"/>
      <w:kern w:val="2"/>
      <w:sz w:val="21"/>
      <w:szCs w:val="22"/>
      <w:lang w:val="en-US" w:eastAsia="zh-CN" w:bidi="ar-SA"/>
    </w:rPr>
  </w:style>
  <w:style w:type="paragraph" w:customStyle="1" w:styleId="91">
    <w:name w:val="正文1"/>
    <w:qFormat/>
    <w:uiPriority w:val="0"/>
    <w:pPr>
      <w:jc w:val="both"/>
    </w:pPr>
    <w:rPr>
      <w:rFonts w:ascii="Calibri" w:hAnsi="Calibri" w:eastAsia="宋体" w:cs="宋体"/>
      <w:kern w:val="2"/>
      <w:sz w:val="21"/>
      <w:szCs w:val="21"/>
      <w:lang w:val="en-US" w:eastAsia="zh-CN" w:bidi="ar-SA"/>
    </w:rPr>
  </w:style>
  <w:style w:type="paragraph" w:customStyle="1" w:styleId="92">
    <w:name w:val="修订3"/>
    <w:hidden/>
    <w:semiHidden/>
    <w:qFormat/>
    <w:uiPriority w:val="99"/>
    <w:rPr>
      <w:rFonts w:ascii="Calibri" w:hAnsi="Calibri" w:eastAsia="宋体" w:cs="Times New Roman"/>
      <w:kern w:val="2"/>
      <w:sz w:val="21"/>
      <w:szCs w:val="22"/>
      <w:lang w:val="en-US" w:eastAsia="zh-CN" w:bidi="ar-SA"/>
    </w:rPr>
  </w:style>
  <w:style w:type="paragraph" w:customStyle="1" w:styleId="93">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4">
    <w:name w:val="修订4"/>
    <w:hidden/>
    <w:unhideWhenUsed/>
    <w:qFormat/>
    <w:uiPriority w:val="99"/>
    <w:rPr>
      <w:rFonts w:ascii="Calibri" w:hAnsi="Calibri" w:eastAsia="宋体" w:cs="Times New Roman"/>
      <w:kern w:val="2"/>
      <w:sz w:val="21"/>
      <w:szCs w:val="22"/>
      <w:lang w:val="en-US" w:eastAsia="zh-CN" w:bidi="ar-SA"/>
    </w:rPr>
  </w:style>
  <w:style w:type="character" w:customStyle="1" w:styleId="95">
    <w:name w:val="未处理的提及1"/>
    <w:basedOn w:val="33"/>
    <w:semiHidden/>
    <w:unhideWhenUsed/>
    <w:qFormat/>
    <w:uiPriority w:val="99"/>
    <w:rPr>
      <w:color w:val="605E5C"/>
      <w:shd w:val="clear" w:color="auto" w:fill="E1DFDD"/>
    </w:rPr>
  </w:style>
  <w:style w:type="paragraph" w:customStyle="1" w:styleId="96">
    <w:name w:val="TOC 标题4"/>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7">
    <w:name w:val="修订5"/>
    <w:hidden/>
    <w:unhideWhenUsed/>
    <w:qFormat/>
    <w:uiPriority w:val="99"/>
    <w:rPr>
      <w:rFonts w:ascii="Calibri" w:hAnsi="Calibri" w:eastAsia="宋体" w:cs="Times New Roman"/>
      <w:kern w:val="2"/>
      <w:sz w:val="21"/>
      <w:szCs w:val="22"/>
      <w:lang w:val="en-US" w:eastAsia="zh-CN" w:bidi="ar-SA"/>
    </w:rPr>
  </w:style>
  <w:style w:type="character" w:customStyle="1" w:styleId="98">
    <w:name w:val="未处理的提及2"/>
    <w:basedOn w:val="33"/>
    <w:semiHidden/>
    <w:unhideWhenUsed/>
    <w:qFormat/>
    <w:uiPriority w:val="99"/>
    <w:rPr>
      <w:color w:val="605E5C"/>
      <w:shd w:val="clear" w:color="auto" w:fill="E1DFDD"/>
    </w:rPr>
  </w:style>
  <w:style w:type="paragraph" w:customStyle="1" w:styleId="99">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00">
    <w:name w:val="目录 1 Char"/>
    <w:link w:val="22"/>
    <w:qFormat/>
    <w:uiPriority w:val="39"/>
    <w:rPr>
      <w:color w:val="000000"/>
    </w:rPr>
  </w:style>
  <w:style w:type="paragraph" w:customStyle="1" w:styleId="101">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table" w:customStyle="1" w:styleId="102">
    <w:name w:val="网格型1"/>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9090F-648C-44D7-B588-70259911050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542</Words>
  <Characters>825</Characters>
  <Lines>908</Lines>
  <Paragraphs>255</Paragraphs>
  <TotalTime>3</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2023-08-25T06:10:00Z</dcterms:created>
  <dc:creator>User</dc:creator>
  <cp:lastModifiedBy>HS</cp:lastModifiedBy>
  <cp:lastPrinted>2025-08-01T03:26:00Z</cp:lastPrinted>
  <dcterms:modified xsi:type="dcterms:W3CDTF">2025-09-24T05:36:02Z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6F85842E732D42688DDF367E32315208</vt:lpwstr>
  </property>
  <property fmtid="{D5CDD505-2E9C-101B-9397-08002B2CF9AE}" pid="4" name="KSOTemplateDocerSaveRecord">
    <vt:lpwstr>eyJoZGlkIjoiMWRjOTc3NzgyMDE1YWYyNTM3ODQzZjIzN2ZhOTgyY2EiLCJ1c2VySWQiOiIxNTc4NzcwMzAwIn0=</vt:lpwstr>
  </property>
</Properties>
</file>