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CE52AE">
      <w:pPr>
        <w:tabs>
          <w:tab w:val="left" w:pos="285"/>
        </w:tabs>
        <w:jc w:val="left"/>
        <w:rPr>
          <w:rFonts w:hint="eastAsia" w:eastAsia="黑体"/>
          <w:b/>
          <w:bCs/>
          <w:color w:val="000000"/>
          <w:kern w:val="0"/>
          <w:sz w:val="32"/>
          <w:szCs w:val="32"/>
        </w:rPr>
      </w:pPr>
      <w:r>
        <w:rPr>
          <w:rFonts w:hAnsi="黑体" w:eastAsia="黑体"/>
          <w:color w:val="000000"/>
          <w:kern w:val="0"/>
          <w:sz w:val="32"/>
          <w:szCs w:val="32"/>
        </w:rPr>
        <w:t>附件</w:t>
      </w:r>
      <w:r>
        <w:rPr>
          <w:rFonts w:hint="eastAsia" w:eastAsia="黑体"/>
          <w:color w:val="000000"/>
          <w:kern w:val="0"/>
          <w:sz w:val="32"/>
          <w:szCs w:val="32"/>
        </w:rPr>
        <w:t>4</w:t>
      </w:r>
    </w:p>
    <w:p w14:paraId="33469017">
      <w:pPr>
        <w:pStyle w:val="2"/>
        <w:bidi w:val="0"/>
        <w:jc w:val="center"/>
        <w:rPr>
          <w:rFonts w:hint="eastAsia" w:ascii="方正小标宋_GBK" w:hAnsi="方正小标宋_GBK" w:eastAsia="方正小标宋_GBK" w:cs="方正小标宋_GBK"/>
          <w:color w:val="auto"/>
          <w:sz w:val="40"/>
          <w:szCs w:val="40"/>
        </w:rPr>
      </w:pPr>
      <w:bookmarkStart w:id="0" w:name="_GoBack"/>
      <w:r>
        <w:rPr>
          <w:rFonts w:hint="eastAsia" w:ascii="方正小标宋_GBK" w:hAnsi="方正小标宋_GBK" w:eastAsia="方正小标宋_GBK" w:cs="方正小标宋_GBK"/>
          <w:color w:val="auto"/>
          <w:sz w:val="40"/>
          <w:szCs w:val="40"/>
        </w:rPr>
        <w:t>四川省物业服务项目负责人不良行为信用信息量化分级标准</w:t>
      </w:r>
    </w:p>
    <w:bookmarkEnd w:id="0"/>
    <w:p w14:paraId="7D92192F">
      <w:pPr>
        <w:widowControl/>
        <w:spacing w:line="360" w:lineRule="exact"/>
        <w:jc w:val="center"/>
        <w:rPr>
          <w:rFonts w:hint="eastAsia" w:eastAsia="仿宋_GB2312"/>
          <w:b/>
          <w:bCs/>
          <w:color w:val="000000"/>
        </w:rPr>
      </w:pP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5"/>
        <w:gridCol w:w="5015"/>
        <w:gridCol w:w="9"/>
        <w:gridCol w:w="2503"/>
        <w:gridCol w:w="2486"/>
        <w:gridCol w:w="17"/>
        <w:gridCol w:w="1874"/>
        <w:gridCol w:w="1775"/>
      </w:tblGrid>
      <w:tr w14:paraId="05406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5000" w:type="pct"/>
            <w:gridSpan w:val="8"/>
            <w:vAlign w:val="center"/>
          </w:tcPr>
          <w:p w14:paraId="68DD1A21">
            <w:pPr>
              <w:pStyle w:val="3"/>
              <w:shd w:val="clear" w:color="auto" w:fill="FFFFFF"/>
              <w:spacing w:before="0" w:beforeAutospacing="0" w:after="0" w:afterAutospacing="0" w:line="600" w:lineRule="exact"/>
              <w:jc w:val="center"/>
              <w:rPr>
                <w:rFonts w:ascii="Times New Roman" w:hAnsi="Times New Roman" w:eastAsia="仿宋_GB2312" w:cs="Times New Roman"/>
                <w:b/>
                <w:color w:val="000000"/>
              </w:rPr>
            </w:pPr>
            <w:r>
              <w:rPr>
                <w:rFonts w:hint="eastAsia" w:ascii="Times New Roman" w:hAnsi="Times New Roman" w:eastAsia="仿宋_GB2312" w:cs="Times New Roman"/>
                <w:b/>
                <w:color w:val="000000"/>
              </w:rPr>
              <w:t>严重不良行为信用信息</w:t>
            </w:r>
          </w:p>
        </w:tc>
      </w:tr>
      <w:tr w14:paraId="0028C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175" w:type="pct"/>
            <w:vAlign w:val="center"/>
          </w:tcPr>
          <w:p w14:paraId="11B54476">
            <w:pPr>
              <w:spacing w:line="580" w:lineRule="exact"/>
              <w:jc w:val="center"/>
              <w:rPr>
                <w:rFonts w:hint="eastAsia" w:eastAsia="仿宋_GB2312"/>
                <w:color w:val="000000"/>
                <w:sz w:val="24"/>
              </w:rPr>
            </w:pPr>
            <w:r>
              <w:rPr>
                <w:rFonts w:eastAsia="仿宋_GB2312"/>
                <w:b/>
                <w:color w:val="000000"/>
                <w:sz w:val="24"/>
              </w:rPr>
              <w:t>序号</w:t>
            </w:r>
          </w:p>
        </w:tc>
        <w:tc>
          <w:tcPr>
            <w:tcW w:w="1772" w:type="pct"/>
            <w:gridSpan w:val="2"/>
            <w:vAlign w:val="center"/>
          </w:tcPr>
          <w:p w14:paraId="72100E3F">
            <w:pPr>
              <w:pStyle w:val="3"/>
              <w:shd w:val="clear" w:color="auto" w:fill="FFFFFF"/>
              <w:spacing w:before="0" w:beforeAutospacing="0" w:after="0" w:afterAutospacing="0" w:line="600" w:lineRule="exact"/>
              <w:jc w:val="center"/>
              <w:rPr>
                <w:rFonts w:ascii="Times New Roman" w:hAnsi="Times New Roman" w:eastAsia="仿宋_GB2312" w:cs="Times New Roman"/>
                <w:color w:val="000000"/>
              </w:rPr>
            </w:pPr>
            <w:r>
              <w:rPr>
                <w:rFonts w:ascii="Times New Roman" w:hAnsi="Times New Roman" w:eastAsia="仿宋_GB2312" w:cs="Times New Roman"/>
                <w:b/>
                <w:color w:val="000000"/>
              </w:rPr>
              <w:t>严重</w:t>
            </w:r>
            <w:r>
              <w:rPr>
                <w:rFonts w:hint="eastAsia" w:ascii="Times New Roman" w:hAnsi="Times New Roman" w:eastAsia="仿宋_GB2312" w:cs="Times New Roman"/>
                <w:b/>
                <w:color w:val="000000"/>
              </w:rPr>
              <w:t>不良行为</w:t>
            </w:r>
            <w:r>
              <w:rPr>
                <w:rFonts w:ascii="Times New Roman" w:hAnsi="Times New Roman" w:eastAsia="仿宋_GB2312" w:cs="Times New Roman"/>
                <w:b/>
                <w:color w:val="000000"/>
              </w:rPr>
              <w:t>信息</w:t>
            </w:r>
          </w:p>
        </w:tc>
        <w:tc>
          <w:tcPr>
            <w:tcW w:w="883" w:type="pct"/>
            <w:vAlign w:val="center"/>
          </w:tcPr>
          <w:p w14:paraId="7412D591">
            <w:pPr>
              <w:spacing w:line="580" w:lineRule="exact"/>
              <w:jc w:val="center"/>
              <w:rPr>
                <w:rFonts w:hint="eastAsia" w:eastAsia="仿宋_GB2312"/>
                <w:b/>
                <w:color w:val="000000"/>
                <w:sz w:val="24"/>
              </w:rPr>
            </w:pPr>
            <w:r>
              <w:rPr>
                <w:rFonts w:hint="eastAsia" w:eastAsia="仿宋_GB2312"/>
                <w:b/>
                <w:color w:val="000000"/>
                <w:sz w:val="24"/>
              </w:rPr>
              <w:t>法律法规政策</w:t>
            </w:r>
          </w:p>
        </w:tc>
        <w:tc>
          <w:tcPr>
            <w:tcW w:w="883" w:type="pct"/>
            <w:gridSpan w:val="2"/>
            <w:vAlign w:val="center"/>
          </w:tcPr>
          <w:p w14:paraId="6CFF8D9B">
            <w:pPr>
              <w:spacing w:line="580" w:lineRule="exact"/>
              <w:jc w:val="center"/>
              <w:rPr>
                <w:rFonts w:hint="eastAsia" w:eastAsia="仿宋_GB2312"/>
                <w:color w:val="000000"/>
                <w:sz w:val="24"/>
              </w:rPr>
            </w:pPr>
            <w:r>
              <w:rPr>
                <w:rFonts w:eastAsia="仿宋_GB2312"/>
                <w:b/>
                <w:color w:val="000000"/>
                <w:sz w:val="24"/>
              </w:rPr>
              <w:t>信息来源</w:t>
            </w:r>
          </w:p>
        </w:tc>
        <w:tc>
          <w:tcPr>
            <w:tcW w:w="660" w:type="pct"/>
            <w:vAlign w:val="center"/>
          </w:tcPr>
          <w:p w14:paraId="22E863EE">
            <w:pPr>
              <w:pStyle w:val="3"/>
              <w:shd w:val="clear" w:color="auto" w:fill="FFFFFF"/>
              <w:spacing w:line="600" w:lineRule="exact"/>
              <w:jc w:val="center"/>
              <w:rPr>
                <w:rFonts w:ascii="Times New Roman" w:hAnsi="Times New Roman" w:eastAsia="仿宋_GB2312" w:cs="Times New Roman"/>
                <w:b/>
                <w:color w:val="000000"/>
              </w:rPr>
            </w:pPr>
            <w:r>
              <w:rPr>
                <w:rFonts w:ascii="Times New Roman" w:hAnsi="Times New Roman" w:eastAsia="仿宋_GB2312" w:cs="Times New Roman"/>
                <w:b/>
                <w:color w:val="000000"/>
              </w:rPr>
              <w:t>评分标准</w:t>
            </w:r>
          </w:p>
        </w:tc>
        <w:tc>
          <w:tcPr>
            <w:tcW w:w="623" w:type="pct"/>
            <w:vAlign w:val="center"/>
          </w:tcPr>
          <w:p w14:paraId="21F9B6A3">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整改修复后</w:t>
            </w:r>
          </w:p>
          <w:p w14:paraId="484E553C">
            <w:pPr>
              <w:pStyle w:val="3"/>
              <w:shd w:val="clear" w:color="auto" w:fill="FFFFFF"/>
              <w:spacing w:before="0" w:beforeAutospacing="0" w:after="0" w:afterAutospacing="0" w:line="300" w:lineRule="exact"/>
              <w:jc w:val="center"/>
              <w:rPr>
                <w:rFonts w:ascii="Times New Roman" w:hAnsi="Times New Roman" w:eastAsia="仿宋_GB2312" w:cs="Times New Roman"/>
                <w:b/>
                <w:color w:val="000000"/>
              </w:rPr>
            </w:pPr>
            <w:r>
              <w:rPr>
                <w:rFonts w:hint="eastAsia" w:eastAsia="仿宋_GB2312" w:asciiTheme="minorHAnsi" w:hAnsiTheme="minorHAnsi" w:cstheme="minorBidi"/>
                <w:b/>
                <w:bCs/>
                <w:color w:val="000000"/>
                <w:kern w:val="2"/>
                <w:szCs w:val="22"/>
              </w:rPr>
              <w:t>减分标准</w:t>
            </w:r>
          </w:p>
        </w:tc>
      </w:tr>
      <w:tr w14:paraId="020E0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383414E0">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1</w:t>
            </w:r>
          </w:p>
        </w:tc>
        <w:tc>
          <w:tcPr>
            <w:tcW w:w="1772" w:type="pct"/>
            <w:gridSpan w:val="2"/>
            <w:vAlign w:val="center"/>
          </w:tcPr>
          <w:p w14:paraId="4111A51A">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项目</w:t>
            </w:r>
            <w:r>
              <w:rPr>
                <w:rFonts w:eastAsia="仿宋_GB2312" w:asciiTheme="minorHAnsi" w:hAnsiTheme="minorHAnsi" w:cstheme="minorBidi"/>
                <w:color w:val="000000"/>
                <w:kern w:val="2"/>
                <w:szCs w:val="22"/>
              </w:rPr>
              <w:t>负责人</w:t>
            </w:r>
            <w:r>
              <w:rPr>
                <w:rFonts w:hint="eastAsia" w:eastAsia="仿宋_GB2312" w:asciiTheme="minorHAnsi" w:hAnsiTheme="minorHAnsi" w:cstheme="minorBidi"/>
                <w:color w:val="000000"/>
                <w:kern w:val="2"/>
                <w:szCs w:val="22"/>
              </w:rPr>
              <w:t>在</w:t>
            </w:r>
            <w:r>
              <w:rPr>
                <w:rFonts w:eastAsia="仿宋_GB2312" w:asciiTheme="minorHAnsi" w:hAnsiTheme="minorHAnsi" w:cstheme="minorBidi"/>
                <w:color w:val="000000"/>
                <w:kern w:val="2"/>
                <w:szCs w:val="22"/>
              </w:rPr>
              <w:t>从事物业服务活动中</w:t>
            </w:r>
            <w:r>
              <w:rPr>
                <w:rFonts w:hint="eastAsia" w:eastAsia="仿宋_GB2312" w:asciiTheme="minorHAnsi" w:hAnsiTheme="minorHAnsi" w:cstheme="minorBidi"/>
                <w:color w:val="000000"/>
                <w:kern w:val="2"/>
                <w:szCs w:val="22"/>
              </w:rPr>
              <w:t>存在过错并承担相关责任</w:t>
            </w:r>
            <w:r>
              <w:rPr>
                <w:rFonts w:eastAsia="仿宋_GB2312" w:asciiTheme="minorHAnsi" w:hAnsiTheme="minorHAnsi" w:cstheme="minorBidi"/>
                <w:color w:val="000000"/>
                <w:kern w:val="2"/>
                <w:szCs w:val="22"/>
              </w:rPr>
              <w:t>，通过人民法院司法程序认定，被列入失信被执行人名单的</w:t>
            </w:r>
          </w:p>
        </w:tc>
        <w:tc>
          <w:tcPr>
            <w:tcW w:w="883" w:type="pct"/>
          </w:tcPr>
          <w:p w14:paraId="1127F2D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《最高人民法院关于公布失信被执行人名单信息的若干规定》</w:t>
            </w:r>
          </w:p>
        </w:tc>
        <w:tc>
          <w:tcPr>
            <w:tcW w:w="883" w:type="pct"/>
            <w:gridSpan w:val="2"/>
            <w:vAlign w:val="center"/>
          </w:tcPr>
          <w:p w14:paraId="5CF7A27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w:t>
            </w:r>
          </w:p>
        </w:tc>
        <w:tc>
          <w:tcPr>
            <w:tcW w:w="660" w:type="pct"/>
          </w:tcPr>
          <w:p w14:paraId="2321C9F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624EBF4E">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60734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707DCD66">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2</w:t>
            </w:r>
          </w:p>
        </w:tc>
        <w:tc>
          <w:tcPr>
            <w:tcW w:w="1772" w:type="pct"/>
            <w:gridSpan w:val="2"/>
            <w:vAlign w:val="center"/>
          </w:tcPr>
          <w:p w14:paraId="253DADCE">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经司法机关或行政机关确认由</w:t>
            </w:r>
            <w:r>
              <w:rPr>
                <w:rFonts w:hint="eastAsia" w:eastAsia="仿宋_GB2312" w:asciiTheme="minorHAnsi" w:hAnsiTheme="minorHAnsi" w:cstheme="minorBidi"/>
                <w:color w:val="000000"/>
                <w:kern w:val="2"/>
                <w:szCs w:val="22"/>
              </w:rPr>
              <w:t>项目负责人</w:t>
            </w:r>
            <w:r>
              <w:rPr>
                <w:rFonts w:eastAsia="仿宋_GB2312" w:asciiTheme="minorHAnsi" w:hAnsiTheme="minorHAnsi" w:cstheme="minorBidi"/>
                <w:color w:val="000000"/>
                <w:kern w:val="2"/>
                <w:szCs w:val="22"/>
              </w:rPr>
              <w:t>负主要责任或全部责任发生的</w:t>
            </w:r>
            <w:r>
              <w:rPr>
                <w:rFonts w:hint="eastAsia" w:eastAsia="仿宋_GB2312" w:asciiTheme="minorHAnsi" w:hAnsiTheme="minorHAnsi" w:cstheme="minorBidi"/>
                <w:color w:val="000000"/>
                <w:kern w:val="2"/>
                <w:szCs w:val="22"/>
              </w:rPr>
              <w:t>特别重大事故、重大事故、较大</w:t>
            </w:r>
            <w:r>
              <w:rPr>
                <w:rFonts w:eastAsia="仿宋_GB2312" w:asciiTheme="minorHAnsi" w:hAnsiTheme="minorHAnsi" w:cstheme="minorBidi"/>
                <w:color w:val="000000"/>
                <w:kern w:val="2"/>
                <w:szCs w:val="22"/>
              </w:rPr>
              <w:t>事故，或一年内累计发生两起</w:t>
            </w:r>
            <w:r>
              <w:rPr>
                <w:rFonts w:hint="eastAsia" w:eastAsia="仿宋_GB2312" w:asciiTheme="minorHAnsi" w:hAnsiTheme="minorHAnsi" w:cstheme="minorBidi"/>
                <w:color w:val="000000"/>
                <w:kern w:val="2"/>
                <w:szCs w:val="22"/>
              </w:rPr>
              <w:t>及以上一般</w:t>
            </w:r>
            <w:r>
              <w:rPr>
                <w:rFonts w:eastAsia="仿宋_GB2312" w:asciiTheme="minorHAnsi" w:hAnsiTheme="minorHAnsi" w:cstheme="minorBidi"/>
                <w:color w:val="000000"/>
                <w:kern w:val="2"/>
                <w:szCs w:val="22"/>
              </w:rPr>
              <w:t>事故，或发生性质恶劣、危害严重、社会影响大的</w:t>
            </w:r>
            <w:r>
              <w:rPr>
                <w:rFonts w:hint="eastAsia" w:eastAsia="仿宋_GB2312" w:asciiTheme="minorHAnsi" w:hAnsiTheme="minorHAnsi" w:cstheme="minorBidi"/>
                <w:color w:val="000000"/>
                <w:kern w:val="2"/>
                <w:szCs w:val="22"/>
              </w:rPr>
              <w:t>其它</w:t>
            </w:r>
            <w:r>
              <w:rPr>
                <w:rFonts w:eastAsia="仿宋_GB2312" w:asciiTheme="minorHAnsi" w:hAnsiTheme="minorHAnsi" w:cstheme="minorBidi"/>
                <w:color w:val="000000"/>
                <w:kern w:val="2"/>
                <w:szCs w:val="22"/>
              </w:rPr>
              <w:t>安全责任事故的</w:t>
            </w:r>
          </w:p>
        </w:tc>
        <w:tc>
          <w:tcPr>
            <w:tcW w:w="883" w:type="pct"/>
          </w:tcPr>
          <w:p w14:paraId="57D70F8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《中华人民共和国安全生产法》第十六条；《</w:t>
            </w:r>
            <w:r>
              <w:rPr>
                <w:rFonts w:eastAsia="仿宋_GB2312" w:asciiTheme="minorHAnsi" w:hAnsiTheme="minorHAnsi" w:cstheme="minorBidi"/>
                <w:color w:val="000000"/>
                <w:kern w:val="2"/>
                <w:szCs w:val="22"/>
              </w:rPr>
              <w:t>生产安全事故报告和调查处理条例</w:t>
            </w:r>
            <w:r>
              <w:rPr>
                <w:rFonts w:hint="eastAsia" w:eastAsia="仿宋_GB2312" w:asciiTheme="minorHAnsi" w:hAnsiTheme="minorHAnsi" w:cstheme="minorBidi"/>
                <w:color w:val="000000"/>
                <w:kern w:val="2"/>
                <w:szCs w:val="22"/>
              </w:rPr>
              <w:t>》第三条</w:t>
            </w:r>
          </w:p>
        </w:tc>
        <w:tc>
          <w:tcPr>
            <w:tcW w:w="883" w:type="pct"/>
            <w:gridSpan w:val="2"/>
            <w:vAlign w:val="center"/>
          </w:tcPr>
          <w:p w14:paraId="4A418A0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4F5938B6">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2CE175DC">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78BF4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1A11CB2B">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3</w:t>
            </w:r>
          </w:p>
        </w:tc>
        <w:tc>
          <w:tcPr>
            <w:tcW w:w="1772" w:type="pct"/>
            <w:gridSpan w:val="2"/>
            <w:vAlign w:val="center"/>
          </w:tcPr>
          <w:p w14:paraId="37AC01FE">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经行政机关确认因项目负责人负有管理责任导致违反物业服务合同减少服务内容，降低服务标准等行为引发重大矛盾纠纷、群体上访事件，严重影响社会稳定，造成严重不良后果的；</w:t>
            </w:r>
          </w:p>
        </w:tc>
        <w:tc>
          <w:tcPr>
            <w:tcW w:w="883" w:type="pct"/>
          </w:tcPr>
          <w:p w14:paraId="44B886C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第五十三条</w:t>
            </w:r>
          </w:p>
        </w:tc>
        <w:tc>
          <w:tcPr>
            <w:tcW w:w="883" w:type="pct"/>
            <w:gridSpan w:val="2"/>
            <w:vAlign w:val="center"/>
          </w:tcPr>
          <w:p w14:paraId="5CD55127">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有关行政机关</w:t>
            </w:r>
          </w:p>
        </w:tc>
        <w:tc>
          <w:tcPr>
            <w:tcW w:w="660" w:type="pct"/>
          </w:tcPr>
          <w:p w14:paraId="7E9723E0">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074838FF">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扣5分，l移出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276A90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5C63A3B0">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4</w:t>
            </w:r>
          </w:p>
        </w:tc>
        <w:tc>
          <w:tcPr>
            <w:tcW w:w="1772" w:type="pct"/>
            <w:gridSpan w:val="2"/>
            <w:vAlign w:val="center"/>
          </w:tcPr>
          <w:p w14:paraId="758B865A">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经司法机关或相关行政机关确认骗取、挪用或侵占建筑物及其附属设施维修资金的；</w:t>
            </w:r>
          </w:p>
        </w:tc>
        <w:tc>
          <w:tcPr>
            <w:tcW w:w="883" w:type="pct"/>
          </w:tcPr>
          <w:p w14:paraId="601EB99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《物业管理条例》第六十条</w:t>
            </w:r>
          </w:p>
        </w:tc>
        <w:tc>
          <w:tcPr>
            <w:tcW w:w="883" w:type="pct"/>
            <w:gridSpan w:val="2"/>
            <w:vAlign w:val="center"/>
          </w:tcPr>
          <w:p w14:paraId="04AE2EB9">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294324C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0FE6E1A1">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扣5分，移出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70875E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3E2B66B2">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5</w:t>
            </w:r>
          </w:p>
        </w:tc>
        <w:tc>
          <w:tcPr>
            <w:tcW w:w="1772" w:type="pct"/>
            <w:gridSpan w:val="2"/>
            <w:vAlign w:val="center"/>
          </w:tcPr>
          <w:p w14:paraId="220F96E7">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经司法机关或行政机关确认未经业主共同决定，擅自改变物业管理区域内物业服务用房、共用部位和共用设施设备用途或者利用共有部分从事经营活动；挪用、侵占、隐瞒共有部分经营收益的；</w:t>
            </w:r>
          </w:p>
        </w:tc>
        <w:tc>
          <w:tcPr>
            <w:tcW w:w="883" w:type="pct"/>
          </w:tcPr>
          <w:p w14:paraId="52E48E4C">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《物业管理条例》第六十二条、</w:t>
            </w:r>
            <w:r>
              <w:rPr>
                <w:rFonts w:eastAsia="仿宋_GB2312" w:asciiTheme="minorHAnsi" w:hAnsiTheme="minorHAnsi" w:cstheme="minorBidi"/>
                <w:color w:val="000000"/>
                <w:kern w:val="2"/>
                <w:szCs w:val="22"/>
              </w:rPr>
              <w:t>第六十三条</w:t>
            </w:r>
          </w:p>
        </w:tc>
        <w:tc>
          <w:tcPr>
            <w:tcW w:w="883" w:type="pct"/>
            <w:gridSpan w:val="2"/>
            <w:vAlign w:val="center"/>
          </w:tcPr>
          <w:p w14:paraId="4B1CE66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2EBF9FA9">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085CF09D">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扣5分，移出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6F9EB0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1C8CFA3A">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6</w:t>
            </w:r>
          </w:p>
        </w:tc>
        <w:tc>
          <w:tcPr>
            <w:tcW w:w="1772" w:type="pct"/>
            <w:gridSpan w:val="2"/>
            <w:vAlign w:val="center"/>
          </w:tcPr>
          <w:p w14:paraId="67683AF7">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经相关主管部门查证属实项目负责人在物业服务活动中存在涉黑涉恶或蓄意阻挠、破坏物业管理活动行为的；</w:t>
            </w:r>
          </w:p>
        </w:tc>
        <w:tc>
          <w:tcPr>
            <w:tcW w:w="883" w:type="pct"/>
          </w:tcPr>
          <w:p w14:paraId="24AB02E7">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《中华人民共和国行政处罚法》《中华人民共和国行政许可法》《中华人民共和国行政强制法》《四川省物业管理条例》</w:t>
            </w:r>
            <w:r>
              <w:rPr>
                <w:rFonts w:eastAsia="仿宋_GB2312" w:asciiTheme="minorHAnsi" w:hAnsiTheme="minorHAnsi" w:cstheme="minorBidi"/>
                <w:color w:val="000000"/>
                <w:kern w:val="2"/>
                <w:szCs w:val="22"/>
              </w:rPr>
              <w:t>第九十六条</w:t>
            </w:r>
          </w:p>
        </w:tc>
        <w:tc>
          <w:tcPr>
            <w:tcW w:w="883" w:type="pct"/>
            <w:gridSpan w:val="2"/>
            <w:vAlign w:val="center"/>
          </w:tcPr>
          <w:p w14:paraId="4F9B245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0DCE284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38ECCDC4">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不予修复</w:t>
            </w:r>
          </w:p>
        </w:tc>
      </w:tr>
      <w:tr w14:paraId="51E6E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1D972737">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7</w:t>
            </w:r>
          </w:p>
        </w:tc>
        <w:tc>
          <w:tcPr>
            <w:tcW w:w="1772" w:type="pct"/>
            <w:gridSpan w:val="2"/>
            <w:vAlign w:val="center"/>
          </w:tcPr>
          <w:p w14:paraId="4AC81E41">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无故阻挠、拒绝接受相关主管部门根据职能职责开展监督检查经劝告仍不改正被通报的；</w:t>
            </w:r>
          </w:p>
        </w:tc>
        <w:tc>
          <w:tcPr>
            <w:tcW w:w="883" w:type="pct"/>
          </w:tcPr>
          <w:p w14:paraId="7A3D8312">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《中华人民共和国行政处罚法》《中华人民共和国行政许可法》《中华人民共和国行政强制法》《四川省物业管理条例》</w:t>
            </w:r>
            <w:r>
              <w:rPr>
                <w:rFonts w:eastAsia="仿宋_GB2312" w:asciiTheme="minorHAnsi" w:hAnsiTheme="minorHAnsi" w:cstheme="minorBidi"/>
                <w:color w:val="000000"/>
                <w:kern w:val="2"/>
                <w:szCs w:val="22"/>
              </w:rPr>
              <w:t>第九十六条</w:t>
            </w:r>
          </w:p>
        </w:tc>
        <w:tc>
          <w:tcPr>
            <w:tcW w:w="883" w:type="pct"/>
            <w:gridSpan w:val="2"/>
            <w:vAlign w:val="center"/>
          </w:tcPr>
          <w:p w14:paraId="24DA331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61E7B6D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115DADF2">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不予修复</w:t>
            </w:r>
          </w:p>
        </w:tc>
      </w:tr>
      <w:tr w14:paraId="7FB6F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0CD01B0E">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8</w:t>
            </w:r>
          </w:p>
        </w:tc>
        <w:tc>
          <w:tcPr>
            <w:tcW w:w="1772" w:type="pct"/>
            <w:gridSpan w:val="2"/>
            <w:vAlign w:val="center"/>
          </w:tcPr>
          <w:p w14:paraId="26AAA6F4">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利用职务便利侵占物业服务企业权益、收取业主及相关主体财物，或擅自设置收费项目的；</w:t>
            </w:r>
          </w:p>
        </w:tc>
        <w:tc>
          <w:tcPr>
            <w:tcW w:w="883" w:type="pct"/>
          </w:tcPr>
          <w:p w14:paraId="6B441FCB">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《中华人民共和国价格法》</w:t>
            </w:r>
            <w:r>
              <w:rPr>
                <w:rFonts w:eastAsia="仿宋_GB2312" w:asciiTheme="minorHAnsi" w:hAnsiTheme="minorHAnsi" w:cstheme="minorBidi"/>
                <w:color w:val="000000"/>
                <w:kern w:val="2"/>
                <w:szCs w:val="22"/>
              </w:rPr>
              <w:t>第十二条</w:t>
            </w:r>
            <w:r>
              <w:rPr>
                <w:rFonts w:hint="eastAsia" w:eastAsia="仿宋_GB2312" w:asciiTheme="minorHAnsi" w:hAnsiTheme="minorHAnsi" w:cstheme="minorBidi"/>
                <w:color w:val="000000"/>
                <w:kern w:val="2"/>
                <w:szCs w:val="22"/>
              </w:rPr>
              <w:t>、</w:t>
            </w:r>
            <w:r>
              <w:rPr>
                <w:rFonts w:eastAsia="仿宋_GB2312" w:asciiTheme="minorHAnsi" w:hAnsiTheme="minorHAnsi" w:cstheme="minorBidi"/>
                <w:color w:val="000000"/>
                <w:kern w:val="2"/>
                <w:szCs w:val="22"/>
              </w:rPr>
              <w:t>第三十九条</w:t>
            </w: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第五十三条</w:t>
            </w:r>
          </w:p>
        </w:tc>
        <w:tc>
          <w:tcPr>
            <w:tcW w:w="883" w:type="pct"/>
            <w:gridSpan w:val="2"/>
            <w:vAlign w:val="center"/>
          </w:tcPr>
          <w:p w14:paraId="7BD3A15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00E0E052">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4E0A644F">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不予修复</w:t>
            </w:r>
          </w:p>
        </w:tc>
      </w:tr>
      <w:tr w14:paraId="48B8F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357707BD">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9</w:t>
            </w:r>
          </w:p>
        </w:tc>
        <w:tc>
          <w:tcPr>
            <w:tcW w:w="1772" w:type="pct"/>
            <w:gridSpan w:val="2"/>
            <w:vAlign w:val="center"/>
          </w:tcPr>
          <w:p w14:paraId="3270A19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经相关主管部门查实，向政府部门工作人员、居（村）民委员会工作人员、物业管理委员会成员、业主委员会成员、物业评标专家、招投标代理机构人员、监理机构人员行贿、输送不正当利益的；</w:t>
            </w:r>
          </w:p>
        </w:tc>
        <w:tc>
          <w:tcPr>
            <w:tcW w:w="883" w:type="pct"/>
          </w:tcPr>
          <w:p w14:paraId="0E5B477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第五十三条</w:t>
            </w:r>
          </w:p>
        </w:tc>
        <w:tc>
          <w:tcPr>
            <w:tcW w:w="883" w:type="pct"/>
            <w:gridSpan w:val="2"/>
            <w:vAlign w:val="center"/>
          </w:tcPr>
          <w:p w14:paraId="25F520F0">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47FD584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5D3155E4">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不予修复</w:t>
            </w:r>
          </w:p>
        </w:tc>
      </w:tr>
      <w:tr w14:paraId="4E47E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175" w:type="pct"/>
            <w:vAlign w:val="center"/>
          </w:tcPr>
          <w:p w14:paraId="299D95AC">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10</w:t>
            </w:r>
          </w:p>
        </w:tc>
        <w:tc>
          <w:tcPr>
            <w:tcW w:w="1772" w:type="pct"/>
            <w:gridSpan w:val="2"/>
            <w:vAlign w:val="center"/>
          </w:tcPr>
          <w:p w14:paraId="1D83A72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其他严重违法违规、严重损害人民群众身体健康和生命安全、严重破坏市场公平竞争秩序和社会正常秩序</w:t>
            </w:r>
            <w:r>
              <w:rPr>
                <w:rFonts w:hint="eastAsia" w:eastAsia="仿宋_GB2312" w:asciiTheme="minorHAnsi" w:hAnsiTheme="minorHAnsi" w:cstheme="minorBidi"/>
                <w:color w:val="000000"/>
                <w:kern w:val="2"/>
                <w:szCs w:val="22"/>
              </w:rPr>
              <w:t>、严重违反职业道德和职业准则</w:t>
            </w:r>
            <w:r>
              <w:rPr>
                <w:rFonts w:eastAsia="仿宋_GB2312" w:asciiTheme="minorHAnsi" w:hAnsiTheme="minorHAnsi" w:cstheme="minorBidi"/>
                <w:color w:val="000000"/>
                <w:kern w:val="2"/>
                <w:szCs w:val="22"/>
              </w:rPr>
              <w:t>的行为。</w:t>
            </w:r>
          </w:p>
        </w:tc>
        <w:tc>
          <w:tcPr>
            <w:tcW w:w="883" w:type="pct"/>
          </w:tcPr>
          <w:p w14:paraId="4D85E694">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相关法律法规、党中央和国务院政策性文件</w:t>
            </w:r>
          </w:p>
        </w:tc>
        <w:tc>
          <w:tcPr>
            <w:tcW w:w="883" w:type="pct"/>
            <w:gridSpan w:val="2"/>
            <w:vAlign w:val="center"/>
          </w:tcPr>
          <w:p w14:paraId="5EB12BF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人民法院、有关行政机关</w:t>
            </w:r>
          </w:p>
        </w:tc>
        <w:tc>
          <w:tcPr>
            <w:tcW w:w="660" w:type="pct"/>
          </w:tcPr>
          <w:p w14:paraId="4DF0423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核实一次扣10分，并直接列入</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c>
          <w:tcPr>
            <w:tcW w:w="623" w:type="pct"/>
            <w:vAlign w:val="center"/>
          </w:tcPr>
          <w:p w14:paraId="15288375">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移出</w:t>
            </w:r>
            <w:r>
              <w:rPr>
                <w:rFonts w:eastAsia="仿宋_GB2312" w:asciiTheme="minorHAnsi" w:hAnsiTheme="minorHAnsi" w:cstheme="minorBidi"/>
                <w:color w:val="000000"/>
                <w:kern w:val="2"/>
                <w:szCs w:val="22"/>
              </w:rPr>
              <w:t>D</w:t>
            </w:r>
            <w:r>
              <w:rPr>
                <w:rFonts w:hint="eastAsia" w:eastAsia="仿宋_GB2312" w:asciiTheme="minorHAnsi" w:hAnsiTheme="minorHAnsi" w:cstheme="minorBidi"/>
                <w:color w:val="000000"/>
                <w:kern w:val="2"/>
                <w:szCs w:val="22"/>
              </w:rPr>
              <w:t>级</w:t>
            </w:r>
          </w:p>
        </w:tc>
      </w:tr>
      <w:tr w14:paraId="5E7CD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000" w:type="pct"/>
            <w:gridSpan w:val="8"/>
            <w:tcBorders>
              <w:top w:val="single" w:color="auto" w:sz="4" w:space="0"/>
            </w:tcBorders>
            <w:vAlign w:val="center"/>
          </w:tcPr>
          <w:p w14:paraId="58D0D4B4">
            <w:pPr>
              <w:spacing w:line="580" w:lineRule="exact"/>
              <w:jc w:val="center"/>
              <w:rPr>
                <w:rFonts w:hint="eastAsia" w:eastAsia="仿宋_GB2312"/>
                <w:b/>
                <w:color w:val="000000"/>
                <w:sz w:val="24"/>
              </w:rPr>
            </w:pPr>
            <w:r>
              <w:rPr>
                <w:rFonts w:hint="eastAsia" w:eastAsia="仿宋_GB2312"/>
                <w:b/>
                <w:color w:val="000000"/>
                <w:sz w:val="24"/>
              </w:rPr>
              <w:t>一般</w:t>
            </w:r>
            <w:r>
              <w:rPr>
                <w:rFonts w:eastAsia="仿宋_GB2312"/>
                <w:b/>
                <w:color w:val="000000"/>
                <w:sz w:val="24"/>
              </w:rPr>
              <w:t>不良行为</w:t>
            </w:r>
            <w:r>
              <w:rPr>
                <w:rFonts w:hint="eastAsia" w:eastAsia="仿宋_GB2312"/>
                <w:b/>
                <w:color w:val="000000"/>
                <w:sz w:val="24"/>
              </w:rPr>
              <w:t>信用</w:t>
            </w:r>
            <w:r>
              <w:rPr>
                <w:rFonts w:eastAsia="仿宋_GB2312"/>
                <w:b/>
                <w:color w:val="000000"/>
                <w:sz w:val="24"/>
              </w:rPr>
              <w:t>信息</w:t>
            </w:r>
          </w:p>
        </w:tc>
      </w:tr>
      <w:tr w14:paraId="3800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77343A46">
            <w:pPr>
              <w:spacing w:line="580" w:lineRule="exact"/>
              <w:jc w:val="center"/>
              <w:rPr>
                <w:rFonts w:hint="eastAsia" w:eastAsia="仿宋_GB2312"/>
                <w:color w:val="000000"/>
                <w:sz w:val="24"/>
              </w:rPr>
            </w:pPr>
            <w:r>
              <w:rPr>
                <w:rFonts w:eastAsia="仿宋_GB2312"/>
                <w:b/>
                <w:color w:val="000000"/>
                <w:sz w:val="24"/>
              </w:rPr>
              <w:t>序号</w:t>
            </w:r>
          </w:p>
        </w:tc>
        <w:tc>
          <w:tcPr>
            <w:tcW w:w="1769" w:type="pct"/>
            <w:vAlign w:val="center"/>
          </w:tcPr>
          <w:p w14:paraId="29AC88E4">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一般不良行为信用信息</w:t>
            </w:r>
          </w:p>
        </w:tc>
        <w:tc>
          <w:tcPr>
            <w:tcW w:w="886" w:type="pct"/>
            <w:gridSpan w:val="2"/>
            <w:vAlign w:val="center"/>
          </w:tcPr>
          <w:p w14:paraId="52322AD0">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法律法规政策</w:t>
            </w:r>
          </w:p>
        </w:tc>
        <w:tc>
          <w:tcPr>
            <w:tcW w:w="877" w:type="pct"/>
            <w:vAlign w:val="center"/>
          </w:tcPr>
          <w:p w14:paraId="5B0C573D">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信息来源</w:t>
            </w:r>
          </w:p>
        </w:tc>
        <w:tc>
          <w:tcPr>
            <w:tcW w:w="667" w:type="pct"/>
            <w:gridSpan w:val="2"/>
            <w:vAlign w:val="center"/>
          </w:tcPr>
          <w:p w14:paraId="037B92C9">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评分标准</w:t>
            </w:r>
          </w:p>
        </w:tc>
        <w:tc>
          <w:tcPr>
            <w:tcW w:w="623" w:type="pct"/>
            <w:vAlign w:val="center"/>
          </w:tcPr>
          <w:p w14:paraId="48EE1C16">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整改修复后</w:t>
            </w:r>
          </w:p>
          <w:p w14:paraId="36BAD168">
            <w:pPr>
              <w:pStyle w:val="3"/>
              <w:shd w:val="clear" w:color="auto" w:fill="FFFFFF"/>
              <w:spacing w:before="0" w:beforeAutospacing="0" w:after="0" w:afterAutospacing="0" w:line="300" w:lineRule="exact"/>
              <w:jc w:val="center"/>
              <w:rPr>
                <w:rFonts w:hint="eastAsia" w:eastAsia="仿宋_GB2312" w:asciiTheme="minorHAnsi" w:hAnsiTheme="minorHAnsi" w:cstheme="minorBidi"/>
                <w:b/>
                <w:bCs/>
                <w:color w:val="000000"/>
                <w:kern w:val="2"/>
                <w:szCs w:val="22"/>
              </w:rPr>
            </w:pPr>
            <w:r>
              <w:rPr>
                <w:rFonts w:hint="eastAsia" w:eastAsia="仿宋_GB2312" w:asciiTheme="minorHAnsi" w:hAnsiTheme="minorHAnsi" w:cstheme="minorBidi"/>
                <w:b/>
                <w:bCs/>
                <w:color w:val="000000"/>
                <w:kern w:val="2"/>
                <w:szCs w:val="22"/>
              </w:rPr>
              <w:t>减分标准</w:t>
            </w:r>
          </w:p>
        </w:tc>
      </w:tr>
      <w:tr w14:paraId="678EE7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006137C6">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1</w:t>
            </w:r>
          </w:p>
        </w:tc>
        <w:tc>
          <w:tcPr>
            <w:tcW w:w="1769" w:type="pct"/>
            <w:vAlign w:val="center"/>
          </w:tcPr>
          <w:p w14:paraId="2CA5641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物业服务收费未明码标价，未在物业管理区域内显著位置公布物业服务项目及其收费标准</w:t>
            </w:r>
          </w:p>
        </w:tc>
        <w:tc>
          <w:tcPr>
            <w:tcW w:w="886" w:type="pct"/>
            <w:gridSpan w:val="2"/>
          </w:tcPr>
          <w:p w14:paraId="6DF4ACCA">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w:t>
            </w:r>
            <w:r>
              <w:rPr>
                <w:rFonts w:hint="eastAsia" w:eastAsia="仿宋_GB2312" w:asciiTheme="minorHAnsi" w:hAnsiTheme="minorHAnsi" w:cstheme="minorBidi"/>
                <w:color w:val="000000"/>
                <w:kern w:val="2"/>
                <w:szCs w:val="22"/>
              </w:rPr>
              <w:t>二</w:t>
            </w:r>
            <w:r>
              <w:rPr>
                <w:rFonts w:eastAsia="仿宋_GB2312" w:asciiTheme="minorHAnsi" w:hAnsiTheme="minorHAnsi" w:cstheme="minorBidi"/>
                <w:color w:val="000000"/>
                <w:kern w:val="2"/>
                <w:szCs w:val="22"/>
              </w:rPr>
              <w:t>条</w:t>
            </w:r>
          </w:p>
        </w:tc>
        <w:tc>
          <w:tcPr>
            <w:tcW w:w="877" w:type="pct"/>
            <w:vAlign w:val="center"/>
          </w:tcPr>
          <w:p w14:paraId="5FFCE8C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047ABAD1">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735D90F4">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扣1分</w:t>
            </w:r>
          </w:p>
        </w:tc>
      </w:tr>
      <w:tr w14:paraId="342AE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7048E525">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2</w:t>
            </w:r>
          </w:p>
        </w:tc>
        <w:tc>
          <w:tcPr>
            <w:tcW w:w="1769" w:type="pct"/>
            <w:vAlign w:val="center"/>
          </w:tcPr>
          <w:p w14:paraId="378BB72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实行酬金制收费模式的，未定期公布物业服务资金的收支情况</w:t>
            </w:r>
          </w:p>
        </w:tc>
        <w:tc>
          <w:tcPr>
            <w:tcW w:w="886" w:type="pct"/>
            <w:gridSpan w:val="2"/>
          </w:tcPr>
          <w:p w14:paraId="3224E9C2">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w:t>
            </w:r>
            <w:r>
              <w:rPr>
                <w:rFonts w:hint="eastAsia" w:eastAsia="仿宋_GB2312" w:asciiTheme="minorHAnsi" w:hAnsiTheme="minorHAnsi" w:cstheme="minorBidi"/>
                <w:color w:val="000000"/>
                <w:kern w:val="2"/>
                <w:szCs w:val="22"/>
              </w:rPr>
              <w:t>二</w:t>
            </w:r>
            <w:r>
              <w:rPr>
                <w:rFonts w:eastAsia="仿宋_GB2312" w:asciiTheme="minorHAnsi" w:hAnsiTheme="minorHAnsi" w:cstheme="minorBidi"/>
                <w:color w:val="000000"/>
                <w:kern w:val="2"/>
                <w:szCs w:val="22"/>
              </w:rPr>
              <w:t>条</w:t>
            </w:r>
          </w:p>
        </w:tc>
        <w:tc>
          <w:tcPr>
            <w:tcW w:w="877" w:type="pct"/>
            <w:vAlign w:val="center"/>
          </w:tcPr>
          <w:p w14:paraId="05FF013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22DE0926">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3B11C7CE">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扣1分</w:t>
            </w:r>
          </w:p>
        </w:tc>
      </w:tr>
      <w:tr w14:paraId="5EA82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6D816053">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3</w:t>
            </w:r>
          </w:p>
        </w:tc>
        <w:tc>
          <w:tcPr>
            <w:tcW w:w="1769" w:type="pct"/>
            <w:vAlign w:val="center"/>
          </w:tcPr>
          <w:p w14:paraId="17593EE6">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未按约定公示</w:t>
            </w:r>
            <w:r>
              <w:rPr>
                <w:rFonts w:hint="eastAsia" w:eastAsia="仿宋_GB2312" w:asciiTheme="minorHAnsi" w:hAnsiTheme="minorHAnsi" w:cstheme="minorBidi"/>
                <w:color w:val="000000"/>
                <w:kern w:val="2"/>
                <w:szCs w:val="22"/>
              </w:rPr>
              <w:t>共有部分经营</w:t>
            </w:r>
            <w:r>
              <w:rPr>
                <w:rFonts w:eastAsia="仿宋_GB2312" w:asciiTheme="minorHAnsi" w:hAnsiTheme="minorHAnsi" w:cstheme="minorBidi"/>
                <w:color w:val="000000"/>
                <w:kern w:val="2"/>
                <w:szCs w:val="22"/>
              </w:rPr>
              <w:t>收支</w:t>
            </w:r>
            <w:r>
              <w:rPr>
                <w:rFonts w:hint="eastAsia" w:eastAsia="仿宋_GB2312" w:asciiTheme="minorHAnsi" w:hAnsiTheme="minorHAnsi" w:cstheme="minorBidi"/>
                <w:color w:val="000000"/>
                <w:kern w:val="2"/>
                <w:szCs w:val="22"/>
              </w:rPr>
              <w:t>情况</w:t>
            </w:r>
          </w:p>
        </w:tc>
        <w:tc>
          <w:tcPr>
            <w:tcW w:w="886" w:type="pct"/>
            <w:gridSpan w:val="2"/>
          </w:tcPr>
          <w:p w14:paraId="260E5C9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w:t>
            </w:r>
            <w:r>
              <w:rPr>
                <w:rFonts w:hint="eastAsia" w:eastAsia="仿宋_GB2312" w:asciiTheme="minorHAnsi" w:hAnsiTheme="minorHAnsi" w:cstheme="minorBidi"/>
                <w:color w:val="000000"/>
                <w:kern w:val="2"/>
                <w:szCs w:val="22"/>
              </w:rPr>
              <w:t>二</w:t>
            </w:r>
            <w:r>
              <w:rPr>
                <w:rFonts w:eastAsia="仿宋_GB2312" w:asciiTheme="minorHAnsi" w:hAnsiTheme="minorHAnsi" w:cstheme="minorBidi"/>
                <w:color w:val="000000"/>
                <w:kern w:val="2"/>
                <w:szCs w:val="22"/>
              </w:rPr>
              <w:t>条</w:t>
            </w:r>
          </w:p>
        </w:tc>
        <w:tc>
          <w:tcPr>
            <w:tcW w:w="877" w:type="pct"/>
            <w:vAlign w:val="center"/>
          </w:tcPr>
          <w:p w14:paraId="55CEC30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781C3289">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6CCBB9E9">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扣1分</w:t>
            </w:r>
          </w:p>
        </w:tc>
      </w:tr>
      <w:tr w14:paraId="580A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7319D6BB">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4</w:t>
            </w:r>
          </w:p>
        </w:tc>
        <w:tc>
          <w:tcPr>
            <w:tcW w:w="1769" w:type="pct"/>
            <w:vAlign w:val="center"/>
          </w:tcPr>
          <w:p w14:paraId="414FBCB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未落实物业服务合同中关于安全防范的约定，健全安全防范措施，做好物业管理区域内的安全防范工作的</w:t>
            </w:r>
          </w:p>
        </w:tc>
        <w:tc>
          <w:tcPr>
            <w:tcW w:w="886" w:type="pct"/>
            <w:gridSpan w:val="2"/>
          </w:tcPr>
          <w:p w14:paraId="7726209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第六十七条</w:t>
            </w:r>
          </w:p>
        </w:tc>
        <w:tc>
          <w:tcPr>
            <w:tcW w:w="877" w:type="pct"/>
            <w:vAlign w:val="center"/>
          </w:tcPr>
          <w:p w14:paraId="2B07B131">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6125702D">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744D6435">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r w14:paraId="2E74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1B7C5DAC">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5</w:t>
            </w:r>
          </w:p>
        </w:tc>
        <w:tc>
          <w:tcPr>
            <w:tcW w:w="1769" w:type="pct"/>
            <w:vAlign w:val="center"/>
          </w:tcPr>
          <w:p w14:paraId="0D225060">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发生安全紧急事故，未采取应急措施，并及时向有关行政管理部门报告，协助做好救助工作的</w:t>
            </w:r>
          </w:p>
        </w:tc>
        <w:tc>
          <w:tcPr>
            <w:tcW w:w="886" w:type="pct"/>
            <w:gridSpan w:val="2"/>
          </w:tcPr>
          <w:p w14:paraId="72CC6552">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第六十七条</w:t>
            </w:r>
          </w:p>
        </w:tc>
        <w:tc>
          <w:tcPr>
            <w:tcW w:w="877" w:type="pct"/>
            <w:vAlign w:val="center"/>
          </w:tcPr>
          <w:p w14:paraId="787231E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4FF0C87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6346CEB3">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r w14:paraId="4A377F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47F56300">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6</w:t>
            </w:r>
          </w:p>
        </w:tc>
        <w:tc>
          <w:tcPr>
            <w:tcW w:w="1769" w:type="pct"/>
            <w:vAlign w:val="center"/>
          </w:tcPr>
          <w:p w14:paraId="2BE3CDEB">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未</w:t>
            </w:r>
            <w:r>
              <w:rPr>
                <w:rFonts w:hint="eastAsia" w:eastAsia="仿宋_GB2312" w:asciiTheme="minorHAnsi" w:hAnsiTheme="minorHAnsi" w:cstheme="minorBidi"/>
                <w:color w:val="000000"/>
                <w:kern w:val="2"/>
                <w:szCs w:val="22"/>
              </w:rPr>
              <w:t>按照</w:t>
            </w:r>
            <w:r>
              <w:rPr>
                <w:rFonts w:eastAsia="仿宋_GB2312" w:asciiTheme="minorHAnsi" w:hAnsiTheme="minorHAnsi" w:cstheme="minorBidi"/>
                <w:color w:val="000000"/>
                <w:kern w:val="2"/>
                <w:szCs w:val="22"/>
              </w:rPr>
              <w:t>合同约定落实电梯、消防等设施设备安全责任的</w:t>
            </w:r>
          </w:p>
        </w:tc>
        <w:tc>
          <w:tcPr>
            <w:tcW w:w="886" w:type="pct"/>
            <w:gridSpan w:val="2"/>
          </w:tcPr>
          <w:p w14:paraId="159B72C0">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第五十一条</w:t>
            </w:r>
            <w:r>
              <w:rPr>
                <w:rFonts w:hint="eastAsia" w:eastAsia="仿宋_GB2312" w:asciiTheme="minorHAnsi" w:hAnsiTheme="minorHAnsi" w:cstheme="minorBidi"/>
                <w:color w:val="000000"/>
                <w:kern w:val="2"/>
                <w:szCs w:val="22"/>
              </w:rPr>
              <w:t>、</w:t>
            </w:r>
            <w:r>
              <w:rPr>
                <w:rFonts w:eastAsia="仿宋_GB2312" w:asciiTheme="minorHAnsi" w:hAnsiTheme="minorHAnsi" w:cstheme="minorBidi"/>
                <w:color w:val="000000"/>
                <w:kern w:val="2"/>
                <w:szCs w:val="22"/>
              </w:rPr>
              <w:t>第五十二条</w:t>
            </w:r>
            <w:r>
              <w:rPr>
                <w:rFonts w:hint="eastAsia" w:eastAsia="仿宋_GB2312" w:asciiTheme="minorHAnsi" w:hAnsiTheme="minorHAnsi" w:cstheme="minorBidi"/>
                <w:color w:val="000000"/>
                <w:kern w:val="2"/>
                <w:szCs w:val="22"/>
              </w:rPr>
              <w:t>、</w:t>
            </w:r>
            <w:r>
              <w:rPr>
                <w:rFonts w:eastAsia="仿宋_GB2312" w:asciiTheme="minorHAnsi" w:hAnsiTheme="minorHAnsi" w:cstheme="minorBidi"/>
                <w:color w:val="000000"/>
                <w:kern w:val="2"/>
                <w:szCs w:val="22"/>
              </w:rPr>
              <w:t>第七十九条</w:t>
            </w:r>
          </w:p>
        </w:tc>
        <w:tc>
          <w:tcPr>
            <w:tcW w:w="877" w:type="pct"/>
            <w:vAlign w:val="center"/>
          </w:tcPr>
          <w:p w14:paraId="5D5F7ED2">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33911EF3">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615D0FE4">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扣1分</w:t>
            </w:r>
          </w:p>
        </w:tc>
      </w:tr>
      <w:tr w14:paraId="54257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4E2FFEB2">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7</w:t>
            </w:r>
          </w:p>
        </w:tc>
        <w:tc>
          <w:tcPr>
            <w:tcW w:w="1769" w:type="pct"/>
            <w:vAlign w:val="center"/>
          </w:tcPr>
          <w:p w14:paraId="224AD73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未按</w:t>
            </w:r>
            <w:r>
              <w:rPr>
                <w:rFonts w:hint="eastAsia" w:eastAsia="仿宋_GB2312" w:asciiTheme="minorHAnsi" w:hAnsiTheme="minorHAnsi" w:cstheme="minorBidi"/>
                <w:color w:val="000000"/>
                <w:kern w:val="2"/>
                <w:szCs w:val="22"/>
              </w:rPr>
              <w:t>法律法规</w:t>
            </w:r>
            <w:r>
              <w:rPr>
                <w:rFonts w:eastAsia="仿宋_GB2312" w:asciiTheme="minorHAnsi" w:hAnsiTheme="minorHAnsi" w:cstheme="minorBidi"/>
                <w:color w:val="000000"/>
                <w:kern w:val="2"/>
                <w:szCs w:val="22"/>
              </w:rPr>
              <w:t>规定对业主不文明养犬、占用消防通道、违章搭建等违法违规行为履行发现、劝阻、报告职责的</w:t>
            </w:r>
          </w:p>
        </w:tc>
        <w:tc>
          <w:tcPr>
            <w:tcW w:w="886" w:type="pct"/>
            <w:gridSpan w:val="2"/>
          </w:tcPr>
          <w:p w14:paraId="683C2649">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第一百零二条</w:t>
            </w:r>
          </w:p>
        </w:tc>
        <w:tc>
          <w:tcPr>
            <w:tcW w:w="877" w:type="pct"/>
            <w:vAlign w:val="center"/>
          </w:tcPr>
          <w:p w14:paraId="2C2F500B">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2E1E8186">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核实一次扣3分</w:t>
            </w:r>
          </w:p>
        </w:tc>
        <w:tc>
          <w:tcPr>
            <w:tcW w:w="623" w:type="pct"/>
            <w:vAlign w:val="center"/>
          </w:tcPr>
          <w:p w14:paraId="635BCF1D">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r w14:paraId="76B6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3C97640D">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8</w:t>
            </w:r>
          </w:p>
        </w:tc>
        <w:tc>
          <w:tcPr>
            <w:tcW w:w="1769" w:type="pct"/>
            <w:vAlign w:val="center"/>
          </w:tcPr>
          <w:p w14:paraId="16E626E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被网信部门、公安部门、司法机关认定，泄露、披露、使用自 己应当保守的委托人的商业秘密或个人信息及隐私的，或擅自将业主信息用于与物业管理无关的活动的</w:t>
            </w:r>
          </w:p>
        </w:tc>
        <w:tc>
          <w:tcPr>
            <w:tcW w:w="886" w:type="pct"/>
            <w:gridSpan w:val="2"/>
          </w:tcPr>
          <w:p w14:paraId="165B9811">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第五十三条</w:t>
            </w:r>
          </w:p>
        </w:tc>
        <w:tc>
          <w:tcPr>
            <w:tcW w:w="877" w:type="pct"/>
            <w:vAlign w:val="center"/>
          </w:tcPr>
          <w:p w14:paraId="16705AFF">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6F5F96A4">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核实一次扣分不超过5分</w:t>
            </w:r>
          </w:p>
        </w:tc>
        <w:tc>
          <w:tcPr>
            <w:tcW w:w="623" w:type="pct"/>
            <w:vAlign w:val="center"/>
          </w:tcPr>
          <w:p w14:paraId="4122FFA6">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r w14:paraId="7690A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4C28F13C">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9</w:t>
            </w:r>
          </w:p>
        </w:tc>
        <w:tc>
          <w:tcPr>
            <w:tcW w:w="1769" w:type="pct"/>
            <w:vAlign w:val="center"/>
          </w:tcPr>
          <w:p w14:paraId="59BB6D54">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提供虚假信息和材料获取信用加分的</w:t>
            </w:r>
          </w:p>
        </w:tc>
        <w:tc>
          <w:tcPr>
            <w:tcW w:w="886" w:type="pct"/>
            <w:gridSpan w:val="2"/>
          </w:tcPr>
          <w:p w14:paraId="4B428FC6">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《四川省物业管理条例》</w:t>
            </w:r>
            <w:r>
              <w:rPr>
                <w:rFonts w:eastAsia="仿宋_GB2312" w:asciiTheme="minorHAnsi" w:hAnsiTheme="minorHAnsi" w:cstheme="minorBidi"/>
                <w:color w:val="000000"/>
                <w:kern w:val="2"/>
                <w:szCs w:val="22"/>
              </w:rPr>
              <w:t>第一百条</w:t>
            </w:r>
          </w:p>
        </w:tc>
        <w:tc>
          <w:tcPr>
            <w:tcW w:w="877" w:type="pct"/>
            <w:vAlign w:val="center"/>
          </w:tcPr>
          <w:p w14:paraId="065E03E4">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5FC7E32B">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w:t>
            </w:r>
            <w:r>
              <w:rPr>
                <w:rFonts w:hint="eastAsia" w:eastAsia="仿宋_GB2312" w:asciiTheme="minorHAnsi" w:hAnsiTheme="minorHAnsi" w:cstheme="minorBidi"/>
                <w:color w:val="000000"/>
                <w:kern w:val="2"/>
                <w:szCs w:val="22"/>
              </w:rPr>
              <w:t>5</w:t>
            </w:r>
            <w:r>
              <w:rPr>
                <w:rFonts w:eastAsia="仿宋_GB2312" w:asciiTheme="minorHAnsi" w:hAnsiTheme="minorHAnsi" w:cstheme="minorBidi"/>
                <w:color w:val="000000"/>
                <w:kern w:val="2"/>
                <w:szCs w:val="22"/>
              </w:rPr>
              <w:t>分</w:t>
            </w:r>
          </w:p>
        </w:tc>
        <w:tc>
          <w:tcPr>
            <w:tcW w:w="623" w:type="pct"/>
            <w:vAlign w:val="center"/>
          </w:tcPr>
          <w:p w14:paraId="1262E24F">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r w14:paraId="21572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175" w:type="pct"/>
            <w:vAlign w:val="center"/>
          </w:tcPr>
          <w:p w14:paraId="25E0250E">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10</w:t>
            </w:r>
          </w:p>
        </w:tc>
        <w:tc>
          <w:tcPr>
            <w:tcW w:w="1769" w:type="pct"/>
            <w:vAlign w:val="center"/>
          </w:tcPr>
          <w:p w14:paraId="22FA5E3C">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其他违法违规、损害人民群众身体健康和生命安全、破坏市场公平竞争秩序和社会正常秩序</w:t>
            </w:r>
            <w:r>
              <w:rPr>
                <w:rFonts w:hint="eastAsia" w:eastAsia="仿宋_GB2312" w:asciiTheme="minorHAnsi" w:hAnsiTheme="minorHAnsi" w:cstheme="minorBidi"/>
                <w:color w:val="000000"/>
                <w:kern w:val="2"/>
                <w:szCs w:val="22"/>
              </w:rPr>
              <w:t>、违反职业道德和职业准则</w:t>
            </w:r>
            <w:r>
              <w:rPr>
                <w:rFonts w:eastAsia="仿宋_GB2312" w:asciiTheme="minorHAnsi" w:hAnsiTheme="minorHAnsi" w:cstheme="minorBidi"/>
                <w:color w:val="000000"/>
                <w:kern w:val="2"/>
                <w:szCs w:val="22"/>
              </w:rPr>
              <w:t>的行为。</w:t>
            </w:r>
          </w:p>
        </w:tc>
        <w:tc>
          <w:tcPr>
            <w:tcW w:w="886" w:type="pct"/>
            <w:gridSpan w:val="2"/>
          </w:tcPr>
          <w:p w14:paraId="37C231A0">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hint="eastAsia" w:eastAsia="仿宋_GB2312" w:asciiTheme="minorHAnsi" w:hAnsiTheme="minorHAnsi" w:cstheme="minorBidi"/>
                <w:color w:val="000000"/>
                <w:kern w:val="2"/>
                <w:szCs w:val="22"/>
              </w:rPr>
              <w:t>相关法律法规、党中央和国务院政策性文件</w:t>
            </w:r>
          </w:p>
        </w:tc>
        <w:tc>
          <w:tcPr>
            <w:tcW w:w="877" w:type="pct"/>
            <w:vAlign w:val="center"/>
          </w:tcPr>
          <w:p w14:paraId="79FDD698">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有关行政机关</w:t>
            </w:r>
          </w:p>
        </w:tc>
        <w:tc>
          <w:tcPr>
            <w:tcW w:w="667" w:type="pct"/>
            <w:gridSpan w:val="2"/>
            <w:vAlign w:val="center"/>
          </w:tcPr>
          <w:p w14:paraId="1A1E8B45">
            <w:pPr>
              <w:pStyle w:val="3"/>
              <w:shd w:val="clear" w:color="auto" w:fill="FFFFFF"/>
              <w:spacing w:before="0" w:beforeAutospacing="0" w:after="0" w:afterAutospacing="0" w:line="300" w:lineRule="exact"/>
              <w:rPr>
                <w:rFonts w:hint="eastAsia" w:eastAsia="仿宋_GB2312" w:asciiTheme="minorHAnsi" w:hAnsiTheme="minorHAnsi" w:cstheme="minorBidi"/>
                <w:color w:val="000000"/>
                <w:kern w:val="2"/>
                <w:szCs w:val="22"/>
              </w:rPr>
            </w:pPr>
            <w:r>
              <w:rPr>
                <w:rFonts w:eastAsia="仿宋_GB2312" w:asciiTheme="minorHAnsi" w:hAnsiTheme="minorHAnsi" w:cstheme="minorBidi"/>
                <w:color w:val="000000"/>
                <w:kern w:val="2"/>
                <w:szCs w:val="22"/>
              </w:rPr>
              <w:t>核实一次扣</w:t>
            </w:r>
            <w:r>
              <w:rPr>
                <w:rFonts w:hint="eastAsia" w:eastAsia="仿宋_GB2312" w:asciiTheme="minorHAnsi" w:hAnsiTheme="minorHAnsi" w:cstheme="minorBidi"/>
                <w:color w:val="000000"/>
                <w:kern w:val="2"/>
                <w:szCs w:val="22"/>
              </w:rPr>
              <w:t>5</w:t>
            </w:r>
            <w:r>
              <w:rPr>
                <w:rFonts w:eastAsia="仿宋_GB2312" w:asciiTheme="minorHAnsi" w:hAnsiTheme="minorHAnsi" w:cstheme="minorBidi"/>
                <w:color w:val="000000"/>
                <w:kern w:val="2"/>
                <w:szCs w:val="22"/>
              </w:rPr>
              <w:t>分</w:t>
            </w:r>
          </w:p>
        </w:tc>
        <w:tc>
          <w:tcPr>
            <w:tcW w:w="623" w:type="pct"/>
            <w:vAlign w:val="center"/>
          </w:tcPr>
          <w:p w14:paraId="20D187E5">
            <w:pPr>
              <w:pStyle w:val="3"/>
              <w:shd w:val="clear" w:color="auto" w:fill="FFFFFF"/>
              <w:spacing w:before="0" w:beforeAutospacing="0" w:after="0" w:afterAutospacing="0" w:line="300" w:lineRule="exact"/>
              <w:jc w:val="center"/>
              <w:rPr>
                <w:rFonts w:hint="eastAsia" w:eastAsia="仿宋_GB2312" w:asciiTheme="minorHAnsi" w:hAnsiTheme="minorHAnsi" w:cstheme="minorBidi"/>
                <w:color w:val="000000"/>
                <w:kern w:val="2"/>
                <w:szCs w:val="22"/>
              </w:rPr>
            </w:pPr>
            <w:r>
              <w:rPr>
                <w:rFonts w:hint="eastAsia" w:ascii="Times New Roman" w:hAnsi="Times New Roman" w:eastAsia="仿宋_GB2312" w:cs="Times New Roman"/>
                <w:color w:val="000000"/>
              </w:rPr>
              <w:t>不予修复</w:t>
            </w:r>
          </w:p>
        </w:tc>
      </w:tr>
    </w:tbl>
    <w:p w14:paraId="7E18A2D5">
      <w:pPr>
        <w:jc w:val="left"/>
        <w:rPr>
          <w:rFonts w:hint="eastAsia" w:eastAsia="仿宋_GB2312"/>
          <w:color w:val="000000"/>
          <w:sz w:val="22"/>
        </w:rPr>
      </w:pPr>
      <w:r>
        <w:rPr>
          <w:rFonts w:eastAsia="仿宋_GB2312"/>
          <w:color w:val="000000"/>
          <w:sz w:val="22"/>
        </w:rPr>
        <w:t>备注：1.以上减分项目按就高原则减分，同一事件不重复计分。</w:t>
      </w:r>
    </w:p>
    <w:p w14:paraId="122BCBE1">
      <w:pPr>
        <w:ind w:firstLine="660" w:firstLineChars="300"/>
        <w:jc w:val="left"/>
        <w:rPr>
          <w:rFonts w:hint="eastAsia" w:eastAsia="仿宋_GB2312"/>
          <w:color w:val="000000"/>
          <w:sz w:val="22"/>
        </w:rPr>
      </w:pPr>
      <w:r>
        <w:rPr>
          <w:rFonts w:eastAsia="仿宋_GB2312"/>
          <w:color w:val="000000"/>
          <w:sz w:val="22"/>
        </w:rPr>
        <w:t>2.省、市、县</w:t>
      </w:r>
      <w:r>
        <w:rPr>
          <w:rFonts w:eastAsia="仿宋_GB2312"/>
          <w:sz w:val="24"/>
        </w:rPr>
        <w:t>（区、市）</w:t>
      </w:r>
      <w:r>
        <w:rPr>
          <w:rFonts w:eastAsia="仿宋_GB2312"/>
          <w:color w:val="000000"/>
          <w:sz w:val="22"/>
        </w:rPr>
        <w:t>不良行为</w:t>
      </w:r>
      <w:r>
        <w:rPr>
          <w:rFonts w:hint="eastAsia" w:eastAsia="仿宋_GB2312"/>
          <w:color w:val="000000"/>
          <w:sz w:val="22"/>
        </w:rPr>
        <w:t>信用</w:t>
      </w:r>
      <w:r>
        <w:rPr>
          <w:rFonts w:eastAsia="仿宋_GB2312"/>
          <w:color w:val="000000"/>
          <w:sz w:val="22"/>
        </w:rPr>
        <w:t>信息包括本省行政区域内的信息。</w:t>
      </w:r>
    </w:p>
    <w:p w14:paraId="13A32AEA">
      <w:pPr>
        <w:widowControl/>
        <w:jc w:val="left"/>
        <w:rPr>
          <w:rFonts w:eastAsia="仿宋_GB2312"/>
        </w:rPr>
      </w:pPr>
      <w:r>
        <w:rPr>
          <w:rFonts w:eastAsia="仿宋_GB2312"/>
        </w:rPr>
        <w:t xml:space="preserve">      3.一般不良行为信用信息根据法律法规动态调整</w:t>
      </w:r>
    </w:p>
    <w:p w14:paraId="1063A095"/>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0E5039F-36C9-4B31-BCEE-959D29CC9C05}"/>
  </w:font>
  <w:font w:name="Calibri Light">
    <w:panose1 w:val="020F0302020204030204"/>
    <w:charset w:val="00"/>
    <w:family w:val="auto"/>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embedRegular r:id="rId2" w:fontKey="{D1694CB6-9D52-42BB-8E09-B132E62E8D39}"/>
  </w:font>
  <w:font w:name="仿宋_GB2312">
    <w:altName w:val="仿宋"/>
    <w:panose1 w:val="00000000000000000000"/>
    <w:charset w:val="86"/>
    <w:family w:val="modern"/>
    <w:pitch w:val="default"/>
    <w:sig w:usb0="00000000" w:usb1="00000000" w:usb2="00000000" w:usb3="00000000" w:csb0="00040000" w:csb1="00000000"/>
    <w:embedRegular r:id="rId3" w:fontKey="{8425BDED-4A96-4025-AA1B-2D40DECFD996}"/>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DA55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unhideWhenUsed/>
    <w:qFormat/>
    <w:uiPriority w:val="9"/>
    <w:pPr>
      <w:keepNext/>
      <w:keepLines/>
      <w:spacing w:before="160" w:after="80"/>
      <w:outlineLvl w:val="2"/>
    </w:pPr>
    <w:rPr>
      <w:rFonts w:asciiTheme="majorHAnsi" w:hAnsiTheme="majorHAnsi" w:eastAsiaTheme="majorEastAsia" w:cstheme="majorBidi"/>
      <w:color w:val="2E54A1" w:themeColor="accent1" w:themeShade="BF"/>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line="278" w:lineRule="auto"/>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2025-09-11T08:17:34Z</dcterms:created>
  <dc:creator>Administrator</dc:creator>
  <cp:lastModifiedBy>风扇云景</cp:lastModifiedBy>
  <dcterms:modified xsi:type="dcterms:W3CDTF">2025-09-11T08:17:56Z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eyJoZGlkIjoiOWViZGRlYjI1NjY1MGE1NjE2ZmYzMWQ5OGEzODU1MzYiLCJ1c2VySWQiOiIzNDkwNTcxMTEifQ==</vt:lpwstr>
  </property>
  <property fmtid="{D5CDD505-2E9C-101B-9397-08002B2CF9AE}" pid="4" name="ICV">
    <vt:lpwstr>1C18BA346EF942FE9C6BAB36DF04FB1F_12</vt:lpwstr>
  </property>
</Properties>
</file>