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7B5B8D">
      <w:pPr>
        <w:tabs>
          <w:tab w:val="left" w:pos="285"/>
        </w:tabs>
        <w:ind w:left="1280" w:hanging="1280"/>
        <w:jc w:val="left"/>
        <w:rPr>
          <w:rFonts w:eastAsia="黑体"/>
          <w:b/>
          <w:bCs/>
          <w:color w:val="000000"/>
          <w:kern w:val="0"/>
          <w:sz w:val="32"/>
          <w:szCs w:val="32"/>
        </w:rPr>
      </w:pPr>
      <w:r>
        <w:rPr>
          <w:rFonts w:hAnsi="黑体" w:eastAsia="黑体"/>
          <w:color w:val="000000"/>
          <w:kern w:val="0"/>
          <w:sz w:val="32"/>
          <w:szCs w:val="32"/>
        </w:rPr>
        <w:t>附件</w:t>
      </w:r>
      <w:r>
        <w:rPr>
          <w:rFonts w:hint="eastAsia" w:eastAsia="黑体"/>
          <w:color w:val="000000"/>
          <w:kern w:val="0"/>
          <w:sz w:val="32"/>
          <w:szCs w:val="32"/>
        </w:rPr>
        <w:t>2</w:t>
      </w:r>
      <w:r>
        <w:rPr>
          <w:rFonts w:eastAsia="黑体"/>
          <w:b/>
          <w:bCs/>
          <w:color w:val="000000"/>
          <w:kern w:val="0"/>
          <w:sz w:val="32"/>
          <w:szCs w:val="32"/>
        </w:rPr>
        <w:t xml:space="preserve">            </w:t>
      </w:r>
    </w:p>
    <w:p w14:paraId="65AE1ECE">
      <w:pPr>
        <w:pStyle w:val="2"/>
        <w:jc w:val="center"/>
        <w:rPr>
          <w:rFonts w:eastAsia="宋体"/>
          <w:bCs w:val="0"/>
          <w:kern w:val="2"/>
          <w:sz w:val="36"/>
          <w:szCs w:val="24"/>
        </w:rPr>
      </w:pPr>
      <w:r>
        <w:rPr>
          <w:rFonts w:eastAsia="宋体"/>
          <w:bCs w:val="0"/>
          <w:kern w:val="2"/>
          <w:sz w:val="36"/>
          <w:szCs w:val="24"/>
        </w:rPr>
        <w:t>四川省物业服务企业不良行为信用信息量化分级标准</w:t>
      </w:r>
    </w:p>
    <w:tbl>
      <w:tblPr>
        <w:tblStyle w:val="7"/>
        <w:tblpPr w:leftFromText="180" w:rightFromText="180" w:vertAnchor="text" w:horzAnchor="page" w:tblpX="1652" w:tblpY="387"/>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4795"/>
        <w:gridCol w:w="2709"/>
        <w:gridCol w:w="2018"/>
        <w:gridCol w:w="1884"/>
        <w:gridCol w:w="1548"/>
      </w:tblGrid>
      <w:tr w14:paraId="25427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rPr>
        <w:tc>
          <w:tcPr>
            <w:tcW w:w="5000" w:type="pct"/>
            <w:gridSpan w:val="6"/>
          </w:tcPr>
          <w:p w14:paraId="0BF4BBAD">
            <w:pPr>
              <w:pStyle w:val="6"/>
              <w:shd w:val="clear" w:color="auto" w:fill="FFFFFF"/>
              <w:spacing w:before="0" w:beforeAutospacing="0" w:after="0" w:afterAutospacing="0" w:line="600" w:lineRule="exact"/>
              <w:jc w:val="center"/>
              <w:rPr>
                <w:rFonts w:ascii="Times New Roman" w:hAnsi="Times New Roman" w:eastAsia="仿宋_GB2312" w:cs="Times New Roman"/>
                <w:b/>
                <w:color w:val="000000"/>
              </w:rPr>
            </w:pPr>
            <w:r>
              <w:rPr>
                <w:rFonts w:hint="eastAsia" w:ascii="Times New Roman" w:hAnsi="Times New Roman" w:eastAsia="仿宋_GB2312" w:cs="Times New Roman"/>
                <w:b/>
                <w:color w:val="000000"/>
              </w:rPr>
              <w:t>严重不良行为信用信息</w:t>
            </w:r>
          </w:p>
        </w:tc>
      </w:tr>
      <w:tr w14:paraId="68B35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atLeast"/>
        </w:trPr>
        <w:tc>
          <w:tcPr>
            <w:tcW w:w="256" w:type="pct"/>
            <w:vAlign w:val="center"/>
          </w:tcPr>
          <w:p w14:paraId="78E53E97">
            <w:pPr>
              <w:spacing w:line="580" w:lineRule="exact"/>
              <w:jc w:val="center"/>
              <w:rPr>
                <w:rFonts w:eastAsia="仿宋_GB2312"/>
                <w:color w:val="000000"/>
                <w:sz w:val="24"/>
              </w:rPr>
            </w:pPr>
            <w:r>
              <w:rPr>
                <w:rFonts w:eastAsia="仿宋_GB2312"/>
                <w:b/>
                <w:color w:val="000000"/>
                <w:sz w:val="24"/>
              </w:rPr>
              <w:t>序号</w:t>
            </w:r>
          </w:p>
        </w:tc>
        <w:tc>
          <w:tcPr>
            <w:tcW w:w="1756" w:type="pct"/>
            <w:vAlign w:val="center"/>
          </w:tcPr>
          <w:p w14:paraId="6A334663">
            <w:pPr>
              <w:pStyle w:val="6"/>
              <w:shd w:val="clear" w:color="auto" w:fill="FFFFFF"/>
              <w:spacing w:before="0" w:beforeAutospacing="0" w:after="0" w:afterAutospacing="0" w:line="600" w:lineRule="exact"/>
              <w:jc w:val="center"/>
              <w:rPr>
                <w:rFonts w:ascii="Times New Roman" w:hAnsi="Times New Roman" w:eastAsia="仿宋_GB2312" w:cs="Times New Roman"/>
                <w:color w:val="000000"/>
              </w:rPr>
            </w:pPr>
            <w:r>
              <w:rPr>
                <w:rFonts w:ascii="Times New Roman" w:hAnsi="Times New Roman" w:eastAsia="仿宋_GB2312" w:cs="Times New Roman"/>
                <w:b/>
                <w:color w:val="000000"/>
              </w:rPr>
              <w:t>严重</w:t>
            </w:r>
            <w:r>
              <w:rPr>
                <w:rFonts w:hint="eastAsia" w:ascii="Times New Roman" w:hAnsi="Times New Roman" w:eastAsia="仿宋_GB2312" w:cs="Times New Roman"/>
                <w:b/>
                <w:color w:val="000000"/>
              </w:rPr>
              <w:t>不良行为</w:t>
            </w:r>
            <w:r>
              <w:rPr>
                <w:rFonts w:ascii="Times New Roman" w:hAnsi="Times New Roman" w:eastAsia="仿宋_GB2312" w:cs="Times New Roman"/>
                <w:b/>
                <w:color w:val="000000"/>
              </w:rPr>
              <w:t>信息</w:t>
            </w:r>
          </w:p>
        </w:tc>
        <w:tc>
          <w:tcPr>
            <w:tcW w:w="992" w:type="pct"/>
            <w:vAlign w:val="center"/>
          </w:tcPr>
          <w:p w14:paraId="16DD42A6">
            <w:pPr>
              <w:spacing w:line="580" w:lineRule="exact"/>
              <w:jc w:val="center"/>
              <w:rPr>
                <w:rFonts w:eastAsia="仿宋_GB2312"/>
                <w:b/>
                <w:color w:val="000000"/>
                <w:sz w:val="24"/>
              </w:rPr>
            </w:pPr>
            <w:r>
              <w:rPr>
                <w:rFonts w:hint="eastAsia" w:eastAsia="仿宋_GB2312"/>
                <w:b/>
                <w:color w:val="000000"/>
                <w:sz w:val="24"/>
              </w:rPr>
              <w:t>法律法规政策</w:t>
            </w:r>
          </w:p>
        </w:tc>
        <w:tc>
          <w:tcPr>
            <w:tcW w:w="739" w:type="pct"/>
            <w:vAlign w:val="center"/>
          </w:tcPr>
          <w:p w14:paraId="721DAB5A">
            <w:pPr>
              <w:spacing w:line="580" w:lineRule="exact"/>
              <w:jc w:val="center"/>
              <w:rPr>
                <w:rFonts w:eastAsia="仿宋_GB2312"/>
                <w:color w:val="000000"/>
                <w:sz w:val="24"/>
              </w:rPr>
            </w:pPr>
            <w:r>
              <w:rPr>
                <w:rFonts w:eastAsia="仿宋_GB2312"/>
                <w:b/>
                <w:color w:val="000000"/>
                <w:sz w:val="24"/>
              </w:rPr>
              <w:t>信息来源</w:t>
            </w:r>
          </w:p>
        </w:tc>
        <w:tc>
          <w:tcPr>
            <w:tcW w:w="690" w:type="pct"/>
            <w:vAlign w:val="center"/>
          </w:tcPr>
          <w:p w14:paraId="1F6D2E5F">
            <w:pPr>
              <w:pStyle w:val="6"/>
              <w:shd w:val="clear" w:color="auto" w:fill="FFFFFF"/>
              <w:spacing w:before="0" w:beforeAutospacing="0" w:after="0" w:afterAutospacing="0" w:line="600" w:lineRule="exact"/>
              <w:jc w:val="center"/>
              <w:rPr>
                <w:rFonts w:hint="eastAsia" w:eastAsia="仿宋_GB2312"/>
                <w:b/>
                <w:color w:val="000000"/>
              </w:rPr>
            </w:pPr>
            <w:r>
              <w:rPr>
                <w:rFonts w:hint="eastAsia" w:ascii="Times New Roman" w:hAnsi="Times New Roman" w:eastAsia="仿宋_GB2312" w:cs="Times New Roman"/>
                <w:b/>
                <w:color w:val="000000"/>
              </w:rPr>
              <w:t>评分标准</w:t>
            </w:r>
          </w:p>
        </w:tc>
        <w:tc>
          <w:tcPr>
            <w:tcW w:w="565" w:type="pct"/>
            <w:vAlign w:val="center"/>
          </w:tcPr>
          <w:p w14:paraId="1303836A">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eastAsia" w:ascii="Times New Roman" w:hAnsi="Times New Roman" w:eastAsia="仿宋_GB2312" w:cs="Times New Roman"/>
                <w:b/>
                <w:color w:val="000000"/>
              </w:rPr>
            </w:pPr>
            <w:r>
              <w:rPr>
                <w:rFonts w:hint="eastAsia" w:ascii="Times New Roman" w:hAnsi="Times New Roman" w:eastAsia="仿宋_GB2312" w:cs="Times New Roman"/>
                <w:b/>
                <w:color w:val="000000"/>
              </w:rPr>
              <w:t>整改修复后</w:t>
            </w:r>
          </w:p>
          <w:p w14:paraId="1A7A5791">
            <w:pPr>
              <w:pStyle w:val="6"/>
              <w:shd w:val="clear" w:color="auto" w:fill="FFFFFF"/>
              <w:spacing w:before="0" w:beforeAutospacing="0" w:after="0" w:afterAutospacing="0" w:line="300" w:lineRule="exact"/>
              <w:jc w:val="center"/>
              <w:rPr>
                <w:rFonts w:hint="eastAsia" w:eastAsia="仿宋_GB2312"/>
                <w:b/>
                <w:color w:val="000000"/>
              </w:rPr>
            </w:pPr>
            <w:r>
              <w:rPr>
                <w:rFonts w:hint="eastAsia" w:ascii="Times New Roman" w:hAnsi="Times New Roman" w:eastAsia="仿宋_GB2312" w:cs="Times New Roman"/>
                <w:b/>
                <w:color w:val="000000"/>
              </w:rPr>
              <w:t>减分标准</w:t>
            </w:r>
          </w:p>
        </w:tc>
      </w:tr>
      <w:tr w14:paraId="6630B9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1C0A619D">
            <w:pPr>
              <w:pStyle w:val="6"/>
              <w:shd w:val="clear" w:color="auto" w:fill="FFFFFF"/>
              <w:spacing w:before="0" w:beforeAutospacing="0" w:after="0" w:afterAutospacing="0" w:line="300" w:lineRule="exact"/>
              <w:jc w:val="center"/>
              <w:rPr>
                <w:rFonts w:hint="eastAsia" w:eastAsia="仿宋_GB2312"/>
                <w:color w:val="000000"/>
              </w:rPr>
            </w:pPr>
            <w:r>
              <w:rPr>
                <w:rFonts w:ascii="Times New Roman" w:hAnsi="Times New Roman" w:eastAsia="仿宋_GB2312" w:cs="Times New Roman"/>
                <w:color w:val="000000"/>
              </w:rPr>
              <w:t>1</w:t>
            </w:r>
          </w:p>
        </w:tc>
        <w:tc>
          <w:tcPr>
            <w:tcW w:w="1756" w:type="pct"/>
            <w:vAlign w:val="center"/>
          </w:tcPr>
          <w:p w14:paraId="32E4F772">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ascii="Times New Roman" w:hAnsi="Times New Roman" w:eastAsia="仿宋_GB2312" w:cs="Times New Roman"/>
                <w:color w:val="000000"/>
              </w:rPr>
              <w:t>企业或企业主要负责人（董事长、总经理、法定代表人）因物业服务企业在从事物业服务活动中过错承担责任，通过人民法院司法程序认定，被列入失信被执行人名单的</w:t>
            </w:r>
          </w:p>
        </w:tc>
        <w:tc>
          <w:tcPr>
            <w:tcW w:w="992" w:type="pct"/>
            <w:vAlign w:val="center"/>
          </w:tcPr>
          <w:p w14:paraId="4980D8B9">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《最高人民法院关于公布失信被执行人名单信息的若干规定》</w:t>
            </w:r>
          </w:p>
        </w:tc>
        <w:tc>
          <w:tcPr>
            <w:tcW w:w="739" w:type="pct"/>
            <w:vAlign w:val="center"/>
          </w:tcPr>
          <w:p w14:paraId="51F82311">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w:t>
            </w:r>
          </w:p>
        </w:tc>
        <w:tc>
          <w:tcPr>
            <w:tcW w:w="690" w:type="pct"/>
          </w:tcPr>
          <w:p w14:paraId="0447C2C4">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72F6F05A">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1C9467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7836B1D6">
            <w:pPr>
              <w:pStyle w:val="6"/>
              <w:shd w:val="clear" w:color="auto" w:fill="FFFFFF"/>
              <w:spacing w:before="0" w:beforeAutospacing="0" w:after="0" w:afterAutospacing="0" w:line="300" w:lineRule="exact"/>
              <w:jc w:val="center"/>
              <w:rPr>
                <w:rFonts w:hint="eastAsia" w:eastAsia="仿宋_GB2312"/>
                <w:color w:val="000000"/>
              </w:rPr>
            </w:pPr>
            <w:r>
              <w:rPr>
                <w:rFonts w:ascii="Times New Roman" w:hAnsi="Times New Roman" w:eastAsia="仿宋_GB2312" w:cs="Times New Roman"/>
                <w:color w:val="000000"/>
              </w:rPr>
              <w:t>2</w:t>
            </w:r>
          </w:p>
        </w:tc>
        <w:tc>
          <w:tcPr>
            <w:tcW w:w="1756" w:type="pct"/>
            <w:vAlign w:val="center"/>
          </w:tcPr>
          <w:p w14:paraId="049C4888">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企业或企业主要负责人（董事长、总经理、法定代表人）在从事物业服务活动中因严重危害社会治安管理秩序被予以刑事处罚的</w:t>
            </w:r>
          </w:p>
        </w:tc>
        <w:tc>
          <w:tcPr>
            <w:tcW w:w="992" w:type="pct"/>
            <w:vAlign w:val="center"/>
          </w:tcPr>
          <w:p w14:paraId="29D5D9A4">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《中华人民共和国民事诉讼法》《中华人民共和国刑事诉讼法》《中华人民共和国行政诉讼法》</w:t>
            </w:r>
          </w:p>
        </w:tc>
        <w:tc>
          <w:tcPr>
            <w:tcW w:w="739" w:type="pct"/>
            <w:vAlign w:val="center"/>
          </w:tcPr>
          <w:p w14:paraId="3575738A">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405777A1">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5EB6559D">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4B721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2" w:hRule="atLeast"/>
        </w:trPr>
        <w:tc>
          <w:tcPr>
            <w:tcW w:w="256" w:type="pct"/>
            <w:vAlign w:val="center"/>
          </w:tcPr>
          <w:p w14:paraId="212B2B54">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3</w:t>
            </w:r>
          </w:p>
        </w:tc>
        <w:tc>
          <w:tcPr>
            <w:tcW w:w="1756" w:type="pct"/>
            <w:vAlign w:val="center"/>
          </w:tcPr>
          <w:p w14:paraId="6967030C">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经司法机关、仲裁机构作出物业服务企业在物业服务活动中承担主要责任或全部责任的判决书或裁决书生效后，物业服务企业拒不履行，并进入执行程序的</w:t>
            </w:r>
          </w:p>
        </w:tc>
        <w:tc>
          <w:tcPr>
            <w:tcW w:w="992" w:type="pct"/>
            <w:vAlign w:val="center"/>
          </w:tcPr>
          <w:p w14:paraId="543D24D1">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《中华人民共和国民事诉讼法》《中华人民共和国刑事诉讼法》《中华人民共和国行政诉讼法》</w:t>
            </w:r>
          </w:p>
        </w:tc>
        <w:tc>
          <w:tcPr>
            <w:tcW w:w="739" w:type="pct"/>
            <w:vAlign w:val="center"/>
          </w:tcPr>
          <w:p w14:paraId="568EAA10">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人民法院、仲裁机构</w:t>
            </w:r>
          </w:p>
        </w:tc>
        <w:tc>
          <w:tcPr>
            <w:tcW w:w="690" w:type="pct"/>
          </w:tcPr>
          <w:p w14:paraId="140D2BEA">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2BEE40CA">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36678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629CC7AB">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4</w:t>
            </w:r>
          </w:p>
        </w:tc>
        <w:tc>
          <w:tcPr>
            <w:tcW w:w="1756" w:type="pct"/>
            <w:vAlign w:val="center"/>
          </w:tcPr>
          <w:p w14:paraId="7CF2E4CA">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物业服务企业无故阻挠、拒绝接受相关主管部门根据职能职责开展监督检查经劝告仍不改正的；</w:t>
            </w:r>
          </w:p>
        </w:tc>
        <w:tc>
          <w:tcPr>
            <w:tcW w:w="992" w:type="pct"/>
            <w:vAlign w:val="center"/>
          </w:tcPr>
          <w:p w14:paraId="015D6EB1">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《中华人民共和国行政处罚法》《中华人民共和国行政许可法》《中华人民共和国行政强制法》《四川省物业管理条例》第九十六条</w:t>
            </w:r>
          </w:p>
        </w:tc>
        <w:tc>
          <w:tcPr>
            <w:tcW w:w="739" w:type="pct"/>
            <w:vAlign w:val="center"/>
          </w:tcPr>
          <w:p w14:paraId="657B8EE8">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4143ED33">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4519EB9C">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6959A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4D989810">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5</w:t>
            </w:r>
          </w:p>
        </w:tc>
        <w:tc>
          <w:tcPr>
            <w:tcW w:w="1756" w:type="pct"/>
            <w:vAlign w:val="center"/>
          </w:tcPr>
          <w:p w14:paraId="279E548E">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司法机关或行政机关确认由物业服务企业负主要责任或全部责任发生的特别重大事故、重大事故、较大事故，或一年内累计发生两起及以上一般事故，或发生性质恶劣、危害严重、社会影响大的其它安全责任事故的</w:t>
            </w:r>
          </w:p>
        </w:tc>
        <w:tc>
          <w:tcPr>
            <w:tcW w:w="992" w:type="pct"/>
            <w:vAlign w:val="center"/>
          </w:tcPr>
          <w:p w14:paraId="39DDB15A">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《中华人民共和国安全生产法》第十六条；《生产安全事故报告和调查处理条例》第三条</w:t>
            </w:r>
          </w:p>
        </w:tc>
        <w:tc>
          <w:tcPr>
            <w:tcW w:w="739" w:type="pct"/>
            <w:vAlign w:val="center"/>
          </w:tcPr>
          <w:p w14:paraId="76F41AD8">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6FA955BF">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2E0777F0">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6EE3B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21452430">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6</w:t>
            </w:r>
          </w:p>
        </w:tc>
        <w:tc>
          <w:tcPr>
            <w:tcW w:w="1756" w:type="pct"/>
            <w:vAlign w:val="center"/>
          </w:tcPr>
          <w:p w14:paraId="582D7264">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物业服务企业被相关主管部门认定，在重大突发公共事件中履职不到位或有其他严重危害人民群众身体健康、生命安全和财产安全的行为且拒不改正的；</w:t>
            </w:r>
          </w:p>
        </w:tc>
        <w:tc>
          <w:tcPr>
            <w:tcW w:w="992" w:type="pct"/>
            <w:vAlign w:val="center"/>
          </w:tcPr>
          <w:p w14:paraId="6FC61ACF">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《四川省物业管理条例》第六十七条</w:t>
            </w:r>
          </w:p>
        </w:tc>
        <w:tc>
          <w:tcPr>
            <w:tcW w:w="739" w:type="pct"/>
            <w:vAlign w:val="center"/>
          </w:tcPr>
          <w:p w14:paraId="41E0F7F9">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有关行政机关</w:t>
            </w:r>
          </w:p>
        </w:tc>
        <w:tc>
          <w:tcPr>
            <w:tcW w:w="690" w:type="pct"/>
          </w:tcPr>
          <w:p w14:paraId="2FAB3EE3">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7A29AB6B">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49798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43B9C3F3">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7</w:t>
            </w:r>
          </w:p>
        </w:tc>
        <w:tc>
          <w:tcPr>
            <w:tcW w:w="1756" w:type="pct"/>
            <w:vAlign w:val="center"/>
          </w:tcPr>
          <w:p w14:paraId="3543FE19">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经行政机关确认因物业服务企业违反物业服务合同减少服务内容，降低服务标准等行为引发重大纠纷、群体上访事件，严重影响社会稳定，造成严重不良后果的；</w:t>
            </w:r>
          </w:p>
        </w:tc>
        <w:tc>
          <w:tcPr>
            <w:tcW w:w="992" w:type="pct"/>
            <w:vAlign w:val="center"/>
          </w:tcPr>
          <w:p w14:paraId="7C483197">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《四川省物业管理条例》第五十三条</w:t>
            </w:r>
          </w:p>
        </w:tc>
        <w:tc>
          <w:tcPr>
            <w:tcW w:w="739" w:type="pct"/>
            <w:vAlign w:val="center"/>
          </w:tcPr>
          <w:p w14:paraId="1B27B4B5">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有关行政机关</w:t>
            </w:r>
          </w:p>
        </w:tc>
        <w:tc>
          <w:tcPr>
            <w:tcW w:w="690" w:type="pct"/>
          </w:tcPr>
          <w:p w14:paraId="6149A527">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7CA4A83F">
            <w:pPr>
              <w:pStyle w:val="6"/>
              <w:shd w:val="clear" w:color="auto" w:fill="FFFFFF"/>
              <w:spacing w:before="0" w:beforeAutospacing="0" w:after="0" w:afterAutospacing="0" w:line="300" w:lineRule="exact"/>
              <w:jc w:val="center"/>
              <w:rPr>
                <w:rFonts w:ascii="仿宋" w:hAnsi="仿宋" w:eastAsia="仿宋" w:cs="Times New Roman"/>
                <w:color w:val="000000"/>
              </w:rPr>
            </w:pPr>
            <w:r>
              <w:rPr>
                <w:rFonts w:hint="eastAsia" w:ascii="仿宋" w:hAnsi="仿宋" w:eastAsia="仿宋" w:cs="Times New Roman"/>
                <w:color w:val="000000"/>
              </w:rPr>
              <w:t>扣</w:t>
            </w:r>
            <w:r>
              <w:rPr>
                <w:rFonts w:ascii="仿宋" w:hAnsi="仿宋" w:eastAsia="仿宋" w:cs="Times New Roman"/>
                <w:color w:val="000000"/>
              </w:rPr>
              <w:t>5</w:t>
            </w:r>
            <w:r>
              <w:rPr>
                <w:rFonts w:hint="eastAsia" w:ascii="仿宋" w:hAnsi="仿宋" w:eastAsia="仿宋" w:cs="Times New Roman"/>
                <w:color w:val="000000"/>
              </w:rPr>
              <w:t>分，移出</w:t>
            </w:r>
            <w:r>
              <w:rPr>
                <w:rFonts w:ascii="仿宋" w:hAnsi="仿宋" w:eastAsia="仿宋" w:cs="Times New Roman"/>
                <w:color w:val="000000"/>
              </w:rPr>
              <w:t>D</w:t>
            </w:r>
            <w:r>
              <w:rPr>
                <w:rFonts w:hint="eastAsia" w:ascii="仿宋" w:hAnsi="仿宋" w:eastAsia="仿宋" w:cs="Times New Roman"/>
                <w:color w:val="000000"/>
              </w:rPr>
              <w:t>级</w:t>
            </w:r>
          </w:p>
        </w:tc>
      </w:tr>
      <w:tr w14:paraId="7187C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7859D96F">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8</w:t>
            </w:r>
          </w:p>
        </w:tc>
        <w:tc>
          <w:tcPr>
            <w:tcW w:w="1756" w:type="pct"/>
            <w:vAlign w:val="center"/>
          </w:tcPr>
          <w:p w14:paraId="31AED8D0">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经司法机关或行政机关确认挪用、骗取、套用住宅专项维修资金的</w:t>
            </w:r>
          </w:p>
        </w:tc>
        <w:tc>
          <w:tcPr>
            <w:tcW w:w="992" w:type="pct"/>
            <w:vAlign w:val="center"/>
          </w:tcPr>
          <w:p w14:paraId="3DE4EAA7">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《物业管理条例》第六十条</w:t>
            </w:r>
          </w:p>
        </w:tc>
        <w:tc>
          <w:tcPr>
            <w:tcW w:w="739" w:type="pct"/>
            <w:vAlign w:val="center"/>
          </w:tcPr>
          <w:p w14:paraId="7AFAD910">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6FA008E7">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3AC7417F">
            <w:pPr>
              <w:pStyle w:val="6"/>
              <w:shd w:val="clear" w:color="auto" w:fill="FFFFFF"/>
              <w:spacing w:before="0" w:beforeAutospacing="0" w:after="0" w:afterAutospacing="0" w:line="300" w:lineRule="exact"/>
              <w:jc w:val="center"/>
              <w:rPr>
                <w:rFonts w:ascii="仿宋" w:hAnsi="仿宋" w:eastAsia="仿宋" w:cs="Times New Roman"/>
                <w:color w:val="000000"/>
              </w:rPr>
            </w:pPr>
            <w:r>
              <w:rPr>
                <w:rFonts w:hint="eastAsia" w:ascii="仿宋" w:hAnsi="仿宋" w:eastAsia="仿宋" w:cs="Times New Roman"/>
                <w:color w:val="000000"/>
              </w:rPr>
              <w:t>扣</w:t>
            </w:r>
            <w:r>
              <w:rPr>
                <w:rFonts w:ascii="仿宋" w:hAnsi="仿宋" w:eastAsia="仿宋" w:cs="Times New Roman"/>
                <w:color w:val="000000"/>
              </w:rPr>
              <w:t>5</w:t>
            </w:r>
            <w:r>
              <w:rPr>
                <w:rFonts w:hint="eastAsia" w:ascii="仿宋" w:hAnsi="仿宋" w:eastAsia="仿宋" w:cs="Times New Roman"/>
                <w:color w:val="000000"/>
              </w:rPr>
              <w:t>分，移出</w:t>
            </w:r>
            <w:r>
              <w:rPr>
                <w:rFonts w:ascii="仿宋" w:hAnsi="仿宋" w:eastAsia="仿宋" w:cs="Times New Roman"/>
                <w:color w:val="000000"/>
              </w:rPr>
              <w:t>D</w:t>
            </w:r>
            <w:r>
              <w:rPr>
                <w:rFonts w:hint="eastAsia" w:ascii="仿宋" w:hAnsi="仿宋" w:eastAsia="仿宋" w:cs="Times New Roman"/>
                <w:color w:val="000000"/>
              </w:rPr>
              <w:t>级</w:t>
            </w:r>
          </w:p>
        </w:tc>
      </w:tr>
      <w:tr w14:paraId="5C6FA5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448B3561">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9</w:t>
            </w:r>
          </w:p>
        </w:tc>
        <w:tc>
          <w:tcPr>
            <w:tcW w:w="1756" w:type="pct"/>
            <w:vAlign w:val="center"/>
          </w:tcPr>
          <w:p w14:paraId="42D563E8">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经司法机关或行政机关确认未经业主共同决定，擅自改变物业管理区域内物业服务用房、共用部位和共用设施设备用途或者利用共有部分从事经营活动；挪用、侵占、隐瞒共有部分经营收益；</w:t>
            </w:r>
          </w:p>
        </w:tc>
        <w:tc>
          <w:tcPr>
            <w:tcW w:w="992" w:type="pct"/>
            <w:vAlign w:val="center"/>
          </w:tcPr>
          <w:p w14:paraId="1A9D269B">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《物业管理条例》第六十二条、第六十三条；《四川省物业管理条例》第一百条（三）</w:t>
            </w:r>
          </w:p>
        </w:tc>
        <w:tc>
          <w:tcPr>
            <w:tcW w:w="739" w:type="pct"/>
            <w:vAlign w:val="center"/>
          </w:tcPr>
          <w:p w14:paraId="3B321839">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214C75D7">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49C465EB">
            <w:pPr>
              <w:pStyle w:val="6"/>
              <w:shd w:val="clear" w:color="auto" w:fill="FFFFFF"/>
              <w:spacing w:before="0" w:beforeAutospacing="0" w:after="0" w:afterAutospacing="0" w:line="300" w:lineRule="exact"/>
              <w:jc w:val="center"/>
              <w:rPr>
                <w:rFonts w:ascii="仿宋" w:hAnsi="仿宋" w:eastAsia="仿宋" w:cs="Times New Roman"/>
                <w:color w:val="000000"/>
              </w:rPr>
            </w:pPr>
            <w:r>
              <w:rPr>
                <w:rFonts w:hint="eastAsia" w:ascii="仿宋" w:hAnsi="仿宋" w:eastAsia="仿宋" w:cs="Times New Roman"/>
                <w:color w:val="000000"/>
              </w:rPr>
              <w:t>扣</w:t>
            </w:r>
            <w:r>
              <w:rPr>
                <w:rFonts w:ascii="仿宋" w:hAnsi="仿宋" w:eastAsia="仿宋" w:cs="Times New Roman"/>
                <w:color w:val="000000"/>
              </w:rPr>
              <w:t>5</w:t>
            </w:r>
            <w:r>
              <w:rPr>
                <w:rFonts w:hint="eastAsia" w:ascii="仿宋" w:hAnsi="仿宋" w:eastAsia="仿宋" w:cs="Times New Roman"/>
                <w:color w:val="000000"/>
              </w:rPr>
              <w:t>分，移出</w:t>
            </w:r>
            <w:r>
              <w:rPr>
                <w:rFonts w:ascii="仿宋" w:hAnsi="仿宋" w:eastAsia="仿宋" w:cs="Times New Roman"/>
                <w:color w:val="000000"/>
              </w:rPr>
              <w:t>D</w:t>
            </w:r>
            <w:r>
              <w:rPr>
                <w:rFonts w:hint="eastAsia" w:ascii="仿宋" w:hAnsi="仿宋" w:eastAsia="仿宋" w:cs="Times New Roman"/>
                <w:color w:val="000000"/>
              </w:rPr>
              <w:t>级</w:t>
            </w:r>
          </w:p>
        </w:tc>
      </w:tr>
      <w:tr w14:paraId="46779B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76D49121">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10</w:t>
            </w:r>
          </w:p>
        </w:tc>
        <w:tc>
          <w:tcPr>
            <w:tcW w:w="1756" w:type="pct"/>
            <w:vAlign w:val="center"/>
          </w:tcPr>
          <w:p w14:paraId="1C9925EE">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经相关主管部门查实，向政府部门工作人员、居（村）民委员会工作人员、物业管理委员会成员、业主委员会成员、物业评标专家、招投标代理机构人员、监理机构人员行贿、输送不正当利益的；</w:t>
            </w:r>
          </w:p>
        </w:tc>
        <w:tc>
          <w:tcPr>
            <w:tcW w:w="992" w:type="pct"/>
            <w:vAlign w:val="center"/>
          </w:tcPr>
          <w:p w14:paraId="20AF9B9E">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《四川省物业管理条例》第五十三条</w:t>
            </w:r>
          </w:p>
        </w:tc>
        <w:tc>
          <w:tcPr>
            <w:tcW w:w="739" w:type="pct"/>
            <w:vAlign w:val="center"/>
          </w:tcPr>
          <w:p w14:paraId="40C04FF8">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382FB5E3">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14E2B162">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3BA512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30DCFD93">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11</w:t>
            </w:r>
          </w:p>
        </w:tc>
        <w:tc>
          <w:tcPr>
            <w:tcW w:w="1756" w:type="pct"/>
            <w:vAlign w:val="center"/>
          </w:tcPr>
          <w:p w14:paraId="3E964C83">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经相关主管部门查实，在物业服务招标投标中有</w:t>
            </w:r>
            <w:r>
              <w:rPr>
                <w:rFonts w:hint="eastAsia" w:ascii="Times New Roman" w:hAnsi="Times New Roman" w:eastAsia="仿宋_GB2312" w:cs="Times New Roman"/>
                <w:color w:val="000000"/>
                <w:highlight w:val="none"/>
              </w:rPr>
              <w:t>串通投标、低于成本价投标</w:t>
            </w:r>
            <w:r>
              <w:rPr>
                <w:rFonts w:hint="eastAsia" w:ascii="Times New Roman" w:hAnsi="Times New Roman" w:eastAsia="仿宋_GB2312" w:cs="Times New Roman"/>
                <w:color w:val="000000"/>
              </w:rPr>
              <w:t>等行为，严重破坏市场公平及竞争秩序和社会正常秩序的。</w:t>
            </w:r>
          </w:p>
        </w:tc>
        <w:tc>
          <w:tcPr>
            <w:tcW w:w="992" w:type="pct"/>
            <w:vAlign w:val="center"/>
          </w:tcPr>
          <w:p w14:paraId="4E9C8FD7">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《中华人民共和国招标投标法》第三十二条、第三十三条；《中华人民共和国价格法》第十二条、第十四条</w:t>
            </w:r>
          </w:p>
        </w:tc>
        <w:tc>
          <w:tcPr>
            <w:tcW w:w="739" w:type="pct"/>
            <w:vAlign w:val="center"/>
          </w:tcPr>
          <w:p w14:paraId="03DDD377">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527D62CD">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582F9118">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7B410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790FC896">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12</w:t>
            </w:r>
          </w:p>
        </w:tc>
        <w:tc>
          <w:tcPr>
            <w:tcW w:w="1756" w:type="pct"/>
            <w:vAlign w:val="center"/>
          </w:tcPr>
          <w:p w14:paraId="7B123435">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经司法机关或行政机关确认违反价格法相关规定擅自设置收费项目、擅自提高收费标准的</w:t>
            </w:r>
          </w:p>
        </w:tc>
        <w:tc>
          <w:tcPr>
            <w:tcW w:w="992" w:type="pct"/>
            <w:vAlign w:val="center"/>
          </w:tcPr>
          <w:p w14:paraId="5B6C9C19">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《中华人民共和国价格法》第十二条、第三十九条；《四川省物业管理条例》第五十三条</w:t>
            </w:r>
          </w:p>
        </w:tc>
        <w:tc>
          <w:tcPr>
            <w:tcW w:w="739" w:type="pct"/>
            <w:vAlign w:val="center"/>
          </w:tcPr>
          <w:p w14:paraId="71632C2C">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人民法院、有关行政机关</w:t>
            </w:r>
          </w:p>
        </w:tc>
        <w:tc>
          <w:tcPr>
            <w:tcW w:w="690" w:type="pct"/>
          </w:tcPr>
          <w:p w14:paraId="071DBC66">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38462458">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扣</w:t>
            </w:r>
            <w:r>
              <w:rPr>
                <w:rFonts w:ascii="Times New Roman" w:hAnsi="Times New Roman" w:eastAsia="仿宋_GB2312" w:cs="Times New Roman"/>
                <w:color w:val="000000"/>
              </w:rPr>
              <w:t>5</w:t>
            </w:r>
            <w:r>
              <w:rPr>
                <w:rFonts w:hint="eastAsia" w:ascii="Times New Roman" w:hAnsi="Times New Roman" w:eastAsia="仿宋_GB2312" w:cs="Times New Roman"/>
                <w:color w:val="000000"/>
              </w:rPr>
              <w:t>分，移出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52151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66114F21">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13</w:t>
            </w:r>
          </w:p>
        </w:tc>
        <w:tc>
          <w:tcPr>
            <w:tcW w:w="1756" w:type="pct"/>
            <w:vAlign w:val="center"/>
          </w:tcPr>
          <w:p w14:paraId="20905D2D">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经相关主管部门查实，新聘物业服务企业未通过合法途径强行进驻物业管理区域，经县级以上住房城乡建设行政主管部门责令改正，拒不改正的；</w:t>
            </w:r>
          </w:p>
        </w:tc>
        <w:tc>
          <w:tcPr>
            <w:tcW w:w="992" w:type="pct"/>
            <w:vAlign w:val="center"/>
          </w:tcPr>
          <w:p w14:paraId="22EDC5FC">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《四川省物业管理条例》第五十四条</w:t>
            </w:r>
          </w:p>
        </w:tc>
        <w:tc>
          <w:tcPr>
            <w:tcW w:w="739" w:type="pct"/>
            <w:vAlign w:val="center"/>
          </w:tcPr>
          <w:p w14:paraId="0DF8C6DE">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有关行政机关</w:t>
            </w:r>
          </w:p>
        </w:tc>
        <w:tc>
          <w:tcPr>
            <w:tcW w:w="690" w:type="pct"/>
          </w:tcPr>
          <w:p w14:paraId="5667720B">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742BB8AD">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60469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59325058">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14</w:t>
            </w:r>
          </w:p>
        </w:tc>
        <w:tc>
          <w:tcPr>
            <w:tcW w:w="1756" w:type="pct"/>
            <w:vAlign w:val="center"/>
          </w:tcPr>
          <w:p w14:paraId="5853EDA7">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经相关主管部门查实，将一个物业管理区域内其应当提供的全部物业服务一并转委托给第三人，或者将全部物业服务支解后分别转委托给第三人；允许其它物业服务企业或个人以本单位名义承接业务；以其它单位名义承接业务；</w:t>
            </w:r>
          </w:p>
        </w:tc>
        <w:tc>
          <w:tcPr>
            <w:tcW w:w="992" w:type="pct"/>
            <w:vAlign w:val="center"/>
          </w:tcPr>
          <w:p w14:paraId="602BDE0E">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《物业管理条例》第五十九条</w:t>
            </w:r>
          </w:p>
        </w:tc>
        <w:tc>
          <w:tcPr>
            <w:tcW w:w="739" w:type="pct"/>
            <w:vAlign w:val="center"/>
          </w:tcPr>
          <w:p w14:paraId="03A8C5B1">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有关行政机关</w:t>
            </w:r>
          </w:p>
        </w:tc>
        <w:tc>
          <w:tcPr>
            <w:tcW w:w="690" w:type="pct"/>
          </w:tcPr>
          <w:p w14:paraId="39DD72C7">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413DBDFF">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783F1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0A2D5FF4">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15</w:t>
            </w:r>
          </w:p>
        </w:tc>
        <w:tc>
          <w:tcPr>
            <w:tcW w:w="1756" w:type="pct"/>
            <w:vAlign w:val="center"/>
          </w:tcPr>
          <w:p w14:paraId="4317096C">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物业服务合同解除或终止后，物业服务企业拒不退出物业管理区域，经县级以上住房城乡建设行政主管部门责令限期退出，逾期仍不退出的；</w:t>
            </w:r>
          </w:p>
        </w:tc>
        <w:tc>
          <w:tcPr>
            <w:tcW w:w="992" w:type="pct"/>
            <w:vAlign w:val="center"/>
          </w:tcPr>
          <w:p w14:paraId="4E6A2EF3">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《四川省物业管理条例》第一百条（六）</w:t>
            </w:r>
          </w:p>
        </w:tc>
        <w:tc>
          <w:tcPr>
            <w:tcW w:w="739" w:type="pct"/>
            <w:vAlign w:val="center"/>
          </w:tcPr>
          <w:p w14:paraId="3D6DDBCF">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有关行政机关</w:t>
            </w:r>
          </w:p>
        </w:tc>
        <w:tc>
          <w:tcPr>
            <w:tcW w:w="690" w:type="pct"/>
          </w:tcPr>
          <w:p w14:paraId="62CC2525">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3E096537">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73F7D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56" w:type="pct"/>
            <w:vAlign w:val="center"/>
          </w:tcPr>
          <w:p w14:paraId="0B7D4D50">
            <w:pPr>
              <w:pStyle w:val="6"/>
              <w:shd w:val="clear" w:color="auto" w:fill="FFFFFF"/>
              <w:spacing w:before="0" w:beforeAutospacing="0" w:after="0" w:afterAutospacing="0" w:line="300" w:lineRule="exact"/>
              <w:jc w:val="center"/>
              <w:rPr>
                <w:rFonts w:hint="eastAsia" w:eastAsia="仿宋_GB2312"/>
                <w:color w:val="000000"/>
              </w:rPr>
            </w:pPr>
            <w:r>
              <w:rPr>
                <w:rFonts w:hint="eastAsia" w:ascii="Times New Roman" w:hAnsi="Times New Roman" w:eastAsia="仿宋_GB2312" w:cs="Times New Roman"/>
                <w:color w:val="000000"/>
              </w:rPr>
              <w:t>16</w:t>
            </w:r>
          </w:p>
        </w:tc>
        <w:tc>
          <w:tcPr>
            <w:tcW w:w="1756" w:type="pct"/>
            <w:vAlign w:val="center"/>
          </w:tcPr>
          <w:p w14:paraId="0F083C59">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其他严重违法违规、严重损害人民群众身体健康和生命安全、严重破坏市场公平竞争秩序和社会正常秩序的行为</w:t>
            </w:r>
          </w:p>
        </w:tc>
        <w:tc>
          <w:tcPr>
            <w:tcW w:w="992" w:type="pct"/>
            <w:vAlign w:val="center"/>
          </w:tcPr>
          <w:p w14:paraId="08A0595F">
            <w:pPr>
              <w:pStyle w:val="6"/>
              <w:shd w:val="clear" w:color="auto" w:fill="FFFFFF"/>
              <w:spacing w:before="0" w:beforeAutospacing="0" w:after="0" w:afterAutospacing="0" w:line="300" w:lineRule="exact"/>
              <w:rPr>
                <w:rFonts w:hint="eastAsia" w:eastAsia="仿宋_GB2312"/>
                <w:color w:val="000000"/>
              </w:rPr>
            </w:pPr>
            <w:r>
              <w:rPr>
                <w:rFonts w:hint="eastAsia" w:ascii="Times New Roman" w:hAnsi="Times New Roman" w:eastAsia="仿宋_GB2312" w:cs="Times New Roman"/>
                <w:color w:val="000000"/>
              </w:rPr>
              <w:t>相关法律法规、党中央和国务院政策性文件</w:t>
            </w:r>
            <w:bookmarkStart w:id="0" w:name="_GoBack"/>
            <w:bookmarkEnd w:id="0"/>
          </w:p>
        </w:tc>
        <w:tc>
          <w:tcPr>
            <w:tcW w:w="739" w:type="pct"/>
            <w:vAlign w:val="center"/>
          </w:tcPr>
          <w:p w14:paraId="02035E12">
            <w:pPr>
              <w:pStyle w:val="6"/>
              <w:shd w:val="clear" w:color="auto" w:fill="FFFFFF"/>
              <w:spacing w:before="0" w:beforeAutospacing="0" w:after="0" w:afterAutospacing="0" w:line="300" w:lineRule="exact"/>
              <w:jc w:val="left"/>
              <w:rPr>
                <w:rFonts w:hint="eastAsia" w:eastAsia="仿宋_GB2312"/>
                <w:color w:val="000000"/>
              </w:rPr>
            </w:pPr>
            <w:r>
              <w:rPr>
                <w:rFonts w:hint="eastAsia" w:ascii="Times New Roman" w:hAnsi="Times New Roman" w:eastAsia="仿宋_GB2312" w:cs="Times New Roman"/>
                <w:color w:val="000000"/>
              </w:rPr>
              <w:t>有关行政机关</w:t>
            </w:r>
          </w:p>
        </w:tc>
        <w:tc>
          <w:tcPr>
            <w:tcW w:w="690" w:type="pct"/>
          </w:tcPr>
          <w:p w14:paraId="24E73E8D">
            <w:pPr>
              <w:pStyle w:val="6"/>
              <w:shd w:val="clear" w:color="auto" w:fill="FFFFFF"/>
              <w:spacing w:before="0" w:beforeAutospacing="0" w:after="0" w:afterAutospacing="0" w:line="300" w:lineRule="exact"/>
              <w:rPr>
                <w:rFonts w:ascii="Times New Roman" w:hAnsi="Times New Roman" w:eastAsia="仿宋_GB2312" w:cs="Times New Roman"/>
                <w:color w:val="000000"/>
              </w:rPr>
            </w:pPr>
            <w:r>
              <w:rPr>
                <w:rFonts w:hint="eastAsia" w:ascii="Times New Roman" w:hAnsi="Times New Roman" w:eastAsia="仿宋_GB2312" w:cs="Times New Roman"/>
                <w:color w:val="000000"/>
              </w:rPr>
              <w:t>核实一次扣</w:t>
            </w:r>
            <w:r>
              <w:rPr>
                <w:rFonts w:ascii="Times New Roman" w:hAnsi="Times New Roman" w:eastAsia="仿宋_GB2312" w:cs="Times New Roman"/>
                <w:color w:val="000000"/>
              </w:rPr>
              <w:t>10</w:t>
            </w:r>
            <w:r>
              <w:rPr>
                <w:rFonts w:hint="eastAsia" w:ascii="Times New Roman" w:hAnsi="Times New Roman" w:eastAsia="仿宋_GB2312" w:cs="Times New Roman"/>
                <w:color w:val="000000"/>
              </w:rPr>
              <w:t>分，并直接列入</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c>
          <w:tcPr>
            <w:tcW w:w="565" w:type="pct"/>
            <w:vAlign w:val="center"/>
          </w:tcPr>
          <w:p w14:paraId="00B9F113">
            <w:pPr>
              <w:pStyle w:val="6"/>
              <w:shd w:val="clear" w:color="auto" w:fill="FFFFFF"/>
              <w:spacing w:before="0" w:beforeAutospacing="0" w:after="0" w:afterAutospacing="0" w:line="300" w:lineRule="exact"/>
              <w:jc w:val="center"/>
              <w:rPr>
                <w:rFonts w:ascii="Times New Roman" w:hAnsi="Times New Roman" w:eastAsia="仿宋_GB2312" w:cs="Times New Roman"/>
                <w:color w:val="000000"/>
              </w:rPr>
            </w:pPr>
            <w:r>
              <w:rPr>
                <w:rFonts w:hint="eastAsia" w:ascii="Times New Roman" w:hAnsi="Times New Roman" w:eastAsia="仿宋_GB2312" w:cs="Times New Roman"/>
                <w:color w:val="000000"/>
              </w:rPr>
              <w:t>移出</w:t>
            </w:r>
            <w:r>
              <w:rPr>
                <w:rFonts w:ascii="Times New Roman" w:hAnsi="Times New Roman" w:eastAsia="仿宋_GB2312" w:cs="Times New Roman"/>
                <w:color w:val="000000"/>
              </w:rPr>
              <w:t>D</w:t>
            </w:r>
            <w:r>
              <w:rPr>
                <w:rFonts w:hint="eastAsia" w:ascii="Times New Roman" w:hAnsi="Times New Roman" w:eastAsia="仿宋_GB2312" w:cs="Times New Roman"/>
                <w:color w:val="000000"/>
              </w:rPr>
              <w:t>级</w:t>
            </w:r>
          </w:p>
        </w:tc>
      </w:tr>
      <w:tr w14:paraId="5C125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5000" w:type="pct"/>
            <w:gridSpan w:val="6"/>
            <w:tcBorders>
              <w:top w:val="single" w:color="auto" w:sz="4" w:space="0"/>
            </w:tcBorders>
            <w:vAlign w:val="center"/>
          </w:tcPr>
          <w:p w14:paraId="23185099">
            <w:pPr>
              <w:spacing w:line="580" w:lineRule="exact"/>
              <w:jc w:val="left"/>
              <w:rPr>
                <w:rFonts w:eastAsia="仿宋_GB2312"/>
                <w:b/>
                <w:color w:val="000000"/>
                <w:sz w:val="24"/>
              </w:rPr>
            </w:pPr>
            <w:r>
              <w:rPr>
                <w:rFonts w:eastAsia="仿宋_GB2312"/>
                <w:b/>
                <w:color w:val="000000"/>
                <w:sz w:val="24"/>
              </w:rPr>
              <w:t>一般不良行为</w:t>
            </w:r>
            <w:r>
              <w:rPr>
                <w:rFonts w:hint="eastAsia" w:eastAsia="仿宋_GB2312"/>
                <w:b/>
                <w:color w:val="000000"/>
                <w:sz w:val="24"/>
              </w:rPr>
              <w:t>信用</w:t>
            </w:r>
            <w:r>
              <w:rPr>
                <w:rFonts w:eastAsia="仿宋_GB2312"/>
                <w:b/>
                <w:color w:val="000000"/>
                <w:sz w:val="24"/>
              </w:rPr>
              <w:t>信息</w:t>
            </w:r>
          </w:p>
        </w:tc>
      </w:tr>
      <w:tr w14:paraId="479C4A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256" w:type="pct"/>
            <w:vAlign w:val="center"/>
          </w:tcPr>
          <w:p w14:paraId="4892CCD1">
            <w:pPr>
              <w:spacing w:line="580" w:lineRule="exact"/>
              <w:jc w:val="center"/>
              <w:rPr>
                <w:rFonts w:eastAsia="仿宋_GB2312"/>
                <w:color w:val="000000"/>
                <w:sz w:val="24"/>
              </w:rPr>
            </w:pPr>
            <w:r>
              <w:rPr>
                <w:rFonts w:eastAsia="仿宋_GB2312"/>
                <w:b/>
                <w:color w:val="000000"/>
                <w:sz w:val="24"/>
              </w:rPr>
              <w:t>序号</w:t>
            </w:r>
          </w:p>
        </w:tc>
        <w:tc>
          <w:tcPr>
            <w:tcW w:w="1756" w:type="pct"/>
            <w:vAlign w:val="center"/>
          </w:tcPr>
          <w:p w14:paraId="4E45C0D1">
            <w:pPr>
              <w:spacing w:line="580" w:lineRule="exact"/>
              <w:jc w:val="center"/>
              <w:rPr>
                <w:rFonts w:eastAsia="仿宋_GB2312"/>
                <w:color w:val="000000"/>
                <w:sz w:val="24"/>
              </w:rPr>
            </w:pPr>
            <w:r>
              <w:rPr>
                <w:rFonts w:eastAsia="仿宋_GB2312"/>
                <w:b/>
                <w:color w:val="000000"/>
                <w:sz w:val="24"/>
              </w:rPr>
              <w:t>一般不良行为</w:t>
            </w:r>
            <w:r>
              <w:rPr>
                <w:rFonts w:hint="eastAsia" w:eastAsia="仿宋_GB2312"/>
                <w:b/>
                <w:color w:val="000000"/>
                <w:sz w:val="24"/>
              </w:rPr>
              <w:t>信用</w:t>
            </w:r>
            <w:r>
              <w:rPr>
                <w:rFonts w:eastAsia="仿宋_GB2312"/>
                <w:b/>
                <w:color w:val="000000"/>
                <w:sz w:val="24"/>
              </w:rPr>
              <w:t>信息</w:t>
            </w:r>
          </w:p>
        </w:tc>
        <w:tc>
          <w:tcPr>
            <w:tcW w:w="992" w:type="pct"/>
            <w:vAlign w:val="center"/>
          </w:tcPr>
          <w:p w14:paraId="064B40D1">
            <w:pPr>
              <w:spacing w:line="580" w:lineRule="exact"/>
              <w:jc w:val="center"/>
              <w:rPr>
                <w:rFonts w:eastAsia="仿宋_GB2312"/>
                <w:b/>
                <w:color w:val="000000"/>
                <w:sz w:val="24"/>
              </w:rPr>
            </w:pPr>
            <w:r>
              <w:rPr>
                <w:rFonts w:hint="eastAsia" w:eastAsia="仿宋_GB2312"/>
                <w:b/>
                <w:color w:val="000000"/>
                <w:sz w:val="24"/>
              </w:rPr>
              <w:t>法律法规政策</w:t>
            </w:r>
          </w:p>
        </w:tc>
        <w:tc>
          <w:tcPr>
            <w:tcW w:w="739" w:type="pct"/>
            <w:vAlign w:val="center"/>
          </w:tcPr>
          <w:p w14:paraId="2B5010F7">
            <w:pPr>
              <w:spacing w:line="580" w:lineRule="exact"/>
              <w:jc w:val="center"/>
              <w:rPr>
                <w:rFonts w:eastAsia="仿宋_GB2312"/>
                <w:color w:val="000000"/>
                <w:sz w:val="24"/>
              </w:rPr>
            </w:pPr>
            <w:r>
              <w:rPr>
                <w:rFonts w:eastAsia="仿宋_GB2312"/>
                <w:b/>
                <w:color w:val="000000"/>
                <w:sz w:val="24"/>
              </w:rPr>
              <w:t>信息来源</w:t>
            </w:r>
          </w:p>
        </w:tc>
        <w:tc>
          <w:tcPr>
            <w:tcW w:w="690" w:type="pct"/>
            <w:vAlign w:val="center"/>
          </w:tcPr>
          <w:p w14:paraId="2FBCEA30">
            <w:pPr>
              <w:pStyle w:val="6"/>
              <w:shd w:val="clear" w:color="auto" w:fill="FFFFFF"/>
              <w:spacing w:before="0" w:beforeAutospacing="0" w:after="0" w:afterAutospacing="0" w:line="300" w:lineRule="exact"/>
              <w:jc w:val="center"/>
              <w:rPr>
                <w:rFonts w:hint="eastAsia" w:ascii="Times New Roman" w:hAnsi="Times New Roman" w:eastAsia="仿宋_GB2312" w:cs="Times New Roman"/>
                <w:b/>
                <w:bCs/>
                <w:color w:val="000000"/>
              </w:rPr>
            </w:pPr>
            <w:r>
              <w:rPr>
                <w:rFonts w:hint="eastAsia" w:ascii="Times New Roman" w:hAnsi="Times New Roman" w:eastAsia="仿宋_GB2312" w:cs="Times New Roman"/>
                <w:b/>
                <w:bCs/>
                <w:color w:val="000000"/>
              </w:rPr>
              <w:t>评分标准</w:t>
            </w:r>
          </w:p>
        </w:tc>
        <w:tc>
          <w:tcPr>
            <w:tcW w:w="565" w:type="pct"/>
            <w:vAlign w:val="center"/>
          </w:tcPr>
          <w:p w14:paraId="5EAD4E8A">
            <w:pPr>
              <w:pStyle w:val="6"/>
              <w:shd w:val="clear" w:color="auto" w:fill="FFFFFF"/>
              <w:spacing w:before="0" w:beforeAutospacing="0" w:after="0" w:afterAutospacing="0" w:line="300" w:lineRule="exact"/>
              <w:jc w:val="center"/>
              <w:rPr>
                <w:rFonts w:hint="eastAsia" w:ascii="Times New Roman" w:hAnsi="Times New Roman" w:eastAsia="仿宋_GB2312" w:cs="Times New Roman"/>
                <w:b/>
                <w:bCs/>
                <w:color w:val="000000"/>
              </w:rPr>
            </w:pPr>
            <w:r>
              <w:rPr>
                <w:rFonts w:hint="eastAsia" w:ascii="Times New Roman" w:hAnsi="Times New Roman" w:eastAsia="仿宋_GB2312" w:cs="Times New Roman"/>
                <w:b/>
                <w:bCs/>
                <w:color w:val="000000"/>
              </w:rPr>
              <w:t>整改修复后</w:t>
            </w:r>
          </w:p>
          <w:p w14:paraId="03D66108">
            <w:pPr>
              <w:pStyle w:val="6"/>
              <w:shd w:val="clear" w:color="auto" w:fill="FFFFFF"/>
              <w:spacing w:before="0" w:beforeAutospacing="0" w:after="0" w:afterAutospacing="0" w:line="300" w:lineRule="exact"/>
              <w:jc w:val="center"/>
              <w:rPr>
                <w:rFonts w:hint="eastAsia" w:ascii="Times New Roman" w:hAnsi="Times New Roman" w:eastAsia="仿宋_GB2312" w:cs="Times New Roman"/>
                <w:b/>
                <w:bCs/>
                <w:color w:val="000000"/>
              </w:rPr>
            </w:pPr>
            <w:r>
              <w:rPr>
                <w:rFonts w:hint="eastAsia" w:ascii="Times New Roman" w:hAnsi="Times New Roman" w:eastAsia="仿宋_GB2312" w:cs="Times New Roman"/>
                <w:b/>
                <w:bCs/>
                <w:color w:val="000000"/>
              </w:rPr>
              <w:t>减分标准</w:t>
            </w:r>
          </w:p>
        </w:tc>
      </w:tr>
      <w:tr w14:paraId="693839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013192F4">
            <w:pPr>
              <w:spacing w:line="300" w:lineRule="exact"/>
              <w:jc w:val="center"/>
              <w:rPr>
                <w:rFonts w:eastAsia="仿宋_GB2312"/>
                <w:color w:val="000000"/>
                <w:sz w:val="24"/>
              </w:rPr>
            </w:pPr>
            <w:r>
              <w:rPr>
                <w:rFonts w:hint="eastAsia" w:eastAsia="仿宋_GB2312"/>
                <w:color w:val="000000"/>
                <w:sz w:val="24"/>
              </w:rPr>
              <w:t>1</w:t>
            </w:r>
          </w:p>
        </w:tc>
        <w:tc>
          <w:tcPr>
            <w:tcW w:w="1756" w:type="pct"/>
            <w:vAlign w:val="center"/>
          </w:tcPr>
          <w:p w14:paraId="2B770237">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lang w:val="en-US" w:eastAsia="zh-CN"/>
              </w:rPr>
              <w:t>住宅</w:t>
            </w:r>
            <w:r>
              <w:rPr>
                <w:rFonts w:hint="eastAsia" w:ascii="Times New Roman" w:hAnsi="Times New Roman" w:eastAsia="仿宋_GB2312" w:cs="Times New Roman"/>
                <w:color w:val="000000"/>
              </w:rPr>
              <w:t>物业未</w:t>
            </w:r>
            <w:r>
              <w:rPr>
                <w:rFonts w:hint="eastAsia" w:ascii="Times New Roman" w:hAnsi="Times New Roman" w:eastAsia="仿宋_GB2312" w:cs="Times New Roman"/>
                <w:color w:val="000000"/>
                <w:lang w:val="en-US" w:eastAsia="zh-CN"/>
              </w:rPr>
              <w:t>按照国家规定通过</w:t>
            </w:r>
            <w:r>
              <w:rPr>
                <w:rFonts w:hint="eastAsia" w:ascii="Times New Roman" w:hAnsi="Times New Roman" w:eastAsia="仿宋_GB2312" w:cs="Times New Roman"/>
                <w:color w:val="000000"/>
              </w:rPr>
              <w:t>招投</w:t>
            </w:r>
            <w:r>
              <w:rPr>
                <w:rFonts w:hint="eastAsia" w:ascii="Times New Roman" w:hAnsi="Times New Roman" w:eastAsia="仿宋_GB2312" w:cs="Times New Roman"/>
                <w:color w:val="000000"/>
                <w:lang w:val="en-US" w:eastAsia="zh-CN"/>
              </w:rPr>
              <w:t>方式选聘前期物业服务人</w:t>
            </w:r>
            <w:r>
              <w:rPr>
                <w:rFonts w:hint="eastAsia" w:ascii="Times New Roman" w:hAnsi="Times New Roman" w:eastAsia="仿宋_GB2312" w:cs="Times New Roman"/>
                <w:color w:val="000000"/>
              </w:rPr>
              <w:t>的</w:t>
            </w:r>
          </w:p>
        </w:tc>
        <w:tc>
          <w:tcPr>
            <w:tcW w:w="992" w:type="pct"/>
          </w:tcPr>
          <w:p w14:paraId="57B7F17A">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《四川省物业管理条例》第五十四条</w:t>
            </w:r>
          </w:p>
        </w:tc>
        <w:tc>
          <w:tcPr>
            <w:tcW w:w="739" w:type="pct"/>
            <w:vAlign w:val="center"/>
          </w:tcPr>
          <w:p w14:paraId="48469082">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5787F614">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3F28E340">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1DA7F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04EEB614">
            <w:pPr>
              <w:spacing w:line="300" w:lineRule="exact"/>
              <w:jc w:val="center"/>
              <w:rPr>
                <w:rFonts w:eastAsia="仿宋_GB2312"/>
                <w:color w:val="000000"/>
                <w:sz w:val="24"/>
              </w:rPr>
            </w:pPr>
            <w:r>
              <w:rPr>
                <w:rFonts w:hint="eastAsia" w:eastAsia="仿宋_GB2312"/>
                <w:color w:val="000000"/>
                <w:sz w:val="24"/>
              </w:rPr>
              <w:t>2</w:t>
            </w:r>
          </w:p>
        </w:tc>
        <w:tc>
          <w:tcPr>
            <w:tcW w:w="1756" w:type="pct"/>
            <w:vAlign w:val="center"/>
          </w:tcPr>
          <w:p w14:paraId="04637EBB">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未依法办理物业服务承接查验手续的</w:t>
            </w:r>
          </w:p>
        </w:tc>
        <w:tc>
          <w:tcPr>
            <w:tcW w:w="992" w:type="pct"/>
          </w:tcPr>
          <w:p w14:paraId="7FD4CF7C">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《四川省物业管理条例》第五十六条</w:t>
            </w:r>
          </w:p>
        </w:tc>
        <w:tc>
          <w:tcPr>
            <w:tcW w:w="739" w:type="pct"/>
            <w:vAlign w:val="center"/>
          </w:tcPr>
          <w:p w14:paraId="25B2395A">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5E833EB1">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06CDF8A9">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172332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7D632D73">
            <w:pPr>
              <w:spacing w:line="300" w:lineRule="exact"/>
              <w:jc w:val="center"/>
              <w:rPr>
                <w:rFonts w:eastAsia="仿宋_GB2312"/>
                <w:color w:val="000000"/>
                <w:sz w:val="24"/>
              </w:rPr>
            </w:pPr>
            <w:r>
              <w:rPr>
                <w:rFonts w:hint="eastAsia" w:eastAsia="仿宋_GB2312"/>
                <w:color w:val="000000"/>
                <w:sz w:val="24"/>
              </w:rPr>
              <w:t>3</w:t>
            </w:r>
          </w:p>
        </w:tc>
        <w:tc>
          <w:tcPr>
            <w:tcW w:w="1756" w:type="pct"/>
            <w:vAlign w:val="center"/>
          </w:tcPr>
          <w:p w14:paraId="00152ABF">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物业服务收费未明码标价，未在物业管理区域内显著位置公布物业服务项目及其收费标准</w:t>
            </w:r>
          </w:p>
        </w:tc>
        <w:tc>
          <w:tcPr>
            <w:tcW w:w="992" w:type="pct"/>
          </w:tcPr>
          <w:p w14:paraId="7B1BDAFE">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《四川省物业管理条例》第五十二条</w:t>
            </w:r>
          </w:p>
        </w:tc>
        <w:tc>
          <w:tcPr>
            <w:tcW w:w="739" w:type="pct"/>
            <w:vAlign w:val="center"/>
          </w:tcPr>
          <w:p w14:paraId="06A1DD49">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58787ED9">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65EA17A3">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扣1分</w:t>
            </w:r>
          </w:p>
        </w:tc>
      </w:tr>
      <w:tr w14:paraId="3BB27D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7AE79B8E">
            <w:pPr>
              <w:spacing w:line="300" w:lineRule="exact"/>
              <w:jc w:val="center"/>
              <w:rPr>
                <w:rFonts w:eastAsia="仿宋_GB2312"/>
                <w:color w:val="000000"/>
                <w:sz w:val="24"/>
              </w:rPr>
            </w:pPr>
            <w:r>
              <w:rPr>
                <w:rFonts w:hint="eastAsia" w:eastAsia="仿宋_GB2312"/>
                <w:color w:val="000000"/>
                <w:sz w:val="24"/>
              </w:rPr>
              <w:t>4</w:t>
            </w:r>
          </w:p>
        </w:tc>
        <w:tc>
          <w:tcPr>
            <w:tcW w:w="1756" w:type="pct"/>
            <w:vAlign w:val="center"/>
          </w:tcPr>
          <w:p w14:paraId="5DF4D7B6">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实行酬金制收费模式的，未定期公布物业服务资金的收支情况</w:t>
            </w:r>
          </w:p>
        </w:tc>
        <w:tc>
          <w:tcPr>
            <w:tcW w:w="992" w:type="pct"/>
          </w:tcPr>
          <w:p w14:paraId="58426758">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《四川省物业管理条例》第五十二条</w:t>
            </w:r>
          </w:p>
        </w:tc>
        <w:tc>
          <w:tcPr>
            <w:tcW w:w="739" w:type="pct"/>
            <w:vAlign w:val="center"/>
          </w:tcPr>
          <w:p w14:paraId="76B7C4B6">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2B6F6C9C">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1AB37B0C">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扣1分</w:t>
            </w:r>
          </w:p>
        </w:tc>
      </w:tr>
      <w:tr w14:paraId="5CF82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4616C94E">
            <w:pPr>
              <w:spacing w:line="300" w:lineRule="exact"/>
              <w:jc w:val="center"/>
              <w:rPr>
                <w:rFonts w:eastAsia="仿宋_GB2312"/>
                <w:color w:val="000000"/>
                <w:sz w:val="24"/>
              </w:rPr>
            </w:pPr>
            <w:r>
              <w:rPr>
                <w:rFonts w:hint="eastAsia" w:eastAsia="仿宋_GB2312"/>
                <w:color w:val="000000"/>
                <w:sz w:val="24"/>
              </w:rPr>
              <w:t>5</w:t>
            </w:r>
          </w:p>
        </w:tc>
        <w:tc>
          <w:tcPr>
            <w:tcW w:w="1756" w:type="pct"/>
            <w:vAlign w:val="center"/>
          </w:tcPr>
          <w:p w14:paraId="7B7F8517">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未按约定公示共有部分经营收支情况</w:t>
            </w:r>
          </w:p>
        </w:tc>
        <w:tc>
          <w:tcPr>
            <w:tcW w:w="992" w:type="pct"/>
          </w:tcPr>
          <w:p w14:paraId="424CF509">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《四川省物业管理条例》第五十二条</w:t>
            </w:r>
          </w:p>
        </w:tc>
        <w:tc>
          <w:tcPr>
            <w:tcW w:w="739" w:type="pct"/>
            <w:vAlign w:val="center"/>
          </w:tcPr>
          <w:p w14:paraId="66E0A3FF">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577294E2">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65B7041F">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扣1分</w:t>
            </w:r>
          </w:p>
        </w:tc>
      </w:tr>
      <w:tr w14:paraId="5F0685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47E68437">
            <w:pPr>
              <w:spacing w:line="300" w:lineRule="exact"/>
              <w:jc w:val="center"/>
              <w:rPr>
                <w:rFonts w:eastAsia="仿宋_GB2312"/>
                <w:color w:val="000000"/>
                <w:sz w:val="24"/>
              </w:rPr>
            </w:pPr>
            <w:r>
              <w:rPr>
                <w:rFonts w:hint="eastAsia" w:eastAsia="仿宋_GB2312"/>
                <w:color w:val="000000"/>
                <w:sz w:val="24"/>
              </w:rPr>
              <w:t>6</w:t>
            </w:r>
          </w:p>
        </w:tc>
        <w:tc>
          <w:tcPr>
            <w:tcW w:w="1756" w:type="pct"/>
            <w:vAlign w:val="center"/>
          </w:tcPr>
          <w:p w14:paraId="1AAA6FF6">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擅自将业主信息用于与物业管理无关的活动的</w:t>
            </w:r>
          </w:p>
        </w:tc>
        <w:tc>
          <w:tcPr>
            <w:tcW w:w="992" w:type="pct"/>
          </w:tcPr>
          <w:p w14:paraId="2DE16E03">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《四川省物业管理条例》第五十三条</w:t>
            </w:r>
          </w:p>
        </w:tc>
        <w:tc>
          <w:tcPr>
            <w:tcW w:w="739" w:type="pct"/>
            <w:vAlign w:val="center"/>
          </w:tcPr>
          <w:p w14:paraId="37A099B7">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5C806F36">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1A0FF8AC">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39B05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0" w:hRule="atLeast"/>
        </w:trPr>
        <w:tc>
          <w:tcPr>
            <w:tcW w:w="256" w:type="pct"/>
            <w:vAlign w:val="center"/>
          </w:tcPr>
          <w:p w14:paraId="5E8002F8">
            <w:pPr>
              <w:spacing w:line="300" w:lineRule="exact"/>
              <w:jc w:val="center"/>
              <w:rPr>
                <w:rFonts w:eastAsia="仿宋_GB2312"/>
                <w:color w:val="000000"/>
                <w:sz w:val="24"/>
              </w:rPr>
            </w:pPr>
            <w:r>
              <w:rPr>
                <w:rFonts w:hint="eastAsia" w:eastAsia="仿宋_GB2312"/>
                <w:color w:val="000000"/>
                <w:sz w:val="24"/>
              </w:rPr>
              <w:t>7</w:t>
            </w:r>
          </w:p>
        </w:tc>
        <w:tc>
          <w:tcPr>
            <w:tcW w:w="1756" w:type="pct"/>
            <w:vAlign w:val="center"/>
          </w:tcPr>
          <w:p w14:paraId="6ADAE1B7">
            <w:pPr>
              <w:spacing w:line="300" w:lineRule="exact"/>
              <w:jc w:val="left"/>
              <w:rPr>
                <w:rFonts w:eastAsia="仿宋_GB2312"/>
                <w:color w:val="000000"/>
                <w:sz w:val="24"/>
                <w:shd w:val="clear" w:color="auto" w:fill="FFFFFF"/>
              </w:rPr>
            </w:pPr>
            <w:r>
              <w:rPr>
                <w:rFonts w:eastAsia="仿宋_GB2312"/>
                <w:color w:val="000000"/>
                <w:sz w:val="24"/>
                <w:shd w:val="clear" w:color="auto" w:fill="FFFFFF"/>
              </w:rPr>
              <w:t>发现</w:t>
            </w:r>
            <w:r>
              <w:rPr>
                <w:rFonts w:hint="eastAsia" w:eastAsia="仿宋_GB2312"/>
                <w:sz w:val="24"/>
                <w:shd w:val="clear" w:color="auto" w:fill="FFFFFF"/>
              </w:rPr>
              <w:t>物业服务区域内</w:t>
            </w:r>
            <w:r>
              <w:rPr>
                <w:rFonts w:eastAsia="仿宋_GB2312"/>
                <w:color w:val="000000"/>
                <w:sz w:val="24"/>
                <w:shd w:val="clear" w:color="auto" w:fill="FFFFFF"/>
              </w:rPr>
              <w:t>违规建筑或装修未及时告知、劝阻和报告的</w:t>
            </w:r>
          </w:p>
        </w:tc>
        <w:tc>
          <w:tcPr>
            <w:tcW w:w="992" w:type="pct"/>
          </w:tcPr>
          <w:p w14:paraId="4960E063">
            <w:pPr>
              <w:spacing w:line="300" w:lineRule="exact"/>
              <w:jc w:val="left"/>
              <w:rPr>
                <w:rFonts w:eastAsia="仿宋_GB2312"/>
                <w:color w:val="000000"/>
                <w:sz w:val="24"/>
              </w:rPr>
            </w:pPr>
            <w:r>
              <w:rPr>
                <w:rFonts w:hint="eastAsia" w:eastAsia="仿宋_GB2312"/>
                <w:color w:val="000000"/>
                <w:sz w:val="24"/>
              </w:rPr>
              <w:t>《四川省物业管理条例》第七十八条</w:t>
            </w:r>
          </w:p>
        </w:tc>
        <w:tc>
          <w:tcPr>
            <w:tcW w:w="739" w:type="pct"/>
            <w:vAlign w:val="center"/>
          </w:tcPr>
          <w:p w14:paraId="6BF96414">
            <w:pPr>
              <w:spacing w:line="300" w:lineRule="exact"/>
              <w:jc w:val="left"/>
              <w:rPr>
                <w:rFonts w:eastAsia="仿宋_GB2312"/>
                <w:color w:val="000000"/>
                <w:sz w:val="24"/>
              </w:rPr>
            </w:pPr>
            <w:r>
              <w:rPr>
                <w:rFonts w:eastAsia="仿宋_GB2312"/>
                <w:color w:val="000000"/>
                <w:sz w:val="24"/>
              </w:rPr>
              <w:t>有关行政机关</w:t>
            </w:r>
          </w:p>
        </w:tc>
        <w:tc>
          <w:tcPr>
            <w:tcW w:w="690" w:type="pct"/>
            <w:vAlign w:val="center"/>
          </w:tcPr>
          <w:p w14:paraId="316F2C30">
            <w:pPr>
              <w:spacing w:line="300" w:lineRule="exact"/>
              <w:rPr>
                <w:rFonts w:eastAsia="仿宋_GB2312"/>
                <w:color w:val="000000"/>
                <w:sz w:val="24"/>
              </w:rPr>
            </w:pPr>
            <w:r>
              <w:rPr>
                <w:rFonts w:eastAsia="仿宋_GB2312"/>
                <w:color w:val="000000"/>
                <w:sz w:val="24"/>
              </w:rPr>
              <w:t>核实一次扣3分</w:t>
            </w:r>
          </w:p>
        </w:tc>
        <w:tc>
          <w:tcPr>
            <w:tcW w:w="565" w:type="pct"/>
            <w:vAlign w:val="center"/>
          </w:tcPr>
          <w:p w14:paraId="1018A897">
            <w:pPr>
              <w:spacing w:line="300" w:lineRule="exact"/>
              <w:jc w:val="center"/>
              <w:rPr>
                <w:rFonts w:eastAsia="仿宋_GB2312"/>
                <w:color w:val="000000"/>
                <w:sz w:val="24"/>
              </w:rPr>
            </w:pPr>
            <w:r>
              <w:rPr>
                <w:rFonts w:hint="eastAsia" w:eastAsia="仿宋_GB2312"/>
                <w:color w:val="000000"/>
                <w:sz w:val="24"/>
              </w:rPr>
              <w:t>不予修复</w:t>
            </w:r>
          </w:p>
        </w:tc>
      </w:tr>
      <w:tr w14:paraId="39FAB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78A6C7A7">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8</w:t>
            </w:r>
          </w:p>
        </w:tc>
        <w:tc>
          <w:tcPr>
            <w:tcW w:w="1756" w:type="pct"/>
            <w:vAlign w:val="center"/>
          </w:tcPr>
          <w:p w14:paraId="5CA71695">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未落实物业服务合同中关于安全防范的约定，健全安全防范措施，做好物业管理区域内的安全防范工作的</w:t>
            </w:r>
          </w:p>
        </w:tc>
        <w:tc>
          <w:tcPr>
            <w:tcW w:w="992" w:type="pct"/>
          </w:tcPr>
          <w:p w14:paraId="63A0CF86">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《四川省物业管理条例》第六十七条</w:t>
            </w:r>
          </w:p>
        </w:tc>
        <w:tc>
          <w:tcPr>
            <w:tcW w:w="739" w:type="pct"/>
            <w:vAlign w:val="center"/>
          </w:tcPr>
          <w:p w14:paraId="6814C40D">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538874AA">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2A638AED">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26ADD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5BEF4109">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9</w:t>
            </w:r>
          </w:p>
        </w:tc>
        <w:tc>
          <w:tcPr>
            <w:tcW w:w="1756" w:type="pct"/>
            <w:vAlign w:val="center"/>
          </w:tcPr>
          <w:p w14:paraId="6E540A56">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发生安全紧急事故，未采取应急措施，并及时向有关行政管理部门报告，协助做好救助工作的</w:t>
            </w:r>
          </w:p>
        </w:tc>
        <w:tc>
          <w:tcPr>
            <w:tcW w:w="992" w:type="pct"/>
          </w:tcPr>
          <w:p w14:paraId="18916389">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《四川省物业管理条例》第六十七条</w:t>
            </w:r>
          </w:p>
        </w:tc>
        <w:tc>
          <w:tcPr>
            <w:tcW w:w="739" w:type="pct"/>
            <w:vAlign w:val="center"/>
          </w:tcPr>
          <w:p w14:paraId="5197957C">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2FDE7378">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0FD3CCAD">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1EC57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256" w:type="pct"/>
            <w:vAlign w:val="center"/>
          </w:tcPr>
          <w:p w14:paraId="09ECB1DC">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10</w:t>
            </w:r>
          </w:p>
        </w:tc>
        <w:tc>
          <w:tcPr>
            <w:tcW w:w="1756" w:type="pct"/>
            <w:vAlign w:val="center"/>
          </w:tcPr>
          <w:p w14:paraId="70F8128B">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恶意拖欠或克扣劳动者工资</w:t>
            </w:r>
          </w:p>
        </w:tc>
        <w:tc>
          <w:tcPr>
            <w:tcW w:w="992" w:type="pct"/>
          </w:tcPr>
          <w:p w14:paraId="14DC09FC">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《中华人民共和国劳动法》第五十条、第九十一条</w:t>
            </w:r>
          </w:p>
        </w:tc>
        <w:tc>
          <w:tcPr>
            <w:tcW w:w="739" w:type="pct"/>
            <w:vAlign w:val="center"/>
          </w:tcPr>
          <w:p w14:paraId="306519F8">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11397E97">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核实一次扣3分</w:t>
            </w:r>
          </w:p>
        </w:tc>
        <w:tc>
          <w:tcPr>
            <w:tcW w:w="565" w:type="pct"/>
            <w:vAlign w:val="center"/>
          </w:tcPr>
          <w:p w14:paraId="731BD682">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扣1分</w:t>
            </w:r>
          </w:p>
        </w:tc>
      </w:tr>
      <w:tr w14:paraId="0E9036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48A7155E">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11</w:t>
            </w:r>
          </w:p>
        </w:tc>
        <w:tc>
          <w:tcPr>
            <w:tcW w:w="1756" w:type="pct"/>
            <w:vAlign w:val="center"/>
          </w:tcPr>
          <w:p w14:paraId="230E2CDD">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未按照国家和省的有关规定向住房城乡建设行政主管部门定期报送信用档案信息、统计报表等相关资料，责令限期改正，逾期拒不改正的</w:t>
            </w:r>
          </w:p>
        </w:tc>
        <w:tc>
          <w:tcPr>
            <w:tcW w:w="992" w:type="pct"/>
          </w:tcPr>
          <w:p w14:paraId="0852E946">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《四川省物业管理条例》第五十一条、第一百条</w:t>
            </w:r>
          </w:p>
        </w:tc>
        <w:tc>
          <w:tcPr>
            <w:tcW w:w="739" w:type="pct"/>
            <w:vAlign w:val="center"/>
          </w:tcPr>
          <w:p w14:paraId="6876FEF8">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1F0D1381">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核实一次扣5分</w:t>
            </w:r>
          </w:p>
        </w:tc>
        <w:tc>
          <w:tcPr>
            <w:tcW w:w="565" w:type="pct"/>
            <w:vAlign w:val="center"/>
          </w:tcPr>
          <w:p w14:paraId="364BC082">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扣2分</w:t>
            </w:r>
          </w:p>
        </w:tc>
      </w:tr>
      <w:tr w14:paraId="3BB054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trPr>
        <w:tc>
          <w:tcPr>
            <w:tcW w:w="256" w:type="pct"/>
            <w:vAlign w:val="center"/>
          </w:tcPr>
          <w:p w14:paraId="4094CFBC">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12</w:t>
            </w:r>
          </w:p>
        </w:tc>
        <w:tc>
          <w:tcPr>
            <w:tcW w:w="1756" w:type="pct"/>
            <w:vAlign w:val="center"/>
          </w:tcPr>
          <w:p w14:paraId="42355D13">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企业擅自退出项目管理的，未按照合同约定或合同未有约定未提前60日告知的；未依法依约办理交接手续，擅自撤离物业管理区域或停止物业服务</w:t>
            </w:r>
          </w:p>
        </w:tc>
        <w:tc>
          <w:tcPr>
            <w:tcW w:w="992" w:type="pct"/>
          </w:tcPr>
          <w:p w14:paraId="21274AFC">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《四川省物业管理条例》第六十八条</w:t>
            </w:r>
          </w:p>
        </w:tc>
        <w:tc>
          <w:tcPr>
            <w:tcW w:w="739" w:type="pct"/>
            <w:vAlign w:val="center"/>
          </w:tcPr>
          <w:p w14:paraId="467164C9">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2B6C2379">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核实一次扣5分</w:t>
            </w:r>
          </w:p>
        </w:tc>
        <w:tc>
          <w:tcPr>
            <w:tcW w:w="565" w:type="pct"/>
            <w:vAlign w:val="center"/>
          </w:tcPr>
          <w:p w14:paraId="6F8991F9">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788FC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256" w:type="pct"/>
            <w:vAlign w:val="center"/>
          </w:tcPr>
          <w:p w14:paraId="27BC52B8">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13</w:t>
            </w:r>
          </w:p>
        </w:tc>
        <w:tc>
          <w:tcPr>
            <w:tcW w:w="1756" w:type="pct"/>
            <w:vAlign w:val="center"/>
          </w:tcPr>
          <w:p w14:paraId="4A1BFD1F">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物业服务企业应当退出物业服务，却仍以物业服务中的债权债务纠纷未解决、阶段工作未完成等为由拒绝退出的</w:t>
            </w:r>
          </w:p>
        </w:tc>
        <w:tc>
          <w:tcPr>
            <w:tcW w:w="992" w:type="pct"/>
          </w:tcPr>
          <w:p w14:paraId="192BE47B">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《四川省物业管理条例》第六十八条</w:t>
            </w:r>
          </w:p>
        </w:tc>
        <w:tc>
          <w:tcPr>
            <w:tcW w:w="739" w:type="pct"/>
            <w:vAlign w:val="center"/>
          </w:tcPr>
          <w:p w14:paraId="795E6181">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407F235D">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核实一次扣5分</w:t>
            </w:r>
          </w:p>
        </w:tc>
        <w:tc>
          <w:tcPr>
            <w:tcW w:w="565" w:type="pct"/>
            <w:vAlign w:val="center"/>
          </w:tcPr>
          <w:p w14:paraId="5F28251B">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r w14:paraId="4AC26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29AE1CB0">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14</w:t>
            </w:r>
          </w:p>
        </w:tc>
        <w:tc>
          <w:tcPr>
            <w:tcW w:w="1756" w:type="pct"/>
            <w:vAlign w:val="center"/>
          </w:tcPr>
          <w:p w14:paraId="0C41498E">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未按照合同约定落实电梯、消防等设施设备安全责任的</w:t>
            </w:r>
          </w:p>
        </w:tc>
        <w:tc>
          <w:tcPr>
            <w:tcW w:w="992" w:type="pct"/>
          </w:tcPr>
          <w:p w14:paraId="7C8A9DD0">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《四川省物业管理条例》第五十一条、第五十二条、第七十九条</w:t>
            </w:r>
          </w:p>
        </w:tc>
        <w:tc>
          <w:tcPr>
            <w:tcW w:w="739" w:type="pct"/>
            <w:vAlign w:val="center"/>
          </w:tcPr>
          <w:p w14:paraId="1D0A0A33">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1D9F2B25">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核实一次扣5分</w:t>
            </w:r>
          </w:p>
        </w:tc>
        <w:tc>
          <w:tcPr>
            <w:tcW w:w="565" w:type="pct"/>
            <w:vAlign w:val="center"/>
          </w:tcPr>
          <w:p w14:paraId="6A10E77F">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扣2分</w:t>
            </w:r>
          </w:p>
        </w:tc>
      </w:tr>
      <w:tr w14:paraId="113D5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256" w:type="pct"/>
            <w:vAlign w:val="center"/>
          </w:tcPr>
          <w:p w14:paraId="5DDB8438">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15</w:t>
            </w:r>
          </w:p>
        </w:tc>
        <w:tc>
          <w:tcPr>
            <w:tcW w:w="1756" w:type="pct"/>
            <w:vAlign w:val="center"/>
          </w:tcPr>
          <w:p w14:paraId="44E33143">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其他违反物业服务管理活动相关法律、行政法规、地方法规的规定行为进行的扣分</w:t>
            </w:r>
          </w:p>
        </w:tc>
        <w:tc>
          <w:tcPr>
            <w:tcW w:w="992" w:type="pct"/>
          </w:tcPr>
          <w:p w14:paraId="2A6F99AA">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相关法律法规、党中央和国务院政策性文件</w:t>
            </w:r>
          </w:p>
        </w:tc>
        <w:tc>
          <w:tcPr>
            <w:tcW w:w="739" w:type="pct"/>
            <w:vAlign w:val="center"/>
          </w:tcPr>
          <w:p w14:paraId="5732EDC9">
            <w:pPr>
              <w:pStyle w:val="6"/>
              <w:shd w:val="clear" w:color="auto" w:fill="FFFFFF"/>
              <w:spacing w:before="0" w:beforeAutospacing="0" w:after="0" w:afterAutospacing="0" w:line="300" w:lineRule="exact"/>
              <w:jc w:val="lef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有关行政机关</w:t>
            </w:r>
          </w:p>
        </w:tc>
        <w:tc>
          <w:tcPr>
            <w:tcW w:w="690" w:type="pct"/>
            <w:vAlign w:val="center"/>
          </w:tcPr>
          <w:p w14:paraId="44A2F3E7">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核实一次扣分不超过5分</w:t>
            </w:r>
          </w:p>
        </w:tc>
        <w:tc>
          <w:tcPr>
            <w:tcW w:w="565" w:type="pct"/>
            <w:vAlign w:val="center"/>
          </w:tcPr>
          <w:p w14:paraId="32BD8630">
            <w:pPr>
              <w:pStyle w:val="6"/>
              <w:shd w:val="clear" w:color="auto" w:fill="FFFFFF"/>
              <w:spacing w:before="0" w:beforeAutospacing="0" w:after="0" w:afterAutospacing="0" w:line="300" w:lineRule="exact"/>
              <w:jc w:val="center"/>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不予修复</w:t>
            </w:r>
          </w:p>
        </w:tc>
      </w:tr>
    </w:tbl>
    <w:p w14:paraId="0E9B4E54">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p>
    <w:p w14:paraId="59E00465">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备注：1.以上减分项目按就高原则减分，同一事件不重复计分。</w:t>
      </w:r>
    </w:p>
    <w:p w14:paraId="02158B49">
      <w:pPr>
        <w:pStyle w:val="6"/>
        <w:shd w:val="clear" w:color="auto" w:fill="FFFFFF"/>
        <w:spacing w:before="0" w:beforeAutospacing="0" w:after="0" w:afterAutospacing="0" w:line="300" w:lineRule="exact"/>
        <w:ind w:firstLine="720" w:firstLineChars="300"/>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2.省、市、县（区、市）不良行为信用信息包括本省行政区域内的信息。</w:t>
      </w:r>
    </w:p>
    <w:p w14:paraId="3267FAA0">
      <w:pPr>
        <w:pStyle w:val="6"/>
        <w:shd w:val="clear" w:color="auto" w:fill="FFFFFF"/>
        <w:spacing w:before="0" w:beforeAutospacing="0" w:after="0" w:afterAutospacing="0" w:line="300" w:lineRule="exact"/>
        <w:rPr>
          <w:rFonts w:hint="eastAsia" w:ascii="Times New Roman" w:hAnsi="Times New Roman" w:eastAsia="仿宋_GB2312" w:cs="Times New Roman"/>
          <w:color w:val="000000"/>
        </w:rPr>
      </w:pPr>
      <w:r>
        <w:rPr>
          <w:rFonts w:hint="eastAsia" w:ascii="Times New Roman" w:hAnsi="Times New Roman" w:eastAsia="仿宋_GB2312" w:cs="Times New Roman"/>
          <w:color w:val="000000"/>
        </w:rPr>
        <w:t xml:space="preserve">      3.一般不良行为信用信息根据法律法规动态调整。</w:t>
      </w:r>
    </w:p>
    <w:sectPr>
      <w:pgSz w:w="16838" w:h="11906" w:orient="landscape"/>
      <w:pgMar w:top="1701" w:right="1701" w:bottom="1701" w:left="1701"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2D91537"/>
    <w:rsid w:val="00020339"/>
    <w:rsid w:val="0002303E"/>
    <w:rsid w:val="00023379"/>
    <w:rsid w:val="00031EAB"/>
    <w:rsid w:val="00034E29"/>
    <w:rsid w:val="000503BE"/>
    <w:rsid w:val="00053EB3"/>
    <w:rsid w:val="00057D8E"/>
    <w:rsid w:val="00062BC3"/>
    <w:rsid w:val="00085033"/>
    <w:rsid w:val="0008780D"/>
    <w:rsid w:val="00097A7C"/>
    <w:rsid w:val="000D0292"/>
    <w:rsid w:val="00102947"/>
    <w:rsid w:val="00117521"/>
    <w:rsid w:val="00120268"/>
    <w:rsid w:val="00120423"/>
    <w:rsid w:val="0013107A"/>
    <w:rsid w:val="0014572A"/>
    <w:rsid w:val="00170017"/>
    <w:rsid w:val="00170509"/>
    <w:rsid w:val="00170DD6"/>
    <w:rsid w:val="00173706"/>
    <w:rsid w:val="00183E55"/>
    <w:rsid w:val="00184D32"/>
    <w:rsid w:val="001A0904"/>
    <w:rsid w:val="001A30C3"/>
    <w:rsid w:val="001A6209"/>
    <w:rsid w:val="001B10EC"/>
    <w:rsid w:val="001D104E"/>
    <w:rsid w:val="001E3393"/>
    <w:rsid w:val="001F206A"/>
    <w:rsid w:val="002141D5"/>
    <w:rsid w:val="002441DC"/>
    <w:rsid w:val="0025722A"/>
    <w:rsid w:val="00263E0A"/>
    <w:rsid w:val="00284328"/>
    <w:rsid w:val="002878DC"/>
    <w:rsid w:val="002951C4"/>
    <w:rsid w:val="002B2FCD"/>
    <w:rsid w:val="002D2987"/>
    <w:rsid w:val="002D7034"/>
    <w:rsid w:val="002E1795"/>
    <w:rsid w:val="002E755A"/>
    <w:rsid w:val="002F1CDF"/>
    <w:rsid w:val="003122FA"/>
    <w:rsid w:val="00330159"/>
    <w:rsid w:val="003333F0"/>
    <w:rsid w:val="003355B4"/>
    <w:rsid w:val="003375BE"/>
    <w:rsid w:val="00346C9B"/>
    <w:rsid w:val="00353901"/>
    <w:rsid w:val="00360DA8"/>
    <w:rsid w:val="00363AD7"/>
    <w:rsid w:val="0036497B"/>
    <w:rsid w:val="0037283F"/>
    <w:rsid w:val="0037704A"/>
    <w:rsid w:val="00381A12"/>
    <w:rsid w:val="00391E60"/>
    <w:rsid w:val="003C22F7"/>
    <w:rsid w:val="003C2645"/>
    <w:rsid w:val="003D1792"/>
    <w:rsid w:val="003D4107"/>
    <w:rsid w:val="003D4AF2"/>
    <w:rsid w:val="003D708B"/>
    <w:rsid w:val="003D70EF"/>
    <w:rsid w:val="003E441B"/>
    <w:rsid w:val="003F3234"/>
    <w:rsid w:val="00407724"/>
    <w:rsid w:val="00423658"/>
    <w:rsid w:val="004263A5"/>
    <w:rsid w:val="00430759"/>
    <w:rsid w:val="00461EF3"/>
    <w:rsid w:val="00464C1A"/>
    <w:rsid w:val="004B1C2A"/>
    <w:rsid w:val="004B7801"/>
    <w:rsid w:val="004C1EF1"/>
    <w:rsid w:val="004C65C0"/>
    <w:rsid w:val="004E4B3C"/>
    <w:rsid w:val="004E66CC"/>
    <w:rsid w:val="004F1A1A"/>
    <w:rsid w:val="004F1B53"/>
    <w:rsid w:val="00511500"/>
    <w:rsid w:val="00512D05"/>
    <w:rsid w:val="0054668B"/>
    <w:rsid w:val="0056694E"/>
    <w:rsid w:val="0058515F"/>
    <w:rsid w:val="00597B7A"/>
    <w:rsid w:val="00597C58"/>
    <w:rsid w:val="005A1752"/>
    <w:rsid w:val="005A5E19"/>
    <w:rsid w:val="005C01F5"/>
    <w:rsid w:val="005C43D3"/>
    <w:rsid w:val="005D5CC0"/>
    <w:rsid w:val="005E64B7"/>
    <w:rsid w:val="005F0061"/>
    <w:rsid w:val="005F5ADF"/>
    <w:rsid w:val="005F74DA"/>
    <w:rsid w:val="00602524"/>
    <w:rsid w:val="006043AF"/>
    <w:rsid w:val="00604949"/>
    <w:rsid w:val="0060727B"/>
    <w:rsid w:val="00615929"/>
    <w:rsid w:val="006163C8"/>
    <w:rsid w:val="00616FD8"/>
    <w:rsid w:val="0063257C"/>
    <w:rsid w:val="00640CF1"/>
    <w:rsid w:val="00644D95"/>
    <w:rsid w:val="00644DBD"/>
    <w:rsid w:val="006573AC"/>
    <w:rsid w:val="00662118"/>
    <w:rsid w:val="006907A7"/>
    <w:rsid w:val="006A30B2"/>
    <w:rsid w:val="006B059E"/>
    <w:rsid w:val="006B278A"/>
    <w:rsid w:val="006B787B"/>
    <w:rsid w:val="006D0DEA"/>
    <w:rsid w:val="006E485E"/>
    <w:rsid w:val="006E5AA1"/>
    <w:rsid w:val="006F5552"/>
    <w:rsid w:val="00704CD4"/>
    <w:rsid w:val="0073727E"/>
    <w:rsid w:val="007479A3"/>
    <w:rsid w:val="00765B86"/>
    <w:rsid w:val="00775903"/>
    <w:rsid w:val="0077624B"/>
    <w:rsid w:val="007764F0"/>
    <w:rsid w:val="00785908"/>
    <w:rsid w:val="00785D4A"/>
    <w:rsid w:val="00787AEA"/>
    <w:rsid w:val="007927E9"/>
    <w:rsid w:val="007B5D57"/>
    <w:rsid w:val="007E14E5"/>
    <w:rsid w:val="007E2E28"/>
    <w:rsid w:val="007E4F58"/>
    <w:rsid w:val="007E6728"/>
    <w:rsid w:val="007E7B70"/>
    <w:rsid w:val="007F71B1"/>
    <w:rsid w:val="007F739D"/>
    <w:rsid w:val="00800FC4"/>
    <w:rsid w:val="008119F4"/>
    <w:rsid w:val="0081410A"/>
    <w:rsid w:val="0081613F"/>
    <w:rsid w:val="0081752D"/>
    <w:rsid w:val="00817566"/>
    <w:rsid w:val="0082278A"/>
    <w:rsid w:val="00831435"/>
    <w:rsid w:val="0083395F"/>
    <w:rsid w:val="00841CF3"/>
    <w:rsid w:val="00854922"/>
    <w:rsid w:val="00867EAF"/>
    <w:rsid w:val="008819B0"/>
    <w:rsid w:val="00894A5F"/>
    <w:rsid w:val="008A32BA"/>
    <w:rsid w:val="008A4227"/>
    <w:rsid w:val="008B0462"/>
    <w:rsid w:val="008B10A0"/>
    <w:rsid w:val="008B3152"/>
    <w:rsid w:val="008C2238"/>
    <w:rsid w:val="008C746A"/>
    <w:rsid w:val="008E3AB0"/>
    <w:rsid w:val="008E5E89"/>
    <w:rsid w:val="008F34CC"/>
    <w:rsid w:val="0092058D"/>
    <w:rsid w:val="00924A08"/>
    <w:rsid w:val="00932DA4"/>
    <w:rsid w:val="00933039"/>
    <w:rsid w:val="009415B5"/>
    <w:rsid w:val="00947821"/>
    <w:rsid w:val="0095170F"/>
    <w:rsid w:val="00955B82"/>
    <w:rsid w:val="00956F54"/>
    <w:rsid w:val="009604E9"/>
    <w:rsid w:val="00961229"/>
    <w:rsid w:val="009661E2"/>
    <w:rsid w:val="00970895"/>
    <w:rsid w:val="00974A1A"/>
    <w:rsid w:val="00981236"/>
    <w:rsid w:val="00986ABF"/>
    <w:rsid w:val="0099374C"/>
    <w:rsid w:val="009A0F9F"/>
    <w:rsid w:val="009A1DE9"/>
    <w:rsid w:val="009C5131"/>
    <w:rsid w:val="009D13D9"/>
    <w:rsid w:val="009D46DD"/>
    <w:rsid w:val="009E2E12"/>
    <w:rsid w:val="00A151AC"/>
    <w:rsid w:val="00A332B6"/>
    <w:rsid w:val="00A471AE"/>
    <w:rsid w:val="00A5507D"/>
    <w:rsid w:val="00A743EC"/>
    <w:rsid w:val="00A84395"/>
    <w:rsid w:val="00A84B83"/>
    <w:rsid w:val="00A90B9B"/>
    <w:rsid w:val="00A949C5"/>
    <w:rsid w:val="00AA6987"/>
    <w:rsid w:val="00AA7ABF"/>
    <w:rsid w:val="00AC1022"/>
    <w:rsid w:val="00AD6475"/>
    <w:rsid w:val="00AD6C47"/>
    <w:rsid w:val="00AE03A1"/>
    <w:rsid w:val="00AE65EB"/>
    <w:rsid w:val="00AF27B5"/>
    <w:rsid w:val="00AF5693"/>
    <w:rsid w:val="00AF6E75"/>
    <w:rsid w:val="00AF7BE1"/>
    <w:rsid w:val="00B05D18"/>
    <w:rsid w:val="00B10BDE"/>
    <w:rsid w:val="00B1233B"/>
    <w:rsid w:val="00B12CAF"/>
    <w:rsid w:val="00B17E1D"/>
    <w:rsid w:val="00B26067"/>
    <w:rsid w:val="00B32FB4"/>
    <w:rsid w:val="00B454D9"/>
    <w:rsid w:val="00B50E62"/>
    <w:rsid w:val="00B5461A"/>
    <w:rsid w:val="00B55124"/>
    <w:rsid w:val="00B64224"/>
    <w:rsid w:val="00B77159"/>
    <w:rsid w:val="00B8294D"/>
    <w:rsid w:val="00B94085"/>
    <w:rsid w:val="00BB2ACB"/>
    <w:rsid w:val="00BB78A8"/>
    <w:rsid w:val="00BC7ADE"/>
    <w:rsid w:val="00BD2BF4"/>
    <w:rsid w:val="00BD7C35"/>
    <w:rsid w:val="00BF5E03"/>
    <w:rsid w:val="00BF734F"/>
    <w:rsid w:val="00C1081A"/>
    <w:rsid w:val="00C25A33"/>
    <w:rsid w:val="00C27FD7"/>
    <w:rsid w:val="00C3223F"/>
    <w:rsid w:val="00C45A12"/>
    <w:rsid w:val="00C462EB"/>
    <w:rsid w:val="00C60508"/>
    <w:rsid w:val="00C60656"/>
    <w:rsid w:val="00C76FE9"/>
    <w:rsid w:val="00C81851"/>
    <w:rsid w:val="00C86ED9"/>
    <w:rsid w:val="00C97DB4"/>
    <w:rsid w:val="00CB76C2"/>
    <w:rsid w:val="00CF50FE"/>
    <w:rsid w:val="00CF58CB"/>
    <w:rsid w:val="00D06C68"/>
    <w:rsid w:val="00D17418"/>
    <w:rsid w:val="00D403DF"/>
    <w:rsid w:val="00D40A45"/>
    <w:rsid w:val="00D51629"/>
    <w:rsid w:val="00D5350E"/>
    <w:rsid w:val="00D547C0"/>
    <w:rsid w:val="00D62DA7"/>
    <w:rsid w:val="00D74A91"/>
    <w:rsid w:val="00D770E9"/>
    <w:rsid w:val="00DB057A"/>
    <w:rsid w:val="00DB5275"/>
    <w:rsid w:val="00DD1CA5"/>
    <w:rsid w:val="00DE2E73"/>
    <w:rsid w:val="00DF0354"/>
    <w:rsid w:val="00DF286C"/>
    <w:rsid w:val="00DF555B"/>
    <w:rsid w:val="00DF67E2"/>
    <w:rsid w:val="00E00EA3"/>
    <w:rsid w:val="00E14AFB"/>
    <w:rsid w:val="00E354C5"/>
    <w:rsid w:val="00E51027"/>
    <w:rsid w:val="00E536CA"/>
    <w:rsid w:val="00E64F17"/>
    <w:rsid w:val="00E852C2"/>
    <w:rsid w:val="00E85B1D"/>
    <w:rsid w:val="00E85F52"/>
    <w:rsid w:val="00E86DC3"/>
    <w:rsid w:val="00E90E76"/>
    <w:rsid w:val="00E92407"/>
    <w:rsid w:val="00EA4CE7"/>
    <w:rsid w:val="00EB01C6"/>
    <w:rsid w:val="00EB41C8"/>
    <w:rsid w:val="00EE3EFB"/>
    <w:rsid w:val="00EE61A0"/>
    <w:rsid w:val="00EE6866"/>
    <w:rsid w:val="00EF10C1"/>
    <w:rsid w:val="00EF70CE"/>
    <w:rsid w:val="00EF7EF8"/>
    <w:rsid w:val="00F02B3A"/>
    <w:rsid w:val="00F11C2A"/>
    <w:rsid w:val="00F27650"/>
    <w:rsid w:val="00F30363"/>
    <w:rsid w:val="00F34B40"/>
    <w:rsid w:val="00F51CD1"/>
    <w:rsid w:val="00F5690E"/>
    <w:rsid w:val="00F61D43"/>
    <w:rsid w:val="00F6715D"/>
    <w:rsid w:val="00F75F38"/>
    <w:rsid w:val="00F847D7"/>
    <w:rsid w:val="00F90FD0"/>
    <w:rsid w:val="00F93608"/>
    <w:rsid w:val="00FA2B9B"/>
    <w:rsid w:val="00FD1F5C"/>
    <w:rsid w:val="00FD744B"/>
    <w:rsid w:val="00FD74A3"/>
    <w:rsid w:val="00FE4965"/>
    <w:rsid w:val="00FF732F"/>
    <w:rsid w:val="08B15F75"/>
    <w:rsid w:val="1B4E1958"/>
    <w:rsid w:val="22D91537"/>
    <w:rsid w:val="572172AD"/>
    <w:rsid w:val="633919D8"/>
    <w:rsid w:val="7F1A6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2"/>
    <w:unhideWhenUsed/>
    <w:qFormat/>
    <w:uiPriority w:val="99"/>
    <w:rPr>
      <w:rFonts w:ascii="宋体" w:hAnsi="Courier New" w:cs="Courier New"/>
      <w:szCs w:val="21"/>
    </w:rPr>
  </w:style>
  <w:style w:type="paragraph" w:styleId="4">
    <w:name w:val="footer"/>
    <w:basedOn w:val="1"/>
    <w:link w:val="10"/>
    <w:qFormat/>
    <w:uiPriority w:val="0"/>
    <w:pPr>
      <w:tabs>
        <w:tab w:val="center" w:pos="4153"/>
        <w:tab w:val="right" w:pos="8306"/>
      </w:tabs>
      <w:snapToGrid w:val="0"/>
      <w:spacing w:line="240" w:lineRule="auto"/>
      <w:jc w:val="left"/>
    </w:pPr>
    <w:rPr>
      <w:sz w:val="18"/>
      <w:szCs w:val="18"/>
    </w:rPr>
  </w:style>
  <w:style w:type="paragraph" w:styleId="5">
    <w:name w:val="header"/>
    <w:basedOn w:val="1"/>
    <w:link w:val="9"/>
    <w:qFormat/>
    <w:uiPriority w:val="0"/>
    <w:pPr>
      <w:tabs>
        <w:tab w:val="center" w:pos="4153"/>
        <w:tab w:val="right" w:pos="8306"/>
      </w:tabs>
      <w:snapToGrid w:val="0"/>
      <w:spacing w:line="240" w:lineRule="auto"/>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9">
    <w:name w:val="页眉 字符"/>
    <w:basedOn w:val="8"/>
    <w:link w:val="5"/>
    <w:qFormat/>
    <w:uiPriority w:val="0"/>
    <w:rPr>
      <w:kern w:val="2"/>
      <w:sz w:val="18"/>
      <w:szCs w:val="18"/>
    </w:rPr>
  </w:style>
  <w:style w:type="character" w:customStyle="1" w:styleId="10">
    <w:name w:val="页脚 字符"/>
    <w:basedOn w:val="8"/>
    <w:link w:val="4"/>
    <w:qFormat/>
    <w:uiPriority w:val="0"/>
    <w:rPr>
      <w:kern w:val="2"/>
      <w:sz w:val="18"/>
      <w:szCs w:val="18"/>
    </w:rPr>
  </w:style>
  <w:style w:type="paragraph" w:customStyle="1" w:styleId="11">
    <w:name w:val="Revision"/>
    <w:hidden/>
    <w:unhideWhenUsed/>
    <w:qFormat/>
    <w:uiPriority w:val="99"/>
    <w:pPr>
      <w:spacing w:after="0" w:line="240" w:lineRule="auto"/>
    </w:pPr>
    <w:rPr>
      <w:rFonts w:ascii="Times New Roman" w:hAnsi="Times New Roman" w:eastAsia="宋体" w:cs="Times New Roman"/>
      <w:kern w:val="2"/>
      <w:sz w:val="21"/>
      <w:szCs w:val="24"/>
      <w:lang w:val="en-US" w:eastAsia="zh-CN" w:bidi="ar-SA"/>
    </w:rPr>
  </w:style>
  <w:style w:type="character" w:customStyle="1" w:styleId="12">
    <w:name w:val="纯文本 字符"/>
    <w:basedOn w:val="8"/>
    <w:link w:val="3"/>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3211</Words>
  <Characters>3244</Characters>
  <Lines>24</Lines>
  <Paragraphs>6</Paragraphs>
  <TotalTime>6</TotalTime>
  <ScaleCrop>false</ScaleCrop>
  <LinksUpToDate>false</LinksUpToDate>
  <CharactersWithSpaces>3262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2025-08-02T09:22:00Z</dcterms:created>
  <dc:creator>憬翛</dc:creator>
  <cp:lastModifiedBy>风扇云景</cp:lastModifiedBy>
  <cp:lastPrinted>2025-09-11T08:11:24Z</cp:lastPrinted>
  <dcterms:modified xsi:type="dcterms:W3CDTF">2025-09-11T08:20:01Z</dcterms:modified>
  <cp:revision>173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eyJoZGlkIjoiOWViZGRlYjI1NjY1MGE1NjE2ZmYzMWQ5OGEzODU1MzYiLCJ1c2VySWQiOiIzNDkwNTcxMTEifQ==</vt:lpwstr>
  </property>
  <property fmtid="{D5CDD505-2E9C-101B-9397-08002B2CF9AE}" pid="4" name="ICV">
    <vt:lpwstr>A3E08E1AA8FB441697AD4E10FC0152E4_12</vt:lpwstr>
  </property>
</Properties>
</file>