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left"/>
        <w:rPr>
          <w:rFonts w:cs="Times New Roman"/>
          <w:sz w:val="36"/>
          <w:szCs w:val="22"/>
        </w:rPr>
      </w:pPr>
      <w:bookmarkStart w:id="0" w:name="_Toc379974919"/>
      <w:bookmarkStart w:id="1" w:name="_Toc379985860"/>
      <w:r>
        <w:rPr>
          <w:rFonts w:cs="Times New Roman"/>
          <w:sz w:val="28"/>
          <w:szCs w:val="21"/>
        </w:rPr>
        <w:t>备案号:</w:t>
      </w:r>
      <w:r>
        <w:rPr>
          <w:rFonts w:cs="Times New Roman"/>
          <w:kern w:val="0"/>
          <w:sz w:val="28"/>
          <w:szCs w:val="21"/>
        </w:rPr>
        <w:t>JXXXXX-XXXX</w:t>
      </w:r>
    </w:p>
    <w:p>
      <w:pPr>
        <w:spacing w:line="360" w:lineRule="auto"/>
        <w:ind w:firstLine="160"/>
        <w:jc w:val="right"/>
        <w:rPr>
          <w:rFonts w:cs="Times New Roman"/>
          <w:sz w:val="36"/>
          <w:szCs w:val="22"/>
        </w:rPr>
      </w:pPr>
    </w:p>
    <w:p>
      <w:pPr>
        <w:spacing w:line="360" w:lineRule="auto"/>
        <w:ind w:firstLine="160"/>
        <w:jc w:val="center"/>
        <w:rPr>
          <w:rFonts w:cs="Times New Roman"/>
          <w:kern w:val="0"/>
          <w:sz w:val="36"/>
          <w:szCs w:val="22"/>
        </w:rPr>
      </w:pPr>
      <w:r>
        <w:rPr>
          <w:rFonts w:cs="Times New Roman"/>
          <w:sz w:val="36"/>
          <w:szCs w:val="22"/>
        </w:rPr>
        <w:t>四川省工程建设地方标准</w:t>
      </w:r>
      <w:r>
        <w:rPr>
          <w:rFonts w:cs="Times New Roman"/>
          <w:sz w:val="72"/>
          <w:szCs w:val="22"/>
        </w:rPr>
        <w:pict>
          <v:shape id="_x0000_i1025" o:spt="136" type="#_x0000_t136" style="height:15.65pt;width:45.7pt;" filled="t" stroked="f" coordsize="21600,21600">
            <v:path/>
            <v:fill type="gradient" on="t" color2="#AAAAAA" focussize="0f,0f"/>
            <v:stroke on="f"/>
            <v:imagedata o:title=""/>
            <o:lock v:ext="edit"/>
            <v:textpath on="t" fitshape="t" fitpath="t" trim="t" xscale="f" string="DB" style="font-family:宋体;font-size:36pt;v-text-align:center;v-text-spacing:78650f;"/>
            <v:shadow on="t" color="#4D4D4D" opacity="52429f" offset="2pt,3pt"/>
            <w10:wrap type="none"/>
            <w10:anchorlock/>
          </v:shape>
        </w:pict>
      </w:r>
      <w:bookmarkStart w:id="2" w:name="_Toc385024256"/>
    </w:p>
    <w:p>
      <w:pPr>
        <w:spacing w:line="360" w:lineRule="auto"/>
        <w:ind w:firstLine="160"/>
        <w:jc w:val="right"/>
        <w:rPr>
          <w:rFonts w:cs="Times New Roman"/>
          <w:kern w:val="0"/>
          <w:sz w:val="36"/>
          <w:szCs w:val="22"/>
        </w:rPr>
      </w:pPr>
    </w:p>
    <w:p>
      <w:pPr>
        <w:spacing w:line="360" w:lineRule="auto"/>
        <w:ind w:firstLine="160"/>
        <w:jc w:val="left"/>
        <w:rPr>
          <w:rFonts w:cs="Times New Roman"/>
          <w:sz w:val="21"/>
          <w:szCs w:val="22"/>
        </w:rPr>
      </w:pPr>
      <w:r>
        <w:rPr>
          <w:rFonts w:cs="Times New Roman"/>
          <w:kern w:val="0"/>
          <w:sz w:val="36"/>
          <w:szCs w:val="22"/>
        </w:rPr>
        <w:t xml:space="preserve">P                             </w:t>
      </w:r>
      <w:r>
        <w:rPr>
          <w:rFonts w:cs="Times New Roman"/>
          <w:kern w:val="0"/>
          <w:sz w:val="28"/>
          <w:szCs w:val="28"/>
        </w:rPr>
        <w:t>DBXXXX—XXXX</w:t>
      </w:r>
      <w:bookmarkEnd w:id="2"/>
    </w:p>
    <w:p>
      <w:pPr>
        <w:spacing w:line="360" w:lineRule="auto"/>
        <w:ind w:firstLine="160"/>
        <w:jc w:val="left"/>
        <w:rPr>
          <w:rFonts w:cs="Times New Roman"/>
          <w:sz w:val="21"/>
          <w:szCs w:val="22"/>
        </w:rPr>
      </w:pPr>
    </w:p>
    <w:p>
      <w:pPr>
        <w:spacing w:line="360" w:lineRule="auto"/>
        <w:ind w:firstLine="160"/>
        <w:jc w:val="left"/>
        <w:rPr>
          <w:rFonts w:cs="Times New Roman"/>
          <w:sz w:val="21"/>
          <w:szCs w:val="22"/>
        </w:rPr>
      </w:pPr>
    </w:p>
    <w:p>
      <w:pPr>
        <w:spacing w:line="360" w:lineRule="auto"/>
        <w:ind w:firstLine="160"/>
        <w:jc w:val="left"/>
        <w:rPr>
          <w:rFonts w:cs="Times New Roman"/>
          <w:color w:val="auto"/>
          <w:sz w:val="44"/>
          <w:szCs w:val="44"/>
        </w:rPr>
      </w:pPr>
    </w:p>
    <w:p>
      <w:pPr>
        <w:spacing w:line="360" w:lineRule="auto"/>
        <w:jc w:val="center"/>
        <w:rPr>
          <w:rFonts w:hint="eastAsia" w:ascii="方正小标宋简体" w:hAnsi="方正小标宋简体" w:eastAsia="方正小标宋简体" w:cs="方正小标宋简体"/>
          <w:color w:val="auto"/>
          <w:sz w:val="48"/>
          <w:szCs w:val="48"/>
        </w:rPr>
      </w:pPr>
      <w:r>
        <w:rPr>
          <w:rFonts w:hint="eastAsia" w:ascii="方正小标宋简体" w:hAnsi="方正小标宋简体" w:eastAsia="方正小标宋简体" w:cs="方正小标宋简体"/>
          <w:color w:val="auto"/>
          <w:sz w:val="48"/>
          <w:szCs w:val="48"/>
        </w:rPr>
        <w:t>四川省高延性混凝土加固技术标准</w:t>
      </w:r>
    </w:p>
    <w:p>
      <w:pPr>
        <w:spacing w:line="360" w:lineRule="auto"/>
        <w:jc w:val="center"/>
        <w:rPr>
          <w:rFonts w:cs="Times New Roman"/>
          <w:sz w:val="36"/>
          <w:szCs w:val="36"/>
        </w:rPr>
      </w:pPr>
      <w:r>
        <w:rPr>
          <w:rFonts w:hint="eastAsia" w:cs="Times New Roman"/>
          <w:sz w:val="36"/>
          <w:szCs w:val="36"/>
        </w:rPr>
        <w:t xml:space="preserve">Technical standard for strengthening structure with high ductile concrete </w:t>
      </w:r>
      <w:r>
        <w:rPr>
          <w:rFonts w:hint="eastAsia" w:cs="Times New Roman"/>
          <w:sz w:val="36"/>
          <w:szCs w:val="36"/>
          <w:lang w:val="en-US" w:eastAsia="zh-CN"/>
        </w:rPr>
        <w:t>i</w:t>
      </w:r>
      <w:r>
        <w:rPr>
          <w:rFonts w:hint="eastAsia" w:cs="Times New Roman"/>
          <w:sz w:val="36"/>
          <w:szCs w:val="36"/>
        </w:rPr>
        <w:t>n Sichuan Province</w:t>
      </w:r>
    </w:p>
    <w:p>
      <w:pPr>
        <w:spacing w:line="360" w:lineRule="auto"/>
        <w:jc w:val="center"/>
        <w:rPr>
          <w:rFonts w:cs="Times New Roman"/>
          <w:sz w:val="36"/>
          <w:szCs w:val="22"/>
          <w:u w:val="single"/>
        </w:rPr>
      </w:pPr>
    </w:p>
    <w:p>
      <w:pPr>
        <w:spacing w:line="360" w:lineRule="auto"/>
        <w:jc w:val="center"/>
        <w:rPr>
          <w:rFonts w:cs="Times New Roman"/>
          <w:sz w:val="44"/>
          <w:szCs w:val="44"/>
        </w:rPr>
      </w:pPr>
    </w:p>
    <w:p>
      <w:pPr>
        <w:spacing w:line="360" w:lineRule="auto"/>
        <w:jc w:val="center"/>
        <w:rPr>
          <w:rFonts w:cs="Times New Roman"/>
          <w:sz w:val="36"/>
          <w:szCs w:val="44"/>
        </w:rPr>
      </w:pPr>
      <w:r>
        <w:rPr>
          <w:rFonts w:cs="Times New Roman"/>
          <w:sz w:val="36"/>
          <w:szCs w:val="44"/>
        </w:rPr>
        <w:t xml:space="preserve"> </w:t>
      </w:r>
    </w:p>
    <w:p>
      <w:pPr>
        <w:spacing w:line="360" w:lineRule="auto"/>
        <w:jc w:val="both"/>
        <w:rPr>
          <w:rFonts w:cs="Times New Roman"/>
          <w:sz w:val="36"/>
          <w:szCs w:val="22"/>
          <w:u w:val="single"/>
        </w:rPr>
      </w:pPr>
    </w:p>
    <w:p>
      <w:pPr>
        <w:spacing w:line="360" w:lineRule="auto"/>
        <w:jc w:val="center"/>
        <w:rPr>
          <w:rFonts w:cs="Times New Roman"/>
          <w:sz w:val="36"/>
          <w:szCs w:val="22"/>
          <w:u w:val="single"/>
        </w:rPr>
      </w:pPr>
    </w:p>
    <w:p>
      <w:pPr>
        <w:spacing w:line="360" w:lineRule="auto"/>
        <w:jc w:val="center"/>
        <w:rPr>
          <w:rFonts w:cs="Times New Roman"/>
          <w:sz w:val="36"/>
          <w:szCs w:val="22"/>
          <w:u w:val="single"/>
        </w:rPr>
      </w:pPr>
      <w:r>
        <w:rPr>
          <w:rFonts w:cs="Times New Roman"/>
          <w:b w:val="0"/>
          <w:bCs w:val="0"/>
          <w:sz w:val="36"/>
          <w:szCs w:val="44"/>
        </w:rPr>
        <w:t>(</w:t>
      </w:r>
      <w:r>
        <w:rPr>
          <w:rFonts w:hint="eastAsia" w:cs="Times New Roman"/>
          <w:b w:val="0"/>
          <w:bCs w:val="0"/>
          <w:sz w:val="36"/>
          <w:szCs w:val="44"/>
          <w:lang w:val="en-US" w:eastAsia="zh-CN"/>
        </w:rPr>
        <w:t>征求意见稿</w:t>
      </w:r>
      <w:r>
        <w:rPr>
          <w:rFonts w:cs="Times New Roman"/>
          <w:b w:val="0"/>
          <w:bCs w:val="0"/>
          <w:sz w:val="36"/>
          <w:szCs w:val="44"/>
        </w:rPr>
        <w:t>)</w:t>
      </w:r>
    </w:p>
    <w:p>
      <w:pPr>
        <w:spacing w:line="360" w:lineRule="auto"/>
        <w:jc w:val="center"/>
        <w:rPr>
          <w:rFonts w:cs="Times New Roman"/>
          <w:sz w:val="36"/>
          <w:szCs w:val="22"/>
          <w:u w:val="single"/>
        </w:rPr>
      </w:pPr>
    </w:p>
    <w:p>
      <w:pPr>
        <w:spacing w:line="360" w:lineRule="auto"/>
        <w:jc w:val="center"/>
        <w:rPr>
          <w:rFonts w:cs="Times New Roman"/>
          <w:sz w:val="36"/>
          <w:szCs w:val="22"/>
          <w:u w:val="single"/>
        </w:rPr>
      </w:pPr>
    </w:p>
    <w:p>
      <w:pPr>
        <w:spacing w:line="360" w:lineRule="auto"/>
        <w:jc w:val="center"/>
        <w:rPr>
          <w:rFonts w:cs="Times New Roman"/>
          <w:sz w:val="36"/>
          <w:szCs w:val="22"/>
          <w:u w:val="single"/>
        </w:rPr>
      </w:pPr>
    </w:p>
    <w:p>
      <w:pPr>
        <w:spacing w:line="360" w:lineRule="auto"/>
        <w:jc w:val="center"/>
        <w:rPr>
          <w:rFonts w:cs="Times New Roman"/>
          <w:sz w:val="28"/>
          <w:szCs w:val="28"/>
        </w:rPr>
      </w:pPr>
      <w:r>
        <w:rPr>
          <w:rFonts w:cs="Times New Roman"/>
          <w:sz w:val="28"/>
          <w:szCs w:val="28"/>
          <w:u w:val="single"/>
        </w:rPr>
        <w:t>XXXX-XX-XX发布                     XXXX-XX-XX实施</w:t>
      </w:r>
    </w:p>
    <w:p>
      <w:pPr>
        <w:tabs>
          <w:tab w:val="left" w:pos="2235"/>
          <w:tab w:val="center" w:pos="4422"/>
        </w:tabs>
        <w:spacing w:line="360" w:lineRule="auto"/>
        <w:ind w:left="672" w:right="640" w:hanging="650" w:hangingChars="250"/>
        <w:jc w:val="center"/>
        <w:rPr>
          <w:rFonts w:hint="eastAsia" w:ascii="黑体" w:hAnsi="黑体" w:eastAsia="黑体" w:cs="黑体"/>
          <w:sz w:val="28"/>
          <w:szCs w:val="28"/>
        </w:rPr>
      </w:pPr>
      <w:r>
        <w:rPr>
          <w:rFonts w:hint="eastAsia" w:ascii="黑体" w:hAnsi="黑体" w:eastAsia="黑体" w:cs="黑体"/>
          <w:spacing w:val="-10"/>
          <w:sz w:val="28"/>
          <w:szCs w:val="28"/>
        </w:rPr>
        <w:t>四川省住房和城乡建设厅</w:t>
      </w:r>
      <w:r>
        <w:rPr>
          <w:rFonts w:hint="eastAsia" w:ascii="黑体" w:hAnsi="黑体" w:eastAsia="黑体" w:cs="黑体"/>
          <w:spacing w:val="-10"/>
          <w:sz w:val="28"/>
          <w:szCs w:val="28"/>
          <w:lang w:val="en-US" w:eastAsia="zh-CN"/>
        </w:rPr>
        <w:t xml:space="preserve">     </w:t>
      </w:r>
      <w:r>
        <w:rPr>
          <w:rFonts w:hint="eastAsia" w:ascii="黑体" w:hAnsi="黑体" w:eastAsia="黑体" w:cs="黑体"/>
          <w:sz w:val="28"/>
          <w:szCs w:val="28"/>
        </w:rPr>
        <w:t>发布</w:t>
      </w:r>
    </w:p>
    <w:p>
      <w:pPr>
        <w:widowControl/>
        <w:numPr>
          <w:ilvl w:val="0"/>
          <w:numId w:val="0"/>
        </w:numPr>
        <w:shd w:val="clear" w:color="FFFFFF" w:fill="FFFFFF"/>
        <w:tabs>
          <w:tab w:val="center" w:pos="4200"/>
          <w:tab w:val="right" w:pos="8400"/>
        </w:tabs>
        <w:spacing w:beforeLines="50" w:after="560" w:line="360" w:lineRule="auto"/>
        <w:ind w:right="-2"/>
        <w:jc w:val="center"/>
        <w:rPr>
          <w:rFonts w:ascii="Times New Roman" w:hAnsi="Times New Roman" w:eastAsia="宋体" w:cs="Times New Roman"/>
          <w:kern w:val="2"/>
          <w:sz w:val="30"/>
          <w:szCs w:val="30"/>
          <w:lang w:val="en-US" w:eastAsia="zh-CN" w:bidi="ar-SA"/>
        </w:rPr>
        <w:sectPr>
          <w:footerReference r:id="rId3" w:type="default"/>
          <w:pgSz w:w="11906" w:h="16838"/>
          <w:pgMar w:top="1440" w:right="1800" w:bottom="1440" w:left="1800" w:header="851" w:footer="992" w:gutter="0"/>
          <w:pgNumType w:fmt="decimal" w:start="1"/>
          <w:cols w:space="425" w:num="1"/>
          <w:docGrid w:type="lines" w:linePitch="312" w:charSpace="0"/>
        </w:sectPr>
      </w:pPr>
    </w:p>
    <w:p>
      <w:pPr>
        <w:widowControl/>
        <w:numPr>
          <w:ilvl w:val="0"/>
          <w:numId w:val="0"/>
        </w:numPr>
        <w:shd w:val="clear" w:color="FFFFFF" w:fill="FFFFFF"/>
        <w:tabs>
          <w:tab w:val="center" w:pos="4200"/>
          <w:tab w:val="right" w:pos="8400"/>
        </w:tabs>
        <w:spacing w:beforeLines="50" w:after="560" w:line="360" w:lineRule="auto"/>
        <w:ind w:right="-2"/>
        <w:jc w:val="center"/>
        <w:rPr>
          <w:rFonts w:ascii="Times New Roman" w:hAnsi="Times New Roman" w:eastAsia="宋体" w:cs="Times New Roman"/>
          <w:kern w:val="2"/>
          <w:sz w:val="30"/>
          <w:szCs w:val="30"/>
          <w:lang w:val="en-US" w:eastAsia="zh-CN" w:bidi="ar-SA"/>
        </w:rPr>
      </w:pPr>
    </w:p>
    <w:p>
      <w:pPr>
        <w:widowControl/>
        <w:numPr>
          <w:ilvl w:val="0"/>
          <w:numId w:val="0"/>
        </w:numPr>
        <w:shd w:val="clear" w:color="FFFFFF" w:fill="FFFFFF"/>
        <w:tabs>
          <w:tab w:val="center" w:pos="4200"/>
          <w:tab w:val="right" w:pos="8400"/>
        </w:tabs>
        <w:spacing w:beforeLines="50" w:after="560" w:line="360" w:lineRule="auto"/>
        <w:ind w:right="-2"/>
        <w:jc w:val="center"/>
        <w:rPr>
          <w:rFonts w:hint="eastAsia" w:ascii="黑体" w:hAnsi="黑体" w:eastAsia="黑体" w:cs="黑体"/>
          <w:kern w:val="2"/>
          <w:sz w:val="30"/>
          <w:szCs w:val="30"/>
          <w:lang w:val="en-US" w:eastAsia="zh-CN" w:bidi="ar-SA"/>
        </w:rPr>
      </w:pPr>
      <w:r>
        <w:rPr>
          <w:rFonts w:hint="eastAsia" w:ascii="黑体" w:hAnsi="黑体" w:eastAsia="黑体" w:cs="黑体"/>
          <w:kern w:val="2"/>
          <w:sz w:val="30"/>
          <w:szCs w:val="30"/>
          <w:lang w:val="en-US" w:eastAsia="zh-CN" w:bidi="ar-SA"/>
        </w:rPr>
        <w:t>四川省工程建设地方标准</w:t>
      </w:r>
    </w:p>
    <w:p>
      <w:pPr>
        <w:keepNext w:val="0"/>
        <w:keepLines w:val="0"/>
        <w:pageBreakBefore w:val="0"/>
        <w:widowControl w:val="0"/>
        <w:tabs>
          <w:tab w:val="center" w:pos="4200"/>
          <w:tab w:val="right" w:pos="8400"/>
        </w:tabs>
        <w:kinsoku/>
        <w:wordWrap/>
        <w:overflowPunct/>
        <w:topLinePunct w:val="0"/>
        <w:autoSpaceDE w:val="0"/>
        <w:autoSpaceDN w:val="0"/>
        <w:bidi w:val="0"/>
        <w:adjustRightInd w:val="0"/>
        <w:snapToGrid w:val="0"/>
        <w:spacing w:line="360" w:lineRule="auto"/>
        <w:jc w:val="center"/>
        <w:textAlignment w:val="auto"/>
        <w:rPr>
          <w:rFonts w:hint="eastAsia" w:ascii="黑体" w:hAnsi="黑体" w:eastAsia="黑体" w:cs="黑体"/>
          <w:color w:val="auto"/>
          <w:sz w:val="44"/>
          <w:szCs w:val="44"/>
        </w:rPr>
      </w:pPr>
      <w:r>
        <w:rPr>
          <w:rFonts w:hint="eastAsia" w:ascii="黑体" w:hAnsi="黑体" w:eastAsia="黑体" w:cs="黑体"/>
          <w:color w:val="auto"/>
          <w:sz w:val="44"/>
          <w:szCs w:val="44"/>
        </w:rPr>
        <w:t>四川省高延性混凝土加固技术标准</w:t>
      </w:r>
    </w:p>
    <w:p>
      <w:pPr>
        <w:tabs>
          <w:tab w:val="center" w:pos="4200"/>
          <w:tab w:val="right" w:pos="8400"/>
        </w:tabs>
        <w:autoSpaceDE w:val="0"/>
        <w:autoSpaceDN w:val="0"/>
        <w:adjustRightInd w:val="0"/>
        <w:spacing w:line="360" w:lineRule="auto"/>
        <w:jc w:val="center"/>
        <w:rPr>
          <w:rFonts w:hint="eastAsia" w:cs="Times New Roman"/>
          <w:sz w:val="30"/>
          <w:szCs w:val="30"/>
        </w:rPr>
      </w:pPr>
      <w:r>
        <w:rPr>
          <w:rFonts w:hint="eastAsia" w:cs="Times New Roman"/>
          <w:sz w:val="30"/>
          <w:szCs w:val="30"/>
        </w:rPr>
        <w:t>Technical standard for strengthening structure with high ductile concrete in Sichuan Province</w:t>
      </w:r>
    </w:p>
    <w:p>
      <w:pPr>
        <w:tabs>
          <w:tab w:val="center" w:pos="4200"/>
          <w:tab w:val="right" w:pos="8400"/>
        </w:tabs>
        <w:autoSpaceDE w:val="0"/>
        <w:autoSpaceDN w:val="0"/>
        <w:adjustRightInd w:val="0"/>
        <w:spacing w:line="360" w:lineRule="auto"/>
        <w:jc w:val="center"/>
        <w:rPr>
          <w:rFonts w:hint="eastAsia" w:eastAsia="宋体" w:cs="Times New Roman"/>
          <w:b/>
          <w:bCs/>
          <w:spacing w:val="-4"/>
          <w:sz w:val="28"/>
          <w:szCs w:val="28"/>
          <w:lang w:eastAsia="zh-CN"/>
        </w:rPr>
      </w:pPr>
      <w:r>
        <w:rPr>
          <w:rFonts w:hint="eastAsia" w:cs="Times New Roman"/>
          <w:b/>
          <w:bCs/>
          <w:spacing w:val="-4"/>
          <w:sz w:val="28"/>
          <w:szCs w:val="28"/>
        </w:rPr>
        <w:t>DB51/Txxx-202</w:t>
      </w:r>
      <w:r>
        <w:rPr>
          <w:rFonts w:hint="eastAsia" w:cs="Times New Roman"/>
          <w:b/>
          <w:bCs/>
          <w:spacing w:val="-4"/>
          <w:sz w:val="28"/>
          <w:szCs w:val="28"/>
          <w:lang w:val="en-US" w:eastAsia="zh-CN"/>
        </w:rPr>
        <w:t>4</w:t>
      </w:r>
    </w:p>
    <w:p>
      <w:pPr>
        <w:tabs>
          <w:tab w:val="center" w:pos="4200"/>
          <w:tab w:val="right" w:pos="8400"/>
        </w:tabs>
        <w:autoSpaceDE w:val="0"/>
        <w:autoSpaceDN w:val="0"/>
        <w:adjustRightInd w:val="0"/>
        <w:spacing w:line="360" w:lineRule="auto"/>
        <w:jc w:val="center"/>
        <w:rPr>
          <w:rFonts w:hint="eastAsia" w:cs="Times New Roman"/>
          <w:spacing w:val="-4"/>
          <w:sz w:val="28"/>
          <w:szCs w:val="28"/>
        </w:rPr>
      </w:pPr>
    </w:p>
    <w:p>
      <w:pPr>
        <w:tabs>
          <w:tab w:val="center" w:pos="4200"/>
          <w:tab w:val="right" w:pos="8400"/>
        </w:tabs>
        <w:spacing w:line="360" w:lineRule="auto"/>
        <w:ind w:firstLine="1400" w:firstLineChars="500"/>
        <w:jc w:val="both"/>
        <w:rPr>
          <w:rFonts w:cs="Times New Roman"/>
          <w:sz w:val="28"/>
          <w:szCs w:val="28"/>
        </w:rPr>
      </w:pPr>
      <w:r>
        <w:rPr>
          <w:rFonts w:hint="eastAsia" w:cs="Times New Roman"/>
          <w:sz w:val="28"/>
          <w:szCs w:val="28"/>
        </w:rPr>
        <w:t>主编单位：四川省建筑设计研究院有限公司</w:t>
      </w:r>
    </w:p>
    <w:p>
      <w:pPr>
        <w:tabs>
          <w:tab w:val="center" w:pos="4200"/>
          <w:tab w:val="right" w:pos="8400"/>
        </w:tabs>
        <w:spacing w:line="360" w:lineRule="auto"/>
        <w:ind w:firstLine="2800" w:firstLineChars="1000"/>
        <w:jc w:val="both"/>
        <w:rPr>
          <w:rFonts w:cs="Times New Roman"/>
          <w:sz w:val="28"/>
          <w:szCs w:val="28"/>
        </w:rPr>
      </w:pPr>
      <w:r>
        <w:rPr>
          <w:rFonts w:hint="eastAsia" w:cs="Times New Roman"/>
          <w:sz w:val="28"/>
          <w:szCs w:val="28"/>
          <w:lang w:eastAsia="zh-CN"/>
        </w:rPr>
        <w:t>西安建筑科技大学</w:t>
      </w:r>
    </w:p>
    <w:p>
      <w:pPr>
        <w:tabs>
          <w:tab w:val="center" w:pos="4200"/>
          <w:tab w:val="right" w:pos="8400"/>
        </w:tabs>
        <w:spacing w:line="360" w:lineRule="auto"/>
        <w:ind w:firstLine="1400" w:firstLineChars="500"/>
        <w:jc w:val="both"/>
        <w:rPr>
          <w:rFonts w:cs="Times New Roman"/>
          <w:sz w:val="28"/>
          <w:szCs w:val="28"/>
        </w:rPr>
      </w:pPr>
      <w:r>
        <w:rPr>
          <w:rFonts w:hint="eastAsia" w:cs="Times New Roman"/>
          <w:sz w:val="28"/>
          <w:szCs w:val="28"/>
        </w:rPr>
        <w:t>批准部门：四川省住房和城乡建设厅</w:t>
      </w:r>
    </w:p>
    <w:p>
      <w:pPr>
        <w:tabs>
          <w:tab w:val="center" w:pos="4200"/>
          <w:tab w:val="right" w:pos="8400"/>
        </w:tabs>
        <w:spacing w:line="360" w:lineRule="auto"/>
        <w:ind w:firstLine="1400" w:firstLineChars="500"/>
        <w:jc w:val="both"/>
        <w:rPr>
          <w:rFonts w:cs="Times New Roman"/>
          <w:sz w:val="28"/>
          <w:szCs w:val="28"/>
        </w:rPr>
      </w:pPr>
      <w:r>
        <w:rPr>
          <w:rFonts w:hint="eastAsia" w:cs="Times New Roman"/>
          <w:sz w:val="28"/>
          <w:szCs w:val="28"/>
        </w:rPr>
        <w:t>施行日期：XXXX年XX月XX日</w:t>
      </w:r>
    </w:p>
    <w:p>
      <w:pPr>
        <w:tabs>
          <w:tab w:val="center" w:pos="4200"/>
          <w:tab w:val="right" w:pos="8400"/>
        </w:tabs>
        <w:spacing w:before="440" w:line="360" w:lineRule="auto"/>
        <w:ind w:right="-2" w:firstLine="560" w:firstLineChars="200"/>
        <w:jc w:val="both"/>
        <w:rPr>
          <w:rFonts w:cs="Times New Roman"/>
          <w:sz w:val="28"/>
        </w:rPr>
      </w:pPr>
    </w:p>
    <w:p>
      <w:pPr>
        <w:widowControl/>
        <w:numPr>
          <w:ilvl w:val="0"/>
          <w:numId w:val="0"/>
        </w:numPr>
        <w:shd w:val="clear" w:color="FFFFFF" w:fill="FFFFFF"/>
        <w:tabs>
          <w:tab w:val="center" w:pos="4200"/>
          <w:tab w:val="right" w:pos="8400"/>
        </w:tabs>
        <w:spacing w:beforeLines="50" w:after="560" w:line="360" w:lineRule="auto"/>
        <w:ind w:right="-2"/>
        <w:jc w:val="center"/>
        <w:rPr>
          <w:rFonts w:ascii="Times New Roman" w:hAnsi="Times New Roman" w:eastAsia="宋体" w:cs="Times New Roman"/>
          <w:b w:val="0"/>
          <w:bCs/>
          <w:kern w:val="2"/>
          <w:sz w:val="36"/>
          <w:szCs w:val="36"/>
          <w:lang w:val="en-US" w:eastAsia="zh-CN" w:bidi="ar-SA"/>
        </w:rPr>
      </w:pPr>
      <w:bookmarkStart w:id="3" w:name="_Toc268531097"/>
      <w:r>
        <w:rPr>
          <w:rFonts w:ascii="Times New Roman" w:hAnsi="Times New Roman" w:eastAsia="宋体" w:cs="Times New Roman"/>
          <w:b w:val="0"/>
          <w:bCs/>
          <w:kern w:val="2"/>
          <w:sz w:val="36"/>
          <w:szCs w:val="36"/>
          <w:lang w:val="en-US" w:eastAsia="zh-CN" w:bidi="ar-SA"/>
        </w:rPr>
        <w:t>（</w:t>
      </w:r>
      <w:r>
        <w:rPr>
          <w:rFonts w:hint="eastAsia" w:cs="Times New Roman"/>
          <w:b w:val="0"/>
          <w:bCs/>
          <w:kern w:val="2"/>
          <w:sz w:val="36"/>
          <w:szCs w:val="36"/>
          <w:lang w:val="en-US" w:eastAsia="zh-CN" w:bidi="ar-SA"/>
        </w:rPr>
        <w:t>征求意见稿</w:t>
      </w:r>
      <w:r>
        <w:rPr>
          <w:rFonts w:ascii="Times New Roman" w:hAnsi="Times New Roman" w:eastAsia="宋体" w:cs="Times New Roman"/>
          <w:b w:val="0"/>
          <w:bCs/>
          <w:kern w:val="2"/>
          <w:sz w:val="36"/>
          <w:szCs w:val="36"/>
          <w:lang w:val="en-US" w:eastAsia="zh-CN" w:bidi="ar-SA"/>
        </w:rPr>
        <w:t>）</w:t>
      </w:r>
      <w:bookmarkEnd w:id="3"/>
    </w:p>
    <w:p>
      <w:pPr>
        <w:keepNext w:val="0"/>
        <w:keepLines w:val="0"/>
        <w:pageBreakBefore w:val="0"/>
        <w:widowControl/>
        <w:numPr>
          <w:ilvl w:val="0"/>
          <w:numId w:val="0"/>
        </w:numPr>
        <w:shd w:val="clear" w:color="FFFFFF" w:fill="FFFFFF"/>
        <w:tabs>
          <w:tab w:val="center" w:pos="4200"/>
          <w:tab w:val="right" w:pos="8400"/>
        </w:tabs>
        <w:kinsoku/>
        <w:wordWrap/>
        <w:overflowPunct/>
        <w:topLinePunct w:val="0"/>
        <w:autoSpaceDE/>
        <w:autoSpaceDN/>
        <w:bidi w:val="0"/>
        <w:adjustRightInd/>
        <w:snapToGrid/>
        <w:spacing w:beforeLines="50" w:after="200" w:line="360" w:lineRule="auto"/>
        <w:ind w:right="0"/>
        <w:jc w:val="center"/>
        <w:textAlignment w:val="auto"/>
        <w:rPr>
          <w:rFonts w:ascii="Times New Roman" w:hAnsi="Times New Roman" w:eastAsia="宋体" w:cs="Times New Roman"/>
          <w:kern w:val="2"/>
          <w:sz w:val="30"/>
          <w:szCs w:val="30"/>
          <w:lang w:val="en-US" w:eastAsia="zh-CN" w:bidi="ar-SA"/>
        </w:rPr>
      </w:pPr>
      <w:r>
        <w:rPr>
          <w:rFonts w:hint="eastAsia" w:ascii="Times New Roman" w:hAnsi="Times New Roman" w:eastAsia="宋体" w:cs="Times New Roman"/>
          <w:kern w:val="2"/>
          <w:sz w:val="30"/>
          <w:szCs w:val="30"/>
          <w:lang w:val="en-US" w:eastAsia="zh-CN" w:bidi="ar-SA"/>
        </w:rPr>
        <w:t>西南交通大学出版社</w:t>
      </w:r>
    </w:p>
    <w:p>
      <w:pPr>
        <w:jc w:val="center"/>
        <w:rPr>
          <w:rFonts w:cs="Times New Roman"/>
          <w:sz w:val="30"/>
          <w:szCs w:val="30"/>
        </w:rPr>
      </w:pPr>
      <w:bookmarkStart w:id="4" w:name="_Toc261595538"/>
      <w:bookmarkStart w:id="5" w:name="_Toc262026332"/>
      <w:bookmarkStart w:id="6" w:name="_Toc262026161"/>
      <w:bookmarkStart w:id="7" w:name="_Toc261276416"/>
      <w:bookmarkStart w:id="8" w:name="_Toc262025715"/>
      <w:bookmarkStart w:id="9" w:name="_Toc268531098"/>
      <w:bookmarkStart w:id="10" w:name="_Toc261597618"/>
      <w:bookmarkStart w:id="11" w:name="_Toc258945390"/>
      <w:r>
        <w:rPr>
          <w:rFonts w:hint="eastAsia" w:ascii="黑体" w:hAnsi="黑体" w:eastAsia="黑体" w:cs="黑体"/>
          <w:sz w:val="30"/>
          <w:szCs w:val="30"/>
        </w:rPr>
        <w:t>202</w:t>
      </w:r>
      <w:r>
        <w:rPr>
          <w:rFonts w:hint="eastAsia" w:ascii="黑体" w:hAnsi="黑体" w:eastAsia="黑体" w:cs="黑体"/>
          <w:sz w:val="30"/>
          <w:szCs w:val="30"/>
          <w:lang w:val="en-US" w:eastAsia="zh-CN"/>
        </w:rPr>
        <w:t>4</w:t>
      </w:r>
      <w:r>
        <w:rPr>
          <w:rFonts w:hint="eastAsia" w:ascii="黑体" w:hAnsi="黑体" w:eastAsia="黑体" w:cs="黑体"/>
          <w:sz w:val="30"/>
          <w:szCs w:val="30"/>
        </w:rPr>
        <w:t>-XX-XX</w:t>
      </w:r>
      <w:r>
        <w:rPr>
          <w:rFonts w:cs="Times New Roman"/>
          <w:sz w:val="30"/>
          <w:szCs w:val="30"/>
        </w:rPr>
        <w:t xml:space="preserve"> </w:t>
      </w:r>
      <w:bookmarkEnd w:id="4"/>
      <w:bookmarkEnd w:id="5"/>
      <w:bookmarkEnd w:id="6"/>
      <w:bookmarkEnd w:id="7"/>
      <w:bookmarkEnd w:id="8"/>
      <w:bookmarkEnd w:id="9"/>
      <w:bookmarkEnd w:id="10"/>
      <w:bookmarkEnd w:id="11"/>
      <w:r>
        <w:rPr>
          <w:rFonts w:hint="eastAsia" w:ascii="黑体" w:hAnsi="黑体" w:eastAsia="黑体" w:cs="黑体"/>
          <w:sz w:val="30"/>
          <w:szCs w:val="30"/>
        </w:rPr>
        <w:t>成都</w:t>
      </w:r>
    </w:p>
    <w:p>
      <w:pPr>
        <w:spacing w:line="360" w:lineRule="auto"/>
        <w:jc w:val="center"/>
        <w:rPr>
          <w:rFonts w:cs="Times New Roman"/>
          <w:b/>
          <w:kern w:val="0"/>
          <w:sz w:val="32"/>
          <w:szCs w:val="32"/>
        </w:rPr>
        <w:sectPr>
          <w:footerReference r:id="rId4" w:type="default"/>
          <w:pgSz w:w="11906" w:h="16838"/>
          <w:pgMar w:top="1440" w:right="1800" w:bottom="1440" w:left="1800" w:header="851" w:footer="992" w:gutter="0"/>
          <w:pgNumType w:fmt="decimal" w:start="1"/>
          <w:cols w:space="425" w:num="1"/>
          <w:docGrid w:type="lines" w:linePitch="312" w:charSpace="0"/>
        </w:sectPr>
      </w:pPr>
    </w:p>
    <w:p>
      <w:pPr>
        <w:spacing w:line="360" w:lineRule="auto"/>
        <w:jc w:val="center"/>
        <w:rPr>
          <w:rFonts w:cs="Times New Roman"/>
          <w:b/>
          <w:kern w:val="0"/>
          <w:sz w:val="32"/>
          <w:szCs w:val="32"/>
        </w:rPr>
      </w:pPr>
      <w:r>
        <w:rPr>
          <w:rFonts w:cs="Times New Roman"/>
          <w:b/>
          <w:kern w:val="0"/>
          <w:sz w:val="32"/>
          <w:szCs w:val="32"/>
        </w:rPr>
        <w:t>前</w:t>
      </w:r>
      <w:r>
        <w:rPr>
          <w:rFonts w:hint="eastAsia" w:cs="Times New Roman"/>
          <w:b/>
          <w:kern w:val="0"/>
          <w:sz w:val="32"/>
          <w:szCs w:val="32"/>
          <w:lang w:val="en-US" w:eastAsia="zh-CN"/>
        </w:rPr>
        <w:t xml:space="preserve"> </w:t>
      </w:r>
      <w:r>
        <w:rPr>
          <w:rFonts w:cs="Times New Roman"/>
          <w:b/>
          <w:kern w:val="0"/>
          <w:sz w:val="32"/>
          <w:szCs w:val="32"/>
        </w:rPr>
        <w:t>言</w:t>
      </w:r>
    </w:p>
    <w:p>
      <w:pPr>
        <w:spacing w:line="360" w:lineRule="auto"/>
        <w:jc w:val="center"/>
        <w:rPr>
          <w:rFonts w:cs="Times New Roman"/>
          <w:b/>
          <w:kern w:val="0"/>
          <w:sz w:val="32"/>
          <w:szCs w:val="32"/>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cs="Times New Roman"/>
          <w:sz w:val="21"/>
          <w:szCs w:val="22"/>
        </w:rPr>
      </w:pPr>
      <w:r>
        <w:rPr>
          <w:rFonts w:cs="Times New Roman"/>
          <w:sz w:val="21"/>
          <w:szCs w:val="22"/>
        </w:rPr>
        <w:t>本标准是根据</w:t>
      </w:r>
      <w:r>
        <w:rPr>
          <w:rFonts w:hint="eastAsia" w:cs="Times New Roman"/>
          <w:sz w:val="21"/>
          <w:szCs w:val="22"/>
        </w:rPr>
        <w:t>《四川省住房和城乡建设厅关于下达工程建设地方标准计划的通知》（川建标函〔2021〕718号）</w:t>
      </w:r>
      <w:r>
        <w:rPr>
          <w:rFonts w:cs="Times New Roman"/>
          <w:sz w:val="21"/>
          <w:szCs w:val="22"/>
        </w:rPr>
        <w:t>的要求，由四川省建筑设计研究院有限公司</w:t>
      </w:r>
      <w:r>
        <w:rPr>
          <w:rFonts w:hint="eastAsia" w:cs="Times New Roman"/>
          <w:sz w:val="21"/>
          <w:szCs w:val="22"/>
        </w:rPr>
        <w:t>和</w:t>
      </w:r>
      <w:r>
        <w:rPr>
          <w:rFonts w:hint="eastAsia" w:cs="Times New Roman"/>
          <w:sz w:val="21"/>
          <w:szCs w:val="22"/>
          <w:lang w:eastAsia="zh-CN"/>
        </w:rPr>
        <w:t>西安建筑科技大学</w:t>
      </w:r>
      <w:r>
        <w:rPr>
          <w:rFonts w:cs="Times New Roman"/>
          <w:sz w:val="21"/>
          <w:szCs w:val="22"/>
        </w:rPr>
        <w:t>会同有关单位</w:t>
      </w:r>
      <w:r>
        <w:rPr>
          <w:rFonts w:hint="eastAsia" w:cs="Times New Roman"/>
          <w:sz w:val="21"/>
          <w:szCs w:val="22"/>
        </w:rPr>
        <w:t>共同</w:t>
      </w:r>
      <w:r>
        <w:rPr>
          <w:rFonts w:cs="Times New Roman"/>
          <w:sz w:val="21"/>
          <w:szCs w:val="22"/>
        </w:rPr>
        <w:t>编</w:t>
      </w:r>
      <w:r>
        <w:rPr>
          <w:rFonts w:hint="eastAsia" w:cs="Times New Roman"/>
          <w:sz w:val="21"/>
          <w:szCs w:val="22"/>
        </w:rPr>
        <w:t>制</w:t>
      </w:r>
      <w:r>
        <w:rPr>
          <w:rFonts w:cs="Times New Roman"/>
          <w:sz w:val="21"/>
          <w:szCs w:val="22"/>
        </w:rPr>
        <w:t>完成。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cs="Times New Roman"/>
          <w:sz w:val="21"/>
          <w:szCs w:val="22"/>
        </w:rPr>
      </w:pPr>
      <w:r>
        <w:rPr>
          <w:rFonts w:cs="Times New Roman"/>
          <w:sz w:val="21"/>
          <w:szCs w:val="22"/>
        </w:rPr>
        <w:t>标准编制组</w:t>
      </w:r>
      <w:r>
        <w:rPr>
          <w:rFonts w:hint="eastAsia" w:cs="Times New Roman"/>
          <w:sz w:val="21"/>
          <w:szCs w:val="22"/>
        </w:rPr>
        <w:t>经过</w:t>
      </w:r>
      <w:r>
        <w:rPr>
          <w:rFonts w:cs="Times New Roman"/>
          <w:sz w:val="21"/>
          <w:szCs w:val="22"/>
        </w:rPr>
        <w:t>广泛的调查研究，参考了省内外相关技术资料，总结了近年来四川省</w:t>
      </w:r>
      <w:r>
        <w:rPr>
          <w:rFonts w:hint="eastAsia" w:cs="Times New Roman"/>
          <w:sz w:val="21"/>
          <w:szCs w:val="22"/>
          <w:lang w:eastAsia="zh-CN"/>
        </w:rPr>
        <w:t>高延性混凝土加固工程</w:t>
      </w:r>
      <w:r>
        <w:rPr>
          <w:rFonts w:cs="Times New Roman"/>
          <w:sz w:val="21"/>
          <w:szCs w:val="22"/>
        </w:rPr>
        <w:t>的实践经验，并在广泛征求意见的基础上，完成本标准的编制。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cs="Times New Roman"/>
          <w:sz w:val="21"/>
          <w:szCs w:val="22"/>
        </w:rPr>
      </w:pPr>
      <w:r>
        <w:rPr>
          <w:rFonts w:cs="Times New Roman"/>
          <w:sz w:val="21"/>
          <w:szCs w:val="22"/>
        </w:rPr>
        <w:t>本标准共分为</w:t>
      </w:r>
      <w:r>
        <w:rPr>
          <w:rFonts w:hint="eastAsia" w:cs="Times New Roman"/>
          <w:sz w:val="21"/>
          <w:szCs w:val="22"/>
          <w:lang w:val="en-US" w:eastAsia="zh-CN"/>
        </w:rPr>
        <w:t>7</w:t>
      </w:r>
      <w:r>
        <w:rPr>
          <w:rFonts w:cs="Times New Roman"/>
          <w:sz w:val="21"/>
          <w:szCs w:val="22"/>
        </w:rPr>
        <w:t>章，主要技术内容包括：</w:t>
      </w:r>
      <w:r>
        <w:rPr>
          <w:rFonts w:hint="eastAsia" w:cs="Times New Roman"/>
          <w:sz w:val="21"/>
          <w:szCs w:val="22"/>
        </w:rPr>
        <w:t xml:space="preserve">1 </w:t>
      </w:r>
      <w:r>
        <w:rPr>
          <w:rFonts w:cs="Times New Roman"/>
          <w:sz w:val="21"/>
          <w:szCs w:val="22"/>
        </w:rPr>
        <w:t>总则</w:t>
      </w:r>
      <w:r>
        <w:rPr>
          <w:rFonts w:hint="eastAsia" w:cs="Times New Roman"/>
          <w:sz w:val="21"/>
          <w:szCs w:val="22"/>
        </w:rPr>
        <w:t xml:space="preserve">；2 </w:t>
      </w:r>
      <w:r>
        <w:rPr>
          <w:rFonts w:cs="Times New Roman"/>
          <w:sz w:val="21"/>
          <w:szCs w:val="22"/>
        </w:rPr>
        <w:t>术语和符号</w:t>
      </w:r>
      <w:r>
        <w:rPr>
          <w:rFonts w:hint="eastAsia" w:cs="Times New Roman"/>
          <w:sz w:val="21"/>
          <w:szCs w:val="22"/>
        </w:rPr>
        <w:t xml:space="preserve">；3 </w:t>
      </w:r>
      <w:r>
        <w:rPr>
          <w:rFonts w:hint="eastAsia" w:cs="Times New Roman"/>
          <w:sz w:val="21"/>
          <w:szCs w:val="22"/>
          <w:lang w:eastAsia="zh-CN"/>
        </w:rPr>
        <w:t>基本规定</w:t>
      </w:r>
      <w:r>
        <w:rPr>
          <w:rFonts w:hint="eastAsia" w:cs="Times New Roman"/>
          <w:sz w:val="21"/>
          <w:szCs w:val="22"/>
        </w:rPr>
        <w:t>；4</w:t>
      </w:r>
      <w:r>
        <w:rPr>
          <w:rFonts w:hint="eastAsia" w:cs="Times New Roman"/>
          <w:sz w:val="21"/>
          <w:szCs w:val="22"/>
          <w:lang w:eastAsia="zh-CN"/>
        </w:rPr>
        <w:t>高延性混凝土材料；</w:t>
      </w:r>
      <w:r>
        <w:rPr>
          <w:rFonts w:hint="eastAsia" w:cs="Times New Roman"/>
          <w:sz w:val="21"/>
          <w:szCs w:val="22"/>
        </w:rPr>
        <w:t xml:space="preserve">5 </w:t>
      </w:r>
      <w:r>
        <w:rPr>
          <w:rFonts w:hint="eastAsia" w:cs="Times New Roman"/>
          <w:sz w:val="21"/>
          <w:szCs w:val="22"/>
          <w:lang w:eastAsia="zh-CN"/>
        </w:rPr>
        <w:t>砌体结构加固设计</w:t>
      </w:r>
      <w:r>
        <w:rPr>
          <w:rFonts w:hint="eastAsia" w:cs="Times New Roman"/>
          <w:sz w:val="21"/>
          <w:szCs w:val="22"/>
        </w:rPr>
        <w:t xml:space="preserve">；6 </w:t>
      </w:r>
      <w:r>
        <w:rPr>
          <w:rFonts w:hint="eastAsia" w:cs="Times New Roman"/>
          <w:sz w:val="21"/>
          <w:szCs w:val="22"/>
          <w:lang w:eastAsia="zh-CN"/>
        </w:rPr>
        <w:t>施工；</w:t>
      </w:r>
      <w:r>
        <w:rPr>
          <w:rFonts w:hint="eastAsia" w:cs="Times New Roman"/>
          <w:sz w:val="21"/>
          <w:szCs w:val="22"/>
          <w:lang w:val="en-US" w:eastAsia="zh-CN"/>
        </w:rPr>
        <w:t>7质量验收</w:t>
      </w:r>
      <w:r>
        <w:rPr>
          <w:rFonts w:cs="Times New Roman"/>
          <w:sz w:val="21"/>
          <w:szCs w:val="22"/>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cs="Times New Roman"/>
          <w:sz w:val="21"/>
          <w:szCs w:val="22"/>
        </w:rPr>
      </w:pPr>
      <w:r>
        <w:rPr>
          <w:rFonts w:cs="Times New Roman"/>
          <w:sz w:val="21"/>
          <w:szCs w:val="22"/>
        </w:rPr>
        <w:t>本标准由四川省住房和城乡建设厅负责管理，由四川省建筑设计研究院有限公司负责具体技术内容的解释。执行过程中如有意见或建议，请</w:t>
      </w:r>
      <w:r>
        <w:rPr>
          <w:rFonts w:hint="eastAsia" w:cs="Times New Roman"/>
          <w:sz w:val="21"/>
          <w:szCs w:val="22"/>
        </w:rPr>
        <w:t>反馈</w:t>
      </w:r>
      <w:r>
        <w:rPr>
          <w:rFonts w:cs="Times New Roman"/>
          <w:sz w:val="21"/>
          <w:szCs w:val="22"/>
        </w:rPr>
        <w:t>至四川省建筑设计研究院有限公司（地址：成都市天府大道中段688号大源国际中心1栋</w:t>
      </w:r>
      <w:r>
        <w:rPr>
          <w:rFonts w:hint="eastAsia" w:cs="Times New Roman"/>
          <w:sz w:val="21"/>
          <w:szCs w:val="22"/>
        </w:rPr>
        <w:t>，</w:t>
      </w:r>
      <w:r>
        <w:rPr>
          <w:rFonts w:cs="Times New Roman"/>
          <w:sz w:val="21"/>
          <w:szCs w:val="22"/>
        </w:rPr>
        <w:t>邮政编码：610017</w:t>
      </w:r>
      <w:r>
        <w:rPr>
          <w:rFonts w:hint="eastAsia" w:cs="Times New Roman"/>
          <w:sz w:val="21"/>
          <w:szCs w:val="22"/>
        </w:rPr>
        <w:t>，E-mail：sadi_jsfzb@163.com</w:t>
      </w:r>
      <w:r>
        <w:rPr>
          <w:rFonts w:hint="eastAsia" w:eastAsia="宋体"/>
          <w:sz w:val="24"/>
          <w:szCs w:val="24"/>
          <w:lang w:eastAsia="zh-CN"/>
        </w:rPr>
        <w:t>，</w:t>
      </w:r>
      <w:r>
        <w:rPr>
          <w:rFonts w:hint="eastAsia" w:cs="Times New Roman"/>
          <w:sz w:val="21"/>
          <w:szCs w:val="22"/>
          <w:lang w:eastAsia="zh-CN"/>
        </w:rPr>
        <w:t>电话</w:t>
      </w:r>
      <w:r>
        <w:rPr>
          <w:rFonts w:hint="eastAsia" w:cs="Times New Roman"/>
          <w:sz w:val="21"/>
          <w:szCs w:val="22"/>
          <w:lang w:val="en-US" w:eastAsia="zh-CN"/>
        </w:rPr>
        <w:t>028-86933790</w:t>
      </w:r>
      <w:r>
        <w:rPr>
          <w:rFonts w:cs="Times New Roman"/>
          <w:sz w:val="21"/>
          <w:szCs w:val="22"/>
        </w:rPr>
        <w:t>）。</w:t>
      </w:r>
    </w:p>
    <w:p>
      <w:pPr>
        <w:spacing w:line="360" w:lineRule="auto"/>
        <w:ind w:firstLine="366" w:firstLineChars="150"/>
        <w:jc w:val="both"/>
        <w:rPr>
          <w:rFonts w:cs="Times New Roman"/>
          <w:sz w:val="21"/>
          <w:szCs w:val="22"/>
        </w:rPr>
      </w:pPr>
      <w:r>
        <w:rPr>
          <w:rFonts w:cs="Times New Roman"/>
          <w:spacing w:val="17"/>
          <w:sz w:val="21"/>
          <w:szCs w:val="22"/>
        </w:rPr>
        <w:t>主编单位：</w:t>
      </w:r>
      <w:r>
        <w:rPr>
          <w:rFonts w:hint="eastAsia" w:cs="Times New Roman"/>
          <w:sz w:val="21"/>
          <w:szCs w:val="22"/>
        </w:rPr>
        <w:t>四川省建筑设计研究院有限公司</w:t>
      </w:r>
    </w:p>
    <w:p>
      <w:pPr>
        <w:spacing w:line="360" w:lineRule="auto"/>
        <w:ind w:firstLine="1575" w:firstLineChars="750"/>
        <w:jc w:val="both"/>
        <w:rPr>
          <w:rFonts w:hint="eastAsia" w:cs="Times New Roman"/>
          <w:sz w:val="21"/>
          <w:szCs w:val="22"/>
          <w:lang w:eastAsia="zh-CN"/>
        </w:rPr>
      </w:pPr>
      <w:r>
        <w:rPr>
          <w:rFonts w:hint="eastAsia" w:cs="Times New Roman"/>
          <w:sz w:val="21"/>
          <w:szCs w:val="22"/>
          <w:lang w:eastAsia="zh-CN"/>
        </w:rPr>
        <w:t>西安建筑科技大学</w:t>
      </w:r>
    </w:p>
    <w:p>
      <w:pPr>
        <w:spacing w:line="360" w:lineRule="auto"/>
        <w:ind w:firstLine="366" w:firstLineChars="150"/>
        <w:jc w:val="both"/>
        <w:rPr>
          <w:rFonts w:hint="eastAsia" w:cs="Times New Roman"/>
          <w:spacing w:val="17"/>
          <w:sz w:val="21"/>
          <w:szCs w:val="22"/>
          <w:lang w:eastAsia="zh-CN"/>
        </w:rPr>
      </w:pPr>
      <w:r>
        <w:rPr>
          <w:rFonts w:cs="Times New Roman"/>
          <w:spacing w:val="17"/>
          <w:sz w:val="21"/>
          <w:szCs w:val="22"/>
        </w:rPr>
        <w:t>参编单位：</w:t>
      </w:r>
      <w:r>
        <w:rPr>
          <w:rFonts w:hint="eastAsia" w:cs="Times New Roman"/>
          <w:sz w:val="21"/>
          <w:szCs w:val="22"/>
          <w:lang w:val="en-US" w:eastAsia="zh-CN"/>
        </w:rPr>
        <w:t>西安五和新材料科技集团股份有限公司</w:t>
      </w:r>
      <w:bookmarkStart w:id="1851" w:name="_GoBack"/>
      <w:bookmarkEnd w:id="1851"/>
    </w:p>
    <w:p>
      <w:pPr>
        <w:spacing w:line="360" w:lineRule="auto"/>
        <w:ind w:firstLine="1575" w:firstLineChars="750"/>
        <w:jc w:val="both"/>
        <w:rPr>
          <w:rFonts w:hint="eastAsia" w:cs="Times New Roman"/>
          <w:sz w:val="21"/>
          <w:szCs w:val="22"/>
          <w:lang w:eastAsia="zh-CN"/>
        </w:rPr>
      </w:pPr>
      <w:r>
        <w:rPr>
          <w:rFonts w:hint="eastAsia" w:cs="Times New Roman"/>
          <w:sz w:val="21"/>
          <w:szCs w:val="22"/>
          <w:lang w:eastAsia="zh-CN"/>
        </w:rPr>
        <w:t>西南交通大学</w:t>
      </w:r>
    </w:p>
    <w:p>
      <w:pPr>
        <w:spacing w:line="360" w:lineRule="auto"/>
        <w:ind w:firstLine="1575" w:firstLineChars="750"/>
        <w:jc w:val="both"/>
        <w:rPr>
          <w:rFonts w:hint="eastAsia" w:ascii="Times New Roman" w:hAnsi="Times New Roman" w:cs="Times New Roman"/>
          <w:sz w:val="21"/>
          <w:szCs w:val="22"/>
          <w:lang w:eastAsia="zh-CN"/>
        </w:rPr>
      </w:pPr>
      <w:r>
        <w:rPr>
          <w:rFonts w:hint="eastAsia" w:ascii="Times New Roman" w:hAnsi="Times New Roman" w:cs="Times New Roman"/>
          <w:sz w:val="21"/>
          <w:szCs w:val="22"/>
          <w:lang w:eastAsia="zh-CN"/>
        </w:rPr>
        <w:t>西南科技大学</w:t>
      </w:r>
    </w:p>
    <w:p>
      <w:pPr>
        <w:spacing w:line="360" w:lineRule="auto"/>
        <w:ind w:firstLine="1575" w:firstLineChars="750"/>
        <w:jc w:val="both"/>
        <w:rPr>
          <w:rFonts w:hint="eastAsia" w:ascii="Times New Roman" w:hAnsi="Times New Roman" w:cs="Times New Roman"/>
          <w:sz w:val="21"/>
          <w:szCs w:val="22"/>
          <w:lang w:eastAsia="zh-CN"/>
        </w:rPr>
      </w:pPr>
      <w:r>
        <w:rPr>
          <w:rFonts w:hint="eastAsia" w:ascii="Times New Roman" w:hAnsi="Times New Roman" w:cs="Times New Roman"/>
          <w:sz w:val="21"/>
          <w:szCs w:val="22"/>
          <w:lang w:eastAsia="zh-CN"/>
        </w:rPr>
        <w:t>成都建工工业化建筑有限公司</w:t>
      </w:r>
    </w:p>
    <w:p>
      <w:pPr>
        <w:spacing w:line="360" w:lineRule="auto"/>
        <w:ind w:firstLine="1575" w:firstLineChars="750"/>
        <w:jc w:val="both"/>
        <w:rPr>
          <w:rFonts w:hint="eastAsia" w:ascii="Times New Roman" w:hAnsi="Times New Roman" w:cs="Times New Roman"/>
          <w:sz w:val="21"/>
          <w:szCs w:val="22"/>
          <w:lang w:eastAsia="zh-CN"/>
        </w:rPr>
      </w:pPr>
      <w:r>
        <w:rPr>
          <w:rFonts w:hint="eastAsia" w:ascii="Times New Roman" w:hAnsi="Times New Roman" w:cs="Times New Roman"/>
          <w:sz w:val="21"/>
          <w:szCs w:val="22"/>
          <w:lang w:eastAsia="zh-CN"/>
        </w:rPr>
        <w:t>成都市建设工程质量监督站</w:t>
      </w:r>
    </w:p>
    <w:p>
      <w:pPr>
        <w:spacing w:line="360" w:lineRule="auto"/>
        <w:ind w:firstLine="1575" w:firstLineChars="750"/>
        <w:jc w:val="both"/>
        <w:rPr>
          <w:rFonts w:hint="eastAsia" w:ascii="Times New Roman" w:hAnsi="Times New Roman" w:cs="Times New Roman"/>
          <w:sz w:val="21"/>
          <w:szCs w:val="22"/>
          <w:lang w:eastAsia="zh-CN"/>
        </w:rPr>
      </w:pPr>
      <w:r>
        <w:rPr>
          <w:rFonts w:hint="eastAsia" w:ascii="Times New Roman" w:hAnsi="Times New Roman" w:cs="Times New Roman"/>
          <w:sz w:val="21"/>
          <w:szCs w:val="22"/>
          <w:lang w:eastAsia="zh-CN"/>
        </w:rPr>
        <w:t>核工业西南勘察设计研究院有限公司</w:t>
      </w:r>
    </w:p>
    <w:p>
      <w:pPr>
        <w:spacing w:line="360" w:lineRule="auto"/>
        <w:ind w:firstLine="1575" w:firstLineChars="750"/>
        <w:jc w:val="both"/>
        <w:rPr>
          <w:rFonts w:hint="eastAsia" w:ascii="Times New Roman" w:hAnsi="Times New Roman" w:cs="Times New Roman"/>
          <w:sz w:val="21"/>
          <w:szCs w:val="22"/>
          <w:lang w:eastAsia="zh-CN"/>
        </w:rPr>
      </w:pPr>
      <w:r>
        <w:rPr>
          <w:rFonts w:hint="eastAsia" w:ascii="Times New Roman" w:hAnsi="Times New Roman" w:cs="Times New Roman"/>
          <w:sz w:val="21"/>
          <w:szCs w:val="22"/>
          <w:lang w:eastAsia="zh-CN"/>
        </w:rPr>
        <w:t>成都城投城建科技有限公司</w:t>
      </w:r>
    </w:p>
    <w:p>
      <w:pPr>
        <w:spacing w:line="360" w:lineRule="auto"/>
        <w:ind w:firstLine="420" w:firstLineChars="200"/>
        <w:jc w:val="both"/>
        <w:rPr>
          <w:rFonts w:hint="default" w:ascii="Times New Roman" w:hAnsi="Times New Roman" w:cs="Times New Roman"/>
          <w:sz w:val="21"/>
          <w:szCs w:val="22"/>
          <w:lang w:val="en-US" w:eastAsia="zh-CN"/>
        </w:rPr>
      </w:pPr>
      <w:r>
        <w:rPr>
          <w:rFonts w:hint="eastAsia" w:cs="Times New Roman"/>
          <w:sz w:val="21"/>
          <w:szCs w:val="22"/>
          <w:lang w:val="en-US" w:eastAsia="zh-CN"/>
        </w:rPr>
        <w:t xml:space="preserve">           </w:t>
      </w:r>
      <w:r>
        <w:rPr>
          <w:rFonts w:hint="eastAsia" w:ascii="Times New Roman" w:hAnsi="Times New Roman" w:cs="Times New Roman"/>
          <w:sz w:val="21"/>
          <w:szCs w:val="22"/>
          <w:lang w:val="en-US" w:eastAsia="zh-CN"/>
        </w:rPr>
        <w:t>成都市建筑设计研究院有限公司</w:t>
      </w:r>
    </w:p>
    <w:p>
      <w:pPr>
        <w:spacing w:line="360" w:lineRule="auto"/>
        <w:ind w:firstLine="420" w:firstLineChars="200"/>
        <w:jc w:val="both"/>
        <w:rPr>
          <w:rFonts w:hint="default" w:eastAsia="宋体" w:cs="Times New Roman"/>
          <w:sz w:val="21"/>
          <w:szCs w:val="22"/>
          <w:lang w:val="en-US" w:eastAsia="zh-CN"/>
        </w:rPr>
      </w:pPr>
      <w:r>
        <w:rPr>
          <w:rFonts w:cs="Times New Roman"/>
          <w:sz w:val="21"/>
          <w:szCs w:val="22"/>
        </w:rPr>
        <w:t>主要起草人：</w:t>
      </w:r>
      <w:r>
        <w:rPr>
          <w:rFonts w:hint="eastAsia" w:cs="Times New Roman"/>
          <w:sz w:val="21"/>
          <w:szCs w:val="22"/>
          <w:lang w:val="en-US" w:eastAsia="zh-CN"/>
        </w:rPr>
        <w:t xml:space="preserve"> </w:t>
      </w:r>
    </w:p>
    <w:p>
      <w:pPr>
        <w:widowControl/>
        <w:snapToGrid w:val="0"/>
        <w:spacing w:line="360" w:lineRule="auto"/>
        <w:ind w:firstLine="420" w:firstLineChars="200"/>
        <w:jc w:val="both"/>
        <w:rPr>
          <w:rFonts w:hint="eastAsia" w:eastAsia="宋体"/>
          <w:b/>
          <w:sz w:val="32"/>
          <w:szCs w:val="28"/>
          <w:lang w:eastAsia="zh-CN"/>
        </w:rPr>
        <w:sectPr>
          <w:footerReference r:id="rId5" w:type="default"/>
          <w:pgSz w:w="11906" w:h="16838"/>
          <w:pgMar w:top="1440" w:right="1800" w:bottom="1440" w:left="1800" w:header="851" w:footer="992" w:gutter="0"/>
          <w:pgNumType w:fmt="decimal" w:start="1"/>
          <w:cols w:space="425" w:num="1"/>
          <w:docGrid w:type="lines" w:linePitch="312" w:charSpace="0"/>
        </w:sectPr>
      </w:pPr>
      <w:r>
        <w:rPr>
          <w:rFonts w:cs="Times New Roman"/>
          <w:sz w:val="21"/>
          <w:szCs w:val="22"/>
        </w:rPr>
        <w:t>主要审查人</w:t>
      </w:r>
      <w:r>
        <w:rPr>
          <w:rFonts w:hint="eastAsia" w:cs="Times New Roman"/>
          <w:sz w:val="21"/>
          <w:szCs w:val="22"/>
          <w:lang w:eastAsia="zh-CN"/>
        </w:rPr>
        <w:t>：</w:t>
      </w:r>
    </w:p>
    <w:bookmarkEnd w:id="0"/>
    <w:bookmarkEnd w:id="1"/>
    <w:p>
      <w:pPr>
        <w:pStyle w:val="149"/>
        <w:spacing w:line="320" w:lineRule="exact"/>
        <w:ind w:firstLine="0" w:firstLineChars="0"/>
        <w:jc w:val="center"/>
        <w:rPr>
          <w:rFonts w:eastAsia="黑体"/>
          <w:sz w:val="30"/>
          <w:szCs w:val="30"/>
          <w:highlight w:val="none"/>
        </w:rPr>
      </w:pPr>
      <w:r>
        <w:rPr>
          <w:rFonts w:eastAsia="黑体"/>
          <w:sz w:val="30"/>
          <w:szCs w:val="30"/>
          <w:highlight w:val="none"/>
        </w:rPr>
        <w:t>目  次</w:t>
      </w:r>
    </w:p>
    <w:p>
      <w:pPr>
        <w:pStyle w:val="149"/>
        <w:spacing w:line="320" w:lineRule="exact"/>
        <w:ind w:firstLine="0" w:firstLineChars="0"/>
        <w:jc w:val="center"/>
        <w:rPr>
          <w:rFonts w:eastAsia="黑体"/>
          <w:sz w:val="30"/>
          <w:szCs w:val="30"/>
          <w:highlight w:val="none"/>
        </w:rPr>
      </w:pPr>
    </w:p>
    <w:p>
      <w:pPr>
        <w:pStyle w:val="19"/>
        <w:tabs>
          <w:tab w:val="right" w:leader="dot" w:pos="8306"/>
        </w:tabs>
        <w:spacing w:line="312" w:lineRule="auto"/>
        <w:jc w:val="left"/>
        <w:rPr>
          <w:rFonts w:hint="eastAsia" w:ascii="Times New Roman" w:hAnsi="Times New Roman" w:cs="宋体"/>
          <w:sz w:val="24"/>
          <w:szCs w:val="24"/>
        </w:rPr>
      </w:pPr>
      <w:r>
        <w:rPr>
          <w:rFonts w:hint="eastAsia" w:ascii="Times New Roman" w:hAnsi="Times New Roman" w:cs="宋体"/>
          <w:sz w:val="24"/>
          <w:szCs w:val="24"/>
        </w:rPr>
        <w:fldChar w:fldCharType="begin"/>
      </w:r>
      <w:r>
        <w:rPr>
          <w:rFonts w:hint="eastAsia" w:ascii="Times New Roman" w:hAnsi="Times New Roman" w:cs="宋体"/>
          <w:sz w:val="24"/>
          <w:szCs w:val="24"/>
        </w:rPr>
        <w:instrText xml:space="preserve"> TOC \o "1-2" \h \z \u </w:instrText>
      </w:r>
      <w:r>
        <w:rPr>
          <w:rFonts w:hint="eastAsia" w:ascii="Times New Roman" w:hAnsi="Times New Roman" w:cs="宋体"/>
          <w:sz w:val="24"/>
          <w:szCs w:val="24"/>
        </w:rPr>
        <w:fldChar w:fldCharType="separate"/>
      </w:r>
      <w:r>
        <w:rPr>
          <w:rFonts w:hint="eastAsia" w:ascii="Times New Roman" w:hAnsi="Times New Roman" w:cs="宋体"/>
          <w:sz w:val="24"/>
          <w:szCs w:val="24"/>
        </w:rPr>
        <w:fldChar w:fldCharType="begin"/>
      </w:r>
      <w:r>
        <w:rPr>
          <w:rFonts w:hint="eastAsia" w:ascii="Times New Roman" w:hAnsi="Times New Roman" w:cs="宋体"/>
          <w:sz w:val="24"/>
          <w:szCs w:val="24"/>
        </w:rPr>
        <w:instrText xml:space="preserve"> HYPERLINK \l _Toc4448 </w:instrText>
      </w:r>
      <w:r>
        <w:rPr>
          <w:rFonts w:hint="eastAsia" w:ascii="Times New Roman" w:hAnsi="Times New Roman" w:cs="宋体"/>
          <w:sz w:val="24"/>
          <w:szCs w:val="24"/>
        </w:rPr>
        <w:fldChar w:fldCharType="separate"/>
      </w:r>
      <w:r>
        <w:rPr>
          <w:rFonts w:hint="eastAsia" w:ascii="Times New Roman" w:hAnsi="Times New Roman" w:cs="宋体"/>
          <w:sz w:val="24"/>
          <w:szCs w:val="24"/>
        </w:rPr>
        <w:t>1  总  则</w:t>
      </w:r>
      <w:r>
        <w:rPr>
          <w:rFonts w:hint="eastAsia" w:ascii="Times New Roman" w:hAnsi="Times New Roman" w:cs="宋体"/>
          <w:sz w:val="24"/>
          <w:szCs w:val="24"/>
        </w:rPr>
        <w:tab/>
      </w:r>
      <w:r>
        <w:rPr>
          <w:rFonts w:hint="eastAsia" w:ascii="Times New Roman" w:hAnsi="Times New Roman" w:cs="宋体"/>
          <w:sz w:val="24"/>
          <w:szCs w:val="24"/>
        </w:rPr>
        <w:fldChar w:fldCharType="begin"/>
      </w:r>
      <w:r>
        <w:rPr>
          <w:rFonts w:hint="eastAsia" w:ascii="Times New Roman" w:hAnsi="Times New Roman" w:cs="宋体"/>
          <w:sz w:val="24"/>
          <w:szCs w:val="24"/>
        </w:rPr>
        <w:instrText xml:space="preserve"> PAGEREF _Toc4448 \h </w:instrText>
      </w:r>
      <w:r>
        <w:rPr>
          <w:rFonts w:hint="eastAsia" w:ascii="Times New Roman" w:hAnsi="Times New Roman" w:cs="宋体"/>
          <w:sz w:val="24"/>
          <w:szCs w:val="24"/>
        </w:rPr>
        <w:fldChar w:fldCharType="separate"/>
      </w:r>
      <w:r>
        <w:rPr>
          <w:rFonts w:hint="eastAsia" w:ascii="Times New Roman" w:hAnsi="Times New Roman" w:cs="宋体"/>
          <w:sz w:val="24"/>
          <w:szCs w:val="24"/>
        </w:rPr>
        <w:t>2</w:t>
      </w:r>
      <w:r>
        <w:rPr>
          <w:rFonts w:hint="eastAsia" w:ascii="Times New Roman" w:hAnsi="Times New Roman" w:cs="宋体"/>
          <w:sz w:val="24"/>
          <w:szCs w:val="24"/>
        </w:rPr>
        <w:fldChar w:fldCharType="end"/>
      </w:r>
      <w:r>
        <w:rPr>
          <w:rFonts w:hint="eastAsia" w:ascii="Times New Roman" w:hAnsi="Times New Roman" w:cs="宋体"/>
          <w:sz w:val="24"/>
          <w:szCs w:val="24"/>
        </w:rPr>
        <w:fldChar w:fldCharType="end"/>
      </w:r>
    </w:p>
    <w:p>
      <w:pPr>
        <w:pStyle w:val="19"/>
        <w:tabs>
          <w:tab w:val="right" w:leader="dot" w:pos="8306"/>
        </w:tabs>
        <w:spacing w:line="312" w:lineRule="auto"/>
        <w:jc w:val="left"/>
        <w:rPr>
          <w:rFonts w:hint="eastAsia" w:ascii="Times New Roman" w:hAnsi="Times New Roman" w:cs="宋体"/>
          <w:sz w:val="24"/>
          <w:szCs w:val="24"/>
        </w:rPr>
      </w:pPr>
      <w:r>
        <w:rPr>
          <w:rFonts w:hint="eastAsia" w:ascii="Times New Roman" w:hAnsi="Times New Roman" w:cs="宋体"/>
          <w:sz w:val="24"/>
          <w:szCs w:val="24"/>
        </w:rPr>
        <w:fldChar w:fldCharType="begin"/>
      </w:r>
      <w:r>
        <w:rPr>
          <w:rFonts w:hint="eastAsia" w:ascii="Times New Roman" w:hAnsi="Times New Roman" w:cs="宋体"/>
          <w:sz w:val="24"/>
          <w:szCs w:val="24"/>
        </w:rPr>
        <w:instrText xml:space="preserve"> HYPERLINK \l _Toc32675 </w:instrText>
      </w:r>
      <w:r>
        <w:rPr>
          <w:rFonts w:hint="eastAsia" w:ascii="Times New Roman" w:hAnsi="Times New Roman" w:cs="宋体"/>
          <w:sz w:val="24"/>
          <w:szCs w:val="24"/>
        </w:rPr>
        <w:fldChar w:fldCharType="separate"/>
      </w:r>
      <w:r>
        <w:rPr>
          <w:rFonts w:hint="eastAsia" w:ascii="Times New Roman" w:hAnsi="Times New Roman" w:cs="宋体"/>
          <w:sz w:val="24"/>
          <w:szCs w:val="24"/>
        </w:rPr>
        <w:t>2  术语和符号</w:t>
      </w:r>
      <w:r>
        <w:rPr>
          <w:rFonts w:hint="eastAsia" w:ascii="Times New Roman" w:hAnsi="Times New Roman" w:cs="宋体"/>
          <w:sz w:val="24"/>
          <w:szCs w:val="24"/>
        </w:rPr>
        <w:tab/>
      </w:r>
      <w:r>
        <w:rPr>
          <w:rFonts w:hint="eastAsia" w:ascii="Times New Roman" w:hAnsi="Times New Roman" w:cs="宋体"/>
          <w:sz w:val="24"/>
          <w:szCs w:val="24"/>
        </w:rPr>
        <w:fldChar w:fldCharType="begin"/>
      </w:r>
      <w:r>
        <w:rPr>
          <w:rFonts w:hint="eastAsia" w:ascii="Times New Roman" w:hAnsi="Times New Roman" w:cs="宋体"/>
          <w:sz w:val="24"/>
          <w:szCs w:val="24"/>
        </w:rPr>
        <w:instrText xml:space="preserve"> PAGEREF _Toc32675 \h </w:instrText>
      </w:r>
      <w:r>
        <w:rPr>
          <w:rFonts w:hint="eastAsia" w:ascii="Times New Roman" w:hAnsi="Times New Roman" w:cs="宋体"/>
          <w:sz w:val="24"/>
          <w:szCs w:val="24"/>
        </w:rPr>
        <w:fldChar w:fldCharType="separate"/>
      </w:r>
      <w:r>
        <w:rPr>
          <w:rFonts w:hint="eastAsia" w:ascii="Times New Roman" w:hAnsi="Times New Roman" w:cs="宋体"/>
          <w:sz w:val="24"/>
          <w:szCs w:val="24"/>
        </w:rPr>
        <w:t>3</w:t>
      </w:r>
      <w:r>
        <w:rPr>
          <w:rFonts w:hint="eastAsia" w:ascii="Times New Roman" w:hAnsi="Times New Roman" w:cs="宋体"/>
          <w:sz w:val="24"/>
          <w:szCs w:val="24"/>
        </w:rPr>
        <w:fldChar w:fldCharType="end"/>
      </w:r>
      <w:r>
        <w:rPr>
          <w:rFonts w:hint="eastAsia" w:ascii="Times New Roman" w:hAnsi="Times New Roman" w:cs="宋体"/>
          <w:sz w:val="24"/>
          <w:szCs w:val="24"/>
        </w:rPr>
        <w:fldChar w:fldCharType="end"/>
      </w:r>
    </w:p>
    <w:p>
      <w:pPr>
        <w:pStyle w:val="19"/>
        <w:tabs>
          <w:tab w:val="right" w:leader="dot" w:pos="8306"/>
        </w:tabs>
        <w:spacing w:line="312" w:lineRule="auto"/>
        <w:ind w:firstLine="240" w:firstLineChars="100"/>
        <w:jc w:val="left"/>
        <w:rPr>
          <w:rFonts w:hint="eastAsia" w:ascii="Times New Roman" w:hAnsi="Times New Roman" w:cs="宋体"/>
          <w:sz w:val="24"/>
          <w:szCs w:val="24"/>
        </w:rPr>
      </w:pPr>
      <w:r>
        <w:rPr>
          <w:rFonts w:hint="eastAsia" w:ascii="Times New Roman" w:hAnsi="Times New Roman" w:cs="宋体"/>
          <w:sz w:val="24"/>
          <w:szCs w:val="24"/>
        </w:rPr>
        <w:fldChar w:fldCharType="begin"/>
      </w:r>
      <w:r>
        <w:rPr>
          <w:rFonts w:hint="eastAsia" w:ascii="Times New Roman" w:hAnsi="Times New Roman" w:cs="宋体"/>
          <w:sz w:val="24"/>
          <w:szCs w:val="24"/>
        </w:rPr>
        <w:instrText xml:space="preserve"> HYPERLINK \l _Toc19899 </w:instrText>
      </w:r>
      <w:r>
        <w:rPr>
          <w:rFonts w:hint="eastAsia" w:ascii="Times New Roman" w:hAnsi="Times New Roman" w:cs="宋体"/>
          <w:sz w:val="24"/>
          <w:szCs w:val="24"/>
        </w:rPr>
        <w:fldChar w:fldCharType="separate"/>
      </w:r>
      <w:r>
        <w:rPr>
          <w:rFonts w:hint="eastAsia" w:ascii="Times New Roman" w:hAnsi="Times New Roman" w:cs="宋体"/>
          <w:sz w:val="24"/>
          <w:szCs w:val="24"/>
        </w:rPr>
        <w:t>2.1  术语</w:t>
      </w:r>
      <w:r>
        <w:rPr>
          <w:rFonts w:hint="eastAsia" w:ascii="Times New Roman" w:hAnsi="Times New Roman" w:cs="宋体"/>
          <w:sz w:val="24"/>
          <w:szCs w:val="24"/>
        </w:rPr>
        <w:tab/>
      </w:r>
      <w:r>
        <w:rPr>
          <w:rFonts w:hint="eastAsia" w:ascii="Times New Roman" w:hAnsi="Times New Roman" w:cs="宋体"/>
          <w:sz w:val="24"/>
          <w:szCs w:val="24"/>
        </w:rPr>
        <w:fldChar w:fldCharType="begin"/>
      </w:r>
      <w:r>
        <w:rPr>
          <w:rFonts w:hint="eastAsia" w:ascii="Times New Roman" w:hAnsi="Times New Roman" w:cs="宋体"/>
          <w:sz w:val="24"/>
          <w:szCs w:val="24"/>
        </w:rPr>
        <w:instrText xml:space="preserve"> PAGEREF _Toc19899 \h </w:instrText>
      </w:r>
      <w:r>
        <w:rPr>
          <w:rFonts w:hint="eastAsia" w:ascii="Times New Roman" w:hAnsi="Times New Roman" w:cs="宋体"/>
          <w:sz w:val="24"/>
          <w:szCs w:val="24"/>
        </w:rPr>
        <w:fldChar w:fldCharType="separate"/>
      </w:r>
      <w:r>
        <w:rPr>
          <w:rFonts w:hint="eastAsia" w:ascii="Times New Roman" w:hAnsi="Times New Roman" w:cs="宋体"/>
          <w:sz w:val="24"/>
          <w:szCs w:val="24"/>
        </w:rPr>
        <w:t>3</w:t>
      </w:r>
      <w:r>
        <w:rPr>
          <w:rFonts w:hint="eastAsia" w:ascii="Times New Roman" w:hAnsi="Times New Roman" w:cs="宋体"/>
          <w:sz w:val="24"/>
          <w:szCs w:val="24"/>
        </w:rPr>
        <w:fldChar w:fldCharType="end"/>
      </w:r>
      <w:r>
        <w:rPr>
          <w:rFonts w:hint="eastAsia" w:ascii="Times New Roman" w:hAnsi="Times New Roman" w:cs="宋体"/>
          <w:sz w:val="24"/>
          <w:szCs w:val="24"/>
        </w:rPr>
        <w:fldChar w:fldCharType="end"/>
      </w:r>
    </w:p>
    <w:p>
      <w:pPr>
        <w:pStyle w:val="19"/>
        <w:tabs>
          <w:tab w:val="right" w:leader="dot" w:pos="8306"/>
        </w:tabs>
        <w:spacing w:line="312" w:lineRule="auto"/>
        <w:ind w:firstLine="240" w:firstLineChars="100"/>
        <w:jc w:val="left"/>
        <w:rPr>
          <w:rFonts w:hint="eastAsia" w:ascii="Times New Roman" w:hAnsi="Times New Roman" w:cs="宋体"/>
          <w:sz w:val="24"/>
          <w:szCs w:val="24"/>
        </w:rPr>
      </w:pPr>
      <w:r>
        <w:rPr>
          <w:rFonts w:hint="eastAsia" w:ascii="Times New Roman" w:hAnsi="Times New Roman" w:cs="宋体"/>
          <w:sz w:val="24"/>
          <w:szCs w:val="24"/>
        </w:rPr>
        <w:fldChar w:fldCharType="begin"/>
      </w:r>
      <w:r>
        <w:rPr>
          <w:rFonts w:hint="eastAsia" w:ascii="Times New Roman" w:hAnsi="Times New Roman" w:cs="宋体"/>
          <w:sz w:val="24"/>
          <w:szCs w:val="24"/>
        </w:rPr>
        <w:instrText xml:space="preserve"> HYPERLINK \l _Toc24444 </w:instrText>
      </w:r>
      <w:r>
        <w:rPr>
          <w:rFonts w:hint="eastAsia" w:ascii="Times New Roman" w:hAnsi="Times New Roman" w:cs="宋体"/>
          <w:sz w:val="24"/>
          <w:szCs w:val="24"/>
        </w:rPr>
        <w:fldChar w:fldCharType="separate"/>
      </w:r>
      <w:r>
        <w:rPr>
          <w:rFonts w:hint="eastAsia" w:ascii="Times New Roman" w:hAnsi="Times New Roman" w:cs="宋体"/>
          <w:sz w:val="24"/>
          <w:szCs w:val="24"/>
        </w:rPr>
        <w:t>2.2  符号</w:t>
      </w:r>
      <w:r>
        <w:rPr>
          <w:rFonts w:hint="eastAsia" w:ascii="Times New Roman" w:hAnsi="Times New Roman" w:cs="宋体"/>
          <w:sz w:val="24"/>
          <w:szCs w:val="24"/>
        </w:rPr>
        <w:tab/>
      </w:r>
      <w:r>
        <w:rPr>
          <w:rFonts w:hint="eastAsia" w:ascii="Times New Roman" w:hAnsi="Times New Roman" w:cs="宋体"/>
          <w:sz w:val="24"/>
          <w:szCs w:val="24"/>
        </w:rPr>
        <w:fldChar w:fldCharType="begin"/>
      </w:r>
      <w:r>
        <w:rPr>
          <w:rFonts w:hint="eastAsia" w:ascii="Times New Roman" w:hAnsi="Times New Roman" w:cs="宋体"/>
          <w:sz w:val="24"/>
          <w:szCs w:val="24"/>
        </w:rPr>
        <w:instrText xml:space="preserve"> PAGEREF _Toc24444 \h </w:instrText>
      </w:r>
      <w:r>
        <w:rPr>
          <w:rFonts w:hint="eastAsia" w:ascii="Times New Roman" w:hAnsi="Times New Roman" w:cs="宋体"/>
          <w:sz w:val="24"/>
          <w:szCs w:val="24"/>
        </w:rPr>
        <w:fldChar w:fldCharType="separate"/>
      </w:r>
      <w:r>
        <w:rPr>
          <w:rFonts w:hint="eastAsia" w:ascii="Times New Roman" w:hAnsi="Times New Roman" w:cs="宋体"/>
          <w:sz w:val="24"/>
          <w:szCs w:val="24"/>
        </w:rPr>
        <w:t>4</w:t>
      </w:r>
      <w:r>
        <w:rPr>
          <w:rFonts w:hint="eastAsia" w:ascii="Times New Roman" w:hAnsi="Times New Roman" w:cs="宋体"/>
          <w:sz w:val="24"/>
          <w:szCs w:val="24"/>
        </w:rPr>
        <w:fldChar w:fldCharType="end"/>
      </w:r>
      <w:r>
        <w:rPr>
          <w:rFonts w:hint="eastAsia" w:ascii="Times New Roman" w:hAnsi="Times New Roman" w:cs="宋体"/>
          <w:sz w:val="24"/>
          <w:szCs w:val="24"/>
        </w:rPr>
        <w:fldChar w:fldCharType="end"/>
      </w:r>
    </w:p>
    <w:p>
      <w:pPr>
        <w:pStyle w:val="19"/>
        <w:tabs>
          <w:tab w:val="right" w:leader="dot" w:pos="8306"/>
        </w:tabs>
        <w:spacing w:line="312" w:lineRule="auto"/>
        <w:jc w:val="left"/>
        <w:rPr>
          <w:rFonts w:hint="eastAsia" w:ascii="Times New Roman" w:hAnsi="Times New Roman" w:cs="宋体"/>
          <w:sz w:val="24"/>
          <w:szCs w:val="24"/>
        </w:rPr>
      </w:pPr>
      <w:r>
        <w:rPr>
          <w:rFonts w:hint="eastAsia" w:ascii="Times New Roman" w:hAnsi="Times New Roman" w:cs="宋体"/>
          <w:sz w:val="24"/>
          <w:szCs w:val="24"/>
        </w:rPr>
        <w:fldChar w:fldCharType="begin"/>
      </w:r>
      <w:r>
        <w:rPr>
          <w:rFonts w:hint="eastAsia" w:ascii="Times New Roman" w:hAnsi="Times New Roman" w:cs="宋体"/>
          <w:sz w:val="24"/>
          <w:szCs w:val="24"/>
        </w:rPr>
        <w:instrText xml:space="preserve"> HYPERLINK \l _Toc8716 </w:instrText>
      </w:r>
      <w:r>
        <w:rPr>
          <w:rFonts w:hint="eastAsia" w:ascii="Times New Roman" w:hAnsi="Times New Roman" w:cs="宋体"/>
          <w:sz w:val="24"/>
          <w:szCs w:val="24"/>
        </w:rPr>
        <w:fldChar w:fldCharType="separate"/>
      </w:r>
      <w:r>
        <w:rPr>
          <w:rFonts w:hint="eastAsia" w:ascii="Times New Roman" w:hAnsi="Times New Roman" w:cs="宋体"/>
          <w:sz w:val="24"/>
          <w:szCs w:val="24"/>
        </w:rPr>
        <w:t>3  基本规定</w:t>
      </w:r>
      <w:r>
        <w:rPr>
          <w:rFonts w:hint="eastAsia" w:ascii="Times New Roman" w:hAnsi="Times New Roman" w:cs="宋体"/>
          <w:sz w:val="24"/>
          <w:szCs w:val="24"/>
        </w:rPr>
        <w:tab/>
      </w:r>
      <w:r>
        <w:rPr>
          <w:rFonts w:hint="eastAsia" w:ascii="Times New Roman" w:hAnsi="Times New Roman" w:cs="宋体"/>
          <w:sz w:val="24"/>
          <w:szCs w:val="24"/>
        </w:rPr>
        <w:fldChar w:fldCharType="begin"/>
      </w:r>
      <w:r>
        <w:rPr>
          <w:rFonts w:hint="eastAsia" w:ascii="Times New Roman" w:hAnsi="Times New Roman" w:cs="宋体"/>
          <w:sz w:val="24"/>
          <w:szCs w:val="24"/>
        </w:rPr>
        <w:instrText xml:space="preserve"> PAGEREF _Toc8716 \h </w:instrText>
      </w:r>
      <w:r>
        <w:rPr>
          <w:rFonts w:hint="eastAsia" w:ascii="Times New Roman" w:hAnsi="Times New Roman" w:cs="宋体"/>
          <w:sz w:val="24"/>
          <w:szCs w:val="24"/>
        </w:rPr>
        <w:fldChar w:fldCharType="separate"/>
      </w:r>
      <w:r>
        <w:rPr>
          <w:rFonts w:hint="eastAsia" w:ascii="Times New Roman" w:hAnsi="Times New Roman" w:cs="宋体"/>
          <w:sz w:val="24"/>
          <w:szCs w:val="24"/>
        </w:rPr>
        <w:t>5</w:t>
      </w:r>
      <w:r>
        <w:rPr>
          <w:rFonts w:hint="eastAsia" w:ascii="Times New Roman" w:hAnsi="Times New Roman" w:cs="宋体"/>
          <w:sz w:val="24"/>
          <w:szCs w:val="24"/>
        </w:rPr>
        <w:fldChar w:fldCharType="end"/>
      </w:r>
      <w:r>
        <w:rPr>
          <w:rFonts w:hint="eastAsia" w:ascii="Times New Roman" w:hAnsi="Times New Roman" w:cs="宋体"/>
          <w:sz w:val="24"/>
          <w:szCs w:val="24"/>
        </w:rPr>
        <w:fldChar w:fldCharType="end"/>
      </w:r>
    </w:p>
    <w:p>
      <w:pPr>
        <w:pStyle w:val="19"/>
        <w:tabs>
          <w:tab w:val="right" w:leader="dot" w:pos="8306"/>
        </w:tabs>
        <w:spacing w:line="312" w:lineRule="auto"/>
        <w:jc w:val="left"/>
        <w:rPr>
          <w:rFonts w:hint="eastAsia" w:ascii="Times New Roman" w:hAnsi="Times New Roman" w:cs="宋体"/>
          <w:sz w:val="24"/>
          <w:szCs w:val="24"/>
        </w:rPr>
      </w:pPr>
      <w:r>
        <w:rPr>
          <w:rFonts w:hint="eastAsia" w:ascii="Times New Roman" w:hAnsi="Times New Roman" w:cs="宋体"/>
          <w:sz w:val="24"/>
          <w:szCs w:val="24"/>
        </w:rPr>
        <w:fldChar w:fldCharType="begin"/>
      </w:r>
      <w:r>
        <w:rPr>
          <w:rFonts w:hint="eastAsia" w:ascii="Times New Roman" w:hAnsi="Times New Roman" w:cs="宋体"/>
          <w:sz w:val="24"/>
          <w:szCs w:val="24"/>
        </w:rPr>
        <w:instrText xml:space="preserve"> HYPERLINK \l _Toc28439 </w:instrText>
      </w:r>
      <w:r>
        <w:rPr>
          <w:rFonts w:hint="eastAsia" w:ascii="Times New Roman" w:hAnsi="Times New Roman" w:cs="宋体"/>
          <w:sz w:val="24"/>
          <w:szCs w:val="24"/>
        </w:rPr>
        <w:fldChar w:fldCharType="separate"/>
      </w:r>
      <w:r>
        <w:rPr>
          <w:rFonts w:hint="eastAsia" w:ascii="Times New Roman" w:hAnsi="Times New Roman" w:cs="宋体"/>
          <w:sz w:val="24"/>
          <w:szCs w:val="24"/>
        </w:rPr>
        <w:t>4  高延性混凝土材料</w:t>
      </w:r>
      <w:r>
        <w:rPr>
          <w:rFonts w:hint="eastAsia" w:ascii="Times New Roman" w:hAnsi="Times New Roman" w:cs="宋体"/>
          <w:sz w:val="24"/>
          <w:szCs w:val="24"/>
        </w:rPr>
        <w:tab/>
      </w:r>
      <w:r>
        <w:rPr>
          <w:rFonts w:hint="eastAsia" w:ascii="Times New Roman" w:hAnsi="Times New Roman" w:cs="宋体"/>
          <w:sz w:val="24"/>
          <w:szCs w:val="24"/>
        </w:rPr>
        <w:fldChar w:fldCharType="begin"/>
      </w:r>
      <w:r>
        <w:rPr>
          <w:rFonts w:hint="eastAsia" w:ascii="Times New Roman" w:hAnsi="Times New Roman" w:cs="宋体"/>
          <w:sz w:val="24"/>
          <w:szCs w:val="24"/>
        </w:rPr>
        <w:instrText xml:space="preserve"> PAGEREF _Toc28439 \h </w:instrText>
      </w:r>
      <w:r>
        <w:rPr>
          <w:rFonts w:hint="eastAsia" w:ascii="Times New Roman" w:hAnsi="Times New Roman" w:cs="宋体"/>
          <w:sz w:val="24"/>
          <w:szCs w:val="24"/>
        </w:rPr>
        <w:fldChar w:fldCharType="separate"/>
      </w:r>
      <w:r>
        <w:rPr>
          <w:rFonts w:hint="eastAsia" w:ascii="Times New Roman" w:hAnsi="Times New Roman" w:cs="宋体"/>
          <w:sz w:val="24"/>
          <w:szCs w:val="24"/>
        </w:rPr>
        <w:t>7</w:t>
      </w:r>
      <w:r>
        <w:rPr>
          <w:rFonts w:hint="eastAsia" w:ascii="Times New Roman" w:hAnsi="Times New Roman" w:cs="宋体"/>
          <w:sz w:val="24"/>
          <w:szCs w:val="24"/>
        </w:rPr>
        <w:fldChar w:fldCharType="end"/>
      </w:r>
      <w:r>
        <w:rPr>
          <w:rFonts w:hint="eastAsia" w:ascii="Times New Roman" w:hAnsi="Times New Roman" w:cs="宋体"/>
          <w:sz w:val="24"/>
          <w:szCs w:val="24"/>
        </w:rPr>
        <w:fldChar w:fldCharType="end"/>
      </w:r>
    </w:p>
    <w:p>
      <w:pPr>
        <w:pStyle w:val="19"/>
        <w:tabs>
          <w:tab w:val="right" w:leader="dot" w:pos="8306"/>
        </w:tabs>
        <w:spacing w:line="312" w:lineRule="auto"/>
        <w:ind w:firstLine="240" w:firstLineChars="100"/>
        <w:jc w:val="left"/>
        <w:rPr>
          <w:rFonts w:hint="eastAsia" w:ascii="Times New Roman" w:hAnsi="Times New Roman" w:cs="宋体"/>
          <w:sz w:val="24"/>
          <w:szCs w:val="24"/>
        </w:rPr>
      </w:pPr>
      <w:r>
        <w:rPr>
          <w:rFonts w:hint="eastAsia" w:ascii="Times New Roman" w:hAnsi="Times New Roman" w:cs="宋体"/>
          <w:sz w:val="24"/>
          <w:szCs w:val="24"/>
        </w:rPr>
        <w:fldChar w:fldCharType="begin"/>
      </w:r>
      <w:r>
        <w:rPr>
          <w:rFonts w:hint="eastAsia" w:ascii="Times New Roman" w:hAnsi="Times New Roman" w:cs="宋体"/>
          <w:sz w:val="24"/>
          <w:szCs w:val="24"/>
        </w:rPr>
        <w:instrText xml:space="preserve"> HYPERLINK \l _Toc5426 </w:instrText>
      </w:r>
      <w:r>
        <w:rPr>
          <w:rFonts w:hint="eastAsia" w:ascii="Times New Roman" w:hAnsi="Times New Roman" w:cs="宋体"/>
          <w:sz w:val="24"/>
          <w:szCs w:val="24"/>
        </w:rPr>
        <w:fldChar w:fldCharType="separate"/>
      </w:r>
      <w:r>
        <w:rPr>
          <w:rFonts w:hint="eastAsia" w:ascii="Times New Roman" w:hAnsi="Times New Roman" w:cs="宋体"/>
          <w:sz w:val="24"/>
          <w:szCs w:val="24"/>
        </w:rPr>
        <w:t>4.1  原材料</w:t>
      </w:r>
      <w:r>
        <w:rPr>
          <w:rFonts w:hint="eastAsia" w:ascii="Times New Roman" w:hAnsi="Times New Roman" w:cs="宋体"/>
          <w:sz w:val="24"/>
          <w:szCs w:val="24"/>
        </w:rPr>
        <w:tab/>
      </w:r>
      <w:r>
        <w:rPr>
          <w:rFonts w:hint="eastAsia" w:ascii="Times New Roman" w:hAnsi="Times New Roman" w:cs="宋体"/>
          <w:sz w:val="24"/>
          <w:szCs w:val="24"/>
        </w:rPr>
        <w:fldChar w:fldCharType="begin"/>
      </w:r>
      <w:r>
        <w:rPr>
          <w:rFonts w:hint="eastAsia" w:ascii="Times New Roman" w:hAnsi="Times New Roman" w:cs="宋体"/>
          <w:sz w:val="24"/>
          <w:szCs w:val="24"/>
        </w:rPr>
        <w:instrText xml:space="preserve"> PAGEREF _Toc5426 \h </w:instrText>
      </w:r>
      <w:r>
        <w:rPr>
          <w:rFonts w:hint="eastAsia" w:ascii="Times New Roman" w:hAnsi="Times New Roman" w:cs="宋体"/>
          <w:sz w:val="24"/>
          <w:szCs w:val="24"/>
        </w:rPr>
        <w:fldChar w:fldCharType="separate"/>
      </w:r>
      <w:r>
        <w:rPr>
          <w:rFonts w:hint="eastAsia" w:ascii="Times New Roman" w:hAnsi="Times New Roman" w:cs="宋体"/>
          <w:sz w:val="24"/>
          <w:szCs w:val="24"/>
        </w:rPr>
        <w:t>7</w:t>
      </w:r>
      <w:r>
        <w:rPr>
          <w:rFonts w:hint="eastAsia" w:ascii="Times New Roman" w:hAnsi="Times New Roman" w:cs="宋体"/>
          <w:sz w:val="24"/>
          <w:szCs w:val="24"/>
        </w:rPr>
        <w:fldChar w:fldCharType="end"/>
      </w:r>
      <w:r>
        <w:rPr>
          <w:rFonts w:hint="eastAsia" w:ascii="Times New Roman" w:hAnsi="Times New Roman" w:cs="宋体"/>
          <w:sz w:val="24"/>
          <w:szCs w:val="24"/>
        </w:rPr>
        <w:fldChar w:fldCharType="end"/>
      </w:r>
    </w:p>
    <w:p>
      <w:pPr>
        <w:pStyle w:val="19"/>
        <w:tabs>
          <w:tab w:val="right" w:leader="dot" w:pos="8306"/>
        </w:tabs>
        <w:spacing w:line="312" w:lineRule="auto"/>
        <w:ind w:firstLine="240" w:firstLineChars="100"/>
        <w:jc w:val="left"/>
        <w:rPr>
          <w:rFonts w:hint="eastAsia" w:ascii="Times New Roman" w:hAnsi="Times New Roman" w:cs="宋体"/>
          <w:sz w:val="24"/>
          <w:szCs w:val="24"/>
        </w:rPr>
      </w:pPr>
      <w:r>
        <w:rPr>
          <w:rFonts w:hint="eastAsia" w:ascii="Times New Roman" w:hAnsi="Times New Roman" w:cs="宋体"/>
          <w:sz w:val="24"/>
          <w:szCs w:val="24"/>
        </w:rPr>
        <w:fldChar w:fldCharType="begin"/>
      </w:r>
      <w:r>
        <w:rPr>
          <w:rFonts w:hint="eastAsia" w:ascii="Times New Roman" w:hAnsi="Times New Roman" w:cs="宋体"/>
          <w:sz w:val="24"/>
          <w:szCs w:val="24"/>
        </w:rPr>
        <w:instrText xml:space="preserve"> HYPERLINK \l _Toc22750 </w:instrText>
      </w:r>
      <w:r>
        <w:rPr>
          <w:rFonts w:hint="eastAsia" w:ascii="Times New Roman" w:hAnsi="Times New Roman" w:cs="宋体"/>
          <w:sz w:val="24"/>
          <w:szCs w:val="24"/>
        </w:rPr>
        <w:fldChar w:fldCharType="separate"/>
      </w:r>
      <w:r>
        <w:rPr>
          <w:rFonts w:hint="eastAsia" w:ascii="Times New Roman" w:hAnsi="Times New Roman" w:cs="宋体"/>
          <w:sz w:val="24"/>
          <w:szCs w:val="24"/>
        </w:rPr>
        <w:t>4.2  拌合物性能</w:t>
      </w:r>
      <w:r>
        <w:rPr>
          <w:rFonts w:hint="eastAsia" w:ascii="Times New Roman" w:hAnsi="Times New Roman" w:cs="宋体"/>
          <w:sz w:val="24"/>
          <w:szCs w:val="24"/>
        </w:rPr>
        <w:tab/>
      </w:r>
      <w:r>
        <w:rPr>
          <w:rFonts w:hint="eastAsia" w:ascii="Times New Roman" w:hAnsi="Times New Roman" w:cs="宋体"/>
          <w:sz w:val="24"/>
          <w:szCs w:val="24"/>
        </w:rPr>
        <w:fldChar w:fldCharType="begin"/>
      </w:r>
      <w:r>
        <w:rPr>
          <w:rFonts w:hint="eastAsia" w:ascii="Times New Roman" w:hAnsi="Times New Roman" w:cs="宋体"/>
          <w:sz w:val="24"/>
          <w:szCs w:val="24"/>
        </w:rPr>
        <w:instrText xml:space="preserve"> PAGEREF _Toc22750 \h </w:instrText>
      </w:r>
      <w:r>
        <w:rPr>
          <w:rFonts w:hint="eastAsia" w:ascii="Times New Roman" w:hAnsi="Times New Roman" w:cs="宋体"/>
          <w:sz w:val="24"/>
          <w:szCs w:val="24"/>
        </w:rPr>
        <w:fldChar w:fldCharType="separate"/>
      </w:r>
      <w:r>
        <w:rPr>
          <w:rFonts w:hint="eastAsia" w:ascii="Times New Roman" w:hAnsi="Times New Roman" w:cs="宋体"/>
          <w:sz w:val="24"/>
          <w:szCs w:val="24"/>
        </w:rPr>
        <w:t>7</w:t>
      </w:r>
      <w:r>
        <w:rPr>
          <w:rFonts w:hint="eastAsia" w:ascii="Times New Roman" w:hAnsi="Times New Roman" w:cs="宋体"/>
          <w:sz w:val="24"/>
          <w:szCs w:val="24"/>
        </w:rPr>
        <w:fldChar w:fldCharType="end"/>
      </w:r>
      <w:r>
        <w:rPr>
          <w:rFonts w:hint="eastAsia" w:ascii="Times New Roman" w:hAnsi="Times New Roman" w:cs="宋体"/>
          <w:sz w:val="24"/>
          <w:szCs w:val="24"/>
        </w:rPr>
        <w:fldChar w:fldCharType="end"/>
      </w:r>
    </w:p>
    <w:p>
      <w:pPr>
        <w:pStyle w:val="19"/>
        <w:tabs>
          <w:tab w:val="right" w:leader="dot" w:pos="8306"/>
        </w:tabs>
        <w:spacing w:line="312" w:lineRule="auto"/>
        <w:ind w:firstLine="240" w:firstLineChars="100"/>
        <w:jc w:val="left"/>
        <w:rPr>
          <w:rFonts w:hint="eastAsia" w:ascii="Times New Roman" w:hAnsi="Times New Roman" w:cs="宋体"/>
          <w:sz w:val="24"/>
          <w:szCs w:val="24"/>
        </w:rPr>
      </w:pPr>
      <w:r>
        <w:rPr>
          <w:rFonts w:hint="eastAsia" w:ascii="Times New Roman" w:hAnsi="Times New Roman" w:cs="宋体"/>
          <w:sz w:val="24"/>
          <w:szCs w:val="24"/>
        </w:rPr>
        <w:fldChar w:fldCharType="begin"/>
      </w:r>
      <w:r>
        <w:rPr>
          <w:rFonts w:hint="eastAsia" w:ascii="Times New Roman" w:hAnsi="Times New Roman" w:cs="宋体"/>
          <w:sz w:val="24"/>
          <w:szCs w:val="24"/>
        </w:rPr>
        <w:instrText xml:space="preserve"> HYPERLINK \l _Toc4819 </w:instrText>
      </w:r>
      <w:r>
        <w:rPr>
          <w:rFonts w:hint="eastAsia" w:ascii="Times New Roman" w:hAnsi="Times New Roman" w:cs="宋体"/>
          <w:sz w:val="24"/>
          <w:szCs w:val="24"/>
        </w:rPr>
        <w:fldChar w:fldCharType="separate"/>
      </w:r>
      <w:r>
        <w:rPr>
          <w:rFonts w:hint="eastAsia" w:ascii="Times New Roman" w:hAnsi="Times New Roman" w:cs="宋体"/>
          <w:sz w:val="24"/>
          <w:szCs w:val="24"/>
        </w:rPr>
        <w:t>4.3  力学性能</w:t>
      </w:r>
      <w:r>
        <w:rPr>
          <w:rFonts w:hint="eastAsia" w:ascii="Times New Roman" w:hAnsi="Times New Roman" w:cs="宋体"/>
          <w:sz w:val="24"/>
          <w:szCs w:val="24"/>
        </w:rPr>
        <w:tab/>
      </w:r>
      <w:r>
        <w:rPr>
          <w:rFonts w:hint="eastAsia" w:ascii="Times New Roman" w:hAnsi="Times New Roman" w:cs="宋体"/>
          <w:sz w:val="24"/>
          <w:szCs w:val="24"/>
        </w:rPr>
        <w:fldChar w:fldCharType="begin"/>
      </w:r>
      <w:r>
        <w:rPr>
          <w:rFonts w:hint="eastAsia" w:ascii="Times New Roman" w:hAnsi="Times New Roman" w:cs="宋体"/>
          <w:sz w:val="24"/>
          <w:szCs w:val="24"/>
        </w:rPr>
        <w:instrText xml:space="preserve"> PAGEREF _Toc4819 \h </w:instrText>
      </w:r>
      <w:r>
        <w:rPr>
          <w:rFonts w:hint="eastAsia" w:ascii="Times New Roman" w:hAnsi="Times New Roman" w:cs="宋体"/>
          <w:sz w:val="24"/>
          <w:szCs w:val="24"/>
        </w:rPr>
        <w:fldChar w:fldCharType="separate"/>
      </w:r>
      <w:r>
        <w:rPr>
          <w:rFonts w:hint="eastAsia" w:ascii="Times New Roman" w:hAnsi="Times New Roman" w:cs="宋体"/>
          <w:sz w:val="24"/>
          <w:szCs w:val="24"/>
        </w:rPr>
        <w:t>8</w:t>
      </w:r>
      <w:r>
        <w:rPr>
          <w:rFonts w:hint="eastAsia" w:ascii="Times New Roman" w:hAnsi="Times New Roman" w:cs="宋体"/>
          <w:sz w:val="24"/>
          <w:szCs w:val="24"/>
        </w:rPr>
        <w:fldChar w:fldCharType="end"/>
      </w:r>
      <w:r>
        <w:rPr>
          <w:rFonts w:hint="eastAsia" w:ascii="Times New Roman" w:hAnsi="Times New Roman" w:cs="宋体"/>
          <w:sz w:val="24"/>
          <w:szCs w:val="24"/>
        </w:rPr>
        <w:fldChar w:fldCharType="end"/>
      </w:r>
    </w:p>
    <w:p>
      <w:pPr>
        <w:pStyle w:val="19"/>
        <w:tabs>
          <w:tab w:val="right" w:leader="dot" w:pos="8306"/>
        </w:tabs>
        <w:spacing w:line="312" w:lineRule="auto"/>
        <w:ind w:firstLine="240" w:firstLineChars="100"/>
        <w:jc w:val="left"/>
        <w:rPr>
          <w:rFonts w:hint="eastAsia" w:ascii="Times New Roman" w:hAnsi="Times New Roman" w:cs="宋体"/>
          <w:sz w:val="24"/>
          <w:szCs w:val="24"/>
        </w:rPr>
      </w:pPr>
      <w:r>
        <w:rPr>
          <w:rFonts w:hint="eastAsia" w:ascii="Times New Roman" w:hAnsi="Times New Roman" w:cs="宋体"/>
          <w:sz w:val="24"/>
          <w:szCs w:val="24"/>
        </w:rPr>
        <w:fldChar w:fldCharType="begin"/>
      </w:r>
      <w:r>
        <w:rPr>
          <w:rFonts w:hint="eastAsia" w:ascii="Times New Roman" w:hAnsi="Times New Roman" w:cs="宋体"/>
          <w:sz w:val="24"/>
          <w:szCs w:val="24"/>
        </w:rPr>
        <w:instrText xml:space="preserve"> HYPERLINK \l _Toc8504 </w:instrText>
      </w:r>
      <w:r>
        <w:rPr>
          <w:rFonts w:hint="eastAsia" w:ascii="Times New Roman" w:hAnsi="Times New Roman" w:cs="宋体"/>
          <w:sz w:val="24"/>
          <w:szCs w:val="24"/>
        </w:rPr>
        <w:fldChar w:fldCharType="separate"/>
      </w:r>
      <w:r>
        <w:rPr>
          <w:rFonts w:hint="eastAsia" w:ascii="Times New Roman" w:hAnsi="Times New Roman" w:cs="宋体"/>
          <w:sz w:val="24"/>
          <w:szCs w:val="24"/>
        </w:rPr>
        <w:t>4.4  耐久性能</w:t>
      </w:r>
      <w:r>
        <w:rPr>
          <w:rFonts w:hint="eastAsia" w:ascii="Times New Roman" w:hAnsi="Times New Roman" w:cs="宋体"/>
          <w:sz w:val="24"/>
          <w:szCs w:val="24"/>
        </w:rPr>
        <w:tab/>
      </w:r>
      <w:r>
        <w:rPr>
          <w:rFonts w:hint="eastAsia" w:ascii="Times New Roman" w:hAnsi="Times New Roman" w:cs="宋体"/>
          <w:sz w:val="24"/>
          <w:szCs w:val="24"/>
        </w:rPr>
        <w:fldChar w:fldCharType="begin"/>
      </w:r>
      <w:r>
        <w:rPr>
          <w:rFonts w:hint="eastAsia" w:ascii="Times New Roman" w:hAnsi="Times New Roman" w:cs="宋体"/>
          <w:sz w:val="24"/>
          <w:szCs w:val="24"/>
        </w:rPr>
        <w:instrText xml:space="preserve"> PAGEREF _Toc8504 \h </w:instrText>
      </w:r>
      <w:r>
        <w:rPr>
          <w:rFonts w:hint="eastAsia" w:ascii="Times New Roman" w:hAnsi="Times New Roman" w:cs="宋体"/>
          <w:sz w:val="24"/>
          <w:szCs w:val="24"/>
        </w:rPr>
        <w:fldChar w:fldCharType="separate"/>
      </w:r>
      <w:r>
        <w:rPr>
          <w:rFonts w:hint="eastAsia" w:ascii="Times New Roman" w:hAnsi="Times New Roman" w:cs="宋体"/>
          <w:sz w:val="24"/>
          <w:szCs w:val="24"/>
        </w:rPr>
        <w:t>11</w:t>
      </w:r>
      <w:r>
        <w:rPr>
          <w:rFonts w:hint="eastAsia" w:ascii="Times New Roman" w:hAnsi="Times New Roman" w:cs="宋体"/>
          <w:sz w:val="24"/>
          <w:szCs w:val="24"/>
        </w:rPr>
        <w:fldChar w:fldCharType="end"/>
      </w:r>
      <w:r>
        <w:rPr>
          <w:rFonts w:hint="eastAsia" w:ascii="Times New Roman" w:hAnsi="Times New Roman" w:cs="宋体"/>
          <w:sz w:val="24"/>
          <w:szCs w:val="24"/>
        </w:rPr>
        <w:fldChar w:fldCharType="end"/>
      </w:r>
    </w:p>
    <w:p>
      <w:pPr>
        <w:pStyle w:val="19"/>
        <w:tabs>
          <w:tab w:val="right" w:leader="dot" w:pos="8306"/>
        </w:tabs>
        <w:spacing w:line="312" w:lineRule="auto"/>
        <w:jc w:val="left"/>
        <w:rPr>
          <w:rFonts w:hint="eastAsia" w:ascii="Times New Roman" w:hAnsi="Times New Roman" w:cs="宋体"/>
          <w:sz w:val="24"/>
          <w:szCs w:val="24"/>
        </w:rPr>
      </w:pPr>
      <w:r>
        <w:rPr>
          <w:rFonts w:hint="eastAsia" w:ascii="Times New Roman" w:hAnsi="Times New Roman" w:cs="宋体"/>
          <w:sz w:val="24"/>
          <w:szCs w:val="24"/>
        </w:rPr>
        <w:fldChar w:fldCharType="begin"/>
      </w:r>
      <w:r>
        <w:rPr>
          <w:rFonts w:hint="eastAsia" w:ascii="Times New Roman" w:hAnsi="Times New Roman" w:cs="宋体"/>
          <w:sz w:val="24"/>
          <w:szCs w:val="24"/>
        </w:rPr>
        <w:instrText xml:space="preserve"> HYPERLINK \l _Toc8106 </w:instrText>
      </w:r>
      <w:r>
        <w:rPr>
          <w:rFonts w:hint="eastAsia" w:ascii="Times New Roman" w:hAnsi="Times New Roman" w:cs="宋体"/>
          <w:sz w:val="24"/>
          <w:szCs w:val="24"/>
        </w:rPr>
        <w:fldChar w:fldCharType="separate"/>
      </w:r>
      <w:r>
        <w:rPr>
          <w:rFonts w:hint="eastAsia" w:ascii="Times New Roman" w:hAnsi="Times New Roman" w:cs="宋体"/>
          <w:sz w:val="24"/>
          <w:szCs w:val="24"/>
        </w:rPr>
        <w:t>5  砌体结构加固设计</w:t>
      </w:r>
      <w:r>
        <w:rPr>
          <w:rFonts w:hint="eastAsia" w:ascii="Times New Roman" w:hAnsi="Times New Roman" w:cs="宋体"/>
          <w:sz w:val="24"/>
          <w:szCs w:val="24"/>
        </w:rPr>
        <w:tab/>
      </w:r>
      <w:r>
        <w:rPr>
          <w:rFonts w:hint="eastAsia" w:ascii="Times New Roman" w:hAnsi="Times New Roman" w:cs="宋体"/>
          <w:sz w:val="24"/>
          <w:szCs w:val="24"/>
        </w:rPr>
        <w:fldChar w:fldCharType="begin"/>
      </w:r>
      <w:r>
        <w:rPr>
          <w:rFonts w:hint="eastAsia" w:ascii="Times New Roman" w:hAnsi="Times New Roman" w:cs="宋体"/>
          <w:sz w:val="24"/>
          <w:szCs w:val="24"/>
        </w:rPr>
        <w:instrText xml:space="preserve"> PAGEREF _Toc8106 \h </w:instrText>
      </w:r>
      <w:r>
        <w:rPr>
          <w:rFonts w:hint="eastAsia" w:ascii="Times New Roman" w:hAnsi="Times New Roman" w:cs="宋体"/>
          <w:sz w:val="24"/>
          <w:szCs w:val="24"/>
        </w:rPr>
        <w:fldChar w:fldCharType="separate"/>
      </w:r>
      <w:r>
        <w:rPr>
          <w:rFonts w:hint="eastAsia" w:ascii="Times New Roman" w:hAnsi="Times New Roman" w:cs="宋体"/>
          <w:sz w:val="24"/>
          <w:szCs w:val="24"/>
        </w:rPr>
        <w:t>12</w:t>
      </w:r>
      <w:r>
        <w:rPr>
          <w:rFonts w:hint="eastAsia" w:ascii="Times New Roman" w:hAnsi="Times New Roman" w:cs="宋体"/>
          <w:sz w:val="24"/>
          <w:szCs w:val="24"/>
        </w:rPr>
        <w:fldChar w:fldCharType="end"/>
      </w:r>
      <w:r>
        <w:rPr>
          <w:rFonts w:hint="eastAsia" w:ascii="Times New Roman" w:hAnsi="Times New Roman" w:cs="宋体"/>
          <w:sz w:val="24"/>
          <w:szCs w:val="24"/>
        </w:rPr>
        <w:fldChar w:fldCharType="end"/>
      </w:r>
    </w:p>
    <w:p>
      <w:pPr>
        <w:pStyle w:val="19"/>
        <w:tabs>
          <w:tab w:val="right" w:leader="dot" w:pos="8306"/>
        </w:tabs>
        <w:spacing w:line="312" w:lineRule="auto"/>
        <w:ind w:firstLine="240" w:firstLineChars="100"/>
        <w:jc w:val="left"/>
        <w:rPr>
          <w:rFonts w:hint="eastAsia" w:ascii="Times New Roman" w:hAnsi="Times New Roman" w:cs="宋体"/>
          <w:sz w:val="24"/>
          <w:szCs w:val="24"/>
        </w:rPr>
      </w:pPr>
      <w:r>
        <w:rPr>
          <w:rFonts w:hint="eastAsia" w:ascii="Times New Roman" w:hAnsi="Times New Roman" w:cs="宋体"/>
          <w:sz w:val="24"/>
          <w:szCs w:val="24"/>
        </w:rPr>
        <w:fldChar w:fldCharType="begin"/>
      </w:r>
      <w:r>
        <w:rPr>
          <w:rFonts w:hint="eastAsia" w:ascii="Times New Roman" w:hAnsi="Times New Roman" w:cs="宋体"/>
          <w:sz w:val="24"/>
          <w:szCs w:val="24"/>
        </w:rPr>
        <w:instrText xml:space="preserve"> HYPERLINK \l _Toc19489 </w:instrText>
      </w:r>
      <w:r>
        <w:rPr>
          <w:rFonts w:hint="eastAsia" w:ascii="Times New Roman" w:hAnsi="Times New Roman" w:cs="宋体"/>
          <w:sz w:val="24"/>
          <w:szCs w:val="24"/>
        </w:rPr>
        <w:fldChar w:fldCharType="separate"/>
      </w:r>
      <w:r>
        <w:rPr>
          <w:rFonts w:hint="eastAsia" w:ascii="Times New Roman" w:hAnsi="Times New Roman" w:cs="宋体"/>
          <w:sz w:val="24"/>
          <w:szCs w:val="24"/>
        </w:rPr>
        <w:t>5.1  一般规定</w:t>
      </w:r>
      <w:r>
        <w:rPr>
          <w:rFonts w:hint="eastAsia" w:ascii="Times New Roman" w:hAnsi="Times New Roman" w:cs="宋体"/>
          <w:sz w:val="24"/>
          <w:szCs w:val="24"/>
        </w:rPr>
        <w:tab/>
      </w:r>
      <w:r>
        <w:rPr>
          <w:rFonts w:hint="eastAsia" w:ascii="Times New Roman" w:hAnsi="Times New Roman" w:cs="宋体"/>
          <w:sz w:val="24"/>
          <w:szCs w:val="24"/>
        </w:rPr>
        <w:fldChar w:fldCharType="begin"/>
      </w:r>
      <w:r>
        <w:rPr>
          <w:rFonts w:hint="eastAsia" w:ascii="Times New Roman" w:hAnsi="Times New Roman" w:cs="宋体"/>
          <w:sz w:val="24"/>
          <w:szCs w:val="24"/>
        </w:rPr>
        <w:instrText xml:space="preserve"> PAGEREF _Toc19489 \h </w:instrText>
      </w:r>
      <w:r>
        <w:rPr>
          <w:rFonts w:hint="eastAsia" w:ascii="Times New Roman" w:hAnsi="Times New Roman" w:cs="宋体"/>
          <w:sz w:val="24"/>
          <w:szCs w:val="24"/>
        </w:rPr>
        <w:fldChar w:fldCharType="separate"/>
      </w:r>
      <w:r>
        <w:rPr>
          <w:rFonts w:hint="eastAsia" w:ascii="Times New Roman" w:hAnsi="Times New Roman" w:cs="宋体"/>
          <w:sz w:val="24"/>
          <w:szCs w:val="24"/>
        </w:rPr>
        <w:t>12</w:t>
      </w:r>
      <w:r>
        <w:rPr>
          <w:rFonts w:hint="eastAsia" w:ascii="Times New Roman" w:hAnsi="Times New Roman" w:cs="宋体"/>
          <w:sz w:val="24"/>
          <w:szCs w:val="24"/>
        </w:rPr>
        <w:fldChar w:fldCharType="end"/>
      </w:r>
      <w:r>
        <w:rPr>
          <w:rFonts w:hint="eastAsia" w:ascii="Times New Roman" w:hAnsi="Times New Roman" w:cs="宋体"/>
          <w:sz w:val="24"/>
          <w:szCs w:val="24"/>
        </w:rPr>
        <w:fldChar w:fldCharType="end"/>
      </w:r>
    </w:p>
    <w:p>
      <w:pPr>
        <w:pStyle w:val="19"/>
        <w:tabs>
          <w:tab w:val="right" w:leader="dot" w:pos="8306"/>
        </w:tabs>
        <w:spacing w:line="312" w:lineRule="auto"/>
        <w:ind w:firstLine="240" w:firstLineChars="100"/>
        <w:jc w:val="left"/>
        <w:rPr>
          <w:rFonts w:hint="eastAsia" w:ascii="Times New Roman" w:hAnsi="Times New Roman" w:cs="宋体"/>
          <w:sz w:val="24"/>
          <w:szCs w:val="24"/>
        </w:rPr>
      </w:pPr>
      <w:r>
        <w:rPr>
          <w:rFonts w:hint="eastAsia" w:ascii="Times New Roman" w:hAnsi="Times New Roman" w:cs="宋体"/>
          <w:sz w:val="24"/>
          <w:szCs w:val="24"/>
        </w:rPr>
        <w:fldChar w:fldCharType="begin"/>
      </w:r>
      <w:r>
        <w:rPr>
          <w:rFonts w:hint="eastAsia" w:ascii="Times New Roman" w:hAnsi="Times New Roman" w:cs="宋体"/>
          <w:sz w:val="24"/>
          <w:szCs w:val="24"/>
        </w:rPr>
        <w:instrText xml:space="preserve"> HYPERLINK \l _Toc23641 </w:instrText>
      </w:r>
      <w:r>
        <w:rPr>
          <w:rFonts w:hint="eastAsia" w:ascii="Times New Roman" w:hAnsi="Times New Roman" w:cs="宋体"/>
          <w:sz w:val="24"/>
          <w:szCs w:val="24"/>
        </w:rPr>
        <w:fldChar w:fldCharType="separate"/>
      </w:r>
      <w:r>
        <w:rPr>
          <w:rFonts w:hint="eastAsia" w:ascii="Times New Roman" w:hAnsi="Times New Roman" w:cs="宋体"/>
          <w:sz w:val="24"/>
          <w:szCs w:val="24"/>
        </w:rPr>
        <w:t>5.2  砌体抗压加固</w:t>
      </w:r>
      <w:r>
        <w:rPr>
          <w:rFonts w:hint="eastAsia" w:ascii="Times New Roman" w:hAnsi="Times New Roman" w:cs="宋体"/>
          <w:sz w:val="24"/>
          <w:szCs w:val="24"/>
        </w:rPr>
        <w:tab/>
      </w:r>
      <w:r>
        <w:rPr>
          <w:rFonts w:hint="eastAsia" w:ascii="Times New Roman" w:hAnsi="Times New Roman" w:cs="宋体"/>
          <w:sz w:val="24"/>
          <w:szCs w:val="24"/>
        </w:rPr>
        <w:fldChar w:fldCharType="begin"/>
      </w:r>
      <w:r>
        <w:rPr>
          <w:rFonts w:hint="eastAsia" w:ascii="Times New Roman" w:hAnsi="Times New Roman" w:cs="宋体"/>
          <w:sz w:val="24"/>
          <w:szCs w:val="24"/>
        </w:rPr>
        <w:instrText xml:space="preserve"> PAGEREF _Toc23641 \h </w:instrText>
      </w:r>
      <w:r>
        <w:rPr>
          <w:rFonts w:hint="eastAsia" w:ascii="Times New Roman" w:hAnsi="Times New Roman" w:cs="宋体"/>
          <w:sz w:val="24"/>
          <w:szCs w:val="24"/>
        </w:rPr>
        <w:fldChar w:fldCharType="separate"/>
      </w:r>
      <w:r>
        <w:rPr>
          <w:rFonts w:hint="eastAsia" w:ascii="Times New Roman" w:hAnsi="Times New Roman" w:cs="宋体"/>
          <w:sz w:val="24"/>
          <w:szCs w:val="24"/>
        </w:rPr>
        <w:t>12</w:t>
      </w:r>
      <w:r>
        <w:rPr>
          <w:rFonts w:hint="eastAsia" w:ascii="Times New Roman" w:hAnsi="Times New Roman" w:cs="宋体"/>
          <w:sz w:val="24"/>
          <w:szCs w:val="24"/>
        </w:rPr>
        <w:fldChar w:fldCharType="end"/>
      </w:r>
      <w:r>
        <w:rPr>
          <w:rFonts w:hint="eastAsia" w:ascii="Times New Roman" w:hAnsi="Times New Roman" w:cs="宋体"/>
          <w:sz w:val="24"/>
          <w:szCs w:val="24"/>
        </w:rPr>
        <w:fldChar w:fldCharType="end"/>
      </w:r>
    </w:p>
    <w:p>
      <w:pPr>
        <w:pStyle w:val="19"/>
        <w:tabs>
          <w:tab w:val="right" w:leader="dot" w:pos="8306"/>
        </w:tabs>
        <w:spacing w:line="312" w:lineRule="auto"/>
        <w:ind w:firstLine="240" w:firstLineChars="100"/>
        <w:jc w:val="left"/>
        <w:rPr>
          <w:rFonts w:hint="eastAsia" w:ascii="Times New Roman" w:hAnsi="Times New Roman" w:cs="宋体"/>
          <w:sz w:val="24"/>
          <w:szCs w:val="24"/>
        </w:rPr>
      </w:pPr>
      <w:r>
        <w:rPr>
          <w:rFonts w:hint="eastAsia" w:ascii="Times New Roman" w:hAnsi="Times New Roman" w:cs="宋体"/>
          <w:sz w:val="24"/>
          <w:szCs w:val="24"/>
        </w:rPr>
        <w:fldChar w:fldCharType="begin"/>
      </w:r>
      <w:r>
        <w:rPr>
          <w:rFonts w:hint="eastAsia" w:ascii="Times New Roman" w:hAnsi="Times New Roman" w:cs="宋体"/>
          <w:sz w:val="24"/>
          <w:szCs w:val="24"/>
        </w:rPr>
        <w:instrText xml:space="preserve"> HYPERLINK \l _Toc23804 </w:instrText>
      </w:r>
      <w:r>
        <w:rPr>
          <w:rFonts w:hint="eastAsia" w:ascii="Times New Roman" w:hAnsi="Times New Roman" w:cs="宋体"/>
          <w:sz w:val="24"/>
          <w:szCs w:val="24"/>
        </w:rPr>
        <w:fldChar w:fldCharType="separate"/>
      </w:r>
      <w:r>
        <w:rPr>
          <w:rFonts w:hint="eastAsia" w:ascii="Times New Roman" w:hAnsi="Times New Roman" w:cs="宋体"/>
          <w:sz w:val="24"/>
          <w:szCs w:val="24"/>
        </w:rPr>
        <w:t>5.3  砌体抗剪加固</w:t>
      </w:r>
      <w:r>
        <w:rPr>
          <w:rFonts w:hint="eastAsia" w:ascii="Times New Roman" w:hAnsi="Times New Roman" w:cs="宋体"/>
          <w:sz w:val="24"/>
          <w:szCs w:val="24"/>
        </w:rPr>
        <w:tab/>
      </w:r>
      <w:r>
        <w:rPr>
          <w:rFonts w:hint="eastAsia" w:ascii="Times New Roman" w:hAnsi="Times New Roman" w:cs="宋体"/>
          <w:sz w:val="24"/>
          <w:szCs w:val="24"/>
        </w:rPr>
        <w:fldChar w:fldCharType="begin"/>
      </w:r>
      <w:r>
        <w:rPr>
          <w:rFonts w:hint="eastAsia" w:ascii="Times New Roman" w:hAnsi="Times New Roman" w:cs="宋体"/>
          <w:sz w:val="24"/>
          <w:szCs w:val="24"/>
        </w:rPr>
        <w:instrText xml:space="preserve"> PAGEREF _Toc23804 \h </w:instrText>
      </w:r>
      <w:r>
        <w:rPr>
          <w:rFonts w:hint="eastAsia" w:ascii="Times New Roman" w:hAnsi="Times New Roman" w:cs="宋体"/>
          <w:sz w:val="24"/>
          <w:szCs w:val="24"/>
        </w:rPr>
        <w:fldChar w:fldCharType="separate"/>
      </w:r>
      <w:r>
        <w:rPr>
          <w:rFonts w:hint="eastAsia" w:ascii="Times New Roman" w:hAnsi="Times New Roman" w:cs="宋体"/>
          <w:sz w:val="24"/>
          <w:szCs w:val="24"/>
        </w:rPr>
        <w:t>16</w:t>
      </w:r>
      <w:r>
        <w:rPr>
          <w:rFonts w:hint="eastAsia" w:ascii="Times New Roman" w:hAnsi="Times New Roman" w:cs="宋体"/>
          <w:sz w:val="24"/>
          <w:szCs w:val="24"/>
        </w:rPr>
        <w:fldChar w:fldCharType="end"/>
      </w:r>
      <w:r>
        <w:rPr>
          <w:rFonts w:hint="eastAsia" w:ascii="Times New Roman" w:hAnsi="Times New Roman" w:cs="宋体"/>
          <w:sz w:val="24"/>
          <w:szCs w:val="24"/>
        </w:rPr>
        <w:fldChar w:fldCharType="end"/>
      </w:r>
    </w:p>
    <w:p>
      <w:pPr>
        <w:pStyle w:val="19"/>
        <w:tabs>
          <w:tab w:val="right" w:leader="dot" w:pos="8306"/>
        </w:tabs>
        <w:spacing w:line="312" w:lineRule="auto"/>
        <w:ind w:firstLine="240" w:firstLineChars="100"/>
        <w:jc w:val="left"/>
        <w:rPr>
          <w:rFonts w:hint="eastAsia" w:ascii="Times New Roman" w:hAnsi="Times New Roman" w:cs="宋体"/>
          <w:sz w:val="24"/>
          <w:szCs w:val="24"/>
        </w:rPr>
      </w:pPr>
      <w:r>
        <w:rPr>
          <w:rFonts w:hint="eastAsia" w:ascii="Times New Roman" w:hAnsi="Times New Roman" w:cs="宋体"/>
          <w:sz w:val="24"/>
          <w:szCs w:val="24"/>
        </w:rPr>
        <w:fldChar w:fldCharType="begin"/>
      </w:r>
      <w:r>
        <w:rPr>
          <w:rFonts w:hint="eastAsia" w:ascii="Times New Roman" w:hAnsi="Times New Roman" w:cs="宋体"/>
          <w:sz w:val="24"/>
          <w:szCs w:val="24"/>
        </w:rPr>
        <w:instrText xml:space="preserve"> HYPERLINK \l _Toc24906 </w:instrText>
      </w:r>
      <w:r>
        <w:rPr>
          <w:rFonts w:hint="eastAsia" w:ascii="Times New Roman" w:hAnsi="Times New Roman" w:cs="宋体"/>
          <w:sz w:val="24"/>
          <w:szCs w:val="24"/>
        </w:rPr>
        <w:fldChar w:fldCharType="separate"/>
      </w:r>
      <w:r>
        <w:rPr>
          <w:rFonts w:hint="eastAsia" w:ascii="Times New Roman" w:hAnsi="Times New Roman" w:cs="宋体"/>
          <w:sz w:val="24"/>
          <w:szCs w:val="24"/>
        </w:rPr>
        <w:t>5.4  砌体抗震加固</w:t>
      </w:r>
      <w:r>
        <w:rPr>
          <w:rFonts w:hint="eastAsia" w:ascii="Times New Roman" w:hAnsi="Times New Roman" w:cs="宋体"/>
          <w:sz w:val="24"/>
          <w:szCs w:val="24"/>
        </w:rPr>
        <w:tab/>
      </w:r>
      <w:r>
        <w:rPr>
          <w:rFonts w:hint="eastAsia" w:ascii="Times New Roman" w:hAnsi="Times New Roman" w:cs="宋体"/>
          <w:sz w:val="24"/>
          <w:szCs w:val="24"/>
        </w:rPr>
        <w:fldChar w:fldCharType="begin"/>
      </w:r>
      <w:r>
        <w:rPr>
          <w:rFonts w:hint="eastAsia" w:ascii="Times New Roman" w:hAnsi="Times New Roman" w:cs="宋体"/>
          <w:sz w:val="24"/>
          <w:szCs w:val="24"/>
        </w:rPr>
        <w:instrText xml:space="preserve"> PAGEREF _Toc24906 \h </w:instrText>
      </w:r>
      <w:r>
        <w:rPr>
          <w:rFonts w:hint="eastAsia" w:ascii="Times New Roman" w:hAnsi="Times New Roman" w:cs="宋体"/>
          <w:sz w:val="24"/>
          <w:szCs w:val="24"/>
        </w:rPr>
        <w:fldChar w:fldCharType="separate"/>
      </w:r>
      <w:r>
        <w:rPr>
          <w:rFonts w:hint="eastAsia" w:ascii="Times New Roman" w:hAnsi="Times New Roman" w:cs="宋体"/>
          <w:sz w:val="24"/>
          <w:szCs w:val="24"/>
        </w:rPr>
        <w:t>17</w:t>
      </w:r>
      <w:r>
        <w:rPr>
          <w:rFonts w:hint="eastAsia" w:ascii="Times New Roman" w:hAnsi="Times New Roman" w:cs="宋体"/>
          <w:sz w:val="24"/>
          <w:szCs w:val="24"/>
        </w:rPr>
        <w:fldChar w:fldCharType="end"/>
      </w:r>
      <w:r>
        <w:rPr>
          <w:rFonts w:hint="eastAsia" w:ascii="Times New Roman" w:hAnsi="Times New Roman" w:cs="宋体"/>
          <w:sz w:val="24"/>
          <w:szCs w:val="24"/>
        </w:rPr>
        <w:fldChar w:fldCharType="end"/>
      </w:r>
    </w:p>
    <w:p>
      <w:pPr>
        <w:pStyle w:val="19"/>
        <w:tabs>
          <w:tab w:val="right" w:leader="dot" w:pos="8306"/>
        </w:tabs>
        <w:spacing w:line="312" w:lineRule="auto"/>
        <w:ind w:firstLine="240" w:firstLineChars="100"/>
        <w:jc w:val="left"/>
        <w:rPr>
          <w:rFonts w:hint="eastAsia" w:ascii="Times New Roman" w:hAnsi="Times New Roman" w:cs="宋体"/>
          <w:sz w:val="24"/>
          <w:szCs w:val="24"/>
        </w:rPr>
      </w:pPr>
      <w:r>
        <w:rPr>
          <w:rFonts w:hint="eastAsia" w:ascii="Times New Roman" w:hAnsi="Times New Roman" w:cs="宋体"/>
          <w:sz w:val="24"/>
          <w:szCs w:val="24"/>
        </w:rPr>
        <w:fldChar w:fldCharType="begin"/>
      </w:r>
      <w:r>
        <w:rPr>
          <w:rFonts w:hint="eastAsia" w:ascii="Times New Roman" w:hAnsi="Times New Roman" w:cs="宋体"/>
          <w:sz w:val="24"/>
          <w:szCs w:val="24"/>
        </w:rPr>
        <w:instrText xml:space="preserve"> HYPERLINK \l _Toc11948 </w:instrText>
      </w:r>
      <w:r>
        <w:rPr>
          <w:rFonts w:hint="eastAsia" w:ascii="Times New Roman" w:hAnsi="Times New Roman" w:cs="宋体"/>
          <w:sz w:val="24"/>
          <w:szCs w:val="24"/>
        </w:rPr>
        <w:fldChar w:fldCharType="separate"/>
      </w:r>
      <w:r>
        <w:rPr>
          <w:rFonts w:hint="eastAsia" w:ascii="Times New Roman" w:hAnsi="Times New Roman" w:cs="宋体"/>
          <w:sz w:val="24"/>
          <w:szCs w:val="24"/>
        </w:rPr>
        <w:t>5.5  构造</w:t>
      </w:r>
      <w:r>
        <w:rPr>
          <w:rFonts w:hint="eastAsia" w:ascii="Times New Roman" w:hAnsi="Times New Roman" w:cs="宋体"/>
          <w:sz w:val="24"/>
          <w:szCs w:val="24"/>
          <w:lang w:val="en-US" w:eastAsia="zh-CN"/>
        </w:rPr>
        <w:t>规定</w:t>
      </w:r>
      <w:r>
        <w:rPr>
          <w:rFonts w:hint="eastAsia" w:ascii="Times New Roman" w:hAnsi="Times New Roman" w:cs="宋体"/>
          <w:sz w:val="24"/>
          <w:szCs w:val="24"/>
        </w:rPr>
        <w:tab/>
      </w:r>
      <w:r>
        <w:rPr>
          <w:rFonts w:hint="eastAsia" w:ascii="Times New Roman" w:hAnsi="Times New Roman" w:cs="宋体"/>
          <w:sz w:val="24"/>
          <w:szCs w:val="24"/>
        </w:rPr>
        <w:fldChar w:fldCharType="begin"/>
      </w:r>
      <w:r>
        <w:rPr>
          <w:rFonts w:hint="eastAsia" w:ascii="Times New Roman" w:hAnsi="Times New Roman" w:cs="宋体"/>
          <w:sz w:val="24"/>
          <w:szCs w:val="24"/>
        </w:rPr>
        <w:instrText xml:space="preserve"> PAGEREF _Toc11948 \h </w:instrText>
      </w:r>
      <w:r>
        <w:rPr>
          <w:rFonts w:hint="eastAsia" w:ascii="Times New Roman" w:hAnsi="Times New Roman" w:cs="宋体"/>
          <w:sz w:val="24"/>
          <w:szCs w:val="24"/>
        </w:rPr>
        <w:fldChar w:fldCharType="separate"/>
      </w:r>
      <w:r>
        <w:rPr>
          <w:rFonts w:hint="eastAsia" w:ascii="Times New Roman" w:hAnsi="Times New Roman" w:cs="宋体"/>
          <w:sz w:val="24"/>
          <w:szCs w:val="24"/>
        </w:rPr>
        <w:t>19</w:t>
      </w:r>
      <w:r>
        <w:rPr>
          <w:rFonts w:hint="eastAsia" w:ascii="Times New Roman" w:hAnsi="Times New Roman" w:cs="宋体"/>
          <w:sz w:val="24"/>
          <w:szCs w:val="24"/>
        </w:rPr>
        <w:fldChar w:fldCharType="end"/>
      </w:r>
      <w:r>
        <w:rPr>
          <w:rFonts w:hint="eastAsia" w:ascii="Times New Roman" w:hAnsi="Times New Roman" w:cs="宋体"/>
          <w:sz w:val="24"/>
          <w:szCs w:val="24"/>
        </w:rPr>
        <w:fldChar w:fldCharType="end"/>
      </w:r>
    </w:p>
    <w:p>
      <w:pPr>
        <w:pStyle w:val="19"/>
        <w:tabs>
          <w:tab w:val="right" w:leader="dot" w:pos="8306"/>
        </w:tabs>
        <w:spacing w:line="312" w:lineRule="auto"/>
        <w:jc w:val="left"/>
        <w:rPr>
          <w:rFonts w:hint="eastAsia" w:ascii="Times New Roman" w:hAnsi="Times New Roman" w:cs="宋体"/>
          <w:sz w:val="24"/>
          <w:szCs w:val="24"/>
        </w:rPr>
      </w:pPr>
      <w:r>
        <w:rPr>
          <w:rFonts w:hint="eastAsia" w:ascii="Times New Roman" w:hAnsi="Times New Roman" w:cs="宋体"/>
          <w:sz w:val="24"/>
          <w:szCs w:val="24"/>
        </w:rPr>
        <w:fldChar w:fldCharType="begin"/>
      </w:r>
      <w:r>
        <w:rPr>
          <w:rFonts w:hint="eastAsia" w:ascii="Times New Roman" w:hAnsi="Times New Roman" w:cs="宋体"/>
          <w:sz w:val="24"/>
          <w:szCs w:val="24"/>
        </w:rPr>
        <w:instrText xml:space="preserve"> HYPERLINK \l _Toc12497 </w:instrText>
      </w:r>
      <w:r>
        <w:rPr>
          <w:rFonts w:hint="eastAsia" w:ascii="Times New Roman" w:hAnsi="Times New Roman" w:cs="宋体"/>
          <w:sz w:val="24"/>
          <w:szCs w:val="24"/>
        </w:rPr>
        <w:fldChar w:fldCharType="separate"/>
      </w:r>
      <w:r>
        <w:rPr>
          <w:rFonts w:hint="eastAsia" w:ascii="Times New Roman" w:hAnsi="Times New Roman" w:cs="宋体"/>
          <w:sz w:val="24"/>
          <w:szCs w:val="24"/>
        </w:rPr>
        <w:t>6  施工</w:t>
      </w:r>
      <w:r>
        <w:rPr>
          <w:rFonts w:hint="eastAsia" w:ascii="Times New Roman" w:hAnsi="Times New Roman" w:cs="宋体"/>
          <w:sz w:val="24"/>
          <w:szCs w:val="24"/>
        </w:rPr>
        <w:tab/>
      </w:r>
      <w:r>
        <w:rPr>
          <w:rFonts w:hint="eastAsia" w:ascii="Times New Roman" w:hAnsi="Times New Roman" w:cs="宋体"/>
          <w:sz w:val="24"/>
          <w:szCs w:val="24"/>
        </w:rPr>
        <w:fldChar w:fldCharType="begin"/>
      </w:r>
      <w:r>
        <w:rPr>
          <w:rFonts w:hint="eastAsia" w:ascii="Times New Roman" w:hAnsi="Times New Roman" w:cs="宋体"/>
          <w:sz w:val="24"/>
          <w:szCs w:val="24"/>
        </w:rPr>
        <w:instrText xml:space="preserve"> PAGEREF _Toc12497 \h </w:instrText>
      </w:r>
      <w:r>
        <w:rPr>
          <w:rFonts w:hint="eastAsia" w:ascii="Times New Roman" w:hAnsi="Times New Roman" w:cs="宋体"/>
          <w:sz w:val="24"/>
          <w:szCs w:val="24"/>
        </w:rPr>
        <w:fldChar w:fldCharType="separate"/>
      </w:r>
      <w:r>
        <w:rPr>
          <w:rFonts w:hint="eastAsia" w:ascii="Times New Roman" w:hAnsi="Times New Roman" w:cs="宋体"/>
          <w:sz w:val="24"/>
          <w:szCs w:val="24"/>
        </w:rPr>
        <w:t>24</w:t>
      </w:r>
      <w:r>
        <w:rPr>
          <w:rFonts w:hint="eastAsia" w:ascii="Times New Roman" w:hAnsi="Times New Roman" w:cs="宋体"/>
          <w:sz w:val="24"/>
          <w:szCs w:val="24"/>
        </w:rPr>
        <w:fldChar w:fldCharType="end"/>
      </w:r>
      <w:r>
        <w:rPr>
          <w:rFonts w:hint="eastAsia" w:ascii="Times New Roman" w:hAnsi="Times New Roman" w:cs="宋体"/>
          <w:sz w:val="24"/>
          <w:szCs w:val="24"/>
        </w:rPr>
        <w:fldChar w:fldCharType="end"/>
      </w:r>
    </w:p>
    <w:p>
      <w:pPr>
        <w:pStyle w:val="19"/>
        <w:tabs>
          <w:tab w:val="right" w:leader="dot" w:pos="8306"/>
        </w:tabs>
        <w:spacing w:line="312" w:lineRule="auto"/>
        <w:ind w:firstLine="240" w:firstLineChars="100"/>
        <w:jc w:val="left"/>
        <w:rPr>
          <w:rFonts w:hint="eastAsia" w:ascii="Times New Roman" w:hAnsi="Times New Roman" w:cs="宋体"/>
          <w:sz w:val="24"/>
          <w:szCs w:val="24"/>
        </w:rPr>
      </w:pPr>
      <w:r>
        <w:rPr>
          <w:rFonts w:hint="eastAsia" w:ascii="Times New Roman" w:hAnsi="Times New Roman" w:cs="宋体"/>
          <w:sz w:val="24"/>
          <w:szCs w:val="24"/>
        </w:rPr>
        <w:fldChar w:fldCharType="begin"/>
      </w:r>
      <w:r>
        <w:rPr>
          <w:rFonts w:hint="eastAsia" w:ascii="Times New Roman" w:hAnsi="Times New Roman" w:cs="宋体"/>
          <w:sz w:val="24"/>
          <w:szCs w:val="24"/>
        </w:rPr>
        <w:instrText xml:space="preserve"> HYPERLINK \l _Toc16372 </w:instrText>
      </w:r>
      <w:r>
        <w:rPr>
          <w:rFonts w:hint="eastAsia" w:ascii="Times New Roman" w:hAnsi="Times New Roman" w:cs="宋体"/>
          <w:sz w:val="24"/>
          <w:szCs w:val="24"/>
        </w:rPr>
        <w:fldChar w:fldCharType="separate"/>
      </w:r>
      <w:r>
        <w:rPr>
          <w:rFonts w:hint="eastAsia" w:ascii="Times New Roman" w:hAnsi="Times New Roman" w:cs="宋体"/>
          <w:sz w:val="24"/>
          <w:szCs w:val="24"/>
        </w:rPr>
        <w:t>6.1  一般规定</w:t>
      </w:r>
      <w:r>
        <w:rPr>
          <w:rFonts w:hint="eastAsia" w:ascii="Times New Roman" w:hAnsi="Times New Roman" w:cs="宋体"/>
          <w:sz w:val="24"/>
          <w:szCs w:val="24"/>
        </w:rPr>
        <w:tab/>
      </w:r>
      <w:r>
        <w:rPr>
          <w:rFonts w:hint="eastAsia" w:ascii="Times New Roman" w:hAnsi="Times New Roman" w:cs="宋体"/>
          <w:sz w:val="24"/>
          <w:szCs w:val="24"/>
        </w:rPr>
        <w:fldChar w:fldCharType="begin"/>
      </w:r>
      <w:r>
        <w:rPr>
          <w:rFonts w:hint="eastAsia" w:ascii="Times New Roman" w:hAnsi="Times New Roman" w:cs="宋体"/>
          <w:sz w:val="24"/>
          <w:szCs w:val="24"/>
        </w:rPr>
        <w:instrText xml:space="preserve"> PAGEREF _Toc16372 \h </w:instrText>
      </w:r>
      <w:r>
        <w:rPr>
          <w:rFonts w:hint="eastAsia" w:ascii="Times New Roman" w:hAnsi="Times New Roman" w:cs="宋体"/>
          <w:sz w:val="24"/>
          <w:szCs w:val="24"/>
        </w:rPr>
        <w:fldChar w:fldCharType="separate"/>
      </w:r>
      <w:r>
        <w:rPr>
          <w:rFonts w:hint="eastAsia" w:ascii="Times New Roman" w:hAnsi="Times New Roman" w:cs="宋体"/>
          <w:sz w:val="24"/>
          <w:szCs w:val="24"/>
        </w:rPr>
        <w:t>24</w:t>
      </w:r>
      <w:r>
        <w:rPr>
          <w:rFonts w:hint="eastAsia" w:ascii="Times New Roman" w:hAnsi="Times New Roman" w:cs="宋体"/>
          <w:sz w:val="24"/>
          <w:szCs w:val="24"/>
        </w:rPr>
        <w:fldChar w:fldCharType="end"/>
      </w:r>
      <w:r>
        <w:rPr>
          <w:rFonts w:hint="eastAsia" w:ascii="Times New Roman" w:hAnsi="Times New Roman" w:cs="宋体"/>
          <w:sz w:val="24"/>
          <w:szCs w:val="24"/>
        </w:rPr>
        <w:fldChar w:fldCharType="end"/>
      </w:r>
    </w:p>
    <w:p>
      <w:pPr>
        <w:pStyle w:val="19"/>
        <w:tabs>
          <w:tab w:val="right" w:leader="dot" w:pos="8306"/>
        </w:tabs>
        <w:spacing w:line="312" w:lineRule="auto"/>
        <w:ind w:firstLine="240" w:firstLineChars="100"/>
        <w:jc w:val="left"/>
        <w:rPr>
          <w:rFonts w:hint="eastAsia" w:ascii="Times New Roman" w:hAnsi="Times New Roman" w:cs="宋体"/>
          <w:sz w:val="24"/>
          <w:szCs w:val="24"/>
        </w:rPr>
      </w:pPr>
      <w:r>
        <w:rPr>
          <w:rFonts w:hint="eastAsia" w:ascii="Times New Roman" w:hAnsi="Times New Roman" w:cs="宋体"/>
          <w:sz w:val="24"/>
          <w:szCs w:val="24"/>
        </w:rPr>
        <w:fldChar w:fldCharType="begin"/>
      </w:r>
      <w:r>
        <w:rPr>
          <w:rFonts w:hint="eastAsia" w:ascii="Times New Roman" w:hAnsi="Times New Roman" w:cs="宋体"/>
          <w:sz w:val="24"/>
          <w:szCs w:val="24"/>
        </w:rPr>
        <w:instrText xml:space="preserve"> HYPERLINK \l _Toc5255 </w:instrText>
      </w:r>
      <w:r>
        <w:rPr>
          <w:rFonts w:hint="eastAsia" w:ascii="Times New Roman" w:hAnsi="Times New Roman" w:cs="宋体"/>
          <w:sz w:val="24"/>
          <w:szCs w:val="24"/>
        </w:rPr>
        <w:fldChar w:fldCharType="separate"/>
      </w:r>
      <w:r>
        <w:rPr>
          <w:rFonts w:hint="eastAsia" w:ascii="Times New Roman" w:hAnsi="Times New Roman" w:cs="宋体"/>
          <w:sz w:val="24"/>
          <w:szCs w:val="24"/>
        </w:rPr>
        <w:t>6.2  施工准备</w:t>
      </w:r>
      <w:r>
        <w:rPr>
          <w:rFonts w:hint="eastAsia" w:ascii="Times New Roman" w:hAnsi="Times New Roman" w:cs="宋体"/>
          <w:sz w:val="24"/>
          <w:szCs w:val="24"/>
        </w:rPr>
        <w:tab/>
      </w:r>
      <w:r>
        <w:rPr>
          <w:rFonts w:hint="eastAsia" w:ascii="Times New Roman" w:hAnsi="Times New Roman" w:cs="宋体"/>
          <w:sz w:val="24"/>
          <w:szCs w:val="24"/>
        </w:rPr>
        <w:fldChar w:fldCharType="begin"/>
      </w:r>
      <w:r>
        <w:rPr>
          <w:rFonts w:hint="eastAsia" w:ascii="Times New Roman" w:hAnsi="Times New Roman" w:cs="宋体"/>
          <w:sz w:val="24"/>
          <w:szCs w:val="24"/>
        </w:rPr>
        <w:instrText xml:space="preserve"> PAGEREF _Toc5255 \h </w:instrText>
      </w:r>
      <w:r>
        <w:rPr>
          <w:rFonts w:hint="eastAsia" w:ascii="Times New Roman" w:hAnsi="Times New Roman" w:cs="宋体"/>
          <w:sz w:val="24"/>
          <w:szCs w:val="24"/>
        </w:rPr>
        <w:fldChar w:fldCharType="separate"/>
      </w:r>
      <w:r>
        <w:rPr>
          <w:rFonts w:hint="eastAsia" w:ascii="Times New Roman" w:hAnsi="Times New Roman" w:cs="宋体"/>
          <w:sz w:val="24"/>
          <w:szCs w:val="24"/>
        </w:rPr>
        <w:t>25</w:t>
      </w:r>
      <w:r>
        <w:rPr>
          <w:rFonts w:hint="eastAsia" w:ascii="Times New Roman" w:hAnsi="Times New Roman" w:cs="宋体"/>
          <w:sz w:val="24"/>
          <w:szCs w:val="24"/>
        </w:rPr>
        <w:fldChar w:fldCharType="end"/>
      </w:r>
      <w:r>
        <w:rPr>
          <w:rFonts w:hint="eastAsia" w:ascii="Times New Roman" w:hAnsi="Times New Roman" w:cs="宋体"/>
          <w:sz w:val="24"/>
          <w:szCs w:val="24"/>
        </w:rPr>
        <w:fldChar w:fldCharType="end"/>
      </w:r>
    </w:p>
    <w:p>
      <w:pPr>
        <w:pStyle w:val="19"/>
        <w:tabs>
          <w:tab w:val="right" w:leader="dot" w:pos="8306"/>
        </w:tabs>
        <w:spacing w:line="312" w:lineRule="auto"/>
        <w:ind w:firstLine="240" w:firstLineChars="100"/>
        <w:jc w:val="left"/>
        <w:rPr>
          <w:rFonts w:hint="eastAsia" w:ascii="Times New Roman" w:hAnsi="Times New Roman" w:cs="宋体"/>
          <w:sz w:val="24"/>
          <w:szCs w:val="24"/>
        </w:rPr>
      </w:pPr>
      <w:r>
        <w:rPr>
          <w:rFonts w:hint="eastAsia" w:ascii="Times New Roman" w:hAnsi="Times New Roman" w:cs="宋体"/>
          <w:sz w:val="24"/>
          <w:szCs w:val="24"/>
        </w:rPr>
        <w:fldChar w:fldCharType="begin"/>
      </w:r>
      <w:r>
        <w:rPr>
          <w:rFonts w:hint="eastAsia" w:ascii="Times New Roman" w:hAnsi="Times New Roman" w:cs="宋体"/>
          <w:sz w:val="24"/>
          <w:szCs w:val="24"/>
        </w:rPr>
        <w:instrText xml:space="preserve"> HYPERLINK \l _Toc2247 </w:instrText>
      </w:r>
      <w:r>
        <w:rPr>
          <w:rFonts w:hint="eastAsia" w:ascii="Times New Roman" w:hAnsi="Times New Roman" w:cs="宋体"/>
          <w:sz w:val="24"/>
          <w:szCs w:val="24"/>
        </w:rPr>
        <w:fldChar w:fldCharType="separate"/>
      </w:r>
      <w:r>
        <w:rPr>
          <w:rFonts w:hint="eastAsia" w:ascii="Times New Roman" w:hAnsi="Times New Roman" w:cs="宋体"/>
          <w:sz w:val="24"/>
          <w:szCs w:val="24"/>
        </w:rPr>
        <w:t>6.3  过程控制</w:t>
      </w:r>
      <w:r>
        <w:rPr>
          <w:rFonts w:hint="eastAsia" w:ascii="Times New Roman" w:hAnsi="Times New Roman" w:cs="宋体"/>
          <w:sz w:val="24"/>
          <w:szCs w:val="24"/>
        </w:rPr>
        <w:tab/>
      </w:r>
      <w:r>
        <w:rPr>
          <w:rFonts w:hint="eastAsia" w:ascii="Times New Roman" w:hAnsi="Times New Roman" w:cs="宋体"/>
          <w:sz w:val="24"/>
          <w:szCs w:val="24"/>
        </w:rPr>
        <w:fldChar w:fldCharType="begin"/>
      </w:r>
      <w:r>
        <w:rPr>
          <w:rFonts w:hint="eastAsia" w:ascii="Times New Roman" w:hAnsi="Times New Roman" w:cs="宋体"/>
          <w:sz w:val="24"/>
          <w:szCs w:val="24"/>
        </w:rPr>
        <w:instrText xml:space="preserve"> PAGEREF _Toc2247 \h </w:instrText>
      </w:r>
      <w:r>
        <w:rPr>
          <w:rFonts w:hint="eastAsia" w:ascii="Times New Roman" w:hAnsi="Times New Roman" w:cs="宋体"/>
          <w:sz w:val="24"/>
          <w:szCs w:val="24"/>
        </w:rPr>
        <w:fldChar w:fldCharType="separate"/>
      </w:r>
      <w:r>
        <w:rPr>
          <w:rFonts w:hint="eastAsia" w:ascii="Times New Roman" w:hAnsi="Times New Roman" w:cs="宋体"/>
          <w:sz w:val="24"/>
          <w:szCs w:val="24"/>
        </w:rPr>
        <w:t>25</w:t>
      </w:r>
      <w:r>
        <w:rPr>
          <w:rFonts w:hint="eastAsia" w:ascii="Times New Roman" w:hAnsi="Times New Roman" w:cs="宋体"/>
          <w:sz w:val="24"/>
          <w:szCs w:val="24"/>
        </w:rPr>
        <w:fldChar w:fldCharType="end"/>
      </w:r>
      <w:r>
        <w:rPr>
          <w:rFonts w:hint="eastAsia" w:ascii="Times New Roman" w:hAnsi="Times New Roman" w:cs="宋体"/>
          <w:sz w:val="24"/>
          <w:szCs w:val="24"/>
        </w:rPr>
        <w:fldChar w:fldCharType="end"/>
      </w:r>
    </w:p>
    <w:p>
      <w:pPr>
        <w:pStyle w:val="19"/>
        <w:tabs>
          <w:tab w:val="right" w:leader="dot" w:pos="8306"/>
        </w:tabs>
        <w:spacing w:line="312" w:lineRule="auto"/>
        <w:ind w:firstLine="240" w:firstLineChars="100"/>
        <w:jc w:val="left"/>
        <w:rPr>
          <w:rFonts w:hint="eastAsia" w:ascii="Times New Roman" w:hAnsi="Times New Roman" w:cs="宋体"/>
          <w:sz w:val="24"/>
          <w:szCs w:val="24"/>
        </w:rPr>
      </w:pPr>
      <w:r>
        <w:rPr>
          <w:rFonts w:hint="eastAsia" w:ascii="Times New Roman" w:hAnsi="Times New Roman" w:cs="宋体"/>
          <w:sz w:val="24"/>
          <w:szCs w:val="24"/>
        </w:rPr>
        <w:fldChar w:fldCharType="begin"/>
      </w:r>
      <w:r>
        <w:rPr>
          <w:rFonts w:hint="eastAsia" w:ascii="Times New Roman" w:hAnsi="Times New Roman" w:cs="宋体"/>
          <w:sz w:val="24"/>
          <w:szCs w:val="24"/>
        </w:rPr>
        <w:instrText xml:space="preserve"> HYPERLINK \l _Toc11853 </w:instrText>
      </w:r>
      <w:r>
        <w:rPr>
          <w:rFonts w:hint="eastAsia" w:ascii="Times New Roman" w:hAnsi="Times New Roman" w:cs="宋体"/>
          <w:sz w:val="24"/>
          <w:szCs w:val="24"/>
        </w:rPr>
        <w:fldChar w:fldCharType="separate"/>
      </w:r>
      <w:r>
        <w:rPr>
          <w:rFonts w:hint="eastAsia" w:ascii="Times New Roman" w:hAnsi="Times New Roman" w:cs="宋体"/>
          <w:sz w:val="24"/>
          <w:szCs w:val="24"/>
        </w:rPr>
        <w:t>6.4  季节性施工</w:t>
      </w:r>
      <w:r>
        <w:rPr>
          <w:rFonts w:hint="eastAsia" w:ascii="Times New Roman" w:hAnsi="Times New Roman" w:cs="宋体"/>
          <w:sz w:val="24"/>
          <w:szCs w:val="24"/>
        </w:rPr>
        <w:tab/>
      </w:r>
      <w:r>
        <w:rPr>
          <w:rFonts w:hint="eastAsia" w:ascii="Times New Roman" w:hAnsi="Times New Roman" w:cs="宋体"/>
          <w:sz w:val="24"/>
          <w:szCs w:val="24"/>
        </w:rPr>
        <w:fldChar w:fldCharType="begin"/>
      </w:r>
      <w:r>
        <w:rPr>
          <w:rFonts w:hint="eastAsia" w:ascii="Times New Roman" w:hAnsi="Times New Roman" w:cs="宋体"/>
          <w:sz w:val="24"/>
          <w:szCs w:val="24"/>
        </w:rPr>
        <w:instrText xml:space="preserve"> PAGEREF _Toc11853 \h </w:instrText>
      </w:r>
      <w:r>
        <w:rPr>
          <w:rFonts w:hint="eastAsia" w:ascii="Times New Roman" w:hAnsi="Times New Roman" w:cs="宋体"/>
          <w:sz w:val="24"/>
          <w:szCs w:val="24"/>
        </w:rPr>
        <w:fldChar w:fldCharType="separate"/>
      </w:r>
      <w:r>
        <w:rPr>
          <w:rFonts w:hint="eastAsia" w:ascii="Times New Roman" w:hAnsi="Times New Roman" w:cs="宋体"/>
          <w:sz w:val="24"/>
          <w:szCs w:val="24"/>
        </w:rPr>
        <w:t>26</w:t>
      </w:r>
      <w:r>
        <w:rPr>
          <w:rFonts w:hint="eastAsia" w:ascii="Times New Roman" w:hAnsi="Times New Roman" w:cs="宋体"/>
          <w:sz w:val="24"/>
          <w:szCs w:val="24"/>
        </w:rPr>
        <w:fldChar w:fldCharType="end"/>
      </w:r>
      <w:r>
        <w:rPr>
          <w:rFonts w:hint="eastAsia" w:ascii="Times New Roman" w:hAnsi="Times New Roman" w:cs="宋体"/>
          <w:sz w:val="24"/>
          <w:szCs w:val="24"/>
        </w:rPr>
        <w:fldChar w:fldCharType="end"/>
      </w:r>
    </w:p>
    <w:p>
      <w:pPr>
        <w:pStyle w:val="19"/>
        <w:tabs>
          <w:tab w:val="right" w:leader="dot" w:pos="8306"/>
        </w:tabs>
        <w:spacing w:line="312" w:lineRule="auto"/>
        <w:jc w:val="left"/>
        <w:rPr>
          <w:rFonts w:hint="eastAsia" w:ascii="Times New Roman" w:hAnsi="Times New Roman" w:cs="宋体"/>
          <w:sz w:val="24"/>
          <w:szCs w:val="24"/>
        </w:rPr>
      </w:pPr>
      <w:r>
        <w:rPr>
          <w:rFonts w:hint="eastAsia" w:ascii="Times New Roman" w:hAnsi="Times New Roman" w:cs="宋体"/>
          <w:sz w:val="24"/>
          <w:szCs w:val="24"/>
        </w:rPr>
        <w:fldChar w:fldCharType="begin"/>
      </w:r>
      <w:r>
        <w:rPr>
          <w:rFonts w:hint="eastAsia" w:ascii="Times New Roman" w:hAnsi="Times New Roman" w:cs="宋体"/>
          <w:sz w:val="24"/>
          <w:szCs w:val="24"/>
        </w:rPr>
        <w:instrText xml:space="preserve"> HYPERLINK \l _Toc28246 </w:instrText>
      </w:r>
      <w:r>
        <w:rPr>
          <w:rFonts w:hint="eastAsia" w:ascii="Times New Roman" w:hAnsi="Times New Roman" w:cs="宋体"/>
          <w:sz w:val="24"/>
          <w:szCs w:val="24"/>
        </w:rPr>
        <w:fldChar w:fldCharType="separate"/>
      </w:r>
      <w:r>
        <w:rPr>
          <w:rFonts w:hint="eastAsia" w:ascii="Times New Roman" w:hAnsi="Times New Roman" w:cs="宋体"/>
          <w:sz w:val="24"/>
          <w:szCs w:val="24"/>
        </w:rPr>
        <w:t>7  质量验收</w:t>
      </w:r>
      <w:r>
        <w:rPr>
          <w:rFonts w:hint="eastAsia" w:ascii="Times New Roman" w:hAnsi="Times New Roman" w:cs="宋体"/>
          <w:sz w:val="24"/>
          <w:szCs w:val="24"/>
        </w:rPr>
        <w:tab/>
      </w:r>
      <w:r>
        <w:rPr>
          <w:rFonts w:hint="eastAsia" w:ascii="Times New Roman" w:hAnsi="Times New Roman" w:cs="宋体"/>
          <w:sz w:val="24"/>
          <w:szCs w:val="24"/>
        </w:rPr>
        <w:fldChar w:fldCharType="begin"/>
      </w:r>
      <w:r>
        <w:rPr>
          <w:rFonts w:hint="eastAsia" w:ascii="Times New Roman" w:hAnsi="Times New Roman" w:cs="宋体"/>
          <w:sz w:val="24"/>
          <w:szCs w:val="24"/>
        </w:rPr>
        <w:instrText xml:space="preserve"> PAGEREF _Toc28246 \h </w:instrText>
      </w:r>
      <w:r>
        <w:rPr>
          <w:rFonts w:hint="eastAsia" w:ascii="Times New Roman" w:hAnsi="Times New Roman" w:cs="宋体"/>
          <w:sz w:val="24"/>
          <w:szCs w:val="24"/>
        </w:rPr>
        <w:fldChar w:fldCharType="separate"/>
      </w:r>
      <w:r>
        <w:rPr>
          <w:rFonts w:hint="eastAsia" w:ascii="Times New Roman" w:hAnsi="Times New Roman" w:cs="宋体"/>
          <w:sz w:val="24"/>
          <w:szCs w:val="24"/>
        </w:rPr>
        <w:t>27</w:t>
      </w:r>
      <w:r>
        <w:rPr>
          <w:rFonts w:hint="eastAsia" w:ascii="Times New Roman" w:hAnsi="Times New Roman" w:cs="宋体"/>
          <w:sz w:val="24"/>
          <w:szCs w:val="24"/>
        </w:rPr>
        <w:fldChar w:fldCharType="end"/>
      </w:r>
      <w:r>
        <w:rPr>
          <w:rFonts w:hint="eastAsia" w:ascii="Times New Roman" w:hAnsi="Times New Roman" w:cs="宋体"/>
          <w:sz w:val="24"/>
          <w:szCs w:val="24"/>
        </w:rPr>
        <w:fldChar w:fldCharType="end"/>
      </w:r>
    </w:p>
    <w:p>
      <w:pPr>
        <w:pStyle w:val="19"/>
        <w:tabs>
          <w:tab w:val="right" w:leader="dot" w:pos="8306"/>
        </w:tabs>
        <w:spacing w:line="312" w:lineRule="auto"/>
        <w:ind w:firstLine="240" w:firstLineChars="100"/>
        <w:jc w:val="left"/>
        <w:rPr>
          <w:rFonts w:hint="eastAsia" w:ascii="Times New Roman" w:hAnsi="Times New Roman" w:cs="宋体"/>
          <w:sz w:val="24"/>
          <w:szCs w:val="24"/>
        </w:rPr>
      </w:pPr>
      <w:r>
        <w:rPr>
          <w:rFonts w:hint="eastAsia" w:ascii="Times New Roman" w:hAnsi="Times New Roman" w:cs="宋体"/>
          <w:sz w:val="24"/>
          <w:szCs w:val="24"/>
        </w:rPr>
        <w:fldChar w:fldCharType="begin"/>
      </w:r>
      <w:r>
        <w:rPr>
          <w:rFonts w:hint="eastAsia" w:ascii="Times New Roman" w:hAnsi="Times New Roman" w:cs="宋体"/>
          <w:sz w:val="24"/>
          <w:szCs w:val="24"/>
        </w:rPr>
        <w:instrText xml:space="preserve"> HYPERLINK \l _Toc13853 </w:instrText>
      </w:r>
      <w:r>
        <w:rPr>
          <w:rFonts w:hint="eastAsia" w:ascii="Times New Roman" w:hAnsi="Times New Roman" w:cs="宋体"/>
          <w:sz w:val="24"/>
          <w:szCs w:val="24"/>
        </w:rPr>
        <w:fldChar w:fldCharType="separate"/>
      </w:r>
      <w:r>
        <w:rPr>
          <w:rFonts w:hint="eastAsia" w:ascii="Times New Roman" w:hAnsi="Times New Roman" w:cs="宋体"/>
          <w:sz w:val="24"/>
          <w:szCs w:val="24"/>
        </w:rPr>
        <w:t>7.1  一般规定</w:t>
      </w:r>
      <w:r>
        <w:rPr>
          <w:rFonts w:hint="eastAsia" w:ascii="Times New Roman" w:hAnsi="Times New Roman" w:cs="宋体"/>
          <w:sz w:val="24"/>
          <w:szCs w:val="24"/>
        </w:rPr>
        <w:tab/>
      </w:r>
      <w:r>
        <w:rPr>
          <w:rFonts w:hint="eastAsia" w:ascii="Times New Roman" w:hAnsi="Times New Roman" w:cs="宋体"/>
          <w:sz w:val="24"/>
          <w:szCs w:val="24"/>
        </w:rPr>
        <w:fldChar w:fldCharType="begin"/>
      </w:r>
      <w:r>
        <w:rPr>
          <w:rFonts w:hint="eastAsia" w:ascii="Times New Roman" w:hAnsi="Times New Roman" w:cs="宋体"/>
          <w:sz w:val="24"/>
          <w:szCs w:val="24"/>
        </w:rPr>
        <w:instrText xml:space="preserve"> PAGEREF _Toc13853 \h </w:instrText>
      </w:r>
      <w:r>
        <w:rPr>
          <w:rFonts w:hint="eastAsia" w:ascii="Times New Roman" w:hAnsi="Times New Roman" w:cs="宋体"/>
          <w:sz w:val="24"/>
          <w:szCs w:val="24"/>
        </w:rPr>
        <w:fldChar w:fldCharType="separate"/>
      </w:r>
      <w:r>
        <w:rPr>
          <w:rFonts w:hint="eastAsia" w:ascii="Times New Roman" w:hAnsi="Times New Roman" w:cs="宋体"/>
          <w:sz w:val="24"/>
          <w:szCs w:val="24"/>
        </w:rPr>
        <w:t>27</w:t>
      </w:r>
      <w:r>
        <w:rPr>
          <w:rFonts w:hint="eastAsia" w:ascii="Times New Roman" w:hAnsi="Times New Roman" w:cs="宋体"/>
          <w:sz w:val="24"/>
          <w:szCs w:val="24"/>
        </w:rPr>
        <w:fldChar w:fldCharType="end"/>
      </w:r>
      <w:r>
        <w:rPr>
          <w:rFonts w:hint="eastAsia" w:ascii="Times New Roman" w:hAnsi="Times New Roman" w:cs="宋体"/>
          <w:sz w:val="24"/>
          <w:szCs w:val="24"/>
        </w:rPr>
        <w:fldChar w:fldCharType="end"/>
      </w:r>
    </w:p>
    <w:p>
      <w:pPr>
        <w:pStyle w:val="19"/>
        <w:tabs>
          <w:tab w:val="right" w:leader="dot" w:pos="8306"/>
        </w:tabs>
        <w:spacing w:line="312" w:lineRule="auto"/>
        <w:ind w:firstLine="240" w:firstLineChars="100"/>
        <w:jc w:val="left"/>
        <w:rPr>
          <w:rFonts w:hint="eastAsia" w:ascii="Times New Roman" w:hAnsi="Times New Roman" w:cs="宋体"/>
          <w:sz w:val="24"/>
          <w:szCs w:val="24"/>
        </w:rPr>
      </w:pPr>
      <w:r>
        <w:rPr>
          <w:rFonts w:hint="eastAsia" w:ascii="Times New Roman" w:hAnsi="Times New Roman" w:cs="宋体"/>
          <w:sz w:val="24"/>
          <w:szCs w:val="24"/>
        </w:rPr>
        <w:fldChar w:fldCharType="begin"/>
      </w:r>
      <w:r>
        <w:rPr>
          <w:rFonts w:hint="eastAsia" w:ascii="Times New Roman" w:hAnsi="Times New Roman" w:cs="宋体"/>
          <w:sz w:val="24"/>
          <w:szCs w:val="24"/>
        </w:rPr>
        <w:instrText xml:space="preserve"> HYPERLINK \l _Toc14870 </w:instrText>
      </w:r>
      <w:r>
        <w:rPr>
          <w:rFonts w:hint="eastAsia" w:ascii="Times New Roman" w:hAnsi="Times New Roman" w:cs="宋体"/>
          <w:sz w:val="24"/>
          <w:szCs w:val="24"/>
        </w:rPr>
        <w:fldChar w:fldCharType="separate"/>
      </w:r>
      <w:r>
        <w:rPr>
          <w:rFonts w:hint="eastAsia" w:ascii="Times New Roman" w:hAnsi="Times New Roman" w:cs="宋体"/>
          <w:sz w:val="24"/>
          <w:szCs w:val="24"/>
        </w:rPr>
        <w:t>7.2  主控项目</w:t>
      </w:r>
      <w:r>
        <w:rPr>
          <w:rFonts w:hint="eastAsia" w:ascii="Times New Roman" w:hAnsi="Times New Roman" w:cs="宋体"/>
          <w:sz w:val="24"/>
          <w:szCs w:val="24"/>
        </w:rPr>
        <w:tab/>
      </w:r>
      <w:r>
        <w:rPr>
          <w:rFonts w:hint="eastAsia" w:ascii="Times New Roman" w:hAnsi="Times New Roman" w:cs="宋体"/>
          <w:sz w:val="24"/>
          <w:szCs w:val="24"/>
        </w:rPr>
        <w:fldChar w:fldCharType="begin"/>
      </w:r>
      <w:r>
        <w:rPr>
          <w:rFonts w:hint="eastAsia" w:ascii="Times New Roman" w:hAnsi="Times New Roman" w:cs="宋体"/>
          <w:sz w:val="24"/>
          <w:szCs w:val="24"/>
        </w:rPr>
        <w:instrText xml:space="preserve"> PAGEREF _Toc14870 \h </w:instrText>
      </w:r>
      <w:r>
        <w:rPr>
          <w:rFonts w:hint="eastAsia" w:ascii="Times New Roman" w:hAnsi="Times New Roman" w:cs="宋体"/>
          <w:sz w:val="24"/>
          <w:szCs w:val="24"/>
        </w:rPr>
        <w:fldChar w:fldCharType="separate"/>
      </w:r>
      <w:r>
        <w:rPr>
          <w:rFonts w:hint="eastAsia" w:ascii="Times New Roman" w:hAnsi="Times New Roman" w:cs="宋体"/>
          <w:sz w:val="24"/>
          <w:szCs w:val="24"/>
        </w:rPr>
        <w:t>28</w:t>
      </w:r>
      <w:r>
        <w:rPr>
          <w:rFonts w:hint="eastAsia" w:ascii="Times New Roman" w:hAnsi="Times New Roman" w:cs="宋体"/>
          <w:sz w:val="24"/>
          <w:szCs w:val="24"/>
        </w:rPr>
        <w:fldChar w:fldCharType="end"/>
      </w:r>
      <w:r>
        <w:rPr>
          <w:rFonts w:hint="eastAsia" w:ascii="Times New Roman" w:hAnsi="Times New Roman" w:cs="宋体"/>
          <w:sz w:val="24"/>
          <w:szCs w:val="24"/>
        </w:rPr>
        <w:fldChar w:fldCharType="end"/>
      </w:r>
    </w:p>
    <w:p>
      <w:pPr>
        <w:pStyle w:val="19"/>
        <w:tabs>
          <w:tab w:val="right" w:leader="dot" w:pos="8306"/>
        </w:tabs>
        <w:spacing w:line="312" w:lineRule="auto"/>
        <w:ind w:firstLine="240" w:firstLineChars="100"/>
        <w:jc w:val="left"/>
        <w:rPr>
          <w:rFonts w:hint="eastAsia" w:ascii="Times New Roman" w:hAnsi="Times New Roman" w:cs="宋体"/>
          <w:sz w:val="24"/>
          <w:szCs w:val="24"/>
        </w:rPr>
      </w:pPr>
      <w:r>
        <w:rPr>
          <w:rFonts w:hint="eastAsia" w:ascii="Times New Roman" w:hAnsi="Times New Roman" w:cs="宋体"/>
          <w:sz w:val="24"/>
          <w:szCs w:val="24"/>
        </w:rPr>
        <w:fldChar w:fldCharType="begin"/>
      </w:r>
      <w:r>
        <w:rPr>
          <w:rFonts w:hint="eastAsia" w:ascii="Times New Roman" w:hAnsi="Times New Roman" w:cs="宋体"/>
          <w:sz w:val="24"/>
          <w:szCs w:val="24"/>
        </w:rPr>
        <w:instrText xml:space="preserve"> HYPERLINK \l _Toc875 </w:instrText>
      </w:r>
      <w:r>
        <w:rPr>
          <w:rFonts w:hint="eastAsia" w:ascii="Times New Roman" w:hAnsi="Times New Roman" w:cs="宋体"/>
          <w:sz w:val="24"/>
          <w:szCs w:val="24"/>
        </w:rPr>
        <w:fldChar w:fldCharType="separate"/>
      </w:r>
      <w:r>
        <w:rPr>
          <w:rFonts w:hint="eastAsia" w:ascii="Times New Roman" w:hAnsi="Times New Roman" w:cs="宋体"/>
          <w:sz w:val="24"/>
          <w:szCs w:val="24"/>
        </w:rPr>
        <w:t>7.3  一般项目</w:t>
      </w:r>
      <w:r>
        <w:rPr>
          <w:rFonts w:hint="eastAsia" w:ascii="Times New Roman" w:hAnsi="Times New Roman" w:cs="宋体"/>
          <w:sz w:val="24"/>
          <w:szCs w:val="24"/>
        </w:rPr>
        <w:tab/>
      </w:r>
      <w:r>
        <w:rPr>
          <w:rFonts w:hint="eastAsia" w:ascii="Times New Roman" w:hAnsi="Times New Roman" w:cs="宋体"/>
          <w:sz w:val="24"/>
          <w:szCs w:val="24"/>
        </w:rPr>
        <w:fldChar w:fldCharType="begin"/>
      </w:r>
      <w:r>
        <w:rPr>
          <w:rFonts w:hint="eastAsia" w:ascii="Times New Roman" w:hAnsi="Times New Roman" w:cs="宋体"/>
          <w:sz w:val="24"/>
          <w:szCs w:val="24"/>
        </w:rPr>
        <w:instrText xml:space="preserve"> PAGEREF _Toc875 \h </w:instrText>
      </w:r>
      <w:r>
        <w:rPr>
          <w:rFonts w:hint="eastAsia" w:ascii="Times New Roman" w:hAnsi="Times New Roman" w:cs="宋体"/>
          <w:sz w:val="24"/>
          <w:szCs w:val="24"/>
        </w:rPr>
        <w:fldChar w:fldCharType="separate"/>
      </w:r>
      <w:r>
        <w:rPr>
          <w:rFonts w:hint="eastAsia" w:ascii="Times New Roman" w:hAnsi="Times New Roman" w:cs="宋体"/>
          <w:sz w:val="24"/>
          <w:szCs w:val="24"/>
        </w:rPr>
        <w:t>29</w:t>
      </w:r>
      <w:r>
        <w:rPr>
          <w:rFonts w:hint="eastAsia" w:ascii="Times New Roman" w:hAnsi="Times New Roman" w:cs="宋体"/>
          <w:sz w:val="24"/>
          <w:szCs w:val="24"/>
        </w:rPr>
        <w:fldChar w:fldCharType="end"/>
      </w:r>
      <w:r>
        <w:rPr>
          <w:rFonts w:hint="eastAsia" w:ascii="Times New Roman" w:hAnsi="Times New Roman" w:cs="宋体"/>
          <w:sz w:val="24"/>
          <w:szCs w:val="24"/>
        </w:rPr>
        <w:fldChar w:fldCharType="end"/>
      </w:r>
    </w:p>
    <w:p>
      <w:pPr>
        <w:pStyle w:val="19"/>
        <w:tabs>
          <w:tab w:val="right" w:leader="dot" w:pos="8306"/>
        </w:tabs>
        <w:spacing w:line="312" w:lineRule="auto"/>
        <w:jc w:val="left"/>
        <w:rPr>
          <w:rFonts w:hint="eastAsia" w:ascii="Times New Roman" w:hAnsi="Times New Roman" w:cs="宋体"/>
          <w:sz w:val="24"/>
          <w:szCs w:val="24"/>
        </w:rPr>
      </w:pPr>
      <w:r>
        <w:rPr>
          <w:rFonts w:hint="eastAsia" w:ascii="Times New Roman" w:hAnsi="Times New Roman" w:cs="宋体"/>
          <w:sz w:val="24"/>
          <w:szCs w:val="24"/>
        </w:rPr>
        <w:fldChar w:fldCharType="begin"/>
      </w:r>
      <w:r>
        <w:rPr>
          <w:rFonts w:hint="eastAsia" w:ascii="Times New Roman" w:hAnsi="Times New Roman" w:cs="宋体"/>
          <w:sz w:val="24"/>
          <w:szCs w:val="24"/>
        </w:rPr>
        <w:instrText xml:space="preserve"> HYPERLINK \l _Toc12830 </w:instrText>
      </w:r>
      <w:r>
        <w:rPr>
          <w:rFonts w:hint="eastAsia" w:ascii="Times New Roman" w:hAnsi="Times New Roman" w:cs="宋体"/>
          <w:sz w:val="24"/>
          <w:szCs w:val="24"/>
        </w:rPr>
        <w:fldChar w:fldCharType="separate"/>
      </w:r>
      <w:r>
        <w:rPr>
          <w:rFonts w:hint="eastAsia" w:ascii="Times New Roman" w:hAnsi="Times New Roman" w:cs="宋体"/>
          <w:sz w:val="24"/>
          <w:szCs w:val="24"/>
        </w:rPr>
        <w:t>附录A  高延性混凝土弯曲试验方法</w:t>
      </w:r>
      <w:r>
        <w:rPr>
          <w:rFonts w:hint="eastAsia" w:ascii="Times New Roman" w:hAnsi="Times New Roman" w:cs="宋体"/>
          <w:sz w:val="24"/>
          <w:szCs w:val="24"/>
        </w:rPr>
        <w:tab/>
      </w:r>
      <w:r>
        <w:rPr>
          <w:rFonts w:hint="eastAsia" w:ascii="Times New Roman" w:hAnsi="Times New Roman" w:cs="宋体"/>
          <w:sz w:val="24"/>
          <w:szCs w:val="24"/>
        </w:rPr>
        <w:fldChar w:fldCharType="begin"/>
      </w:r>
      <w:r>
        <w:rPr>
          <w:rFonts w:hint="eastAsia" w:ascii="Times New Roman" w:hAnsi="Times New Roman" w:cs="宋体"/>
          <w:sz w:val="24"/>
          <w:szCs w:val="24"/>
        </w:rPr>
        <w:instrText xml:space="preserve"> PAGEREF _Toc12830 \h </w:instrText>
      </w:r>
      <w:r>
        <w:rPr>
          <w:rFonts w:hint="eastAsia" w:ascii="Times New Roman" w:hAnsi="Times New Roman" w:cs="宋体"/>
          <w:sz w:val="24"/>
          <w:szCs w:val="24"/>
        </w:rPr>
        <w:fldChar w:fldCharType="separate"/>
      </w:r>
      <w:r>
        <w:rPr>
          <w:rFonts w:hint="eastAsia" w:ascii="Times New Roman" w:hAnsi="Times New Roman" w:cs="宋体"/>
          <w:sz w:val="24"/>
          <w:szCs w:val="24"/>
        </w:rPr>
        <w:t>31</w:t>
      </w:r>
      <w:r>
        <w:rPr>
          <w:rFonts w:hint="eastAsia" w:ascii="Times New Roman" w:hAnsi="Times New Roman" w:cs="宋体"/>
          <w:sz w:val="24"/>
          <w:szCs w:val="24"/>
        </w:rPr>
        <w:fldChar w:fldCharType="end"/>
      </w:r>
      <w:r>
        <w:rPr>
          <w:rFonts w:hint="eastAsia" w:ascii="Times New Roman" w:hAnsi="Times New Roman" w:cs="宋体"/>
          <w:sz w:val="24"/>
          <w:szCs w:val="24"/>
        </w:rPr>
        <w:fldChar w:fldCharType="end"/>
      </w:r>
    </w:p>
    <w:p>
      <w:pPr>
        <w:pStyle w:val="19"/>
        <w:tabs>
          <w:tab w:val="right" w:leader="dot" w:pos="8306"/>
        </w:tabs>
        <w:spacing w:line="312" w:lineRule="auto"/>
        <w:jc w:val="left"/>
        <w:rPr>
          <w:rFonts w:hint="eastAsia" w:ascii="Times New Roman" w:hAnsi="Times New Roman" w:cs="宋体"/>
          <w:sz w:val="24"/>
          <w:szCs w:val="24"/>
        </w:rPr>
      </w:pPr>
      <w:r>
        <w:rPr>
          <w:rFonts w:hint="eastAsia" w:ascii="Times New Roman" w:hAnsi="Times New Roman" w:cs="宋体"/>
          <w:sz w:val="24"/>
          <w:szCs w:val="24"/>
        </w:rPr>
        <w:fldChar w:fldCharType="begin"/>
      </w:r>
      <w:r>
        <w:rPr>
          <w:rFonts w:hint="eastAsia" w:ascii="Times New Roman" w:hAnsi="Times New Roman" w:cs="宋体"/>
          <w:sz w:val="24"/>
          <w:szCs w:val="24"/>
        </w:rPr>
        <w:instrText xml:space="preserve"> HYPERLINK \l _Toc9515 </w:instrText>
      </w:r>
      <w:r>
        <w:rPr>
          <w:rFonts w:hint="eastAsia" w:ascii="Times New Roman" w:hAnsi="Times New Roman" w:cs="宋体"/>
          <w:sz w:val="24"/>
          <w:szCs w:val="24"/>
        </w:rPr>
        <w:fldChar w:fldCharType="separate"/>
      </w:r>
      <w:r>
        <w:rPr>
          <w:rFonts w:hint="eastAsia" w:ascii="Times New Roman" w:hAnsi="Times New Roman" w:cs="宋体"/>
          <w:sz w:val="24"/>
          <w:szCs w:val="24"/>
        </w:rPr>
        <w:t>附录B  高延性混凝土力学性能快速检验方法</w:t>
      </w:r>
      <w:r>
        <w:rPr>
          <w:rFonts w:hint="eastAsia" w:ascii="Times New Roman" w:hAnsi="Times New Roman" w:cs="宋体"/>
          <w:sz w:val="24"/>
          <w:szCs w:val="24"/>
        </w:rPr>
        <w:tab/>
      </w:r>
      <w:r>
        <w:rPr>
          <w:rFonts w:hint="eastAsia" w:ascii="Times New Roman" w:hAnsi="Times New Roman" w:cs="宋体"/>
          <w:sz w:val="24"/>
          <w:szCs w:val="24"/>
        </w:rPr>
        <w:fldChar w:fldCharType="begin"/>
      </w:r>
      <w:r>
        <w:rPr>
          <w:rFonts w:hint="eastAsia" w:ascii="Times New Roman" w:hAnsi="Times New Roman" w:cs="宋体"/>
          <w:sz w:val="24"/>
          <w:szCs w:val="24"/>
        </w:rPr>
        <w:instrText xml:space="preserve"> PAGEREF _Toc9515 \h </w:instrText>
      </w:r>
      <w:r>
        <w:rPr>
          <w:rFonts w:hint="eastAsia" w:ascii="Times New Roman" w:hAnsi="Times New Roman" w:cs="宋体"/>
          <w:sz w:val="24"/>
          <w:szCs w:val="24"/>
        </w:rPr>
        <w:fldChar w:fldCharType="separate"/>
      </w:r>
      <w:r>
        <w:rPr>
          <w:rFonts w:hint="eastAsia" w:ascii="Times New Roman" w:hAnsi="Times New Roman" w:cs="宋体"/>
          <w:sz w:val="24"/>
          <w:szCs w:val="24"/>
        </w:rPr>
        <w:t>34</w:t>
      </w:r>
      <w:r>
        <w:rPr>
          <w:rFonts w:hint="eastAsia" w:ascii="Times New Roman" w:hAnsi="Times New Roman" w:cs="宋体"/>
          <w:sz w:val="24"/>
          <w:szCs w:val="24"/>
        </w:rPr>
        <w:fldChar w:fldCharType="end"/>
      </w:r>
      <w:r>
        <w:rPr>
          <w:rFonts w:hint="eastAsia" w:ascii="Times New Roman" w:hAnsi="Times New Roman" w:cs="宋体"/>
          <w:sz w:val="24"/>
          <w:szCs w:val="24"/>
        </w:rPr>
        <w:fldChar w:fldCharType="end"/>
      </w:r>
    </w:p>
    <w:p>
      <w:pPr>
        <w:pStyle w:val="19"/>
        <w:tabs>
          <w:tab w:val="right" w:leader="dot" w:pos="8306"/>
        </w:tabs>
        <w:spacing w:line="312" w:lineRule="auto"/>
        <w:jc w:val="left"/>
        <w:rPr>
          <w:rFonts w:hint="eastAsia" w:ascii="Times New Roman" w:hAnsi="Times New Roman" w:cs="宋体"/>
          <w:sz w:val="24"/>
          <w:szCs w:val="24"/>
        </w:rPr>
      </w:pPr>
      <w:r>
        <w:rPr>
          <w:rFonts w:hint="eastAsia" w:ascii="Times New Roman" w:hAnsi="Times New Roman" w:cs="宋体"/>
          <w:sz w:val="24"/>
          <w:szCs w:val="24"/>
        </w:rPr>
        <w:fldChar w:fldCharType="begin"/>
      </w:r>
      <w:r>
        <w:rPr>
          <w:rFonts w:hint="eastAsia" w:ascii="Times New Roman" w:hAnsi="Times New Roman" w:cs="宋体"/>
          <w:sz w:val="24"/>
          <w:szCs w:val="24"/>
        </w:rPr>
        <w:instrText xml:space="preserve"> HYPERLINK \l _Toc4108 </w:instrText>
      </w:r>
      <w:r>
        <w:rPr>
          <w:rFonts w:hint="eastAsia" w:ascii="Times New Roman" w:hAnsi="Times New Roman" w:cs="宋体"/>
          <w:sz w:val="24"/>
          <w:szCs w:val="24"/>
        </w:rPr>
        <w:fldChar w:fldCharType="separate"/>
      </w:r>
      <w:r>
        <w:rPr>
          <w:rFonts w:hint="eastAsia" w:ascii="Times New Roman" w:hAnsi="Times New Roman" w:cs="宋体"/>
          <w:sz w:val="24"/>
          <w:szCs w:val="24"/>
        </w:rPr>
        <w:t>附录C  农村房屋加固</w:t>
      </w:r>
      <w:r>
        <w:rPr>
          <w:rFonts w:hint="eastAsia" w:ascii="Times New Roman" w:hAnsi="Times New Roman" w:cs="宋体"/>
          <w:sz w:val="24"/>
          <w:szCs w:val="24"/>
        </w:rPr>
        <w:tab/>
      </w:r>
      <w:r>
        <w:rPr>
          <w:rFonts w:hint="eastAsia" w:ascii="Times New Roman" w:hAnsi="Times New Roman" w:cs="宋体"/>
          <w:sz w:val="24"/>
          <w:szCs w:val="24"/>
        </w:rPr>
        <w:fldChar w:fldCharType="begin"/>
      </w:r>
      <w:r>
        <w:rPr>
          <w:rFonts w:hint="eastAsia" w:ascii="Times New Roman" w:hAnsi="Times New Roman" w:cs="宋体"/>
          <w:sz w:val="24"/>
          <w:szCs w:val="24"/>
        </w:rPr>
        <w:instrText xml:space="preserve"> PAGEREF _Toc4108 \h </w:instrText>
      </w:r>
      <w:r>
        <w:rPr>
          <w:rFonts w:hint="eastAsia" w:ascii="Times New Roman" w:hAnsi="Times New Roman" w:cs="宋体"/>
          <w:sz w:val="24"/>
          <w:szCs w:val="24"/>
        </w:rPr>
        <w:fldChar w:fldCharType="separate"/>
      </w:r>
      <w:r>
        <w:rPr>
          <w:rFonts w:hint="eastAsia" w:ascii="Times New Roman" w:hAnsi="Times New Roman" w:cs="宋体"/>
          <w:sz w:val="24"/>
          <w:szCs w:val="24"/>
        </w:rPr>
        <w:t>36</w:t>
      </w:r>
      <w:r>
        <w:rPr>
          <w:rFonts w:hint="eastAsia" w:ascii="Times New Roman" w:hAnsi="Times New Roman" w:cs="宋体"/>
          <w:sz w:val="24"/>
          <w:szCs w:val="24"/>
        </w:rPr>
        <w:fldChar w:fldCharType="end"/>
      </w:r>
      <w:r>
        <w:rPr>
          <w:rFonts w:hint="eastAsia" w:ascii="Times New Roman" w:hAnsi="Times New Roman" w:cs="宋体"/>
          <w:sz w:val="24"/>
          <w:szCs w:val="24"/>
        </w:rPr>
        <w:fldChar w:fldCharType="end"/>
      </w:r>
    </w:p>
    <w:p>
      <w:pPr>
        <w:pStyle w:val="19"/>
        <w:tabs>
          <w:tab w:val="right" w:leader="dot" w:pos="8306"/>
        </w:tabs>
        <w:spacing w:line="312" w:lineRule="auto"/>
        <w:ind w:firstLine="240" w:firstLineChars="100"/>
        <w:jc w:val="left"/>
        <w:rPr>
          <w:rFonts w:hint="eastAsia" w:ascii="Times New Roman" w:hAnsi="Times New Roman" w:cs="宋体"/>
          <w:sz w:val="24"/>
          <w:szCs w:val="24"/>
        </w:rPr>
      </w:pPr>
      <w:r>
        <w:rPr>
          <w:rFonts w:hint="eastAsia" w:ascii="Times New Roman" w:hAnsi="Times New Roman" w:cs="宋体"/>
          <w:sz w:val="24"/>
          <w:szCs w:val="24"/>
        </w:rPr>
        <w:fldChar w:fldCharType="begin"/>
      </w:r>
      <w:r>
        <w:rPr>
          <w:rFonts w:hint="eastAsia" w:ascii="Times New Roman" w:hAnsi="Times New Roman" w:cs="宋体"/>
          <w:sz w:val="24"/>
          <w:szCs w:val="24"/>
        </w:rPr>
        <w:instrText xml:space="preserve"> HYPERLINK \l _Toc9068 </w:instrText>
      </w:r>
      <w:r>
        <w:rPr>
          <w:rFonts w:hint="eastAsia" w:ascii="Times New Roman" w:hAnsi="Times New Roman" w:cs="宋体"/>
          <w:sz w:val="24"/>
          <w:szCs w:val="24"/>
        </w:rPr>
        <w:fldChar w:fldCharType="separate"/>
      </w:r>
      <w:r>
        <w:rPr>
          <w:rFonts w:hint="eastAsia" w:ascii="Times New Roman" w:hAnsi="Times New Roman" w:cs="宋体"/>
          <w:sz w:val="24"/>
          <w:szCs w:val="24"/>
        </w:rPr>
        <w:t>C.1  一般规定</w:t>
      </w:r>
      <w:r>
        <w:rPr>
          <w:rFonts w:hint="eastAsia" w:ascii="Times New Roman" w:hAnsi="Times New Roman" w:cs="宋体"/>
          <w:sz w:val="24"/>
          <w:szCs w:val="24"/>
        </w:rPr>
        <w:tab/>
      </w:r>
      <w:r>
        <w:rPr>
          <w:rFonts w:hint="eastAsia" w:ascii="Times New Roman" w:hAnsi="Times New Roman" w:cs="宋体"/>
          <w:sz w:val="24"/>
          <w:szCs w:val="24"/>
        </w:rPr>
        <w:fldChar w:fldCharType="begin"/>
      </w:r>
      <w:r>
        <w:rPr>
          <w:rFonts w:hint="eastAsia" w:ascii="Times New Roman" w:hAnsi="Times New Roman" w:cs="宋体"/>
          <w:sz w:val="24"/>
          <w:szCs w:val="24"/>
        </w:rPr>
        <w:instrText xml:space="preserve"> PAGEREF _Toc9068 \h </w:instrText>
      </w:r>
      <w:r>
        <w:rPr>
          <w:rFonts w:hint="eastAsia" w:ascii="Times New Roman" w:hAnsi="Times New Roman" w:cs="宋体"/>
          <w:sz w:val="24"/>
          <w:szCs w:val="24"/>
        </w:rPr>
        <w:fldChar w:fldCharType="separate"/>
      </w:r>
      <w:r>
        <w:rPr>
          <w:rFonts w:hint="eastAsia" w:ascii="Times New Roman" w:hAnsi="Times New Roman" w:cs="宋体"/>
          <w:sz w:val="24"/>
          <w:szCs w:val="24"/>
        </w:rPr>
        <w:t>36</w:t>
      </w:r>
      <w:r>
        <w:rPr>
          <w:rFonts w:hint="eastAsia" w:ascii="Times New Roman" w:hAnsi="Times New Roman" w:cs="宋体"/>
          <w:sz w:val="24"/>
          <w:szCs w:val="24"/>
        </w:rPr>
        <w:fldChar w:fldCharType="end"/>
      </w:r>
      <w:r>
        <w:rPr>
          <w:rFonts w:hint="eastAsia" w:ascii="Times New Roman" w:hAnsi="Times New Roman" w:cs="宋体"/>
          <w:sz w:val="24"/>
          <w:szCs w:val="24"/>
        </w:rPr>
        <w:fldChar w:fldCharType="end"/>
      </w:r>
    </w:p>
    <w:p>
      <w:pPr>
        <w:pStyle w:val="19"/>
        <w:tabs>
          <w:tab w:val="right" w:leader="dot" w:pos="8306"/>
        </w:tabs>
        <w:spacing w:line="312" w:lineRule="auto"/>
        <w:ind w:firstLine="240" w:firstLineChars="100"/>
        <w:jc w:val="left"/>
        <w:rPr>
          <w:rFonts w:hint="eastAsia" w:ascii="Times New Roman" w:hAnsi="Times New Roman" w:cs="宋体"/>
          <w:sz w:val="24"/>
          <w:szCs w:val="24"/>
        </w:rPr>
      </w:pPr>
      <w:r>
        <w:rPr>
          <w:rFonts w:hint="eastAsia" w:ascii="Times New Roman" w:hAnsi="Times New Roman" w:cs="宋体"/>
          <w:sz w:val="24"/>
          <w:szCs w:val="24"/>
        </w:rPr>
        <w:fldChar w:fldCharType="begin"/>
      </w:r>
      <w:r>
        <w:rPr>
          <w:rFonts w:hint="eastAsia" w:ascii="Times New Roman" w:hAnsi="Times New Roman" w:cs="宋体"/>
          <w:sz w:val="24"/>
          <w:szCs w:val="24"/>
        </w:rPr>
        <w:instrText xml:space="preserve"> HYPERLINK \l _Toc28496 </w:instrText>
      </w:r>
      <w:r>
        <w:rPr>
          <w:rFonts w:hint="eastAsia" w:ascii="Times New Roman" w:hAnsi="Times New Roman" w:cs="宋体"/>
          <w:sz w:val="24"/>
          <w:szCs w:val="24"/>
        </w:rPr>
        <w:fldChar w:fldCharType="separate"/>
      </w:r>
      <w:r>
        <w:rPr>
          <w:rFonts w:hint="eastAsia" w:ascii="Times New Roman" w:hAnsi="Times New Roman" w:cs="宋体"/>
          <w:sz w:val="24"/>
          <w:szCs w:val="24"/>
        </w:rPr>
        <w:t>C.2  基本要求</w:t>
      </w:r>
      <w:r>
        <w:rPr>
          <w:rFonts w:hint="eastAsia" w:ascii="Times New Roman" w:hAnsi="Times New Roman" w:cs="宋体"/>
          <w:sz w:val="24"/>
          <w:szCs w:val="24"/>
        </w:rPr>
        <w:tab/>
      </w:r>
      <w:r>
        <w:rPr>
          <w:rFonts w:hint="eastAsia" w:ascii="Times New Roman" w:hAnsi="Times New Roman" w:cs="宋体"/>
          <w:sz w:val="24"/>
          <w:szCs w:val="24"/>
        </w:rPr>
        <w:fldChar w:fldCharType="begin"/>
      </w:r>
      <w:r>
        <w:rPr>
          <w:rFonts w:hint="eastAsia" w:ascii="Times New Roman" w:hAnsi="Times New Roman" w:cs="宋体"/>
          <w:sz w:val="24"/>
          <w:szCs w:val="24"/>
        </w:rPr>
        <w:instrText xml:space="preserve"> PAGEREF _Toc28496 \h </w:instrText>
      </w:r>
      <w:r>
        <w:rPr>
          <w:rFonts w:hint="eastAsia" w:ascii="Times New Roman" w:hAnsi="Times New Roman" w:cs="宋体"/>
          <w:sz w:val="24"/>
          <w:szCs w:val="24"/>
        </w:rPr>
        <w:fldChar w:fldCharType="separate"/>
      </w:r>
      <w:r>
        <w:rPr>
          <w:rFonts w:hint="eastAsia" w:ascii="Times New Roman" w:hAnsi="Times New Roman" w:cs="宋体"/>
          <w:sz w:val="24"/>
          <w:szCs w:val="24"/>
        </w:rPr>
        <w:t>36</w:t>
      </w:r>
      <w:r>
        <w:rPr>
          <w:rFonts w:hint="eastAsia" w:ascii="Times New Roman" w:hAnsi="Times New Roman" w:cs="宋体"/>
          <w:sz w:val="24"/>
          <w:szCs w:val="24"/>
        </w:rPr>
        <w:fldChar w:fldCharType="end"/>
      </w:r>
      <w:r>
        <w:rPr>
          <w:rFonts w:hint="eastAsia" w:ascii="Times New Roman" w:hAnsi="Times New Roman" w:cs="宋体"/>
          <w:sz w:val="24"/>
          <w:szCs w:val="24"/>
        </w:rPr>
        <w:fldChar w:fldCharType="end"/>
      </w:r>
    </w:p>
    <w:p>
      <w:pPr>
        <w:pStyle w:val="19"/>
        <w:tabs>
          <w:tab w:val="right" w:leader="dot" w:pos="8306"/>
        </w:tabs>
        <w:spacing w:line="312" w:lineRule="auto"/>
        <w:ind w:firstLine="240" w:firstLineChars="100"/>
        <w:jc w:val="left"/>
        <w:rPr>
          <w:rFonts w:hint="eastAsia" w:ascii="Times New Roman" w:hAnsi="Times New Roman" w:cs="宋体"/>
          <w:sz w:val="24"/>
          <w:szCs w:val="24"/>
        </w:rPr>
      </w:pPr>
      <w:r>
        <w:rPr>
          <w:rFonts w:hint="eastAsia" w:ascii="Times New Roman" w:hAnsi="Times New Roman" w:cs="宋体"/>
          <w:sz w:val="24"/>
          <w:szCs w:val="24"/>
        </w:rPr>
        <w:fldChar w:fldCharType="begin"/>
      </w:r>
      <w:r>
        <w:rPr>
          <w:rFonts w:hint="eastAsia" w:ascii="Times New Roman" w:hAnsi="Times New Roman" w:cs="宋体"/>
          <w:sz w:val="24"/>
          <w:szCs w:val="24"/>
        </w:rPr>
        <w:instrText xml:space="preserve"> HYPERLINK \l _Toc3784 </w:instrText>
      </w:r>
      <w:r>
        <w:rPr>
          <w:rFonts w:hint="eastAsia" w:ascii="Times New Roman" w:hAnsi="Times New Roman" w:cs="宋体"/>
          <w:sz w:val="24"/>
          <w:szCs w:val="24"/>
        </w:rPr>
        <w:fldChar w:fldCharType="separate"/>
      </w:r>
      <w:r>
        <w:rPr>
          <w:rFonts w:hint="eastAsia" w:ascii="Times New Roman" w:hAnsi="Times New Roman" w:cs="宋体"/>
          <w:sz w:val="24"/>
          <w:szCs w:val="24"/>
        </w:rPr>
        <w:t>C.3  加固设计</w:t>
      </w:r>
      <w:r>
        <w:rPr>
          <w:rFonts w:hint="eastAsia" w:ascii="Times New Roman" w:hAnsi="Times New Roman" w:cs="宋体"/>
          <w:sz w:val="24"/>
          <w:szCs w:val="24"/>
        </w:rPr>
        <w:tab/>
      </w:r>
      <w:r>
        <w:rPr>
          <w:rFonts w:hint="eastAsia" w:ascii="Times New Roman" w:hAnsi="Times New Roman" w:cs="宋体"/>
          <w:sz w:val="24"/>
          <w:szCs w:val="24"/>
        </w:rPr>
        <w:fldChar w:fldCharType="begin"/>
      </w:r>
      <w:r>
        <w:rPr>
          <w:rFonts w:hint="eastAsia" w:ascii="Times New Roman" w:hAnsi="Times New Roman" w:cs="宋体"/>
          <w:sz w:val="24"/>
          <w:szCs w:val="24"/>
        </w:rPr>
        <w:instrText xml:space="preserve"> PAGEREF _Toc3784 \h </w:instrText>
      </w:r>
      <w:r>
        <w:rPr>
          <w:rFonts w:hint="eastAsia" w:ascii="Times New Roman" w:hAnsi="Times New Roman" w:cs="宋体"/>
          <w:sz w:val="24"/>
          <w:szCs w:val="24"/>
        </w:rPr>
        <w:fldChar w:fldCharType="separate"/>
      </w:r>
      <w:r>
        <w:rPr>
          <w:rFonts w:hint="eastAsia" w:ascii="Times New Roman" w:hAnsi="Times New Roman" w:cs="宋体"/>
          <w:sz w:val="24"/>
          <w:szCs w:val="24"/>
        </w:rPr>
        <w:t>36</w:t>
      </w:r>
      <w:r>
        <w:rPr>
          <w:rFonts w:hint="eastAsia" w:ascii="Times New Roman" w:hAnsi="Times New Roman" w:cs="宋体"/>
          <w:sz w:val="24"/>
          <w:szCs w:val="24"/>
        </w:rPr>
        <w:fldChar w:fldCharType="end"/>
      </w:r>
      <w:r>
        <w:rPr>
          <w:rFonts w:hint="eastAsia" w:ascii="Times New Roman" w:hAnsi="Times New Roman" w:cs="宋体"/>
          <w:sz w:val="24"/>
          <w:szCs w:val="24"/>
        </w:rPr>
        <w:fldChar w:fldCharType="end"/>
      </w:r>
    </w:p>
    <w:p>
      <w:pPr>
        <w:pStyle w:val="19"/>
        <w:tabs>
          <w:tab w:val="right" w:leader="dot" w:pos="8306"/>
        </w:tabs>
        <w:spacing w:line="312" w:lineRule="auto"/>
        <w:ind w:firstLine="240" w:firstLineChars="100"/>
        <w:jc w:val="left"/>
        <w:rPr>
          <w:rFonts w:hint="eastAsia" w:ascii="Times New Roman" w:hAnsi="Times New Roman" w:cs="宋体"/>
          <w:sz w:val="24"/>
          <w:szCs w:val="24"/>
        </w:rPr>
      </w:pPr>
      <w:r>
        <w:rPr>
          <w:rFonts w:hint="eastAsia" w:ascii="Times New Roman" w:hAnsi="Times New Roman" w:cs="宋体"/>
          <w:sz w:val="24"/>
          <w:szCs w:val="24"/>
        </w:rPr>
        <w:fldChar w:fldCharType="begin"/>
      </w:r>
      <w:r>
        <w:rPr>
          <w:rFonts w:hint="eastAsia" w:ascii="Times New Roman" w:hAnsi="Times New Roman" w:cs="宋体"/>
          <w:sz w:val="24"/>
          <w:szCs w:val="24"/>
        </w:rPr>
        <w:instrText xml:space="preserve"> HYPERLINK \l _Toc10080 </w:instrText>
      </w:r>
      <w:r>
        <w:rPr>
          <w:rFonts w:hint="eastAsia" w:ascii="Times New Roman" w:hAnsi="Times New Roman" w:cs="宋体"/>
          <w:sz w:val="24"/>
          <w:szCs w:val="24"/>
        </w:rPr>
        <w:fldChar w:fldCharType="separate"/>
      </w:r>
      <w:r>
        <w:rPr>
          <w:rFonts w:hint="eastAsia" w:ascii="Times New Roman" w:hAnsi="Times New Roman" w:cs="宋体"/>
          <w:sz w:val="24"/>
          <w:szCs w:val="24"/>
        </w:rPr>
        <w:t>C.4  施工与质量验收</w:t>
      </w:r>
      <w:r>
        <w:rPr>
          <w:rFonts w:hint="eastAsia" w:ascii="Times New Roman" w:hAnsi="Times New Roman" w:cs="宋体"/>
          <w:sz w:val="24"/>
          <w:szCs w:val="24"/>
        </w:rPr>
        <w:tab/>
      </w:r>
      <w:r>
        <w:rPr>
          <w:rFonts w:hint="eastAsia" w:ascii="Times New Roman" w:hAnsi="Times New Roman" w:cs="宋体"/>
          <w:sz w:val="24"/>
          <w:szCs w:val="24"/>
        </w:rPr>
        <w:fldChar w:fldCharType="begin"/>
      </w:r>
      <w:r>
        <w:rPr>
          <w:rFonts w:hint="eastAsia" w:ascii="Times New Roman" w:hAnsi="Times New Roman" w:cs="宋体"/>
          <w:sz w:val="24"/>
          <w:szCs w:val="24"/>
        </w:rPr>
        <w:instrText xml:space="preserve"> PAGEREF _Toc10080 \h </w:instrText>
      </w:r>
      <w:r>
        <w:rPr>
          <w:rFonts w:hint="eastAsia" w:ascii="Times New Roman" w:hAnsi="Times New Roman" w:cs="宋体"/>
          <w:sz w:val="24"/>
          <w:szCs w:val="24"/>
        </w:rPr>
        <w:fldChar w:fldCharType="separate"/>
      </w:r>
      <w:r>
        <w:rPr>
          <w:rFonts w:hint="eastAsia" w:ascii="Times New Roman" w:hAnsi="Times New Roman" w:cs="宋体"/>
          <w:sz w:val="24"/>
          <w:szCs w:val="24"/>
        </w:rPr>
        <w:t>42</w:t>
      </w:r>
      <w:r>
        <w:rPr>
          <w:rFonts w:hint="eastAsia" w:ascii="Times New Roman" w:hAnsi="Times New Roman" w:cs="宋体"/>
          <w:sz w:val="24"/>
          <w:szCs w:val="24"/>
        </w:rPr>
        <w:fldChar w:fldCharType="end"/>
      </w:r>
      <w:r>
        <w:rPr>
          <w:rFonts w:hint="eastAsia" w:ascii="Times New Roman" w:hAnsi="Times New Roman" w:cs="宋体"/>
          <w:sz w:val="24"/>
          <w:szCs w:val="24"/>
        </w:rPr>
        <w:fldChar w:fldCharType="end"/>
      </w:r>
    </w:p>
    <w:p>
      <w:pPr>
        <w:pStyle w:val="19"/>
        <w:tabs>
          <w:tab w:val="right" w:leader="dot" w:pos="8306"/>
        </w:tabs>
        <w:spacing w:line="312" w:lineRule="auto"/>
        <w:jc w:val="left"/>
        <w:rPr>
          <w:rFonts w:hint="eastAsia" w:ascii="Times New Roman" w:hAnsi="Times New Roman" w:cs="宋体"/>
          <w:sz w:val="24"/>
          <w:szCs w:val="24"/>
        </w:rPr>
      </w:pPr>
      <w:r>
        <w:rPr>
          <w:rFonts w:hint="eastAsia" w:ascii="Times New Roman" w:hAnsi="Times New Roman" w:cs="宋体"/>
          <w:sz w:val="24"/>
          <w:szCs w:val="24"/>
        </w:rPr>
        <w:fldChar w:fldCharType="begin"/>
      </w:r>
      <w:r>
        <w:rPr>
          <w:rFonts w:hint="eastAsia" w:ascii="Times New Roman" w:hAnsi="Times New Roman" w:cs="宋体"/>
          <w:sz w:val="24"/>
          <w:szCs w:val="24"/>
        </w:rPr>
        <w:instrText xml:space="preserve"> HYPERLINK \l _Toc14153 </w:instrText>
      </w:r>
      <w:r>
        <w:rPr>
          <w:rFonts w:hint="eastAsia" w:ascii="Times New Roman" w:hAnsi="Times New Roman" w:cs="宋体"/>
          <w:sz w:val="24"/>
          <w:szCs w:val="24"/>
        </w:rPr>
        <w:fldChar w:fldCharType="separate"/>
      </w:r>
      <w:r>
        <w:rPr>
          <w:rFonts w:hint="eastAsia" w:ascii="Times New Roman" w:hAnsi="Times New Roman" w:cs="宋体"/>
          <w:sz w:val="24"/>
          <w:szCs w:val="24"/>
        </w:rPr>
        <w:t>本标准用词说明</w:t>
      </w:r>
      <w:r>
        <w:rPr>
          <w:rFonts w:hint="eastAsia" w:ascii="Times New Roman" w:hAnsi="Times New Roman" w:cs="宋体"/>
          <w:sz w:val="24"/>
          <w:szCs w:val="24"/>
        </w:rPr>
        <w:tab/>
      </w:r>
      <w:r>
        <w:rPr>
          <w:rFonts w:hint="eastAsia" w:ascii="Times New Roman" w:hAnsi="Times New Roman" w:cs="宋体"/>
          <w:sz w:val="24"/>
          <w:szCs w:val="24"/>
        </w:rPr>
        <w:fldChar w:fldCharType="begin"/>
      </w:r>
      <w:r>
        <w:rPr>
          <w:rFonts w:hint="eastAsia" w:ascii="Times New Roman" w:hAnsi="Times New Roman" w:cs="宋体"/>
          <w:sz w:val="24"/>
          <w:szCs w:val="24"/>
        </w:rPr>
        <w:instrText xml:space="preserve"> PAGEREF _Toc14153 \h </w:instrText>
      </w:r>
      <w:r>
        <w:rPr>
          <w:rFonts w:hint="eastAsia" w:ascii="Times New Roman" w:hAnsi="Times New Roman" w:cs="宋体"/>
          <w:sz w:val="24"/>
          <w:szCs w:val="24"/>
        </w:rPr>
        <w:fldChar w:fldCharType="separate"/>
      </w:r>
      <w:r>
        <w:rPr>
          <w:rFonts w:hint="eastAsia" w:ascii="Times New Roman" w:hAnsi="Times New Roman" w:cs="宋体"/>
          <w:sz w:val="24"/>
          <w:szCs w:val="24"/>
        </w:rPr>
        <w:t>43</w:t>
      </w:r>
      <w:r>
        <w:rPr>
          <w:rFonts w:hint="eastAsia" w:ascii="Times New Roman" w:hAnsi="Times New Roman" w:cs="宋体"/>
          <w:sz w:val="24"/>
          <w:szCs w:val="24"/>
        </w:rPr>
        <w:fldChar w:fldCharType="end"/>
      </w:r>
      <w:r>
        <w:rPr>
          <w:rFonts w:hint="eastAsia" w:ascii="Times New Roman" w:hAnsi="Times New Roman" w:cs="宋体"/>
          <w:sz w:val="24"/>
          <w:szCs w:val="24"/>
        </w:rPr>
        <w:fldChar w:fldCharType="end"/>
      </w:r>
    </w:p>
    <w:p>
      <w:pPr>
        <w:pStyle w:val="19"/>
        <w:tabs>
          <w:tab w:val="right" w:leader="dot" w:pos="8306"/>
        </w:tabs>
        <w:spacing w:line="312" w:lineRule="auto"/>
        <w:jc w:val="left"/>
        <w:rPr>
          <w:rFonts w:hint="eastAsia" w:ascii="Times New Roman" w:hAnsi="Times New Roman" w:cs="宋体"/>
          <w:sz w:val="24"/>
          <w:szCs w:val="24"/>
        </w:rPr>
      </w:pPr>
      <w:r>
        <w:rPr>
          <w:rFonts w:hint="eastAsia" w:ascii="Times New Roman" w:hAnsi="Times New Roman" w:cs="宋体"/>
          <w:sz w:val="24"/>
          <w:szCs w:val="24"/>
        </w:rPr>
        <w:fldChar w:fldCharType="begin"/>
      </w:r>
      <w:r>
        <w:rPr>
          <w:rFonts w:hint="eastAsia" w:ascii="Times New Roman" w:hAnsi="Times New Roman" w:cs="宋体"/>
          <w:sz w:val="24"/>
          <w:szCs w:val="24"/>
        </w:rPr>
        <w:instrText xml:space="preserve"> HYPERLINK \l _Toc32366 </w:instrText>
      </w:r>
      <w:r>
        <w:rPr>
          <w:rFonts w:hint="eastAsia" w:ascii="Times New Roman" w:hAnsi="Times New Roman" w:cs="宋体"/>
          <w:sz w:val="24"/>
          <w:szCs w:val="24"/>
        </w:rPr>
        <w:fldChar w:fldCharType="separate"/>
      </w:r>
      <w:r>
        <w:rPr>
          <w:rFonts w:hint="eastAsia" w:ascii="Times New Roman" w:hAnsi="Times New Roman" w:cs="宋体"/>
          <w:sz w:val="24"/>
          <w:szCs w:val="24"/>
        </w:rPr>
        <w:t>引用标准名录</w:t>
      </w:r>
      <w:r>
        <w:rPr>
          <w:rFonts w:hint="eastAsia" w:ascii="Times New Roman" w:hAnsi="Times New Roman" w:cs="宋体"/>
          <w:sz w:val="24"/>
          <w:szCs w:val="24"/>
        </w:rPr>
        <w:tab/>
      </w:r>
      <w:r>
        <w:rPr>
          <w:rFonts w:hint="eastAsia" w:ascii="Times New Roman" w:hAnsi="Times New Roman" w:cs="宋体"/>
          <w:sz w:val="24"/>
          <w:szCs w:val="24"/>
        </w:rPr>
        <w:fldChar w:fldCharType="begin"/>
      </w:r>
      <w:r>
        <w:rPr>
          <w:rFonts w:hint="eastAsia" w:ascii="Times New Roman" w:hAnsi="Times New Roman" w:cs="宋体"/>
          <w:sz w:val="24"/>
          <w:szCs w:val="24"/>
        </w:rPr>
        <w:instrText xml:space="preserve"> PAGEREF _Toc32366 \h </w:instrText>
      </w:r>
      <w:r>
        <w:rPr>
          <w:rFonts w:hint="eastAsia" w:ascii="Times New Roman" w:hAnsi="Times New Roman" w:cs="宋体"/>
          <w:sz w:val="24"/>
          <w:szCs w:val="24"/>
        </w:rPr>
        <w:fldChar w:fldCharType="separate"/>
      </w:r>
      <w:r>
        <w:rPr>
          <w:rFonts w:hint="eastAsia" w:ascii="Times New Roman" w:hAnsi="Times New Roman" w:cs="宋体"/>
          <w:sz w:val="24"/>
          <w:szCs w:val="24"/>
        </w:rPr>
        <w:t>44</w:t>
      </w:r>
      <w:r>
        <w:rPr>
          <w:rFonts w:hint="eastAsia" w:ascii="Times New Roman" w:hAnsi="Times New Roman" w:cs="宋体"/>
          <w:sz w:val="24"/>
          <w:szCs w:val="24"/>
        </w:rPr>
        <w:fldChar w:fldCharType="end"/>
      </w:r>
      <w:r>
        <w:rPr>
          <w:rFonts w:hint="eastAsia" w:ascii="Times New Roman" w:hAnsi="Times New Roman" w:cs="宋体"/>
          <w:sz w:val="24"/>
          <w:szCs w:val="24"/>
        </w:rPr>
        <w:fldChar w:fldCharType="end"/>
      </w:r>
    </w:p>
    <w:p>
      <w:pPr>
        <w:pStyle w:val="19"/>
        <w:tabs>
          <w:tab w:val="right" w:leader="dot" w:pos="8306"/>
        </w:tabs>
        <w:spacing w:line="312" w:lineRule="auto"/>
        <w:jc w:val="left"/>
        <w:rPr>
          <w:highlight w:val="none"/>
        </w:rPr>
      </w:pPr>
      <w:r>
        <w:rPr>
          <w:rFonts w:hint="eastAsia" w:ascii="Times New Roman" w:hAnsi="Times New Roman" w:cs="宋体"/>
          <w:sz w:val="24"/>
          <w:szCs w:val="24"/>
        </w:rPr>
        <w:fldChar w:fldCharType="end"/>
      </w:r>
      <w:r>
        <w:rPr>
          <w:highlight w:val="none"/>
        </w:rPr>
        <w:t xml:space="preserve">                                           </w:t>
      </w:r>
    </w:p>
    <w:p>
      <w:pPr>
        <w:pStyle w:val="149"/>
        <w:spacing w:line="320" w:lineRule="exact"/>
        <w:ind w:firstLine="0" w:firstLineChars="0"/>
        <w:rPr>
          <w:highlight w:val="none"/>
        </w:rPr>
        <w:sectPr>
          <w:headerReference r:id="rId6" w:type="default"/>
          <w:footerReference r:id="rId7" w:type="default"/>
          <w:pgSz w:w="11906" w:h="16838"/>
          <w:pgMar w:top="1440" w:right="1803" w:bottom="1440" w:left="1803" w:header="851" w:footer="992" w:gutter="0"/>
          <w:pgNumType w:start="1"/>
          <w:cols w:space="720" w:num="1"/>
          <w:docGrid w:type="lines" w:linePitch="312" w:charSpace="0"/>
        </w:sectPr>
      </w:pPr>
    </w:p>
    <w:p>
      <w:pPr>
        <w:pStyle w:val="149"/>
        <w:spacing w:line="320" w:lineRule="exact"/>
        <w:ind w:firstLine="0" w:firstLineChars="0"/>
        <w:jc w:val="center"/>
        <w:rPr>
          <w:rFonts w:eastAsia="黑体"/>
          <w:sz w:val="30"/>
          <w:szCs w:val="30"/>
          <w:highlight w:val="none"/>
        </w:rPr>
      </w:pPr>
      <w:bookmarkStart w:id="12" w:name="_Toc48138879"/>
      <w:bookmarkStart w:id="13" w:name="_Toc54255542"/>
      <w:bookmarkStart w:id="14" w:name="_Toc38352767"/>
      <w:bookmarkStart w:id="15" w:name="_Toc519684012"/>
      <w:bookmarkStart w:id="16" w:name="_Toc445666200"/>
      <w:bookmarkStart w:id="17" w:name="_Toc1107"/>
      <w:bookmarkStart w:id="18" w:name="_Toc25690837"/>
      <w:bookmarkStart w:id="19" w:name="_Toc70169810"/>
      <w:bookmarkStart w:id="20" w:name="_Toc38358393"/>
      <w:bookmarkStart w:id="21" w:name="_Toc54256637"/>
      <w:bookmarkStart w:id="22" w:name="_Toc535475879"/>
      <w:bookmarkStart w:id="23" w:name="_Toc535338327"/>
      <w:bookmarkStart w:id="24" w:name="_Toc32848328"/>
      <w:bookmarkStart w:id="25" w:name="_Toc32865069"/>
      <w:bookmarkStart w:id="26" w:name="_Toc25070606"/>
      <w:bookmarkStart w:id="27" w:name="_Toc63348915"/>
      <w:bookmarkStart w:id="28" w:name="_Toc445664177"/>
      <w:bookmarkStart w:id="29" w:name="_Toc52264487"/>
      <w:bookmarkStart w:id="30" w:name="_Toc63348839"/>
      <w:bookmarkStart w:id="31" w:name="_Toc532464184"/>
      <w:bookmarkStart w:id="32" w:name="_Toc48138957"/>
      <w:bookmarkStart w:id="33" w:name="_Toc67330583"/>
      <w:bookmarkStart w:id="34" w:name="_Toc19545188"/>
      <w:r>
        <w:rPr>
          <w:rFonts w:hint="eastAsia" w:eastAsia="黑体"/>
          <w:sz w:val="30"/>
          <w:szCs w:val="30"/>
          <w:highlight w:val="none"/>
        </w:rPr>
        <w:t>Contents</w:t>
      </w:r>
    </w:p>
    <w:p>
      <w:pPr>
        <w:pStyle w:val="19"/>
        <w:tabs>
          <w:tab w:val="right" w:leader="dot" w:pos="8306"/>
        </w:tabs>
        <w:spacing w:line="312" w:lineRule="auto"/>
        <w:jc w:val="left"/>
        <w:rPr>
          <w:rFonts w:hint="eastAsia" w:ascii="Times New Roman" w:hAnsi="Times New Roman" w:cs="宋体"/>
          <w:sz w:val="24"/>
          <w:szCs w:val="24"/>
        </w:rPr>
      </w:pPr>
      <w:r>
        <w:rPr>
          <w:szCs w:val="21"/>
          <w:highlight w:val="none"/>
        </w:rPr>
        <w:fldChar w:fldCharType="begin"/>
      </w:r>
      <w:r>
        <w:rPr>
          <w:szCs w:val="21"/>
          <w:highlight w:val="none"/>
        </w:rPr>
        <w:instrText xml:space="preserve"> TOC \o "1-2" \h \z \u </w:instrText>
      </w:r>
      <w:r>
        <w:rPr>
          <w:szCs w:val="21"/>
          <w:highlight w:val="none"/>
        </w:rPr>
        <w:fldChar w:fldCharType="separate"/>
      </w:r>
      <w:r>
        <w:rPr>
          <w:rFonts w:hint="eastAsia" w:ascii="Times New Roman" w:hAnsi="Times New Roman" w:cs="宋体"/>
          <w:sz w:val="24"/>
          <w:szCs w:val="24"/>
        </w:rPr>
        <w:fldChar w:fldCharType="begin"/>
      </w:r>
      <w:r>
        <w:rPr>
          <w:rFonts w:hint="eastAsia" w:ascii="Times New Roman" w:hAnsi="Times New Roman" w:cs="宋体"/>
          <w:sz w:val="24"/>
          <w:szCs w:val="24"/>
        </w:rPr>
        <w:instrText xml:space="preserve"> HYPERLINK \l _Toc30872 </w:instrText>
      </w:r>
      <w:r>
        <w:rPr>
          <w:rFonts w:hint="eastAsia" w:ascii="Times New Roman" w:hAnsi="Times New Roman" w:cs="宋体"/>
          <w:sz w:val="24"/>
          <w:szCs w:val="24"/>
        </w:rPr>
        <w:fldChar w:fldCharType="separate"/>
      </w:r>
      <w:r>
        <w:rPr>
          <w:rFonts w:hint="eastAsia" w:ascii="Times New Roman" w:hAnsi="Times New Roman" w:cs="宋体"/>
          <w:sz w:val="24"/>
          <w:szCs w:val="24"/>
        </w:rPr>
        <w:t>1  General Provisions</w:t>
      </w:r>
      <w:r>
        <w:rPr>
          <w:rFonts w:hint="eastAsia" w:ascii="Times New Roman" w:hAnsi="Times New Roman" w:cs="宋体"/>
          <w:sz w:val="24"/>
          <w:szCs w:val="24"/>
        </w:rPr>
        <w:tab/>
      </w:r>
      <w:r>
        <w:rPr>
          <w:rFonts w:hint="eastAsia" w:ascii="Times New Roman" w:hAnsi="Times New Roman" w:cs="宋体"/>
          <w:sz w:val="24"/>
          <w:szCs w:val="24"/>
        </w:rPr>
        <w:fldChar w:fldCharType="begin"/>
      </w:r>
      <w:r>
        <w:rPr>
          <w:rFonts w:hint="eastAsia" w:ascii="Times New Roman" w:hAnsi="Times New Roman" w:cs="宋体"/>
          <w:sz w:val="24"/>
          <w:szCs w:val="24"/>
        </w:rPr>
        <w:instrText xml:space="preserve"> PAGEREF _Toc30872 \h </w:instrText>
      </w:r>
      <w:r>
        <w:rPr>
          <w:rFonts w:hint="eastAsia" w:ascii="Times New Roman" w:hAnsi="Times New Roman" w:cs="宋体"/>
          <w:sz w:val="24"/>
          <w:szCs w:val="24"/>
        </w:rPr>
        <w:fldChar w:fldCharType="separate"/>
      </w:r>
      <w:r>
        <w:rPr>
          <w:rFonts w:hint="eastAsia" w:ascii="Times New Roman" w:hAnsi="Times New Roman" w:cs="宋体"/>
          <w:sz w:val="24"/>
          <w:szCs w:val="24"/>
        </w:rPr>
        <w:t>2</w:t>
      </w:r>
      <w:r>
        <w:rPr>
          <w:rFonts w:hint="eastAsia" w:ascii="Times New Roman" w:hAnsi="Times New Roman" w:cs="宋体"/>
          <w:sz w:val="24"/>
          <w:szCs w:val="24"/>
        </w:rPr>
        <w:fldChar w:fldCharType="end"/>
      </w:r>
      <w:r>
        <w:rPr>
          <w:rFonts w:hint="eastAsia" w:ascii="Times New Roman" w:hAnsi="Times New Roman" w:cs="宋体"/>
          <w:sz w:val="24"/>
          <w:szCs w:val="24"/>
        </w:rPr>
        <w:fldChar w:fldCharType="end"/>
      </w:r>
    </w:p>
    <w:p>
      <w:pPr>
        <w:pStyle w:val="19"/>
        <w:tabs>
          <w:tab w:val="right" w:leader="dot" w:pos="8306"/>
        </w:tabs>
        <w:spacing w:line="312" w:lineRule="auto"/>
        <w:jc w:val="left"/>
        <w:rPr>
          <w:rFonts w:hint="eastAsia" w:ascii="Times New Roman" w:hAnsi="Times New Roman" w:cs="宋体"/>
          <w:sz w:val="24"/>
          <w:szCs w:val="24"/>
        </w:rPr>
      </w:pPr>
      <w:r>
        <w:rPr>
          <w:rFonts w:hint="eastAsia" w:ascii="Times New Roman" w:hAnsi="Times New Roman" w:cs="宋体"/>
          <w:sz w:val="24"/>
          <w:szCs w:val="24"/>
        </w:rPr>
        <w:fldChar w:fldCharType="begin"/>
      </w:r>
      <w:r>
        <w:rPr>
          <w:rFonts w:hint="eastAsia" w:ascii="Times New Roman" w:hAnsi="Times New Roman" w:cs="宋体"/>
          <w:sz w:val="24"/>
          <w:szCs w:val="24"/>
        </w:rPr>
        <w:instrText xml:space="preserve"> HYPERLINK \l _Toc32667 </w:instrText>
      </w:r>
      <w:r>
        <w:rPr>
          <w:rFonts w:hint="eastAsia" w:ascii="Times New Roman" w:hAnsi="Times New Roman" w:cs="宋体"/>
          <w:sz w:val="24"/>
          <w:szCs w:val="24"/>
        </w:rPr>
        <w:fldChar w:fldCharType="separate"/>
      </w:r>
      <w:r>
        <w:rPr>
          <w:rFonts w:hint="eastAsia" w:ascii="Times New Roman" w:hAnsi="Times New Roman" w:cs="宋体"/>
          <w:sz w:val="24"/>
          <w:szCs w:val="24"/>
        </w:rPr>
        <w:t>2  Terms and Symbols</w:t>
      </w:r>
      <w:r>
        <w:rPr>
          <w:rFonts w:hint="eastAsia" w:ascii="Times New Roman" w:hAnsi="Times New Roman" w:cs="宋体"/>
          <w:sz w:val="24"/>
          <w:szCs w:val="24"/>
        </w:rPr>
        <w:tab/>
      </w:r>
      <w:r>
        <w:rPr>
          <w:rFonts w:hint="eastAsia" w:ascii="Times New Roman" w:hAnsi="Times New Roman" w:cs="宋体"/>
          <w:sz w:val="24"/>
          <w:szCs w:val="24"/>
        </w:rPr>
        <w:fldChar w:fldCharType="begin"/>
      </w:r>
      <w:r>
        <w:rPr>
          <w:rFonts w:hint="eastAsia" w:ascii="Times New Roman" w:hAnsi="Times New Roman" w:cs="宋体"/>
          <w:sz w:val="24"/>
          <w:szCs w:val="24"/>
        </w:rPr>
        <w:instrText xml:space="preserve"> PAGEREF _Toc32667 \h </w:instrText>
      </w:r>
      <w:r>
        <w:rPr>
          <w:rFonts w:hint="eastAsia" w:ascii="Times New Roman" w:hAnsi="Times New Roman" w:cs="宋体"/>
          <w:sz w:val="24"/>
          <w:szCs w:val="24"/>
        </w:rPr>
        <w:fldChar w:fldCharType="separate"/>
      </w:r>
      <w:r>
        <w:rPr>
          <w:rFonts w:hint="eastAsia" w:ascii="Times New Roman" w:hAnsi="Times New Roman" w:cs="宋体"/>
          <w:sz w:val="24"/>
          <w:szCs w:val="24"/>
        </w:rPr>
        <w:t>3</w:t>
      </w:r>
      <w:r>
        <w:rPr>
          <w:rFonts w:hint="eastAsia" w:ascii="Times New Roman" w:hAnsi="Times New Roman" w:cs="宋体"/>
          <w:sz w:val="24"/>
          <w:szCs w:val="24"/>
        </w:rPr>
        <w:fldChar w:fldCharType="end"/>
      </w:r>
      <w:r>
        <w:rPr>
          <w:rFonts w:hint="eastAsia" w:ascii="Times New Roman" w:hAnsi="Times New Roman" w:cs="宋体"/>
          <w:sz w:val="24"/>
          <w:szCs w:val="24"/>
        </w:rPr>
        <w:fldChar w:fldCharType="end"/>
      </w:r>
    </w:p>
    <w:p>
      <w:pPr>
        <w:pStyle w:val="19"/>
        <w:tabs>
          <w:tab w:val="right" w:leader="dot" w:pos="8306"/>
        </w:tabs>
        <w:spacing w:line="312" w:lineRule="auto"/>
        <w:ind w:firstLine="240" w:firstLineChars="100"/>
        <w:jc w:val="left"/>
        <w:rPr>
          <w:rFonts w:hint="eastAsia" w:ascii="Times New Roman" w:hAnsi="Times New Roman" w:cs="宋体"/>
          <w:sz w:val="24"/>
          <w:szCs w:val="24"/>
        </w:rPr>
      </w:pPr>
      <w:r>
        <w:rPr>
          <w:rFonts w:hint="eastAsia" w:ascii="Times New Roman" w:hAnsi="Times New Roman" w:cs="宋体"/>
          <w:sz w:val="24"/>
          <w:szCs w:val="24"/>
        </w:rPr>
        <w:fldChar w:fldCharType="begin"/>
      </w:r>
      <w:r>
        <w:rPr>
          <w:rFonts w:hint="eastAsia" w:ascii="Times New Roman" w:hAnsi="Times New Roman" w:cs="宋体"/>
          <w:sz w:val="24"/>
          <w:szCs w:val="24"/>
        </w:rPr>
        <w:instrText xml:space="preserve"> HYPERLINK \l _Toc28939 </w:instrText>
      </w:r>
      <w:r>
        <w:rPr>
          <w:rFonts w:hint="eastAsia" w:ascii="Times New Roman" w:hAnsi="Times New Roman" w:cs="宋体"/>
          <w:sz w:val="24"/>
          <w:szCs w:val="24"/>
        </w:rPr>
        <w:fldChar w:fldCharType="separate"/>
      </w:r>
      <w:r>
        <w:rPr>
          <w:rFonts w:hint="eastAsia" w:ascii="Times New Roman" w:hAnsi="Times New Roman" w:cs="宋体"/>
          <w:sz w:val="24"/>
          <w:szCs w:val="24"/>
        </w:rPr>
        <w:t>2.1  Terms</w:t>
      </w:r>
      <w:r>
        <w:rPr>
          <w:rFonts w:hint="eastAsia" w:ascii="Times New Roman" w:hAnsi="Times New Roman" w:cs="宋体"/>
          <w:sz w:val="24"/>
          <w:szCs w:val="24"/>
        </w:rPr>
        <w:tab/>
      </w:r>
      <w:r>
        <w:rPr>
          <w:rFonts w:hint="eastAsia" w:ascii="Times New Roman" w:hAnsi="Times New Roman" w:cs="宋体"/>
          <w:sz w:val="24"/>
          <w:szCs w:val="24"/>
        </w:rPr>
        <w:fldChar w:fldCharType="begin"/>
      </w:r>
      <w:r>
        <w:rPr>
          <w:rFonts w:hint="eastAsia" w:ascii="Times New Roman" w:hAnsi="Times New Roman" w:cs="宋体"/>
          <w:sz w:val="24"/>
          <w:szCs w:val="24"/>
        </w:rPr>
        <w:instrText xml:space="preserve"> PAGEREF _Toc28939 \h </w:instrText>
      </w:r>
      <w:r>
        <w:rPr>
          <w:rFonts w:hint="eastAsia" w:ascii="Times New Roman" w:hAnsi="Times New Roman" w:cs="宋体"/>
          <w:sz w:val="24"/>
          <w:szCs w:val="24"/>
        </w:rPr>
        <w:fldChar w:fldCharType="separate"/>
      </w:r>
      <w:r>
        <w:rPr>
          <w:rFonts w:hint="eastAsia" w:ascii="Times New Roman" w:hAnsi="Times New Roman" w:cs="宋体"/>
          <w:sz w:val="24"/>
          <w:szCs w:val="24"/>
        </w:rPr>
        <w:t>3</w:t>
      </w:r>
      <w:r>
        <w:rPr>
          <w:rFonts w:hint="eastAsia" w:ascii="Times New Roman" w:hAnsi="Times New Roman" w:cs="宋体"/>
          <w:sz w:val="24"/>
          <w:szCs w:val="24"/>
        </w:rPr>
        <w:fldChar w:fldCharType="end"/>
      </w:r>
      <w:r>
        <w:rPr>
          <w:rFonts w:hint="eastAsia" w:ascii="Times New Roman" w:hAnsi="Times New Roman" w:cs="宋体"/>
          <w:sz w:val="24"/>
          <w:szCs w:val="24"/>
        </w:rPr>
        <w:fldChar w:fldCharType="end"/>
      </w:r>
    </w:p>
    <w:p>
      <w:pPr>
        <w:pStyle w:val="19"/>
        <w:tabs>
          <w:tab w:val="right" w:leader="dot" w:pos="8306"/>
        </w:tabs>
        <w:spacing w:line="312" w:lineRule="auto"/>
        <w:ind w:firstLine="240" w:firstLineChars="100"/>
        <w:jc w:val="left"/>
        <w:rPr>
          <w:rFonts w:hint="eastAsia" w:ascii="Times New Roman" w:hAnsi="Times New Roman" w:cs="宋体"/>
          <w:sz w:val="24"/>
          <w:szCs w:val="24"/>
        </w:rPr>
      </w:pPr>
      <w:r>
        <w:rPr>
          <w:rFonts w:hint="eastAsia" w:ascii="Times New Roman" w:hAnsi="Times New Roman" w:cs="宋体"/>
          <w:sz w:val="24"/>
          <w:szCs w:val="24"/>
        </w:rPr>
        <w:fldChar w:fldCharType="begin"/>
      </w:r>
      <w:r>
        <w:rPr>
          <w:rFonts w:hint="eastAsia" w:ascii="Times New Roman" w:hAnsi="Times New Roman" w:cs="宋体"/>
          <w:sz w:val="24"/>
          <w:szCs w:val="24"/>
        </w:rPr>
        <w:instrText xml:space="preserve"> HYPERLINK \l _Toc16261 </w:instrText>
      </w:r>
      <w:r>
        <w:rPr>
          <w:rFonts w:hint="eastAsia" w:ascii="Times New Roman" w:hAnsi="Times New Roman" w:cs="宋体"/>
          <w:sz w:val="24"/>
          <w:szCs w:val="24"/>
        </w:rPr>
        <w:fldChar w:fldCharType="separate"/>
      </w:r>
      <w:r>
        <w:rPr>
          <w:rFonts w:hint="eastAsia" w:ascii="Times New Roman" w:hAnsi="Times New Roman" w:cs="宋体"/>
          <w:sz w:val="24"/>
          <w:szCs w:val="24"/>
        </w:rPr>
        <w:t>2.2  Symbols</w:t>
      </w:r>
      <w:r>
        <w:rPr>
          <w:rFonts w:hint="eastAsia" w:ascii="Times New Roman" w:hAnsi="Times New Roman" w:cs="宋体"/>
          <w:sz w:val="24"/>
          <w:szCs w:val="24"/>
        </w:rPr>
        <w:tab/>
      </w:r>
      <w:r>
        <w:rPr>
          <w:rFonts w:hint="eastAsia" w:ascii="Times New Roman" w:hAnsi="Times New Roman" w:cs="宋体"/>
          <w:sz w:val="24"/>
          <w:szCs w:val="24"/>
        </w:rPr>
        <w:fldChar w:fldCharType="begin"/>
      </w:r>
      <w:r>
        <w:rPr>
          <w:rFonts w:hint="eastAsia" w:ascii="Times New Roman" w:hAnsi="Times New Roman" w:cs="宋体"/>
          <w:sz w:val="24"/>
          <w:szCs w:val="24"/>
        </w:rPr>
        <w:instrText xml:space="preserve"> PAGEREF _Toc16261 \h </w:instrText>
      </w:r>
      <w:r>
        <w:rPr>
          <w:rFonts w:hint="eastAsia" w:ascii="Times New Roman" w:hAnsi="Times New Roman" w:cs="宋体"/>
          <w:sz w:val="24"/>
          <w:szCs w:val="24"/>
        </w:rPr>
        <w:fldChar w:fldCharType="separate"/>
      </w:r>
      <w:r>
        <w:rPr>
          <w:rFonts w:hint="eastAsia" w:ascii="Times New Roman" w:hAnsi="Times New Roman" w:cs="宋体"/>
          <w:sz w:val="24"/>
          <w:szCs w:val="24"/>
        </w:rPr>
        <w:t>4</w:t>
      </w:r>
      <w:r>
        <w:rPr>
          <w:rFonts w:hint="eastAsia" w:ascii="Times New Roman" w:hAnsi="Times New Roman" w:cs="宋体"/>
          <w:sz w:val="24"/>
          <w:szCs w:val="24"/>
        </w:rPr>
        <w:fldChar w:fldCharType="end"/>
      </w:r>
      <w:r>
        <w:rPr>
          <w:rFonts w:hint="eastAsia" w:ascii="Times New Roman" w:hAnsi="Times New Roman" w:cs="宋体"/>
          <w:sz w:val="24"/>
          <w:szCs w:val="24"/>
        </w:rPr>
        <w:fldChar w:fldCharType="end"/>
      </w:r>
    </w:p>
    <w:p>
      <w:pPr>
        <w:pStyle w:val="19"/>
        <w:tabs>
          <w:tab w:val="right" w:leader="dot" w:pos="8306"/>
        </w:tabs>
        <w:spacing w:line="312" w:lineRule="auto"/>
        <w:jc w:val="left"/>
        <w:rPr>
          <w:rFonts w:hint="eastAsia" w:ascii="Times New Roman" w:hAnsi="Times New Roman" w:cs="宋体"/>
          <w:sz w:val="24"/>
          <w:szCs w:val="24"/>
        </w:rPr>
      </w:pPr>
      <w:r>
        <w:rPr>
          <w:rFonts w:hint="eastAsia" w:ascii="Times New Roman" w:hAnsi="Times New Roman" w:cs="宋体"/>
          <w:sz w:val="24"/>
          <w:szCs w:val="24"/>
        </w:rPr>
        <w:fldChar w:fldCharType="begin"/>
      </w:r>
      <w:r>
        <w:rPr>
          <w:rFonts w:hint="eastAsia" w:ascii="Times New Roman" w:hAnsi="Times New Roman" w:cs="宋体"/>
          <w:sz w:val="24"/>
          <w:szCs w:val="24"/>
        </w:rPr>
        <w:instrText xml:space="preserve"> HYPERLINK \l _Toc2349 </w:instrText>
      </w:r>
      <w:r>
        <w:rPr>
          <w:rFonts w:hint="eastAsia" w:ascii="Times New Roman" w:hAnsi="Times New Roman" w:cs="宋体"/>
          <w:sz w:val="24"/>
          <w:szCs w:val="24"/>
        </w:rPr>
        <w:fldChar w:fldCharType="separate"/>
      </w:r>
      <w:r>
        <w:rPr>
          <w:rFonts w:hint="eastAsia" w:ascii="Times New Roman" w:hAnsi="Times New Roman" w:cs="宋体"/>
          <w:sz w:val="24"/>
          <w:szCs w:val="24"/>
        </w:rPr>
        <w:t>3  Symbols</w:t>
      </w:r>
      <w:r>
        <w:rPr>
          <w:rFonts w:hint="eastAsia" w:ascii="Times New Roman" w:hAnsi="Times New Roman" w:cs="宋体"/>
          <w:sz w:val="24"/>
          <w:szCs w:val="24"/>
        </w:rPr>
        <w:tab/>
      </w:r>
      <w:r>
        <w:rPr>
          <w:rFonts w:hint="eastAsia" w:ascii="Times New Roman" w:hAnsi="Times New Roman" w:cs="宋体"/>
          <w:sz w:val="24"/>
          <w:szCs w:val="24"/>
        </w:rPr>
        <w:fldChar w:fldCharType="begin"/>
      </w:r>
      <w:r>
        <w:rPr>
          <w:rFonts w:hint="eastAsia" w:ascii="Times New Roman" w:hAnsi="Times New Roman" w:cs="宋体"/>
          <w:sz w:val="24"/>
          <w:szCs w:val="24"/>
        </w:rPr>
        <w:instrText xml:space="preserve"> PAGEREF _Toc2349 \h </w:instrText>
      </w:r>
      <w:r>
        <w:rPr>
          <w:rFonts w:hint="eastAsia" w:ascii="Times New Roman" w:hAnsi="Times New Roman" w:cs="宋体"/>
          <w:sz w:val="24"/>
          <w:szCs w:val="24"/>
        </w:rPr>
        <w:fldChar w:fldCharType="separate"/>
      </w:r>
      <w:r>
        <w:rPr>
          <w:rFonts w:hint="eastAsia" w:ascii="Times New Roman" w:hAnsi="Times New Roman" w:cs="宋体"/>
          <w:sz w:val="24"/>
          <w:szCs w:val="24"/>
        </w:rPr>
        <w:t>5</w:t>
      </w:r>
      <w:r>
        <w:rPr>
          <w:rFonts w:hint="eastAsia" w:ascii="Times New Roman" w:hAnsi="Times New Roman" w:cs="宋体"/>
          <w:sz w:val="24"/>
          <w:szCs w:val="24"/>
        </w:rPr>
        <w:fldChar w:fldCharType="end"/>
      </w:r>
      <w:r>
        <w:rPr>
          <w:rFonts w:hint="eastAsia" w:ascii="Times New Roman" w:hAnsi="Times New Roman" w:cs="宋体"/>
          <w:sz w:val="24"/>
          <w:szCs w:val="24"/>
        </w:rPr>
        <w:fldChar w:fldCharType="end"/>
      </w:r>
    </w:p>
    <w:p>
      <w:pPr>
        <w:pStyle w:val="19"/>
        <w:tabs>
          <w:tab w:val="right" w:leader="dot" w:pos="8306"/>
        </w:tabs>
        <w:spacing w:line="312" w:lineRule="auto"/>
        <w:jc w:val="left"/>
        <w:rPr>
          <w:rFonts w:hint="eastAsia" w:ascii="Times New Roman" w:hAnsi="Times New Roman" w:cs="宋体"/>
          <w:sz w:val="24"/>
          <w:szCs w:val="24"/>
        </w:rPr>
      </w:pPr>
      <w:r>
        <w:rPr>
          <w:rFonts w:hint="eastAsia" w:ascii="Times New Roman" w:hAnsi="Times New Roman" w:cs="宋体"/>
          <w:sz w:val="24"/>
          <w:szCs w:val="24"/>
        </w:rPr>
        <w:fldChar w:fldCharType="begin"/>
      </w:r>
      <w:r>
        <w:rPr>
          <w:rFonts w:hint="eastAsia" w:ascii="Times New Roman" w:hAnsi="Times New Roman" w:cs="宋体"/>
          <w:sz w:val="24"/>
          <w:szCs w:val="24"/>
        </w:rPr>
        <w:instrText xml:space="preserve"> HYPERLINK \l _Toc29858 </w:instrText>
      </w:r>
      <w:r>
        <w:rPr>
          <w:rFonts w:hint="eastAsia" w:ascii="Times New Roman" w:hAnsi="Times New Roman" w:cs="宋体"/>
          <w:sz w:val="24"/>
          <w:szCs w:val="24"/>
        </w:rPr>
        <w:fldChar w:fldCharType="separate"/>
      </w:r>
      <w:r>
        <w:rPr>
          <w:rFonts w:hint="eastAsia" w:ascii="Times New Roman" w:hAnsi="Times New Roman" w:cs="宋体"/>
          <w:sz w:val="24"/>
          <w:szCs w:val="24"/>
        </w:rPr>
        <w:t xml:space="preserve">4  </w:t>
      </w:r>
      <w:r>
        <w:rPr>
          <w:rFonts w:hint="eastAsia" w:ascii="Times New Roman" w:hAnsi="Times New Roman" w:cs="宋体"/>
          <w:sz w:val="24"/>
          <w:szCs w:val="24"/>
          <w:lang w:val="en-US" w:eastAsia="zh-CN"/>
        </w:rPr>
        <w:t>H</w:t>
      </w:r>
      <w:r>
        <w:rPr>
          <w:rFonts w:hint="eastAsia" w:ascii="Times New Roman" w:hAnsi="Times New Roman" w:cs="宋体"/>
          <w:sz w:val="24"/>
          <w:szCs w:val="24"/>
        </w:rPr>
        <w:t xml:space="preserve">igh </w:t>
      </w:r>
      <w:r>
        <w:rPr>
          <w:rFonts w:hint="eastAsia" w:ascii="Times New Roman" w:hAnsi="Times New Roman" w:cs="宋体"/>
          <w:sz w:val="24"/>
          <w:szCs w:val="24"/>
          <w:lang w:val="en-US" w:eastAsia="zh-CN"/>
        </w:rPr>
        <w:t>D</w:t>
      </w:r>
      <w:r>
        <w:rPr>
          <w:rFonts w:hint="eastAsia" w:ascii="Times New Roman" w:hAnsi="Times New Roman" w:cs="宋体"/>
          <w:sz w:val="24"/>
          <w:szCs w:val="24"/>
        </w:rPr>
        <w:t xml:space="preserve">uctile </w:t>
      </w:r>
      <w:r>
        <w:rPr>
          <w:rFonts w:hint="eastAsia" w:ascii="Times New Roman" w:hAnsi="Times New Roman" w:cs="宋体"/>
          <w:sz w:val="24"/>
          <w:szCs w:val="24"/>
          <w:lang w:val="en-US" w:eastAsia="zh-CN"/>
        </w:rPr>
        <w:t>C</w:t>
      </w:r>
      <w:r>
        <w:rPr>
          <w:rFonts w:hint="eastAsia" w:ascii="Times New Roman" w:hAnsi="Times New Roman" w:cs="宋体"/>
          <w:sz w:val="24"/>
          <w:szCs w:val="24"/>
        </w:rPr>
        <w:t>oncrete</w:t>
      </w:r>
      <w:r>
        <w:rPr>
          <w:rFonts w:hint="eastAsia" w:ascii="Times New Roman" w:hAnsi="Times New Roman" w:cs="宋体"/>
          <w:sz w:val="24"/>
          <w:szCs w:val="24"/>
          <w:lang w:val="en-US" w:eastAsia="zh-CN"/>
        </w:rPr>
        <w:t xml:space="preserve"> </w:t>
      </w:r>
      <w:r>
        <w:rPr>
          <w:rFonts w:hint="eastAsia" w:ascii="Times New Roman" w:hAnsi="Times New Roman" w:cs="宋体"/>
          <w:sz w:val="24"/>
          <w:szCs w:val="24"/>
        </w:rPr>
        <w:t>Materials</w:t>
      </w:r>
      <w:r>
        <w:rPr>
          <w:rFonts w:hint="eastAsia" w:ascii="Times New Roman" w:hAnsi="Times New Roman" w:cs="宋体"/>
          <w:sz w:val="24"/>
          <w:szCs w:val="24"/>
        </w:rPr>
        <w:tab/>
      </w:r>
      <w:r>
        <w:rPr>
          <w:rFonts w:hint="eastAsia" w:ascii="Times New Roman" w:hAnsi="Times New Roman" w:cs="宋体"/>
          <w:sz w:val="24"/>
          <w:szCs w:val="24"/>
        </w:rPr>
        <w:fldChar w:fldCharType="begin"/>
      </w:r>
      <w:r>
        <w:rPr>
          <w:rFonts w:hint="eastAsia" w:ascii="Times New Roman" w:hAnsi="Times New Roman" w:cs="宋体"/>
          <w:sz w:val="24"/>
          <w:szCs w:val="24"/>
        </w:rPr>
        <w:instrText xml:space="preserve"> PAGEREF _Toc29858 \h </w:instrText>
      </w:r>
      <w:r>
        <w:rPr>
          <w:rFonts w:hint="eastAsia" w:ascii="Times New Roman" w:hAnsi="Times New Roman" w:cs="宋体"/>
          <w:sz w:val="24"/>
          <w:szCs w:val="24"/>
        </w:rPr>
        <w:fldChar w:fldCharType="separate"/>
      </w:r>
      <w:r>
        <w:rPr>
          <w:rFonts w:hint="eastAsia" w:ascii="Times New Roman" w:hAnsi="Times New Roman" w:cs="宋体"/>
          <w:sz w:val="24"/>
          <w:szCs w:val="24"/>
        </w:rPr>
        <w:t>7</w:t>
      </w:r>
      <w:r>
        <w:rPr>
          <w:rFonts w:hint="eastAsia" w:ascii="Times New Roman" w:hAnsi="Times New Roman" w:cs="宋体"/>
          <w:sz w:val="24"/>
          <w:szCs w:val="24"/>
        </w:rPr>
        <w:fldChar w:fldCharType="end"/>
      </w:r>
      <w:r>
        <w:rPr>
          <w:rFonts w:hint="eastAsia" w:ascii="Times New Roman" w:hAnsi="Times New Roman" w:cs="宋体"/>
          <w:sz w:val="24"/>
          <w:szCs w:val="24"/>
        </w:rPr>
        <w:fldChar w:fldCharType="end"/>
      </w:r>
    </w:p>
    <w:p>
      <w:pPr>
        <w:pStyle w:val="19"/>
        <w:tabs>
          <w:tab w:val="right" w:leader="dot" w:pos="8306"/>
        </w:tabs>
        <w:spacing w:line="312" w:lineRule="auto"/>
        <w:ind w:firstLine="240" w:firstLineChars="100"/>
        <w:jc w:val="left"/>
        <w:rPr>
          <w:rFonts w:hint="eastAsia" w:ascii="Times New Roman" w:hAnsi="Times New Roman" w:cs="宋体"/>
          <w:sz w:val="24"/>
          <w:szCs w:val="24"/>
        </w:rPr>
      </w:pPr>
      <w:r>
        <w:rPr>
          <w:rFonts w:hint="eastAsia" w:ascii="Times New Roman" w:hAnsi="Times New Roman" w:cs="宋体"/>
          <w:sz w:val="24"/>
          <w:szCs w:val="24"/>
        </w:rPr>
        <w:fldChar w:fldCharType="begin"/>
      </w:r>
      <w:r>
        <w:rPr>
          <w:rFonts w:hint="eastAsia" w:ascii="Times New Roman" w:hAnsi="Times New Roman" w:cs="宋体"/>
          <w:sz w:val="24"/>
          <w:szCs w:val="24"/>
        </w:rPr>
        <w:instrText xml:space="preserve"> HYPERLINK \l _Toc25064 </w:instrText>
      </w:r>
      <w:r>
        <w:rPr>
          <w:rFonts w:hint="eastAsia" w:ascii="Times New Roman" w:hAnsi="Times New Roman" w:cs="宋体"/>
          <w:sz w:val="24"/>
          <w:szCs w:val="24"/>
        </w:rPr>
        <w:fldChar w:fldCharType="separate"/>
      </w:r>
      <w:r>
        <w:rPr>
          <w:rFonts w:hint="eastAsia" w:ascii="Times New Roman" w:hAnsi="Times New Roman" w:cs="宋体"/>
          <w:sz w:val="24"/>
          <w:szCs w:val="24"/>
        </w:rPr>
        <w:t>4.1  Raw Material</w:t>
      </w:r>
      <w:r>
        <w:rPr>
          <w:rFonts w:hint="eastAsia" w:ascii="Times New Roman" w:hAnsi="Times New Roman" w:cs="宋体"/>
          <w:sz w:val="24"/>
          <w:szCs w:val="24"/>
        </w:rPr>
        <w:tab/>
      </w:r>
      <w:r>
        <w:rPr>
          <w:rFonts w:hint="eastAsia" w:ascii="Times New Roman" w:hAnsi="Times New Roman" w:cs="宋体"/>
          <w:sz w:val="24"/>
          <w:szCs w:val="24"/>
        </w:rPr>
        <w:fldChar w:fldCharType="begin"/>
      </w:r>
      <w:r>
        <w:rPr>
          <w:rFonts w:hint="eastAsia" w:ascii="Times New Roman" w:hAnsi="Times New Roman" w:cs="宋体"/>
          <w:sz w:val="24"/>
          <w:szCs w:val="24"/>
        </w:rPr>
        <w:instrText xml:space="preserve"> PAGEREF _Toc25064 \h </w:instrText>
      </w:r>
      <w:r>
        <w:rPr>
          <w:rFonts w:hint="eastAsia" w:ascii="Times New Roman" w:hAnsi="Times New Roman" w:cs="宋体"/>
          <w:sz w:val="24"/>
          <w:szCs w:val="24"/>
        </w:rPr>
        <w:fldChar w:fldCharType="separate"/>
      </w:r>
      <w:r>
        <w:rPr>
          <w:rFonts w:hint="eastAsia" w:ascii="Times New Roman" w:hAnsi="Times New Roman" w:cs="宋体"/>
          <w:sz w:val="24"/>
          <w:szCs w:val="24"/>
        </w:rPr>
        <w:t>7</w:t>
      </w:r>
      <w:r>
        <w:rPr>
          <w:rFonts w:hint="eastAsia" w:ascii="Times New Roman" w:hAnsi="Times New Roman" w:cs="宋体"/>
          <w:sz w:val="24"/>
          <w:szCs w:val="24"/>
        </w:rPr>
        <w:fldChar w:fldCharType="end"/>
      </w:r>
      <w:r>
        <w:rPr>
          <w:rFonts w:hint="eastAsia" w:ascii="Times New Roman" w:hAnsi="Times New Roman" w:cs="宋体"/>
          <w:sz w:val="24"/>
          <w:szCs w:val="24"/>
        </w:rPr>
        <w:fldChar w:fldCharType="end"/>
      </w:r>
    </w:p>
    <w:p>
      <w:pPr>
        <w:pStyle w:val="19"/>
        <w:tabs>
          <w:tab w:val="right" w:leader="dot" w:pos="8306"/>
        </w:tabs>
        <w:spacing w:line="312" w:lineRule="auto"/>
        <w:ind w:firstLine="240" w:firstLineChars="100"/>
        <w:jc w:val="left"/>
        <w:rPr>
          <w:rFonts w:hint="eastAsia" w:ascii="Times New Roman" w:hAnsi="Times New Roman" w:cs="宋体"/>
          <w:sz w:val="24"/>
          <w:szCs w:val="24"/>
        </w:rPr>
      </w:pPr>
      <w:r>
        <w:rPr>
          <w:rFonts w:hint="eastAsia" w:ascii="Times New Roman" w:hAnsi="Times New Roman" w:cs="宋体"/>
          <w:sz w:val="24"/>
          <w:szCs w:val="24"/>
        </w:rPr>
        <w:fldChar w:fldCharType="begin"/>
      </w:r>
      <w:r>
        <w:rPr>
          <w:rFonts w:hint="eastAsia" w:ascii="Times New Roman" w:hAnsi="Times New Roman" w:cs="宋体"/>
          <w:sz w:val="24"/>
          <w:szCs w:val="24"/>
        </w:rPr>
        <w:instrText xml:space="preserve"> HYPERLINK \l _Toc12367 </w:instrText>
      </w:r>
      <w:r>
        <w:rPr>
          <w:rFonts w:hint="eastAsia" w:ascii="Times New Roman" w:hAnsi="Times New Roman" w:cs="宋体"/>
          <w:sz w:val="24"/>
          <w:szCs w:val="24"/>
        </w:rPr>
        <w:fldChar w:fldCharType="separate"/>
      </w:r>
      <w:r>
        <w:rPr>
          <w:rFonts w:hint="eastAsia" w:ascii="Times New Roman" w:hAnsi="Times New Roman" w:cs="宋体"/>
          <w:sz w:val="24"/>
          <w:szCs w:val="24"/>
        </w:rPr>
        <w:t>4.2  Mixing Properties</w:t>
      </w:r>
      <w:r>
        <w:rPr>
          <w:rFonts w:hint="eastAsia" w:ascii="Times New Roman" w:hAnsi="Times New Roman" w:cs="宋体"/>
          <w:sz w:val="24"/>
          <w:szCs w:val="24"/>
        </w:rPr>
        <w:tab/>
      </w:r>
      <w:r>
        <w:rPr>
          <w:rFonts w:hint="eastAsia" w:ascii="Times New Roman" w:hAnsi="Times New Roman" w:cs="宋体"/>
          <w:sz w:val="24"/>
          <w:szCs w:val="24"/>
        </w:rPr>
        <w:fldChar w:fldCharType="begin"/>
      </w:r>
      <w:r>
        <w:rPr>
          <w:rFonts w:hint="eastAsia" w:ascii="Times New Roman" w:hAnsi="Times New Roman" w:cs="宋体"/>
          <w:sz w:val="24"/>
          <w:szCs w:val="24"/>
        </w:rPr>
        <w:instrText xml:space="preserve"> PAGEREF _Toc12367 \h </w:instrText>
      </w:r>
      <w:r>
        <w:rPr>
          <w:rFonts w:hint="eastAsia" w:ascii="Times New Roman" w:hAnsi="Times New Roman" w:cs="宋体"/>
          <w:sz w:val="24"/>
          <w:szCs w:val="24"/>
        </w:rPr>
        <w:fldChar w:fldCharType="separate"/>
      </w:r>
      <w:r>
        <w:rPr>
          <w:rFonts w:hint="eastAsia" w:ascii="Times New Roman" w:hAnsi="Times New Roman" w:cs="宋体"/>
          <w:sz w:val="24"/>
          <w:szCs w:val="24"/>
        </w:rPr>
        <w:t>7</w:t>
      </w:r>
      <w:r>
        <w:rPr>
          <w:rFonts w:hint="eastAsia" w:ascii="Times New Roman" w:hAnsi="Times New Roman" w:cs="宋体"/>
          <w:sz w:val="24"/>
          <w:szCs w:val="24"/>
        </w:rPr>
        <w:fldChar w:fldCharType="end"/>
      </w:r>
      <w:r>
        <w:rPr>
          <w:rFonts w:hint="eastAsia" w:ascii="Times New Roman" w:hAnsi="Times New Roman" w:cs="宋体"/>
          <w:sz w:val="24"/>
          <w:szCs w:val="24"/>
        </w:rPr>
        <w:fldChar w:fldCharType="end"/>
      </w:r>
    </w:p>
    <w:p>
      <w:pPr>
        <w:pStyle w:val="19"/>
        <w:tabs>
          <w:tab w:val="right" w:leader="dot" w:pos="8306"/>
        </w:tabs>
        <w:spacing w:line="312" w:lineRule="auto"/>
        <w:ind w:firstLine="240" w:firstLineChars="100"/>
        <w:jc w:val="left"/>
        <w:rPr>
          <w:rFonts w:hint="eastAsia" w:ascii="Times New Roman" w:hAnsi="Times New Roman" w:cs="宋体"/>
          <w:sz w:val="24"/>
          <w:szCs w:val="24"/>
        </w:rPr>
      </w:pPr>
      <w:r>
        <w:rPr>
          <w:rFonts w:hint="eastAsia" w:ascii="Times New Roman" w:hAnsi="Times New Roman" w:cs="宋体"/>
          <w:sz w:val="24"/>
          <w:szCs w:val="24"/>
        </w:rPr>
        <w:fldChar w:fldCharType="begin"/>
      </w:r>
      <w:r>
        <w:rPr>
          <w:rFonts w:hint="eastAsia" w:ascii="Times New Roman" w:hAnsi="Times New Roman" w:cs="宋体"/>
          <w:sz w:val="24"/>
          <w:szCs w:val="24"/>
        </w:rPr>
        <w:instrText xml:space="preserve"> HYPERLINK \l _Toc21215 </w:instrText>
      </w:r>
      <w:r>
        <w:rPr>
          <w:rFonts w:hint="eastAsia" w:ascii="Times New Roman" w:hAnsi="Times New Roman" w:cs="宋体"/>
          <w:sz w:val="24"/>
          <w:szCs w:val="24"/>
        </w:rPr>
        <w:fldChar w:fldCharType="separate"/>
      </w:r>
      <w:r>
        <w:rPr>
          <w:rFonts w:hint="eastAsia" w:ascii="Times New Roman" w:hAnsi="Times New Roman" w:cs="宋体"/>
          <w:sz w:val="24"/>
          <w:szCs w:val="24"/>
        </w:rPr>
        <w:t>4.3  Mixing Properties</w:t>
      </w:r>
      <w:r>
        <w:rPr>
          <w:rFonts w:hint="eastAsia" w:ascii="Times New Roman" w:hAnsi="Times New Roman" w:cs="宋体"/>
          <w:sz w:val="24"/>
          <w:szCs w:val="24"/>
        </w:rPr>
        <w:tab/>
      </w:r>
      <w:r>
        <w:rPr>
          <w:rFonts w:hint="eastAsia" w:ascii="Times New Roman" w:hAnsi="Times New Roman" w:cs="宋体"/>
          <w:sz w:val="24"/>
          <w:szCs w:val="24"/>
        </w:rPr>
        <w:fldChar w:fldCharType="begin"/>
      </w:r>
      <w:r>
        <w:rPr>
          <w:rFonts w:hint="eastAsia" w:ascii="Times New Roman" w:hAnsi="Times New Roman" w:cs="宋体"/>
          <w:sz w:val="24"/>
          <w:szCs w:val="24"/>
        </w:rPr>
        <w:instrText xml:space="preserve"> PAGEREF _Toc21215 \h </w:instrText>
      </w:r>
      <w:r>
        <w:rPr>
          <w:rFonts w:hint="eastAsia" w:ascii="Times New Roman" w:hAnsi="Times New Roman" w:cs="宋体"/>
          <w:sz w:val="24"/>
          <w:szCs w:val="24"/>
        </w:rPr>
        <w:fldChar w:fldCharType="separate"/>
      </w:r>
      <w:r>
        <w:rPr>
          <w:rFonts w:hint="eastAsia" w:ascii="Times New Roman" w:hAnsi="Times New Roman" w:cs="宋体"/>
          <w:sz w:val="24"/>
          <w:szCs w:val="24"/>
        </w:rPr>
        <w:t>8</w:t>
      </w:r>
      <w:r>
        <w:rPr>
          <w:rFonts w:hint="eastAsia" w:ascii="Times New Roman" w:hAnsi="Times New Roman" w:cs="宋体"/>
          <w:sz w:val="24"/>
          <w:szCs w:val="24"/>
        </w:rPr>
        <w:fldChar w:fldCharType="end"/>
      </w:r>
      <w:r>
        <w:rPr>
          <w:rFonts w:hint="eastAsia" w:ascii="Times New Roman" w:hAnsi="Times New Roman" w:cs="宋体"/>
          <w:sz w:val="24"/>
          <w:szCs w:val="24"/>
        </w:rPr>
        <w:fldChar w:fldCharType="end"/>
      </w:r>
    </w:p>
    <w:p>
      <w:pPr>
        <w:pStyle w:val="19"/>
        <w:tabs>
          <w:tab w:val="right" w:leader="dot" w:pos="8306"/>
        </w:tabs>
        <w:spacing w:line="312" w:lineRule="auto"/>
        <w:ind w:firstLine="240" w:firstLineChars="100"/>
        <w:jc w:val="left"/>
        <w:rPr>
          <w:rFonts w:hint="eastAsia" w:ascii="Times New Roman" w:hAnsi="Times New Roman" w:cs="宋体"/>
          <w:sz w:val="24"/>
          <w:szCs w:val="24"/>
        </w:rPr>
      </w:pPr>
      <w:r>
        <w:rPr>
          <w:rFonts w:hint="eastAsia" w:ascii="Times New Roman" w:hAnsi="Times New Roman" w:cs="宋体"/>
          <w:sz w:val="24"/>
          <w:szCs w:val="24"/>
        </w:rPr>
        <w:fldChar w:fldCharType="begin"/>
      </w:r>
      <w:r>
        <w:rPr>
          <w:rFonts w:hint="eastAsia" w:ascii="Times New Roman" w:hAnsi="Times New Roman" w:cs="宋体"/>
          <w:sz w:val="24"/>
          <w:szCs w:val="24"/>
        </w:rPr>
        <w:instrText xml:space="preserve"> HYPERLINK \l _Toc4245 </w:instrText>
      </w:r>
      <w:r>
        <w:rPr>
          <w:rFonts w:hint="eastAsia" w:ascii="Times New Roman" w:hAnsi="Times New Roman" w:cs="宋体"/>
          <w:sz w:val="24"/>
          <w:szCs w:val="24"/>
        </w:rPr>
        <w:fldChar w:fldCharType="separate"/>
      </w:r>
      <w:r>
        <w:rPr>
          <w:rFonts w:hint="eastAsia" w:ascii="Times New Roman" w:hAnsi="Times New Roman" w:cs="宋体"/>
          <w:sz w:val="24"/>
          <w:szCs w:val="24"/>
        </w:rPr>
        <w:t>4.4  Durability</w:t>
      </w:r>
      <w:r>
        <w:rPr>
          <w:rFonts w:hint="eastAsia" w:ascii="Times New Roman" w:hAnsi="Times New Roman" w:cs="宋体"/>
          <w:sz w:val="24"/>
          <w:szCs w:val="24"/>
        </w:rPr>
        <w:tab/>
      </w:r>
      <w:r>
        <w:rPr>
          <w:rFonts w:hint="eastAsia" w:ascii="Times New Roman" w:hAnsi="Times New Roman" w:cs="宋体"/>
          <w:sz w:val="24"/>
          <w:szCs w:val="24"/>
        </w:rPr>
        <w:fldChar w:fldCharType="begin"/>
      </w:r>
      <w:r>
        <w:rPr>
          <w:rFonts w:hint="eastAsia" w:ascii="Times New Roman" w:hAnsi="Times New Roman" w:cs="宋体"/>
          <w:sz w:val="24"/>
          <w:szCs w:val="24"/>
        </w:rPr>
        <w:instrText xml:space="preserve"> PAGEREF _Toc4245 \h </w:instrText>
      </w:r>
      <w:r>
        <w:rPr>
          <w:rFonts w:hint="eastAsia" w:ascii="Times New Roman" w:hAnsi="Times New Roman" w:cs="宋体"/>
          <w:sz w:val="24"/>
          <w:szCs w:val="24"/>
        </w:rPr>
        <w:fldChar w:fldCharType="separate"/>
      </w:r>
      <w:r>
        <w:rPr>
          <w:rFonts w:hint="eastAsia" w:ascii="Times New Roman" w:hAnsi="Times New Roman" w:cs="宋体"/>
          <w:sz w:val="24"/>
          <w:szCs w:val="24"/>
        </w:rPr>
        <w:t>11</w:t>
      </w:r>
      <w:r>
        <w:rPr>
          <w:rFonts w:hint="eastAsia" w:ascii="Times New Roman" w:hAnsi="Times New Roman" w:cs="宋体"/>
          <w:sz w:val="24"/>
          <w:szCs w:val="24"/>
        </w:rPr>
        <w:fldChar w:fldCharType="end"/>
      </w:r>
      <w:r>
        <w:rPr>
          <w:rFonts w:hint="eastAsia" w:ascii="Times New Roman" w:hAnsi="Times New Roman" w:cs="宋体"/>
          <w:sz w:val="24"/>
          <w:szCs w:val="24"/>
        </w:rPr>
        <w:fldChar w:fldCharType="end"/>
      </w:r>
    </w:p>
    <w:p>
      <w:pPr>
        <w:pStyle w:val="19"/>
        <w:tabs>
          <w:tab w:val="right" w:leader="dot" w:pos="8306"/>
        </w:tabs>
        <w:spacing w:line="312" w:lineRule="auto"/>
        <w:jc w:val="left"/>
        <w:rPr>
          <w:rFonts w:hint="eastAsia" w:ascii="Times New Roman" w:hAnsi="Times New Roman" w:cs="宋体"/>
          <w:sz w:val="24"/>
          <w:szCs w:val="24"/>
        </w:rPr>
      </w:pPr>
      <w:r>
        <w:rPr>
          <w:rFonts w:hint="eastAsia" w:ascii="Times New Roman" w:hAnsi="Times New Roman" w:cs="宋体"/>
          <w:sz w:val="24"/>
          <w:szCs w:val="24"/>
        </w:rPr>
        <w:fldChar w:fldCharType="begin"/>
      </w:r>
      <w:r>
        <w:rPr>
          <w:rFonts w:hint="eastAsia" w:ascii="Times New Roman" w:hAnsi="Times New Roman" w:cs="宋体"/>
          <w:sz w:val="24"/>
          <w:szCs w:val="24"/>
        </w:rPr>
        <w:instrText xml:space="preserve"> HYPERLINK \l _Toc15157 </w:instrText>
      </w:r>
      <w:r>
        <w:rPr>
          <w:rFonts w:hint="eastAsia" w:ascii="Times New Roman" w:hAnsi="Times New Roman" w:cs="宋体"/>
          <w:sz w:val="24"/>
          <w:szCs w:val="24"/>
        </w:rPr>
        <w:fldChar w:fldCharType="separate"/>
      </w:r>
      <w:r>
        <w:rPr>
          <w:rFonts w:hint="eastAsia" w:ascii="Times New Roman" w:hAnsi="Times New Roman" w:cs="宋体"/>
          <w:sz w:val="24"/>
          <w:szCs w:val="24"/>
        </w:rPr>
        <w:t xml:space="preserve">5  </w:t>
      </w:r>
      <w:r>
        <w:rPr>
          <w:rFonts w:hint="eastAsia" w:ascii="Times New Roman" w:hAnsi="Times New Roman" w:cs="宋体"/>
          <w:sz w:val="24"/>
          <w:szCs w:val="24"/>
          <w:lang w:val="en-US" w:eastAsia="zh-CN"/>
        </w:rPr>
        <w:t>Design of s</w:t>
      </w:r>
      <w:r>
        <w:rPr>
          <w:rFonts w:hint="eastAsia" w:ascii="Times New Roman" w:hAnsi="Times New Roman" w:cs="宋体"/>
          <w:sz w:val="24"/>
          <w:szCs w:val="24"/>
        </w:rPr>
        <w:t>trengthening</w:t>
      </w:r>
      <w:r>
        <w:rPr>
          <w:rFonts w:hint="eastAsia" w:ascii="Times New Roman" w:hAnsi="Times New Roman" w:cs="宋体"/>
          <w:sz w:val="24"/>
          <w:szCs w:val="24"/>
          <w:lang w:val="en-US" w:eastAsia="zh-CN"/>
        </w:rPr>
        <w:t xml:space="preserve"> masonry structures</w:t>
      </w:r>
      <w:r>
        <w:rPr>
          <w:rFonts w:hint="eastAsia" w:ascii="Times New Roman" w:hAnsi="Times New Roman" w:cs="宋体"/>
          <w:sz w:val="24"/>
          <w:szCs w:val="24"/>
        </w:rPr>
        <w:tab/>
      </w:r>
      <w:r>
        <w:rPr>
          <w:rFonts w:hint="eastAsia" w:ascii="Times New Roman" w:hAnsi="Times New Roman" w:cs="宋体"/>
          <w:sz w:val="24"/>
          <w:szCs w:val="24"/>
        </w:rPr>
        <w:fldChar w:fldCharType="begin"/>
      </w:r>
      <w:r>
        <w:rPr>
          <w:rFonts w:hint="eastAsia" w:ascii="Times New Roman" w:hAnsi="Times New Roman" w:cs="宋体"/>
          <w:sz w:val="24"/>
          <w:szCs w:val="24"/>
        </w:rPr>
        <w:instrText xml:space="preserve"> PAGEREF _Toc15157 \h </w:instrText>
      </w:r>
      <w:r>
        <w:rPr>
          <w:rFonts w:hint="eastAsia" w:ascii="Times New Roman" w:hAnsi="Times New Roman" w:cs="宋体"/>
          <w:sz w:val="24"/>
          <w:szCs w:val="24"/>
        </w:rPr>
        <w:fldChar w:fldCharType="separate"/>
      </w:r>
      <w:r>
        <w:rPr>
          <w:rFonts w:hint="eastAsia" w:ascii="Times New Roman" w:hAnsi="Times New Roman" w:cs="宋体"/>
          <w:sz w:val="24"/>
          <w:szCs w:val="24"/>
        </w:rPr>
        <w:t>12</w:t>
      </w:r>
      <w:r>
        <w:rPr>
          <w:rFonts w:hint="eastAsia" w:ascii="Times New Roman" w:hAnsi="Times New Roman" w:cs="宋体"/>
          <w:sz w:val="24"/>
          <w:szCs w:val="24"/>
        </w:rPr>
        <w:fldChar w:fldCharType="end"/>
      </w:r>
      <w:r>
        <w:rPr>
          <w:rFonts w:hint="eastAsia" w:ascii="Times New Roman" w:hAnsi="Times New Roman" w:cs="宋体"/>
          <w:sz w:val="24"/>
          <w:szCs w:val="24"/>
        </w:rPr>
        <w:fldChar w:fldCharType="end"/>
      </w:r>
    </w:p>
    <w:p>
      <w:pPr>
        <w:pStyle w:val="19"/>
        <w:tabs>
          <w:tab w:val="right" w:leader="dot" w:pos="8306"/>
        </w:tabs>
        <w:spacing w:line="312" w:lineRule="auto"/>
        <w:ind w:firstLine="240" w:firstLineChars="100"/>
        <w:jc w:val="left"/>
        <w:rPr>
          <w:rFonts w:hint="eastAsia" w:ascii="Times New Roman" w:hAnsi="Times New Roman" w:cs="宋体"/>
          <w:sz w:val="24"/>
          <w:szCs w:val="24"/>
        </w:rPr>
      </w:pPr>
      <w:r>
        <w:rPr>
          <w:rFonts w:hint="eastAsia" w:ascii="Times New Roman" w:hAnsi="Times New Roman" w:cs="宋体"/>
          <w:sz w:val="24"/>
          <w:szCs w:val="24"/>
        </w:rPr>
        <w:fldChar w:fldCharType="begin"/>
      </w:r>
      <w:r>
        <w:rPr>
          <w:rFonts w:hint="eastAsia" w:ascii="Times New Roman" w:hAnsi="Times New Roman" w:cs="宋体"/>
          <w:sz w:val="24"/>
          <w:szCs w:val="24"/>
        </w:rPr>
        <w:instrText xml:space="preserve"> HYPERLINK \l _Toc21564 </w:instrText>
      </w:r>
      <w:r>
        <w:rPr>
          <w:rFonts w:hint="eastAsia" w:ascii="Times New Roman" w:hAnsi="Times New Roman" w:cs="宋体"/>
          <w:sz w:val="24"/>
          <w:szCs w:val="24"/>
        </w:rPr>
        <w:fldChar w:fldCharType="separate"/>
      </w:r>
      <w:r>
        <w:rPr>
          <w:rFonts w:hint="eastAsia" w:ascii="Times New Roman" w:hAnsi="Times New Roman" w:cs="宋体"/>
          <w:sz w:val="24"/>
          <w:szCs w:val="24"/>
        </w:rPr>
        <w:t>5.1  Durability</w:t>
      </w:r>
      <w:r>
        <w:rPr>
          <w:rFonts w:hint="eastAsia" w:ascii="Times New Roman" w:hAnsi="Times New Roman" w:cs="宋体"/>
          <w:sz w:val="24"/>
          <w:szCs w:val="24"/>
        </w:rPr>
        <w:tab/>
      </w:r>
      <w:r>
        <w:rPr>
          <w:rFonts w:hint="eastAsia" w:ascii="Times New Roman" w:hAnsi="Times New Roman" w:cs="宋体"/>
          <w:sz w:val="24"/>
          <w:szCs w:val="24"/>
        </w:rPr>
        <w:fldChar w:fldCharType="begin"/>
      </w:r>
      <w:r>
        <w:rPr>
          <w:rFonts w:hint="eastAsia" w:ascii="Times New Roman" w:hAnsi="Times New Roman" w:cs="宋体"/>
          <w:sz w:val="24"/>
          <w:szCs w:val="24"/>
        </w:rPr>
        <w:instrText xml:space="preserve"> PAGEREF _Toc21564 \h </w:instrText>
      </w:r>
      <w:r>
        <w:rPr>
          <w:rFonts w:hint="eastAsia" w:ascii="Times New Roman" w:hAnsi="Times New Roman" w:cs="宋体"/>
          <w:sz w:val="24"/>
          <w:szCs w:val="24"/>
        </w:rPr>
        <w:fldChar w:fldCharType="separate"/>
      </w:r>
      <w:r>
        <w:rPr>
          <w:rFonts w:hint="eastAsia" w:ascii="Times New Roman" w:hAnsi="Times New Roman" w:cs="宋体"/>
          <w:sz w:val="24"/>
          <w:szCs w:val="24"/>
        </w:rPr>
        <w:t>12</w:t>
      </w:r>
      <w:r>
        <w:rPr>
          <w:rFonts w:hint="eastAsia" w:ascii="Times New Roman" w:hAnsi="Times New Roman" w:cs="宋体"/>
          <w:sz w:val="24"/>
          <w:szCs w:val="24"/>
        </w:rPr>
        <w:fldChar w:fldCharType="end"/>
      </w:r>
      <w:r>
        <w:rPr>
          <w:rFonts w:hint="eastAsia" w:ascii="Times New Roman" w:hAnsi="Times New Roman" w:cs="宋体"/>
          <w:sz w:val="24"/>
          <w:szCs w:val="24"/>
        </w:rPr>
        <w:fldChar w:fldCharType="end"/>
      </w:r>
    </w:p>
    <w:p>
      <w:pPr>
        <w:pStyle w:val="19"/>
        <w:tabs>
          <w:tab w:val="right" w:leader="dot" w:pos="8306"/>
        </w:tabs>
        <w:spacing w:line="312" w:lineRule="auto"/>
        <w:ind w:firstLine="240" w:firstLineChars="100"/>
        <w:jc w:val="left"/>
        <w:rPr>
          <w:rFonts w:hint="eastAsia" w:ascii="Times New Roman" w:hAnsi="Times New Roman" w:cs="宋体"/>
          <w:sz w:val="24"/>
          <w:szCs w:val="24"/>
        </w:rPr>
      </w:pPr>
      <w:r>
        <w:rPr>
          <w:rFonts w:hint="eastAsia" w:ascii="Times New Roman" w:hAnsi="Times New Roman" w:cs="宋体"/>
          <w:sz w:val="24"/>
          <w:szCs w:val="24"/>
        </w:rPr>
        <w:fldChar w:fldCharType="begin"/>
      </w:r>
      <w:r>
        <w:rPr>
          <w:rFonts w:hint="eastAsia" w:ascii="Times New Roman" w:hAnsi="Times New Roman" w:cs="宋体"/>
          <w:sz w:val="24"/>
          <w:szCs w:val="24"/>
        </w:rPr>
        <w:instrText xml:space="preserve"> HYPERLINK \l _Toc1127 </w:instrText>
      </w:r>
      <w:r>
        <w:rPr>
          <w:rFonts w:hint="eastAsia" w:ascii="Times New Roman" w:hAnsi="Times New Roman" w:cs="宋体"/>
          <w:sz w:val="24"/>
          <w:szCs w:val="24"/>
        </w:rPr>
        <w:fldChar w:fldCharType="separate"/>
      </w:r>
      <w:r>
        <w:rPr>
          <w:rFonts w:hint="eastAsia" w:ascii="Times New Roman" w:hAnsi="Times New Roman" w:cs="宋体"/>
          <w:sz w:val="24"/>
          <w:szCs w:val="24"/>
        </w:rPr>
        <w:t xml:space="preserve">5.2  </w:t>
      </w:r>
      <w:r>
        <w:rPr>
          <w:rFonts w:hint="eastAsia" w:ascii="Times New Roman" w:hAnsi="Times New Roman" w:cs="宋体"/>
          <w:sz w:val="24"/>
          <w:szCs w:val="24"/>
          <w:lang w:val="en-US" w:eastAsia="zh-CN"/>
        </w:rPr>
        <w:t xml:space="preserve">Masonry </w:t>
      </w:r>
      <w:r>
        <w:rPr>
          <w:rFonts w:hint="eastAsia" w:ascii="Times New Roman" w:hAnsi="Times New Roman" w:cs="宋体"/>
          <w:sz w:val="24"/>
          <w:szCs w:val="24"/>
        </w:rPr>
        <w:t>Compression Strengthening</w:t>
      </w:r>
      <w:r>
        <w:rPr>
          <w:rFonts w:hint="eastAsia" w:ascii="Times New Roman" w:hAnsi="Times New Roman" w:cs="宋体"/>
          <w:sz w:val="24"/>
          <w:szCs w:val="24"/>
        </w:rPr>
        <w:tab/>
      </w:r>
      <w:r>
        <w:rPr>
          <w:rFonts w:hint="eastAsia" w:ascii="Times New Roman" w:hAnsi="Times New Roman" w:cs="宋体"/>
          <w:sz w:val="24"/>
          <w:szCs w:val="24"/>
        </w:rPr>
        <w:fldChar w:fldCharType="begin"/>
      </w:r>
      <w:r>
        <w:rPr>
          <w:rFonts w:hint="eastAsia" w:ascii="Times New Roman" w:hAnsi="Times New Roman" w:cs="宋体"/>
          <w:sz w:val="24"/>
          <w:szCs w:val="24"/>
        </w:rPr>
        <w:instrText xml:space="preserve"> PAGEREF _Toc1127 \h </w:instrText>
      </w:r>
      <w:r>
        <w:rPr>
          <w:rFonts w:hint="eastAsia" w:ascii="Times New Roman" w:hAnsi="Times New Roman" w:cs="宋体"/>
          <w:sz w:val="24"/>
          <w:szCs w:val="24"/>
        </w:rPr>
        <w:fldChar w:fldCharType="separate"/>
      </w:r>
      <w:r>
        <w:rPr>
          <w:rFonts w:hint="eastAsia" w:ascii="Times New Roman" w:hAnsi="Times New Roman" w:cs="宋体"/>
          <w:sz w:val="24"/>
          <w:szCs w:val="24"/>
        </w:rPr>
        <w:t>12</w:t>
      </w:r>
      <w:r>
        <w:rPr>
          <w:rFonts w:hint="eastAsia" w:ascii="Times New Roman" w:hAnsi="Times New Roman" w:cs="宋体"/>
          <w:sz w:val="24"/>
          <w:szCs w:val="24"/>
        </w:rPr>
        <w:fldChar w:fldCharType="end"/>
      </w:r>
      <w:r>
        <w:rPr>
          <w:rFonts w:hint="eastAsia" w:ascii="Times New Roman" w:hAnsi="Times New Roman" w:cs="宋体"/>
          <w:sz w:val="24"/>
          <w:szCs w:val="24"/>
        </w:rPr>
        <w:fldChar w:fldCharType="end"/>
      </w:r>
    </w:p>
    <w:p>
      <w:pPr>
        <w:pStyle w:val="19"/>
        <w:tabs>
          <w:tab w:val="right" w:leader="dot" w:pos="8306"/>
        </w:tabs>
        <w:spacing w:line="312" w:lineRule="auto"/>
        <w:ind w:firstLine="240" w:firstLineChars="100"/>
        <w:jc w:val="left"/>
        <w:rPr>
          <w:rFonts w:hint="eastAsia" w:ascii="Times New Roman" w:hAnsi="Times New Roman" w:cs="宋体"/>
          <w:sz w:val="24"/>
          <w:szCs w:val="24"/>
        </w:rPr>
      </w:pPr>
      <w:r>
        <w:rPr>
          <w:rFonts w:hint="eastAsia" w:ascii="Times New Roman" w:hAnsi="Times New Roman" w:cs="宋体"/>
          <w:sz w:val="24"/>
          <w:szCs w:val="24"/>
        </w:rPr>
        <w:fldChar w:fldCharType="begin"/>
      </w:r>
      <w:r>
        <w:rPr>
          <w:rFonts w:hint="eastAsia" w:ascii="Times New Roman" w:hAnsi="Times New Roman" w:cs="宋体"/>
          <w:sz w:val="24"/>
          <w:szCs w:val="24"/>
        </w:rPr>
        <w:instrText xml:space="preserve"> HYPERLINK \l _Toc22884 </w:instrText>
      </w:r>
      <w:r>
        <w:rPr>
          <w:rFonts w:hint="eastAsia" w:ascii="Times New Roman" w:hAnsi="Times New Roman" w:cs="宋体"/>
          <w:sz w:val="24"/>
          <w:szCs w:val="24"/>
        </w:rPr>
        <w:fldChar w:fldCharType="separate"/>
      </w:r>
      <w:r>
        <w:rPr>
          <w:rFonts w:hint="eastAsia" w:ascii="Times New Roman" w:hAnsi="Times New Roman" w:cs="宋体"/>
          <w:sz w:val="24"/>
          <w:szCs w:val="24"/>
        </w:rPr>
        <w:t xml:space="preserve">5.3  </w:t>
      </w:r>
      <w:r>
        <w:rPr>
          <w:rFonts w:hint="eastAsia" w:ascii="Times New Roman" w:hAnsi="Times New Roman" w:cs="宋体"/>
          <w:sz w:val="24"/>
          <w:szCs w:val="24"/>
          <w:lang w:val="en-US" w:eastAsia="zh-CN"/>
        </w:rPr>
        <w:t xml:space="preserve">Masonry </w:t>
      </w:r>
      <w:r>
        <w:rPr>
          <w:rFonts w:hint="eastAsia" w:ascii="Times New Roman" w:hAnsi="Times New Roman" w:cs="宋体"/>
          <w:sz w:val="24"/>
          <w:szCs w:val="24"/>
        </w:rPr>
        <w:t>Shear Strengthening</w:t>
      </w:r>
      <w:r>
        <w:rPr>
          <w:rFonts w:hint="eastAsia" w:ascii="Times New Roman" w:hAnsi="Times New Roman" w:cs="宋体"/>
          <w:sz w:val="24"/>
          <w:szCs w:val="24"/>
        </w:rPr>
        <w:tab/>
      </w:r>
      <w:r>
        <w:rPr>
          <w:rFonts w:hint="eastAsia" w:ascii="Times New Roman" w:hAnsi="Times New Roman" w:cs="宋体"/>
          <w:sz w:val="24"/>
          <w:szCs w:val="24"/>
        </w:rPr>
        <w:fldChar w:fldCharType="begin"/>
      </w:r>
      <w:r>
        <w:rPr>
          <w:rFonts w:hint="eastAsia" w:ascii="Times New Roman" w:hAnsi="Times New Roman" w:cs="宋体"/>
          <w:sz w:val="24"/>
          <w:szCs w:val="24"/>
        </w:rPr>
        <w:instrText xml:space="preserve"> PAGEREF _Toc22884 \h </w:instrText>
      </w:r>
      <w:r>
        <w:rPr>
          <w:rFonts w:hint="eastAsia" w:ascii="Times New Roman" w:hAnsi="Times New Roman" w:cs="宋体"/>
          <w:sz w:val="24"/>
          <w:szCs w:val="24"/>
        </w:rPr>
        <w:fldChar w:fldCharType="separate"/>
      </w:r>
      <w:r>
        <w:rPr>
          <w:rFonts w:hint="eastAsia" w:ascii="Times New Roman" w:hAnsi="Times New Roman" w:cs="宋体"/>
          <w:sz w:val="24"/>
          <w:szCs w:val="24"/>
        </w:rPr>
        <w:t>16</w:t>
      </w:r>
      <w:r>
        <w:rPr>
          <w:rFonts w:hint="eastAsia" w:ascii="Times New Roman" w:hAnsi="Times New Roman" w:cs="宋体"/>
          <w:sz w:val="24"/>
          <w:szCs w:val="24"/>
        </w:rPr>
        <w:fldChar w:fldCharType="end"/>
      </w:r>
      <w:r>
        <w:rPr>
          <w:rFonts w:hint="eastAsia" w:ascii="Times New Roman" w:hAnsi="Times New Roman" w:cs="宋体"/>
          <w:sz w:val="24"/>
          <w:szCs w:val="24"/>
        </w:rPr>
        <w:fldChar w:fldCharType="end"/>
      </w:r>
    </w:p>
    <w:p>
      <w:pPr>
        <w:pStyle w:val="19"/>
        <w:tabs>
          <w:tab w:val="right" w:leader="dot" w:pos="8306"/>
        </w:tabs>
        <w:spacing w:line="312" w:lineRule="auto"/>
        <w:ind w:firstLine="240" w:firstLineChars="100"/>
        <w:jc w:val="left"/>
        <w:rPr>
          <w:rFonts w:hint="eastAsia" w:ascii="Times New Roman" w:hAnsi="Times New Roman" w:cs="宋体"/>
          <w:sz w:val="24"/>
          <w:szCs w:val="24"/>
        </w:rPr>
      </w:pPr>
      <w:r>
        <w:rPr>
          <w:rFonts w:hint="eastAsia" w:ascii="Times New Roman" w:hAnsi="Times New Roman" w:cs="宋体"/>
          <w:sz w:val="24"/>
          <w:szCs w:val="24"/>
        </w:rPr>
        <w:fldChar w:fldCharType="begin"/>
      </w:r>
      <w:r>
        <w:rPr>
          <w:rFonts w:hint="eastAsia" w:ascii="Times New Roman" w:hAnsi="Times New Roman" w:cs="宋体"/>
          <w:sz w:val="24"/>
          <w:szCs w:val="24"/>
        </w:rPr>
        <w:instrText xml:space="preserve"> HYPERLINK \l _Toc2044 </w:instrText>
      </w:r>
      <w:r>
        <w:rPr>
          <w:rFonts w:hint="eastAsia" w:ascii="Times New Roman" w:hAnsi="Times New Roman" w:cs="宋体"/>
          <w:sz w:val="24"/>
          <w:szCs w:val="24"/>
        </w:rPr>
        <w:fldChar w:fldCharType="separate"/>
      </w:r>
      <w:r>
        <w:rPr>
          <w:rFonts w:hint="eastAsia" w:ascii="Times New Roman" w:hAnsi="Times New Roman" w:cs="宋体"/>
          <w:sz w:val="24"/>
          <w:szCs w:val="24"/>
        </w:rPr>
        <w:t xml:space="preserve">5.4  </w:t>
      </w:r>
      <w:r>
        <w:rPr>
          <w:rFonts w:hint="eastAsia" w:ascii="Times New Roman" w:hAnsi="Times New Roman" w:cs="宋体"/>
          <w:sz w:val="24"/>
          <w:szCs w:val="24"/>
          <w:lang w:val="en-US" w:eastAsia="zh-CN"/>
        </w:rPr>
        <w:t xml:space="preserve">Masonry </w:t>
      </w:r>
      <w:r>
        <w:rPr>
          <w:rFonts w:hint="eastAsia" w:ascii="Times New Roman" w:hAnsi="Times New Roman" w:cs="宋体"/>
          <w:sz w:val="24"/>
          <w:szCs w:val="24"/>
        </w:rPr>
        <w:t>Seismic Strengthening</w:t>
      </w:r>
      <w:r>
        <w:rPr>
          <w:rFonts w:hint="eastAsia" w:ascii="Times New Roman" w:hAnsi="Times New Roman" w:cs="宋体"/>
          <w:sz w:val="24"/>
          <w:szCs w:val="24"/>
        </w:rPr>
        <w:tab/>
      </w:r>
      <w:r>
        <w:rPr>
          <w:rFonts w:hint="eastAsia" w:ascii="Times New Roman" w:hAnsi="Times New Roman" w:cs="宋体"/>
          <w:sz w:val="24"/>
          <w:szCs w:val="24"/>
        </w:rPr>
        <w:fldChar w:fldCharType="begin"/>
      </w:r>
      <w:r>
        <w:rPr>
          <w:rFonts w:hint="eastAsia" w:ascii="Times New Roman" w:hAnsi="Times New Roman" w:cs="宋体"/>
          <w:sz w:val="24"/>
          <w:szCs w:val="24"/>
        </w:rPr>
        <w:instrText xml:space="preserve"> PAGEREF _Toc2044 \h </w:instrText>
      </w:r>
      <w:r>
        <w:rPr>
          <w:rFonts w:hint="eastAsia" w:ascii="Times New Roman" w:hAnsi="Times New Roman" w:cs="宋体"/>
          <w:sz w:val="24"/>
          <w:szCs w:val="24"/>
        </w:rPr>
        <w:fldChar w:fldCharType="separate"/>
      </w:r>
      <w:r>
        <w:rPr>
          <w:rFonts w:hint="eastAsia" w:ascii="Times New Roman" w:hAnsi="Times New Roman" w:cs="宋体"/>
          <w:sz w:val="24"/>
          <w:szCs w:val="24"/>
        </w:rPr>
        <w:t>17</w:t>
      </w:r>
      <w:r>
        <w:rPr>
          <w:rFonts w:hint="eastAsia" w:ascii="Times New Roman" w:hAnsi="Times New Roman" w:cs="宋体"/>
          <w:sz w:val="24"/>
          <w:szCs w:val="24"/>
        </w:rPr>
        <w:fldChar w:fldCharType="end"/>
      </w:r>
      <w:r>
        <w:rPr>
          <w:rFonts w:hint="eastAsia" w:ascii="Times New Roman" w:hAnsi="Times New Roman" w:cs="宋体"/>
          <w:sz w:val="24"/>
          <w:szCs w:val="24"/>
        </w:rPr>
        <w:fldChar w:fldCharType="end"/>
      </w:r>
    </w:p>
    <w:p>
      <w:pPr>
        <w:pStyle w:val="19"/>
        <w:tabs>
          <w:tab w:val="right" w:leader="dot" w:pos="8306"/>
        </w:tabs>
        <w:spacing w:line="312" w:lineRule="auto"/>
        <w:ind w:firstLine="240" w:firstLineChars="100"/>
        <w:jc w:val="left"/>
        <w:rPr>
          <w:rFonts w:hint="eastAsia" w:ascii="Times New Roman" w:hAnsi="Times New Roman" w:cs="宋体"/>
          <w:sz w:val="24"/>
          <w:szCs w:val="24"/>
        </w:rPr>
      </w:pPr>
      <w:r>
        <w:rPr>
          <w:rFonts w:hint="eastAsia" w:ascii="Times New Roman" w:hAnsi="Times New Roman" w:cs="宋体"/>
          <w:sz w:val="24"/>
          <w:szCs w:val="24"/>
        </w:rPr>
        <w:fldChar w:fldCharType="begin"/>
      </w:r>
      <w:r>
        <w:rPr>
          <w:rFonts w:hint="eastAsia" w:ascii="Times New Roman" w:hAnsi="Times New Roman" w:cs="宋体"/>
          <w:sz w:val="24"/>
          <w:szCs w:val="24"/>
        </w:rPr>
        <w:instrText xml:space="preserve"> HYPERLINK \l _Toc31224 </w:instrText>
      </w:r>
      <w:r>
        <w:rPr>
          <w:rFonts w:hint="eastAsia" w:ascii="Times New Roman" w:hAnsi="Times New Roman" w:cs="宋体"/>
          <w:sz w:val="24"/>
          <w:szCs w:val="24"/>
        </w:rPr>
        <w:fldChar w:fldCharType="separate"/>
      </w:r>
      <w:r>
        <w:rPr>
          <w:rFonts w:hint="eastAsia" w:ascii="Times New Roman" w:hAnsi="Times New Roman" w:cs="宋体"/>
          <w:sz w:val="24"/>
          <w:szCs w:val="24"/>
        </w:rPr>
        <w:t>5.5  Structural measure</w:t>
      </w:r>
      <w:r>
        <w:rPr>
          <w:rFonts w:hint="eastAsia" w:ascii="Times New Roman" w:hAnsi="Times New Roman" w:cs="宋体"/>
          <w:sz w:val="24"/>
          <w:szCs w:val="24"/>
        </w:rPr>
        <w:tab/>
      </w:r>
      <w:r>
        <w:rPr>
          <w:rFonts w:hint="eastAsia" w:ascii="Times New Roman" w:hAnsi="Times New Roman" w:cs="宋体"/>
          <w:sz w:val="24"/>
          <w:szCs w:val="24"/>
        </w:rPr>
        <w:fldChar w:fldCharType="begin"/>
      </w:r>
      <w:r>
        <w:rPr>
          <w:rFonts w:hint="eastAsia" w:ascii="Times New Roman" w:hAnsi="Times New Roman" w:cs="宋体"/>
          <w:sz w:val="24"/>
          <w:szCs w:val="24"/>
        </w:rPr>
        <w:instrText xml:space="preserve"> PAGEREF _Toc31224 \h </w:instrText>
      </w:r>
      <w:r>
        <w:rPr>
          <w:rFonts w:hint="eastAsia" w:ascii="Times New Roman" w:hAnsi="Times New Roman" w:cs="宋体"/>
          <w:sz w:val="24"/>
          <w:szCs w:val="24"/>
        </w:rPr>
        <w:fldChar w:fldCharType="separate"/>
      </w:r>
      <w:r>
        <w:rPr>
          <w:rFonts w:hint="eastAsia" w:ascii="Times New Roman" w:hAnsi="Times New Roman" w:cs="宋体"/>
          <w:sz w:val="24"/>
          <w:szCs w:val="24"/>
        </w:rPr>
        <w:t>19</w:t>
      </w:r>
      <w:r>
        <w:rPr>
          <w:rFonts w:hint="eastAsia" w:ascii="Times New Roman" w:hAnsi="Times New Roman" w:cs="宋体"/>
          <w:sz w:val="24"/>
          <w:szCs w:val="24"/>
        </w:rPr>
        <w:fldChar w:fldCharType="end"/>
      </w:r>
      <w:r>
        <w:rPr>
          <w:rFonts w:hint="eastAsia" w:ascii="Times New Roman" w:hAnsi="Times New Roman" w:cs="宋体"/>
          <w:sz w:val="24"/>
          <w:szCs w:val="24"/>
        </w:rPr>
        <w:fldChar w:fldCharType="end"/>
      </w:r>
    </w:p>
    <w:p>
      <w:pPr>
        <w:pStyle w:val="19"/>
        <w:tabs>
          <w:tab w:val="right" w:leader="dot" w:pos="8306"/>
        </w:tabs>
        <w:spacing w:line="312" w:lineRule="auto"/>
        <w:jc w:val="left"/>
        <w:rPr>
          <w:rFonts w:hint="eastAsia" w:ascii="Times New Roman" w:hAnsi="Times New Roman" w:cs="宋体"/>
          <w:sz w:val="24"/>
          <w:szCs w:val="24"/>
        </w:rPr>
      </w:pPr>
      <w:r>
        <w:rPr>
          <w:rFonts w:hint="eastAsia" w:ascii="Times New Roman" w:hAnsi="Times New Roman" w:cs="宋体"/>
          <w:sz w:val="24"/>
          <w:szCs w:val="24"/>
        </w:rPr>
        <w:fldChar w:fldCharType="begin"/>
      </w:r>
      <w:r>
        <w:rPr>
          <w:rFonts w:hint="eastAsia" w:ascii="Times New Roman" w:hAnsi="Times New Roman" w:cs="宋体"/>
          <w:sz w:val="24"/>
          <w:szCs w:val="24"/>
        </w:rPr>
        <w:instrText xml:space="preserve"> HYPERLINK \l _Toc22378 </w:instrText>
      </w:r>
      <w:r>
        <w:rPr>
          <w:rFonts w:hint="eastAsia" w:ascii="Times New Roman" w:hAnsi="Times New Roman" w:cs="宋体"/>
          <w:sz w:val="24"/>
          <w:szCs w:val="24"/>
        </w:rPr>
        <w:fldChar w:fldCharType="separate"/>
      </w:r>
      <w:r>
        <w:rPr>
          <w:rFonts w:hint="eastAsia" w:ascii="Times New Roman" w:hAnsi="Times New Roman" w:cs="宋体"/>
          <w:sz w:val="24"/>
          <w:szCs w:val="24"/>
        </w:rPr>
        <w:t>6  Construction</w:t>
      </w:r>
      <w:r>
        <w:rPr>
          <w:rFonts w:hint="eastAsia" w:ascii="Times New Roman" w:hAnsi="Times New Roman" w:cs="宋体"/>
          <w:sz w:val="24"/>
          <w:szCs w:val="24"/>
        </w:rPr>
        <w:tab/>
      </w:r>
      <w:r>
        <w:rPr>
          <w:rFonts w:hint="eastAsia" w:ascii="Times New Roman" w:hAnsi="Times New Roman" w:cs="宋体"/>
          <w:sz w:val="24"/>
          <w:szCs w:val="24"/>
        </w:rPr>
        <w:fldChar w:fldCharType="begin"/>
      </w:r>
      <w:r>
        <w:rPr>
          <w:rFonts w:hint="eastAsia" w:ascii="Times New Roman" w:hAnsi="Times New Roman" w:cs="宋体"/>
          <w:sz w:val="24"/>
          <w:szCs w:val="24"/>
        </w:rPr>
        <w:instrText xml:space="preserve"> PAGEREF _Toc22378 \h </w:instrText>
      </w:r>
      <w:r>
        <w:rPr>
          <w:rFonts w:hint="eastAsia" w:ascii="Times New Roman" w:hAnsi="Times New Roman" w:cs="宋体"/>
          <w:sz w:val="24"/>
          <w:szCs w:val="24"/>
        </w:rPr>
        <w:fldChar w:fldCharType="separate"/>
      </w:r>
      <w:r>
        <w:rPr>
          <w:rFonts w:hint="eastAsia" w:ascii="Times New Roman" w:hAnsi="Times New Roman" w:cs="宋体"/>
          <w:sz w:val="24"/>
          <w:szCs w:val="24"/>
        </w:rPr>
        <w:t>24</w:t>
      </w:r>
      <w:r>
        <w:rPr>
          <w:rFonts w:hint="eastAsia" w:ascii="Times New Roman" w:hAnsi="Times New Roman" w:cs="宋体"/>
          <w:sz w:val="24"/>
          <w:szCs w:val="24"/>
        </w:rPr>
        <w:fldChar w:fldCharType="end"/>
      </w:r>
      <w:r>
        <w:rPr>
          <w:rFonts w:hint="eastAsia" w:ascii="Times New Roman" w:hAnsi="Times New Roman" w:cs="宋体"/>
          <w:sz w:val="24"/>
          <w:szCs w:val="24"/>
        </w:rPr>
        <w:fldChar w:fldCharType="end"/>
      </w:r>
    </w:p>
    <w:p>
      <w:pPr>
        <w:pStyle w:val="19"/>
        <w:tabs>
          <w:tab w:val="right" w:leader="dot" w:pos="8306"/>
        </w:tabs>
        <w:spacing w:line="312" w:lineRule="auto"/>
        <w:ind w:firstLine="240" w:firstLineChars="100"/>
        <w:jc w:val="left"/>
        <w:rPr>
          <w:rFonts w:hint="eastAsia" w:ascii="Times New Roman" w:hAnsi="Times New Roman" w:cs="宋体"/>
          <w:sz w:val="24"/>
          <w:szCs w:val="24"/>
        </w:rPr>
      </w:pPr>
      <w:r>
        <w:rPr>
          <w:rFonts w:hint="eastAsia" w:ascii="Times New Roman" w:hAnsi="Times New Roman" w:cs="宋体"/>
          <w:sz w:val="24"/>
          <w:szCs w:val="24"/>
        </w:rPr>
        <w:fldChar w:fldCharType="begin"/>
      </w:r>
      <w:r>
        <w:rPr>
          <w:rFonts w:hint="eastAsia" w:ascii="Times New Roman" w:hAnsi="Times New Roman" w:cs="宋体"/>
          <w:sz w:val="24"/>
          <w:szCs w:val="24"/>
        </w:rPr>
        <w:instrText xml:space="preserve"> HYPERLINK \l _Toc24274 </w:instrText>
      </w:r>
      <w:r>
        <w:rPr>
          <w:rFonts w:hint="eastAsia" w:ascii="Times New Roman" w:hAnsi="Times New Roman" w:cs="宋体"/>
          <w:sz w:val="24"/>
          <w:szCs w:val="24"/>
        </w:rPr>
        <w:fldChar w:fldCharType="separate"/>
      </w:r>
      <w:r>
        <w:rPr>
          <w:rFonts w:hint="eastAsia" w:ascii="Times New Roman" w:hAnsi="Times New Roman" w:cs="宋体"/>
          <w:sz w:val="24"/>
          <w:szCs w:val="24"/>
        </w:rPr>
        <w:t>6.1  General Requirements</w:t>
      </w:r>
      <w:r>
        <w:rPr>
          <w:rFonts w:hint="eastAsia" w:ascii="Times New Roman" w:hAnsi="Times New Roman" w:cs="宋体"/>
          <w:sz w:val="24"/>
          <w:szCs w:val="24"/>
        </w:rPr>
        <w:tab/>
      </w:r>
      <w:r>
        <w:rPr>
          <w:rFonts w:hint="eastAsia" w:ascii="Times New Roman" w:hAnsi="Times New Roman" w:cs="宋体"/>
          <w:sz w:val="24"/>
          <w:szCs w:val="24"/>
        </w:rPr>
        <w:fldChar w:fldCharType="begin"/>
      </w:r>
      <w:r>
        <w:rPr>
          <w:rFonts w:hint="eastAsia" w:ascii="Times New Roman" w:hAnsi="Times New Roman" w:cs="宋体"/>
          <w:sz w:val="24"/>
          <w:szCs w:val="24"/>
        </w:rPr>
        <w:instrText xml:space="preserve"> PAGEREF _Toc24274 \h </w:instrText>
      </w:r>
      <w:r>
        <w:rPr>
          <w:rFonts w:hint="eastAsia" w:ascii="Times New Roman" w:hAnsi="Times New Roman" w:cs="宋体"/>
          <w:sz w:val="24"/>
          <w:szCs w:val="24"/>
        </w:rPr>
        <w:fldChar w:fldCharType="separate"/>
      </w:r>
      <w:r>
        <w:rPr>
          <w:rFonts w:hint="eastAsia" w:ascii="Times New Roman" w:hAnsi="Times New Roman" w:cs="宋体"/>
          <w:sz w:val="24"/>
          <w:szCs w:val="24"/>
        </w:rPr>
        <w:t>24</w:t>
      </w:r>
      <w:r>
        <w:rPr>
          <w:rFonts w:hint="eastAsia" w:ascii="Times New Roman" w:hAnsi="Times New Roman" w:cs="宋体"/>
          <w:sz w:val="24"/>
          <w:szCs w:val="24"/>
        </w:rPr>
        <w:fldChar w:fldCharType="end"/>
      </w:r>
      <w:r>
        <w:rPr>
          <w:rFonts w:hint="eastAsia" w:ascii="Times New Roman" w:hAnsi="Times New Roman" w:cs="宋体"/>
          <w:sz w:val="24"/>
          <w:szCs w:val="24"/>
        </w:rPr>
        <w:fldChar w:fldCharType="end"/>
      </w:r>
    </w:p>
    <w:p>
      <w:pPr>
        <w:pStyle w:val="19"/>
        <w:tabs>
          <w:tab w:val="right" w:leader="dot" w:pos="8306"/>
        </w:tabs>
        <w:spacing w:line="312" w:lineRule="auto"/>
        <w:ind w:firstLine="240" w:firstLineChars="100"/>
        <w:jc w:val="left"/>
        <w:rPr>
          <w:rFonts w:hint="eastAsia" w:ascii="Times New Roman" w:hAnsi="Times New Roman" w:cs="宋体"/>
          <w:sz w:val="24"/>
          <w:szCs w:val="24"/>
        </w:rPr>
      </w:pPr>
      <w:r>
        <w:rPr>
          <w:rFonts w:hint="eastAsia" w:ascii="Times New Roman" w:hAnsi="Times New Roman" w:cs="宋体"/>
          <w:sz w:val="24"/>
          <w:szCs w:val="24"/>
        </w:rPr>
        <w:fldChar w:fldCharType="begin"/>
      </w:r>
      <w:r>
        <w:rPr>
          <w:rFonts w:hint="eastAsia" w:ascii="Times New Roman" w:hAnsi="Times New Roman" w:cs="宋体"/>
          <w:sz w:val="24"/>
          <w:szCs w:val="24"/>
        </w:rPr>
        <w:instrText xml:space="preserve"> HYPERLINK \l _Toc31631 </w:instrText>
      </w:r>
      <w:r>
        <w:rPr>
          <w:rFonts w:hint="eastAsia" w:ascii="Times New Roman" w:hAnsi="Times New Roman" w:cs="宋体"/>
          <w:sz w:val="24"/>
          <w:szCs w:val="24"/>
        </w:rPr>
        <w:fldChar w:fldCharType="separate"/>
      </w:r>
      <w:r>
        <w:rPr>
          <w:rFonts w:hint="eastAsia" w:ascii="Times New Roman" w:hAnsi="Times New Roman" w:cs="宋体"/>
          <w:sz w:val="24"/>
          <w:szCs w:val="24"/>
        </w:rPr>
        <w:t>6.2  General Requirements</w:t>
      </w:r>
      <w:r>
        <w:rPr>
          <w:rFonts w:hint="eastAsia" w:ascii="Times New Roman" w:hAnsi="Times New Roman" w:cs="宋体"/>
          <w:sz w:val="24"/>
          <w:szCs w:val="24"/>
        </w:rPr>
        <w:tab/>
      </w:r>
      <w:r>
        <w:rPr>
          <w:rFonts w:hint="eastAsia" w:ascii="Times New Roman" w:hAnsi="Times New Roman" w:cs="宋体"/>
          <w:sz w:val="24"/>
          <w:szCs w:val="24"/>
        </w:rPr>
        <w:fldChar w:fldCharType="begin"/>
      </w:r>
      <w:r>
        <w:rPr>
          <w:rFonts w:hint="eastAsia" w:ascii="Times New Roman" w:hAnsi="Times New Roman" w:cs="宋体"/>
          <w:sz w:val="24"/>
          <w:szCs w:val="24"/>
        </w:rPr>
        <w:instrText xml:space="preserve"> PAGEREF _Toc31631 \h </w:instrText>
      </w:r>
      <w:r>
        <w:rPr>
          <w:rFonts w:hint="eastAsia" w:ascii="Times New Roman" w:hAnsi="Times New Roman" w:cs="宋体"/>
          <w:sz w:val="24"/>
          <w:szCs w:val="24"/>
        </w:rPr>
        <w:fldChar w:fldCharType="separate"/>
      </w:r>
      <w:r>
        <w:rPr>
          <w:rFonts w:hint="eastAsia" w:ascii="Times New Roman" w:hAnsi="Times New Roman" w:cs="宋体"/>
          <w:sz w:val="24"/>
          <w:szCs w:val="24"/>
        </w:rPr>
        <w:t>25</w:t>
      </w:r>
      <w:r>
        <w:rPr>
          <w:rFonts w:hint="eastAsia" w:ascii="Times New Roman" w:hAnsi="Times New Roman" w:cs="宋体"/>
          <w:sz w:val="24"/>
          <w:szCs w:val="24"/>
        </w:rPr>
        <w:fldChar w:fldCharType="end"/>
      </w:r>
      <w:r>
        <w:rPr>
          <w:rFonts w:hint="eastAsia" w:ascii="Times New Roman" w:hAnsi="Times New Roman" w:cs="宋体"/>
          <w:sz w:val="24"/>
          <w:szCs w:val="24"/>
        </w:rPr>
        <w:fldChar w:fldCharType="end"/>
      </w:r>
    </w:p>
    <w:p>
      <w:pPr>
        <w:pStyle w:val="19"/>
        <w:tabs>
          <w:tab w:val="right" w:leader="dot" w:pos="8306"/>
        </w:tabs>
        <w:spacing w:line="312" w:lineRule="auto"/>
        <w:ind w:firstLine="240" w:firstLineChars="100"/>
        <w:jc w:val="left"/>
        <w:rPr>
          <w:rFonts w:hint="eastAsia" w:ascii="Times New Roman" w:hAnsi="Times New Roman" w:cs="宋体"/>
          <w:sz w:val="24"/>
          <w:szCs w:val="24"/>
        </w:rPr>
      </w:pPr>
      <w:r>
        <w:rPr>
          <w:rFonts w:hint="eastAsia" w:ascii="Times New Roman" w:hAnsi="Times New Roman" w:cs="宋体"/>
          <w:sz w:val="24"/>
          <w:szCs w:val="24"/>
        </w:rPr>
        <w:fldChar w:fldCharType="begin"/>
      </w:r>
      <w:r>
        <w:rPr>
          <w:rFonts w:hint="eastAsia" w:ascii="Times New Roman" w:hAnsi="Times New Roman" w:cs="宋体"/>
          <w:sz w:val="24"/>
          <w:szCs w:val="24"/>
        </w:rPr>
        <w:instrText xml:space="preserve"> HYPERLINK \l _Toc5613 </w:instrText>
      </w:r>
      <w:r>
        <w:rPr>
          <w:rFonts w:hint="eastAsia" w:ascii="Times New Roman" w:hAnsi="Times New Roman" w:cs="宋体"/>
          <w:sz w:val="24"/>
          <w:szCs w:val="24"/>
        </w:rPr>
        <w:fldChar w:fldCharType="separate"/>
      </w:r>
      <w:r>
        <w:rPr>
          <w:rFonts w:hint="eastAsia" w:ascii="Times New Roman" w:hAnsi="Times New Roman" w:cs="宋体"/>
          <w:sz w:val="24"/>
          <w:szCs w:val="24"/>
        </w:rPr>
        <w:t>6.3  Process control</w:t>
      </w:r>
      <w:r>
        <w:rPr>
          <w:rFonts w:hint="eastAsia" w:ascii="Times New Roman" w:hAnsi="Times New Roman" w:cs="宋体"/>
          <w:sz w:val="24"/>
          <w:szCs w:val="24"/>
        </w:rPr>
        <w:tab/>
      </w:r>
      <w:r>
        <w:rPr>
          <w:rFonts w:hint="eastAsia" w:ascii="Times New Roman" w:hAnsi="Times New Roman" w:cs="宋体"/>
          <w:sz w:val="24"/>
          <w:szCs w:val="24"/>
        </w:rPr>
        <w:fldChar w:fldCharType="begin"/>
      </w:r>
      <w:r>
        <w:rPr>
          <w:rFonts w:hint="eastAsia" w:ascii="Times New Roman" w:hAnsi="Times New Roman" w:cs="宋体"/>
          <w:sz w:val="24"/>
          <w:szCs w:val="24"/>
        </w:rPr>
        <w:instrText xml:space="preserve"> PAGEREF _Toc5613 \h </w:instrText>
      </w:r>
      <w:r>
        <w:rPr>
          <w:rFonts w:hint="eastAsia" w:ascii="Times New Roman" w:hAnsi="Times New Roman" w:cs="宋体"/>
          <w:sz w:val="24"/>
          <w:szCs w:val="24"/>
        </w:rPr>
        <w:fldChar w:fldCharType="separate"/>
      </w:r>
      <w:r>
        <w:rPr>
          <w:rFonts w:hint="eastAsia" w:ascii="Times New Roman" w:hAnsi="Times New Roman" w:cs="宋体"/>
          <w:sz w:val="24"/>
          <w:szCs w:val="24"/>
        </w:rPr>
        <w:t>25</w:t>
      </w:r>
      <w:r>
        <w:rPr>
          <w:rFonts w:hint="eastAsia" w:ascii="Times New Roman" w:hAnsi="Times New Roman" w:cs="宋体"/>
          <w:sz w:val="24"/>
          <w:szCs w:val="24"/>
        </w:rPr>
        <w:fldChar w:fldCharType="end"/>
      </w:r>
      <w:r>
        <w:rPr>
          <w:rFonts w:hint="eastAsia" w:ascii="Times New Roman" w:hAnsi="Times New Roman" w:cs="宋体"/>
          <w:sz w:val="24"/>
          <w:szCs w:val="24"/>
        </w:rPr>
        <w:fldChar w:fldCharType="end"/>
      </w:r>
    </w:p>
    <w:p>
      <w:pPr>
        <w:pStyle w:val="19"/>
        <w:tabs>
          <w:tab w:val="right" w:leader="dot" w:pos="8306"/>
        </w:tabs>
        <w:spacing w:line="312" w:lineRule="auto"/>
        <w:ind w:firstLine="240" w:firstLineChars="100"/>
        <w:jc w:val="left"/>
        <w:rPr>
          <w:rFonts w:hint="eastAsia" w:ascii="Times New Roman" w:hAnsi="Times New Roman" w:cs="宋体"/>
          <w:sz w:val="24"/>
          <w:szCs w:val="24"/>
        </w:rPr>
      </w:pPr>
      <w:r>
        <w:rPr>
          <w:rFonts w:hint="eastAsia" w:ascii="Times New Roman" w:hAnsi="Times New Roman" w:cs="宋体"/>
          <w:sz w:val="24"/>
          <w:szCs w:val="24"/>
        </w:rPr>
        <w:fldChar w:fldCharType="begin"/>
      </w:r>
      <w:r>
        <w:rPr>
          <w:rFonts w:hint="eastAsia" w:ascii="Times New Roman" w:hAnsi="Times New Roman" w:cs="宋体"/>
          <w:sz w:val="24"/>
          <w:szCs w:val="24"/>
        </w:rPr>
        <w:instrText xml:space="preserve"> HYPERLINK \l _Toc6338 </w:instrText>
      </w:r>
      <w:r>
        <w:rPr>
          <w:rFonts w:hint="eastAsia" w:ascii="Times New Roman" w:hAnsi="Times New Roman" w:cs="宋体"/>
          <w:sz w:val="24"/>
          <w:szCs w:val="24"/>
        </w:rPr>
        <w:fldChar w:fldCharType="separate"/>
      </w:r>
      <w:r>
        <w:rPr>
          <w:rFonts w:hint="eastAsia" w:ascii="Times New Roman" w:hAnsi="Times New Roman" w:cs="宋体"/>
          <w:sz w:val="24"/>
          <w:szCs w:val="24"/>
        </w:rPr>
        <w:t>6.4  Seasonal construction</w:t>
      </w:r>
      <w:r>
        <w:rPr>
          <w:rFonts w:hint="eastAsia" w:ascii="Times New Roman" w:hAnsi="Times New Roman" w:cs="宋体"/>
          <w:sz w:val="24"/>
          <w:szCs w:val="24"/>
        </w:rPr>
        <w:tab/>
      </w:r>
      <w:r>
        <w:rPr>
          <w:rFonts w:hint="eastAsia" w:ascii="Times New Roman" w:hAnsi="Times New Roman" w:cs="宋体"/>
          <w:sz w:val="24"/>
          <w:szCs w:val="24"/>
        </w:rPr>
        <w:fldChar w:fldCharType="begin"/>
      </w:r>
      <w:r>
        <w:rPr>
          <w:rFonts w:hint="eastAsia" w:ascii="Times New Roman" w:hAnsi="Times New Roman" w:cs="宋体"/>
          <w:sz w:val="24"/>
          <w:szCs w:val="24"/>
        </w:rPr>
        <w:instrText xml:space="preserve"> PAGEREF _Toc6338 \h </w:instrText>
      </w:r>
      <w:r>
        <w:rPr>
          <w:rFonts w:hint="eastAsia" w:ascii="Times New Roman" w:hAnsi="Times New Roman" w:cs="宋体"/>
          <w:sz w:val="24"/>
          <w:szCs w:val="24"/>
        </w:rPr>
        <w:fldChar w:fldCharType="separate"/>
      </w:r>
      <w:r>
        <w:rPr>
          <w:rFonts w:hint="eastAsia" w:ascii="Times New Roman" w:hAnsi="Times New Roman" w:cs="宋体"/>
          <w:sz w:val="24"/>
          <w:szCs w:val="24"/>
        </w:rPr>
        <w:t>26</w:t>
      </w:r>
      <w:r>
        <w:rPr>
          <w:rFonts w:hint="eastAsia" w:ascii="Times New Roman" w:hAnsi="Times New Roman" w:cs="宋体"/>
          <w:sz w:val="24"/>
          <w:szCs w:val="24"/>
        </w:rPr>
        <w:fldChar w:fldCharType="end"/>
      </w:r>
      <w:r>
        <w:rPr>
          <w:rFonts w:hint="eastAsia" w:ascii="Times New Roman" w:hAnsi="Times New Roman" w:cs="宋体"/>
          <w:sz w:val="24"/>
          <w:szCs w:val="24"/>
        </w:rPr>
        <w:fldChar w:fldCharType="end"/>
      </w:r>
    </w:p>
    <w:p>
      <w:pPr>
        <w:pStyle w:val="19"/>
        <w:tabs>
          <w:tab w:val="right" w:leader="dot" w:pos="8306"/>
        </w:tabs>
        <w:spacing w:line="312" w:lineRule="auto"/>
        <w:jc w:val="left"/>
        <w:rPr>
          <w:rFonts w:hint="eastAsia" w:ascii="Times New Roman" w:hAnsi="Times New Roman" w:cs="宋体"/>
          <w:sz w:val="24"/>
          <w:szCs w:val="24"/>
        </w:rPr>
      </w:pPr>
      <w:r>
        <w:rPr>
          <w:rFonts w:hint="eastAsia" w:ascii="Times New Roman" w:hAnsi="Times New Roman" w:cs="宋体"/>
          <w:sz w:val="24"/>
          <w:szCs w:val="24"/>
        </w:rPr>
        <w:fldChar w:fldCharType="begin"/>
      </w:r>
      <w:r>
        <w:rPr>
          <w:rFonts w:hint="eastAsia" w:ascii="Times New Roman" w:hAnsi="Times New Roman" w:cs="宋体"/>
          <w:sz w:val="24"/>
          <w:szCs w:val="24"/>
        </w:rPr>
        <w:instrText xml:space="preserve"> HYPERLINK \l _Toc28513 </w:instrText>
      </w:r>
      <w:r>
        <w:rPr>
          <w:rFonts w:hint="eastAsia" w:ascii="Times New Roman" w:hAnsi="Times New Roman" w:cs="宋体"/>
          <w:sz w:val="24"/>
          <w:szCs w:val="24"/>
        </w:rPr>
        <w:fldChar w:fldCharType="separate"/>
      </w:r>
      <w:r>
        <w:rPr>
          <w:rFonts w:hint="eastAsia" w:ascii="Times New Roman" w:hAnsi="Times New Roman" w:cs="宋体"/>
          <w:sz w:val="24"/>
          <w:szCs w:val="24"/>
        </w:rPr>
        <w:t>7  Quality Acceptance</w:t>
      </w:r>
      <w:r>
        <w:rPr>
          <w:rFonts w:hint="eastAsia" w:ascii="Times New Roman" w:hAnsi="Times New Roman" w:cs="宋体"/>
          <w:sz w:val="24"/>
          <w:szCs w:val="24"/>
        </w:rPr>
        <w:tab/>
      </w:r>
      <w:r>
        <w:rPr>
          <w:rFonts w:hint="eastAsia" w:ascii="Times New Roman" w:hAnsi="Times New Roman" w:cs="宋体"/>
          <w:sz w:val="24"/>
          <w:szCs w:val="24"/>
        </w:rPr>
        <w:fldChar w:fldCharType="begin"/>
      </w:r>
      <w:r>
        <w:rPr>
          <w:rFonts w:hint="eastAsia" w:ascii="Times New Roman" w:hAnsi="Times New Roman" w:cs="宋体"/>
          <w:sz w:val="24"/>
          <w:szCs w:val="24"/>
        </w:rPr>
        <w:instrText xml:space="preserve"> PAGEREF _Toc28513 \h </w:instrText>
      </w:r>
      <w:r>
        <w:rPr>
          <w:rFonts w:hint="eastAsia" w:ascii="Times New Roman" w:hAnsi="Times New Roman" w:cs="宋体"/>
          <w:sz w:val="24"/>
          <w:szCs w:val="24"/>
        </w:rPr>
        <w:fldChar w:fldCharType="separate"/>
      </w:r>
      <w:r>
        <w:rPr>
          <w:rFonts w:hint="eastAsia" w:ascii="Times New Roman" w:hAnsi="Times New Roman" w:cs="宋体"/>
          <w:sz w:val="24"/>
          <w:szCs w:val="24"/>
        </w:rPr>
        <w:t>27</w:t>
      </w:r>
      <w:r>
        <w:rPr>
          <w:rFonts w:hint="eastAsia" w:ascii="Times New Roman" w:hAnsi="Times New Roman" w:cs="宋体"/>
          <w:sz w:val="24"/>
          <w:szCs w:val="24"/>
        </w:rPr>
        <w:fldChar w:fldCharType="end"/>
      </w:r>
      <w:r>
        <w:rPr>
          <w:rFonts w:hint="eastAsia" w:ascii="Times New Roman" w:hAnsi="Times New Roman" w:cs="宋体"/>
          <w:sz w:val="24"/>
          <w:szCs w:val="24"/>
        </w:rPr>
        <w:fldChar w:fldCharType="end"/>
      </w:r>
    </w:p>
    <w:p>
      <w:pPr>
        <w:pStyle w:val="19"/>
        <w:tabs>
          <w:tab w:val="right" w:leader="dot" w:pos="8306"/>
        </w:tabs>
        <w:spacing w:line="312" w:lineRule="auto"/>
        <w:ind w:firstLine="480" w:firstLineChars="200"/>
        <w:jc w:val="left"/>
        <w:rPr>
          <w:rFonts w:hint="eastAsia" w:ascii="Times New Roman" w:hAnsi="Times New Roman" w:cs="宋体"/>
          <w:sz w:val="24"/>
          <w:szCs w:val="24"/>
        </w:rPr>
      </w:pPr>
      <w:r>
        <w:rPr>
          <w:rFonts w:hint="eastAsia" w:ascii="Times New Roman" w:hAnsi="Times New Roman" w:cs="宋体"/>
          <w:sz w:val="24"/>
          <w:szCs w:val="24"/>
        </w:rPr>
        <w:fldChar w:fldCharType="begin"/>
      </w:r>
      <w:r>
        <w:rPr>
          <w:rFonts w:hint="eastAsia" w:ascii="Times New Roman" w:hAnsi="Times New Roman" w:cs="宋体"/>
          <w:sz w:val="24"/>
          <w:szCs w:val="24"/>
        </w:rPr>
        <w:instrText xml:space="preserve"> HYPERLINK \l _Toc3929 </w:instrText>
      </w:r>
      <w:r>
        <w:rPr>
          <w:rFonts w:hint="eastAsia" w:ascii="Times New Roman" w:hAnsi="Times New Roman" w:cs="宋体"/>
          <w:sz w:val="24"/>
          <w:szCs w:val="24"/>
        </w:rPr>
        <w:fldChar w:fldCharType="separate"/>
      </w:r>
      <w:r>
        <w:rPr>
          <w:rFonts w:hint="eastAsia" w:ascii="Times New Roman" w:hAnsi="Times New Roman" w:cs="宋体"/>
          <w:sz w:val="24"/>
          <w:szCs w:val="24"/>
        </w:rPr>
        <w:t>7.1  General Requirements</w:t>
      </w:r>
      <w:r>
        <w:rPr>
          <w:rFonts w:hint="eastAsia" w:ascii="Times New Roman" w:hAnsi="Times New Roman" w:cs="宋体"/>
          <w:sz w:val="24"/>
          <w:szCs w:val="24"/>
        </w:rPr>
        <w:tab/>
      </w:r>
      <w:r>
        <w:rPr>
          <w:rFonts w:hint="eastAsia" w:ascii="Times New Roman" w:hAnsi="Times New Roman" w:cs="宋体"/>
          <w:sz w:val="24"/>
          <w:szCs w:val="24"/>
        </w:rPr>
        <w:fldChar w:fldCharType="begin"/>
      </w:r>
      <w:r>
        <w:rPr>
          <w:rFonts w:hint="eastAsia" w:ascii="Times New Roman" w:hAnsi="Times New Roman" w:cs="宋体"/>
          <w:sz w:val="24"/>
          <w:szCs w:val="24"/>
        </w:rPr>
        <w:instrText xml:space="preserve"> PAGEREF _Toc3929 \h </w:instrText>
      </w:r>
      <w:r>
        <w:rPr>
          <w:rFonts w:hint="eastAsia" w:ascii="Times New Roman" w:hAnsi="Times New Roman" w:cs="宋体"/>
          <w:sz w:val="24"/>
          <w:szCs w:val="24"/>
        </w:rPr>
        <w:fldChar w:fldCharType="separate"/>
      </w:r>
      <w:r>
        <w:rPr>
          <w:rFonts w:hint="eastAsia" w:ascii="Times New Roman" w:hAnsi="Times New Roman" w:cs="宋体"/>
          <w:sz w:val="24"/>
          <w:szCs w:val="24"/>
        </w:rPr>
        <w:t>27</w:t>
      </w:r>
      <w:r>
        <w:rPr>
          <w:rFonts w:hint="eastAsia" w:ascii="Times New Roman" w:hAnsi="Times New Roman" w:cs="宋体"/>
          <w:sz w:val="24"/>
          <w:szCs w:val="24"/>
        </w:rPr>
        <w:fldChar w:fldCharType="end"/>
      </w:r>
      <w:r>
        <w:rPr>
          <w:rFonts w:hint="eastAsia" w:ascii="Times New Roman" w:hAnsi="Times New Roman" w:cs="宋体"/>
          <w:sz w:val="24"/>
          <w:szCs w:val="24"/>
        </w:rPr>
        <w:fldChar w:fldCharType="end"/>
      </w:r>
    </w:p>
    <w:p>
      <w:pPr>
        <w:pStyle w:val="19"/>
        <w:tabs>
          <w:tab w:val="right" w:leader="dot" w:pos="8306"/>
        </w:tabs>
        <w:spacing w:line="312" w:lineRule="auto"/>
        <w:ind w:firstLine="240" w:firstLineChars="100"/>
        <w:jc w:val="left"/>
        <w:rPr>
          <w:rFonts w:hint="eastAsia" w:ascii="Times New Roman" w:hAnsi="Times New Roman" w:cs="宋体"/>
          <w:sz w:val="24"/>
          <w:szCs w:val="24"/>
        </w:rPr>
      </w:pPr>
      <w:r>
        <w:rPr>
          <w:rFonts w:hint="eastAsia" w:ascii="Times New Roman" w:hAnsi="Times New Roman" w:cs="宋体"/>
          <w:sz w:val="24"/>
          <w:szCs w:val="24"/>
        </w:rPr>
        <w:fldChar w:fldCharType="begin"/>
      </w:r>
      <w:r>
        <w:rPr>
          <w:rFonts w:hint="eastAsia" w:ascii="Times New Roman" w:hAnsi="Times New Roman" w:cs="宋体"/>
          <w:sz w:val="24"/>
          <w:szCs w:val="24"/>
        </w:rPr>
        <w:instrText xml:space="preserve"> HYPERLINK \l _Toc16484 </w:instrText>
      </w:r>
      <w:r>
        <w:rPr>
          <w:rFonts w:hint="eastAsia" w:ascii="Times New Roman" w:hAnsi="Times New Roman" w:cs="宋体"/>
          <w:sz w:val="24"/>
          <w:szCs w:val="24"/>
        </w:rPr>
        <w:fldChar w:fldCharType="separate"/>
      </w:r>
      <w:r>
        <w:rPr>
          <w:rFonts w:hint="eastAsia" w:ascii="Times New Roman" w:hAnsi="Times New Roman" w:cs="宋体"/>
          <w:sz w:val="24"/>
          <w:szCs w:val="24"/>
        </w:rPr>
        <w:t>7.2  Master control item</w:t>
      </w:r>
      <w:r>
        <w:rPr>
          <w:rFonts w:hint="eastAsia" w:ascii="Times New Roman" w:hAnsi="Times New Roman" w:cs="宋体"/>
          <w:sz w:val="24"/>
          <w:szCs w:val="24"/>
        </w:rPr>
        <w:tab/>
      </w:r>
      <w:r>
        <w:rPr>
          <w:rFonts w:hint="eastAsia" w:ascii="Times New Roman" w:hAnsi="Times New Roman" w:cs="宋体"/>
          <w:sz w:val="24"/>
          <w:szCs w:val="24"/>
        </w:rPr>
        <w:fldChar w:fldCharType="begin"/>
      </w:r>
      <w:r>
        <w:rPr>
          <w:rFonts w:hint="eastAsia" w:ascii="Times New Roman" w:hAnsi="Times New Roman" w:cs="宋体"/>
          <w:sz w:val="24"/>
          <w:szCs w:val="24"/>
        </w:rPr>
        <w:instrText xml:space="preserve"> PAGEREF _Toc16484 \h </w:instrText>
      </w:r>
      <w:r>
        <w:rPr>
          <w:rFonts w:hint="eastAsia" w:ascii="Times New Roman" w:hAnsi="Times New Roman" w:cs="宋体"/>
          <w:sz w:val="24"/>
          <w:szCs w:val="24"/>
        </w:rPr>
        <w:fldChar w:fldCharType="separate"/>
      </w:r>
      <w:r>
        <w:rPr>
          <w:rFonts w:hint="eastAsia" w:ascii="Times New Roman" w:hAnsi="Times New Roman" w:cs="宋体"/>
          <w:sz w:val="24"/>
          <w:szCs w:val="24"/>
        </w:rPr>
        <w:t>28</w:t>
      </w:r>
      <w:r>
        <w:rPr>
          <w:rFonts w:hint="eastAsia" w:ascii="Times New Roman" w:hAnsi="Times New Roman" w:cs="宋体"/>
          <w:sz w:val="24"/>
          <w:szCs w:val="24"/>
        </w:rPr>
        <w:fldChar w:fldCharType="end"/>
      </w:r>
      <w:r>
        <w:rPr>
          <w:rFonts w:hint="eastAsia" w:ascii="Times New Roman" w:hAnsi="Times New Roman" w:cs="宋体"/>
          <w:sz w:val="24"/>
          <w:szCs w:val="24"/>
        </w:rPr>
        <w:fldChar w:fldCharType="end"/>
      </w:r>
    </w:p>
    <w:p>
      <w:pPr>
        <w:pStyle w:val="19"/>
        <w:tabs>
          <w:tab w:val="right" w:leader="dot" w:pos="8306"/>
        </w:tabs>
        <w:spacing w:line="312" w:lineRule="auto"/>
        <w:ind w:firstLine="240" w:firstLineChars="100"/>
        <w:jc w:val="left"/>
        <w:rPr>
          <w:rFonts w:hint="eastAsia" w:ascii="Times New Roman" w:hAnsi="Times New Roman" w:cs="宋体"/>
          <w:sz w:val="24"/>
          <w:szCs w:val="24"/>
        </w:rPr>
      </w:pPr>
      <w:r>
        <w:rPr>
          <w:rFonts w:hint="eastAsia" w:ascii="Times New Roman" w:hAnsi="Times New Roman" w:cs="宋体"/>
          <w:sz w:val="24"/>
          <w:szCs w:val="24"/>
        </w:rPr>
        <w:fldChar w:fldCharType="begin"/>
      </w:r>
      <w:r>
        <w:rPr>
          <w:rFonts w:hint="eastAsia" w:ascii="Times New Roman" w:hAnsi="Times New Roman" w:cs="宋体"/>
          <w:sz w:val="24"/>
          <w:szCs w:val="24"/>
        </w:rPr>
        <w:instrText xml:space="preserve"> HYPERLINK \l _Toc17690 </w:instrText>
      </w:r>
      <w:r>
        <w:rPr>
          <w:rFonts w:hint="eastAsia" w:ascii="Times New Roman" w:hAnsi="Times New Roman" w:cs="宋体"/>
          <w:sz w:val="24"/>
          <w:szCs w:val="24"/>
        </w:rPr>
        <w:fldChar w:fldCharType="separate"/>
      </w:r>
      <w:r>
        <w:rPr>
          <w:rFonts w:hint="eastAsia" w:ascii="Times New Roman" w:hAnsi="Times New Roman" w:cs="宋体"/>
          <w:sz w:val="24"/>
          <w:szCs w:val="24"/>
        </w:rPr>
        <w:t>7.3  General item</w:t>
      </w:r>
      <w:r>
        <w:rPr>
          <w:rFonts w:hint="eastAsia" w:ascii="Times New Roman" w:hAnsi="Times New Roman" w:cs="宋体"/>
          <w:sz w:val="24"/>
          <w:szCs w:val="24"/>
        </w:rPr>
        <w:tab/>
      </w:r>
      <w:r>
        <w:rPr>
          <w:rFonts w:hint="eastAsia" w:ascii="Times New Roman" w:hAnsi="Times New Roman" w:cs="宋体"/>
          <w:sz w:val="24"/>
          <w:szCs w:val="24"/>
        </w:rPr>
        <w:fldChar w:fldCharType="begin"/>
      </w:r>
      <w:r>
        <w:rPr>
          <w:rFonts w:hint="eastAsia" w:ascii="Times New Roman" w:hAnsi="Times New Roman" w:cs="宋体"/>
          <w:sz w:val="24"/>
          <w:szCs w:val="24"/>
        </w:rPr>
        <w:instrText xml:space="preserve"> PAGEREF _Toc17690 \h </w:instrText>
      </w:r>
      <w:r>
        <w:rPr>
          <w:rFonts w:hint="eastAsia" w:ascii="Times New Roman" w:hAnsi="Times New Roman" w:cs="宋体"/>
          <w:sz w:val="24"/>
          <w:szCs w:val="24"/>
        </w:rPr>
        <w:fldChar w:fldCharType="separate"/>
      </w:r>
      <w:r>
        <w:rPr>
          <w:rFonts w:hint="eastAsia" w:ascii="Times New Roman" w:hAnsi="Times New Roman" w:cs="宋体"/>
          <w:sz w:val="24"/>
          <w:szCs w:val="24"/>
        </w:rPr>
        <w:t>29</w:t>
      </w:r>
      <w:r>
        <w:rPr>
          <w:rFonts w:hint="eastAsia" w:ascii="Times New Roman" w:hAnsi="Times New Roman" w:cs="宋体"/>
          <w:sz w:val="24"/>
          <w:szCs w:val="24"/>
        </w:rPr>
        <w:fldChar w:fldCharType="end"/>
      </w:r>
      <w:r>
        <w:rPr>
          <w:rFonts w:hint="eastAsia" w:ascii="Times New Roman" w:hAnsi="Times New Roman" w:cs="宋体"/>
          <w:sz w:val="24"/>
          <w:szCs w:val="24"/>
        </w:rPr>
        <w:fldChar w:fldCharType="end"/>
      </w:r>
    </w:p>
    <w:p>
      <w:pPr>
        <w:pStyle w:val="19"/>
        <w:tabs>
          <w:tab w:val="right" w:leader="dot" w:pos="8306"/>
        </w:tabs>
        <w:spacing w:line="312" w:lineRule="auto"/>
        <w:jc w:val="left"/>
        <w:rPr>
          <w:rFonts w:hint="eastAsia" w:ascii="Times New Roman" w:hAnsi="Times New Roman" w:cs="宋体"/>
          <w:sz w:val="24"/>
          <w:szCs w:val="24"/>
        </w:rPr>
      </w:pPr>
      <w:r>
        <w:rPr>
          <w:rFonts w:hint="eastAsia" w:ascii="Times New Roman" w:hAnsi="Times New Roman" w:cs="宋体"/>
          <w:sz w:val="24"/>
          <w:szCs w:val="24"/>
        </w:rPr>
        <w:fldChar w:fldCharType="begin"/>
      </w:r>
      <w:r>
        <w:rPr>
          <w:rFonts w:hint="eastAsia" w:ascii="Times New Roman" w:hAnsi="Times New Roman" w:cs="宋体"/>
          <w:sz w:val="24"/>
          <w:szCs w:val="24"/>
        </w:rPr>
        <w:instrText xml:space="preserve"> HYPERLINK \l _Toc20323 </w:instrText>
      </w:r>
      <w:r>
        <w:rPr>
          <w:rFonts w:hint="eastAsia" w:ascii="Times New Roman" w:hAnsi="Times New Roman" w:cs="宋体"/>
          <w:sz w:val="24"/>
          <w:szCs w:val="24"/>
        </w:rPr>
        <w:fldChar w:fldCharType="separate"/>
      </w:r>
      <w:r>
        <w:rPr>
          <w:rFonts w:hint="eastAsia" w:ascii="Times New Roman" w:hAnsi="Times New Roman" w:cs="宋体"/>
          <w:sz w:val="24"/>
          <w:szCs w:val="24"/>
        </w:rPr>
        <w:t>Appendix A  Test Method for Flexural of high ductile concrete</w:t>
      </w:r>
      <w:r>
        <w:rPr>
          <w:rFonts w:hint="eastAsia" w:ascii="Times New Roman" w:hAnsi="Times New Roman" w:cs="宋体"/>
          <w:sz w:val="24"/>
          <w:szCs w:val="24"/>
        </w:rPr>
        <w:tab/>
      </w:r>
      <w:r>
        <w:rPr>
          <w:rFonts w:hint="eastAsia" w:ascii="Times New Roman" w:hAnsi="Times New Roman" w:cs="宋体"/>
          <w:sz w:val="24"/>
          <w:szCs w:val="24"/>
        </w:rPr>
        <w:fldChar w:fldCharType="begin"/>
      </w:r>
      <w:r>
        <w:rPr>
          <w:rFonts w:hint="eastAsia" w:ascii="Times New Roman" w:hAnsi="Times New Roman" w:cs="宋体"/>
          <w:sz w:val="24"/>
          <w:szCs w:val="24"/>
        </w:rPr>
        <w:instrText xml:space="preserve"> PAGEREF _Toc20323 \h </w:instrText>
      </w:r>
      <w:r>
        <w:rPr>
          <w:rFonts w:hint="eastAsia" w:ascii="Times New Roman" w:hAnsi="Times New Roman" w:cs="宋体"/>
          <w:sz w:val="24"/>
          <w:szCs w:val="24"/>
        </w:rPr>
        <w:fldChar w:fldCharType="separate"/>
      </w:r>
      <w:r>
        <w:rPr>
          <w:rFonts w:hint="eastAsia" w:ascii="Times New Roman" w:hAnsi="Times New Roman" w:cs="宋体"/>
          <w:sz w:val="24"/>
          <w:szCs w:val="24"/>
        </w:rPr>
        <w:t>31</w:t>
      </w:r>
      <w:r>
        <w:rPr>
          <w:rFonts w:hint="eastAsia" w:ascii="Times New Roman" w:hAnsi="Times New Roman" w:cs="宋体"/>
          <w:sz w:val="24"/>
          <w:szCs w:val="24"/>
        </w:rPr>
        <w:fldChar w:fldCharType="end"/>
      </w:r>
      <w:r>
        <w:rPr>
          <w:rFonts w:hint="eastAsia" w:ascii="Times New Roman" w:hAnsi="Times New Roman" w:cs="宋体"/>
          <w:sz w:val="24"/>
          <w:szCs w:val="24"/>
        </w:rPr>
        <w:fldChar w:fldCharType="end"/>
      </w:r>
    </w:p>
    <w:p>
      <w:pPr>
        <w:pStyle w:val="19"/>
        <w:tabs>
          <w:tab w:val="right" w:leader="dot" w:pos="8306"/>
        </w:tabs>
        <w:spacing w:line="312" w:lineRule="auto"/>
        <w:jc w:val="left"/>
        <w:rPr>
          <w:rFonts w:hint="eastAsia" w:ascii="Times New Roman" w:hAnsi="Times New Roman" w:cs="宋体"/>
          <w:sz w:val="24"/>
          <w:szCs w:val="24"/>
        </w:rPr>
      </w:pPr>
      <w:r>
        <w:rPr>
          <w:rFonts w:hint="eastAsia" w:ascii="Times New Roman" w:hAnsi="Times New Roman" w:cs="宋体"/>
          <w:sz w:val="24"/>
          <w:szCs w:val="24"/>
        </w:rPr>
        <w:fldChar w:fldCharType="begin"/>
      </w:r>
      <w:r>
        <w:rPr>
          <w:rFonts w:hint="eastAsia" w:ascii="Times New Roman" w:hAnsi="Times New Roman" w:cs="宋体"/>
          <w:sz w:val="24"/>
          <w:szCs w:val="24"/>
        </w:rPr>
        <w:instrText xml:space="preserve"> HYPERLINK \l _Toc14807 </w:instrText>
      </w:r>
      <w:r>
        <w:rPr>
          <w:rFonts w:hint="eastAsia" w:ascii="Times New Roman" w:hAnsi="Times New Roman" w:cs="宋体"/>
          <w:sz w:val="24"/>
          <w:szCs w:val="24"/>
        </w:rPr>
        <w:fldChar w:fldCharType="separate"/>
      </w:r>
      <w:r>
        <w:rPr>
          <w:rFonts w:hint="eastAsia" w:ascii="Times New Roman" w:hAnsi="Times New Roman" w:cs="宋体"/>
          <w:sz w:val="24"/>
          <w:szCs w:val="24"/>
        </w:rPr>
        <w:t xml:space="preserve">Appendix B  Rapid Inspection and Evaluation Method for </w:t>
      </w:r>
    </w:p>
    <w:p>
      <w:pPr>
        <w:pStyle w:val="19"/>
        <w:tabs>
          <w:tab w:val="right" w:leader="dot" w:pos="8306"/>
        </w:tabs>
        <w:spacing w:line="312" w:lineRule="auto"/>
        <w:jc w:val="left"/>
        <w:rPr>
          <w:rFonts w:hint="eastAsia" w:ascii="Times New Roman" w:hAnsi="Times New Roman" w:cs="宋体"/>
          <w:sz w:val="24"/>
          <w:szCs w:val="24"/>
        </w:rPr>
      </w:pPr>
      <w:r>
        <w:rPr>
          <w:rFonts w:hint="eastAsia" w:ascii="Times New Roman" w:hAnsi="Times New Roman" w:cs="宋体"/>
          <w:sz w:val="24"/>
          <w:szCs w:val="24"/>
        </w:rPr>
        <w:t>Mechanical Properties of high ductile concrete</w:t>
      </w:r>
      <w:r>
        <w:rPr>
          <w:rFonts w:hint="eastAsia" w:ascii="Times New Roman" w:hAnsi="Times New Roman" w:cs="宋体"/>
          <w:sz w:val="24"/>
          <w:szCs w:val="24"/>
        </w:rPr>
        <w:tab/>
      </w:r>
      <w:r>
        <w:rPr>
          <w:rFonts w:hint="eastAsia" w:ascii="Times New Roman" w:hAnsi="Times New Roman" w:cs="宋体"/>
          <w:sz w:val="24"/>
          <w:szCs w:val="24"/>
        </w:rPr>
        <w:fldChar w:fldCharType="begin"/>
      </w:r>
      <w:r>
        <w:rPr>
          <w:rFonts w:hint="eastAsia" w:ascii="Times New Roman" w:hAnsi="Times New Roman" w:cs="宋体"/>
          <w:sz w:val="24"/>
          <w:szCs w:val="24"/>
        </w:rPr>
        <w:instrText xml:space="preserve"> PAGEREF _Toc14807 \h </w:instrText>
      </w:r>
      <w:r>
        <w:rPr>
          <w:rFonts w:hint="eastAsia" w:ascii="Times New Roman" w:hAnsi="Times New Roman" w:cs="宋体"/>
          <w:sz w:val="24"/>
          <w:szCs w:val="24"/>
        </w:rPr>
        <w:fldChar w:fldCharType="separate"/>
      </w:r>
      <w:r>
        <w:rPr>
          <w:rFonts w:hint="eastAsia" w:ascii="Times New Roman" w:hAnsi="Times New Roman" w:cs="宋体"/>
          <w:sz w:val="24"/>
          <w:szCs w:val="24"/>
        </w:rPr>
        <w:t>34</w:t>
      </w:r>
      <w:r>
        <w:rPr>
          <w:rFonts w:hint="eastAsia" w:ascii="Times New Roman" w:hAnsi="Times New Roman" w:cs="宋体"/>
          <w:sz w:val="24"/>
          <w:szCs w:val="24"/>
        </w:rPr>
        <w:fldChar w:fldCharType="end"/>
      </w:r>
      <w:r>
        <w:rPr>
          <w:rFonts w:hint="eastAsia" w:ascii="Times New Roman" w:hAnsi="Times New Roman" w:cs="宋体"/>
          <w:sz w:val="24"/>
          <w:szCs w:val="24"/>
        </w:rPr>
        <w:fldChar w:fldCharType="end"/>
      </w:r>
    </w:p>
    <w:p>
      <w:pPr>
        <w:pStyle w:val="19"/>
        <w:tabs>
          <w:tab w:val="right" w:leader="dot" w:pos="8306"/>
        </w:tabs>
        <w:spacing w:line="312" w:lineRule="auto"/>
        <w:jc w:val="left"/>
        <w:rPr>
          <w:rFonts w:hint="eastAsia" w:ascii="Times New Roman" w:hAnsi="Times New Roman" w:cs="宋体"/>
          <w:sz w:val="24"/>
          <w:szCs w:val="24"/>
        </w:rPr>
      </w:pPr>
      <w:r>
        <w:rPr>
          <w:rFonts w:hint="eastAsia" w:ascii="Times New Roman" w:hAnsi="Times New Roman" w:cs="宋体"/>
          <w:sz w:val="24"/>
          <w:szCs w:val="24"/>
        </w:rPr>
        <w:fldChar w:fldCharType="begin"/>
      </w:r>
      <w:r>
        <w:rPr>
          <w:rFonts w:hint="eastAsia" w:ascii="Times New Roman" w:hAnsi="Times New Roman" w:cs="宋体"/>
          <w:sz w:val="24"/>
          <w:szCs w:val="24"/>
        </w:rPr>
        <w:instrText xml:space="preserve"> HYPERLINK \l _Toc27067 </w:instrText>
      </w:r>
      <w:r>
        <w:rPr>
          <w:rFonts w:hint="eastAsia" w:ascii="Times New Roman" w:hAnsi="Times New Roman" w:cs="宋体"/>
          <w:sz w:val="24"/>
          <w:szCs w:val="24"/>
        </w:rPr>
        <w:fldChar w:fldCharType="separate"/>
      </w:r>
      <w:r>
        <w:rPr>
          <w:rFonts w:hint="eastAsia" w:ascii="Times New Roman" w:hAnsi="Times New Roman" w:cs="宋体"/>
          <w:sz w:val="24"/>
          <w:szCs w:val="24"/>
        </w:rPr>
        <w:t>Appendix C  Rural house reinforcement</w:t>
      </w:r>
      <w:r>
        <w:rPr>
          <w:rFonts w:hint="eastAsia" w:ascii="Times New Roman" w:hAnsi="Times New Roman" w:cs="宋体"/>
          <w:sz w:val="24"/>
          <w:szCs w:val="24"/>
        </w:rPr>
        <w:tab/>
      </w:r>
      <w:r>
        <w:rPr>
          <w:rFonts w:hint="eastAsia" w:ascii="Times New Roman" w:hAnsi="Times New Roman" w:cs="宋体"/>
          <w:sz w:val="24"/>
          <w:szCs w:val="24"/>
        </w:rPr>
        <w:fldChar w:fldCharType="begin"/>
      </w:r>
      <w:r>
        <w:rPr>
          <w:rFonts w:hint="eastAsia" w:ascii="Times New Roman" w:hAnsi="Times New Roman" w:cs="宋体"/>
          <w:sz w:val="24"/>
          <w:szCs w:val="24"/>
        </w:rPr>
        <w:instrText xml:space="preserve"> PAGEREF _Toc27067 \h </w:instrText>
      </w:r>
      <w:r>
        <w:rPr>
          <w:rFonts w:hint="eastAsia" w:ascii="Times New Roman" w:hAnsi="Times New Roman" w:cs="宋体"/>
          <w:sz w:val="24"/>
          <w:szCs w:val="24"/>
        </w:rPr>
        <w:fldChar w:fldCharType="separate"/>
      </w:r>
      <w:r>
        <w:rPr>
          <w:rFonts w:hint="eastAsia" w:ascii="Times New Roman" w:hAnsi="Times New Roman" w:cs="宋体"/>
          <w:sz w:val="24"/>
          <w:szCs w:val="24"/>
        </w:rPr>
        <w:t>36</w:t>
      </w:r>
      <w:r>
        <w:rPr>
          <w:rFonts w:hint="eastAsia" w:ascii="Times New Roman" w:hAnsi="Times New Roman" w:cs="宋体"/>
          <w:sz w:val="24"/>
          <w:szCs w:val="24"/>
        </w:rPr>
        <w:fldChar w:fldCharType="end"/>
      </w:r>
      <w:r>
        <w:rPr>
          <w:rFonts w:hint="eastAsia" w:ascii="Times New Roman" w:hAnsi="Times New Roman" w:cs="宋体"/>
          <w:sz w:val="24"/>
          <w:szCs w:val="24"/>
        </w:rPr>
        <w:fldChar w:fldCharType="end"/>
      </w:r>
    </w:p>
    <w:p>
      <w:pPr>
        <w:pStyle w:val="19"/>
        <w:tabs>
          <w:tab w:val="right" w:leader="dot" w:pos="8306"/>
        </w:tabs>
        <w:spacing w:line="312" w:lineRule="auto"/>
        <w:ind w:firstLine="240" w:firstLineChars="100"/>
        <w:jc w:val="left"/>
        <w:rPr>
          <w:rFonts w:hint="eastAsia" w:ascii="Times New Roman" w:hAnsi="Times New Roman" w:cs="宋体"/>
          <w:sz w:val="24"/>
          <w:szCs w:val="24"/>
        </w:rPr>
      </w:pPr>
      <w:r>
        <w:rPr>
          <w:rFonts w:hint="eastAsia" w:ascii="Times New Roman" w:hAnsi="Times New Roman" w:cs="宋体"/>
          <w:sz w:val="24"/>
          <w:szCs w:val="24"/>
        </w:rPr>
        <w:fldChar w:fldCharType="begin"/>
      </w:r>
      <w:r>
        <w:rPr>
          <w:rFonts w:hint="eastAsia" w:ascii="Times New Roman" w:hAnsi="Times New Roman" w:cs="宋体"/>
          <w:sz w:val="24"/>
          <w:szCs w:val="24"/>
        </w:rPr>
        <w:instrText xml:space="preserve"> HYPERLINK \l _Toc2389 </w:instrText>
      </w:r>
      <w:r>
        <w:rPr>
          <w:rFonts w:hint="eastAsia" w:ascii="Times New Roman" w:hAnsi="Times New Roman" w:cs="宋体"/>
          <w:sz w:val="24"/>
          <w:szCs w:val="24"/>
        </w:rPr>
        <w:fldChar w:fldCharType="separate"/>
      </w:r>
      <w:r>
        <w:rPr>
          <w:rFonts w:hint="eastAsia" w:ascii="Times New Roman" w:hAnsi="Times New Roman" w:cs="宋体"/>
          <w:sz w:val="24"/>
          <w:szCs w:val="24"/>
        </w:rPr>
        <w:t>C.1  General Requirements</w:t>
      </w:r>
      <w:r>
        <w:rPr>
          <w:rFonts w:hint="eastAsia" w:ascii="Times New Roman" w:hAnsi="Times New Roman" w:cs="宋体"/>
          <w:sz w:val="24"/>
          <w:szCs w:val="24"/>
        </w:rPr>
        <w:tab/>
      </w:r>
      <w:r>
        <w:rPr>
          <w:rFonts w:hint="eastAsia" w:ascii="Times New Roman" w:hAnsi="Times New Roman" w:cs="宋体"/>
          <w:sz w:val="24"/>
          <w:szCs w:val="24"/>
        </w:rPr>
        <w:fldChar w:fldCharType="begin"/>
      </w:r>
      <w:r>
        <w:rPr>
          <w:rFonts w:hint="eastAsia" w:ascii="Times New Roman" w:hAnsi="Times New Roman" w:cs="宋体"/>
          <w:sz w:val="24"/>
          <w:szCs w:val="24"/>
        </w:rPr>
        <w:instrText xml:space="preserve"> PAGEREF _Toc2389 \h </w:instrText>
      </w:r>
      <w:r>
        <w:rPr>
          <w:rFonts w:hint="eastAsia" w:ascii="Times New Roman" w:hAnsi="Times New Roman" w:cs="宋体"/>
          <w:sz w:val="24"/>
          <w:szCs w:val="24"/>
        </w:rPr>
        <w:fldChar w:fldCharType="separate"/>
      </w:r>
      <w:r>
        <w:rPr>
          <w:rFonts w:hint="eastAsia" w:ascii="Times New Roman" w:hAnsi="Times New Roman" w:cs="宋体"/>
          <w:sz w:val="24"/>
          <w:szCs w:val="24"/>
        </w:rPr>
        <w:t>36</w:t>
      </w:r>
      <w:r>
        <w:rPr>
          <w:rFonts w:hint="eastAsia" w:ascii="Times New Roman" w:hAnsi="Times New Roman" w:cs="宋体"/>
          <w:sz w:val="24"/>
          <w:szCs w:val="24"/>
        </w:rPr>
        <w:fldChar w:fldCharType="end"/>
      </w:r>
      <w:r>
        <w:rPr>
          <w:rFonts w:hint="eastAsia" w:ascii="Times New Roman" w:hAnsi="Times New Roman" w:cs="宋体"/>
          <w:sz w:val="24"/>
          <w:szCs w:val="24"/>
        </w:rPr>
        <w:fldChar w:fldCharType="end"/>
      </w:r>
    </w:p>
    <w:p>
      <w:pPr>
        <w:pStyle w:val="19"/>
        <w:tabs>
          <w:tab w:val="right" w:leader="dot" w:pos="8306"/>
        </w:tabs>
        <w:spacing w:line="312" w:lineRule="auto"/>
        <w:ind w:firstLine="240" w:firstLineChars="100"/>
        <w:jc w:val="left"/>
        <w:rPr>
          <w:rFonts w:hint="eastAsia" w:ascii="Times New Roman" w:hAnsi="Times New Roman" w:cs="宋体"/>
          <w:sz w:val="24"/>
          <w:szCs w:val="24"/>
        </w:rPr>
      </w:pPr>
      <w:r>
        <w:rPr>
          <w:rFonts w:hint="eastAsia" w:ascii="Times New Roman" w:hAnsi="Times New Roman" w:cs="宋体"/>
          <w:sz w:val="24"/>
          <w:szCs w:val="24"/>
        </w:rPr>
        <w:fldChar w:fldCharType="begin"/>
      </w:r>
      <w:r>
        <w:rPr>
          <w:rFonts w:hint="eastAsia" w:ascii="Times New Roman" w:hAnsi="Times New Roman" w:cs="宋体"/>
          <w:sz w:val="24"/>
          <w:szCs w:val="24"/>
        </w:rPr>
        <w:instrText xml:space="preserve"> HYPERLINK \l _Toc8152 </w:instrText>
      </w:r>
      <w:r>
        <w:rPr>
          <w:rFonts w:hint="eastAsia" w:ascii="Times New Roman" w:hAnsi="Times New Roman" w:cs="宋体"/>
          <w:sz w:val="24"/>
          <w:szCs w:val="24"/>
        </w:rPr>
        <w:fldChar w:fldCharType="separate"/>
      </w:r>
      <w:r>
        <w:rPr>
          <w:rFonts w:hint="eastAsia" w:ascii="Times New Roman" w:hAnsi="Times New Roman" w:cs="宋体"/>
          <w:sz w:val="24"/>
          <w:szCs w:val="24"/>
        </w:rPr>
        <w:t>C.2  Basic requirement</w:t>
      </w:r>
      <w:r>
        <w:rPr>
          <w:rFonts w:hint="eastAsia" w:ascii="Times New Roman" w:hAnsi="Times New Roman" w:cs="宋体"/>
          <w:sz w:val="24"/>
          <w:szCs w:val="24"/>
        </w:rPr>
        <w:tab/>
      </w:r>
      <w:r>
        <w:rPr>
          <w:rFonts w:hint="eastAsia" w:ascii="Times New Roman" w:hAnsi="Times New Roman" w:cs="宋体"/>
          <w:sz w:val="24"/>
          <w:szCs w:val="24"/>
        </w:rPr>
        <w:fldChar w:fldCharType="begin"/>
      </w:r>
      <w:r>
        <w:rPr>
          <w:rFonts w:hint="eastAsia" w:ascii="Times New Roman" w:hAnsi="Times New Roman" w:cs="宋体"/>
          <w:sz w:val="24"/>
          <w:szCs w:val="24"/>
        </w:rPr>
        <w:instrText xml:space="preserve"> PAGEREF _Toc8152 \h </w:instrText>
      </w:r>
      <w:r>
        <w:rPr>
          <w:rFonts w:hint="eastAsia" w:ascii="Times New Roman" w:hAnsi="Times New Roman" w:cs="宋体"/>
          <w:sz w:val="24"/>
          <w:szCs w:val="24"/>
        </w:rPr>
        <w:fldChar w:fldCharType="separate"/>
      </w:r>
      <w:r>
        <w:rPr>
          <w:rFonts w:hint="eastAsia" w:ascii="Times New Roman" w:hAnsi="Times New Roman" w:cs="宋体"/>
          <w:sz w:val="24"/>
          <w:szCs w:val="24"/>
        </w:rPr>
        <w:t>36</w:t>
      </w:r>
      <w:r>
        <w:rPr>
          <w:rFonts w:hint="eastAsia" w:ascii="Times New Roman" w:hAnsi="Times New Roman" w:cs="宋体"/>
          <w:sz w:val="24"/>
          <w:szCs w:val="24"/>
        </w:rPr>
        <w:fldChar w:fldCharType="end"/>
      </w:r>
      <w:r>
        <w:rPr>
          <w:rFonts w:hint="eastAsia" w:ascii="Times New Roman" w:hAnsi="Times New Roman" w:cs="宋体"/>
          <w:sz w:val="24"/>
          <w:szCs w:val="24"/>
        </w:rPr>
        <w:fldChar w:fldCharType="end"/>
      </w:r>
    </w:p>
    <w:p>
      <w:pPr>
        <w:pStyle w:val="19"/>
        <w:tabs>
          <w:tab w:val="right" w:leader="dot" w:pos="8306"/>
        </w:tabs>
        <w:spacing w:line="312" w:lineRule="auto"/>
        <w:ind w:firstLine="240" w:firstLineChars="100"/>
        <w:jc w:val="left"/>
        <w:rPr>
          <w:rFonts w:hint="eastAsia" w:ascii="Times New Roman" w:hAnsi="Times New Roman" w:cs="宋体"/>
          <w:sz w:val="24"/>
          <w:szCs w:val="24"/>
        </w:rPr>
      </w:pPr>
      <w:r>
        <w:rPr>
          <w:rFonts w:hint="eastAsia" w:ascii="Times New Roman" w:hAnsi="Times New Roman" w:cs="宋体"/>
          <w:sz w:val="24"/>
          <w:szCs w:val="24"/>
        </w:rPr>
        <w:fldChar w:fldCharType="begin"/>
      </w:r>
      <w:r>
        <w:rPr>
          <w:rFonts w:hint="eastAsia" w:ascii="Times New Roman" w:hAnsi="Times New Roman" w:cs="宋体"/>
          <w:sz w:val="24"/>
          <w:szCs w:val="24"/>
        </w:rPr>
        <w:instrText xml:space="preserve"> HYPERLINK \l _Toc9480 </w:instrText>
      </w:r>
      <w:r>
        <w:rPr>
          <w:rFonts w:hint="eastAsia" w:ascii="Times New Roman" w:hAnsi="Times New Roman" w:cs="宋体"/>
          <w:sz w:val="24"/>
          <w:szCs w:val="24"/>
        </w:rPr>
        <w:fldChar w:fldCharType="separate"/>
      </w:r>
      <w:r>
        <w:rPr>
          <w:rFonts w:hint="eastAsia" w:ascii="Times New Roman" w:hAnsi="Times New Roman" w:cs="宋体"/>
          <w:sz w:val="24"/>
          <w:szCs w:val="24"/>
        </w:rPr>
        <w:t>C.3  Reinforcement design</w:t>
      </w:r>
      <w:r>
        <w:rPr>
          <w:rFonts w:hint="eastAsia" w:ascii="Times New Roman" w:hAnsi="Times New Roman" w:cs="宋体"/>
          <w:sz w:val="24"/>
          <w:szCs w:val="24"/>
        </w:rPr>
        <w:tab/>
      </w:r>
      <w:r>
        <w:rPr>
          <w:rFonts w:hint="eastAsia" w:ascii="Times New Roman" w:hAnsi="Times New Roman" w:cs="宋体"/>
          <w:sz w:val="24"/>
          <w:szCs w:val="24"/>
        </w:rPr>
        <w:fldChar w:fldCharType="begin"/>
      </w:r>
      <w:r>
        <w:rPr>
          <w:rFonts w:hint="eastAsia" w:ascii="Times New Roman" w:hAnsi="Times New Roman" w:cs="宋体"/>
          <w:sz w:val="24"/>
          <w:szCs w:val="24"/>
        </w:rPr>
        <w:instrText xml:space="preserve"> PAGEREF _Toc9480 \h </w:instrText>
      </w:r>
      <w:r>
        <w:rPr>
          <w:rFonts w:hint="eastAsia" w:ascii="Times New Roman" w:hAnsi="Times New Roman" w:cs="宋体"/>
          <w:sz w:val="24"/>
          <w:szCs w:val="24"/>
        </w:rPr>
        <w:fldChar w:fldCharType="separate"/>
      </w:r>
      <w:r>
        <w:rPr>
          <w:rFonts w:hint="eastAsia" w:ascii="Times New Roman" w:hAnsi="Times New Roman" w:cs="宋体"/>
          <w:sz w:val="24"/>
          <w:szCs w:val="24"/>
        </w:rPr>
        <w:t>36</w:t>
      </w:r>
      <w:r>
        <w:rPr>
          <w:rFonts w:hint="eastAsia" w:ascii="Times New Roman" w:hAnsi="Times New Roman" w:cs="宋体"/>
          <w:sz w:val="24"/>
          <w:szCs w:val="24"/>
        </w:rPr>
        <w:fldChar w:fldCharType="end"/>
      </w:r>
      <w:r>
        <w:rPr>
          <w:rFonts w:hint="eastAsia" w:ascii="Times New Roman" w:hAnsi="Times New Roman" w:cs="宋体"/>
          <w:sz w:val="24"/>
          <w:szCs w:val="24"/>
        </w:rPr>
        <w:fldChar w:fldCharType="end"/>
      </w:r>
    </w:p>
    <w:p>
      <w:pPr>
        <w:pStyle w:val="19"/>
        <w:tabs>
          <w:tab w:val="right" w:leader="dot" w:pos="8306"/>
        </w:tabs>
        <w:spacing w:line="312" w:lineRule="auto"/>
        <w:ind w:firstLine="240" w:firstLineChars="100"/>
        <w:jc w:val="left"/>
        <w:rPr>
          <w:rFonts w:hint="eastAsia" w:ascii="Times New Roman" w:hAnsi="Times New Roman" w:cs="宋体"/>
          <w:sz w:val="24"/>
          <w:szCs w:val="24"/>
        </w:rPr>
      </w:pPr>
      <w:r>
        <w:rPr>
          <w:rFonts w:hint="eastAsia" w:ascii="Times New Roman" w:hAnsi="Times New Roman" w:cs="宋体"/>
          <w:sz w:val="24"/>
          <w:szCs w:val="24"/>
        </w:rPr>
        <w:fldChar w:fldCharType="begin"/>
      </w:r>
      <w:r>
        <w:rPr>
          <w:rFonts w:hint="eastAsia" w:ascii="Times New Roman" w:hAnsi="Times New Roman" w:cs="宋体"/>
          <w:sz w:val="24"/>
          <w:szCs w:val="24"/>
        </w:rPr>
        <w:instrText xml:space="preserve"> HYPERLINK \l _Toc318 </w:instrText>
      </w:r>
      <w:r>
        <w:rPr>
          <w:rFonts w:hint="eastAsia" w:ascii="Times New Roman" w:hAnsi="Times New Roman" w:cs="宋体"/>
          <w:sz w:val="24"/>
          <w:szCs w:val="24"/>
        </w:rPr>
        <w:fldChar w:fldCharType="separate"/>
      </w:r>
      <w:r>
        <w:rPr>
          <w:rFonts w:hint="eastAsia" w:ascii="Times New Roman" w:hAnsi="Times New Roman" w:cs="宋体"/>
          <w:sz w:val="24"/>
          <w:szCs w:val="24"/>
        </w:rPr>
        <w:t>C.4  Construction and quality acceptance</w:t>
      </w:r>
      <w:r>
        <w:rPr>
          <w:rFonts w:hint="eastAsia" w:ascii="Times New Roman" w:hAnsi="Times New Roman" w:cs="宋体"/>
          <w:sz w:val="24"/>
          <w:szCs w:val="24"/>
        </w:rPr>
        <w:tab/>
      </w:r>
      <w:r>
        <w:rPr>
          <w:rFonts w:hint="eastAsia" w:ascii="Times New Roman" w:hAnsi="Times New Roman" w:cs="宋体"/>
          <w:sz w:val="24"/>
          <w:szCs w:val="24"/>
        </w:rPr>
        <w:fldChar w:fldCharType="begin"/>
      </w:r>
      <w:r>
        <w:rPr>
          <w:rFonts w:hint="eastAsia" w:ascii="Times New Roman" w:hAnsi="Times New Roman" w:cs="宋体"/>
          <w:sz w:val="24"/>
          <w:szCs w:val="24"/>
        </w:rPr>
        <w:instrText xml:space="preserve"> PAGEREF _Toc318 \h </w:instrText>
      </w:r>
      <w:r>
        <w:rPr>
          <w:rFonts w:hint="eastAsia" w:ascii="Times New Roman" w:hAnsi="Times New Roman" w:cs="宋体"/>
          <w:sz w:val="24"/>
          <w:szCs w:val="24"/>
        </w:rPr>
        <w:fldChar w:fldCharType="separate"/>
      </w:r>
      <w:r>
        <w:rPr>
          <w:rFonts w:hint="eastAsia" w:ascii="Times New Roman" w:hAnsi="Times New Roman" w:cs="宋体"/>
          <w:sz w:val="24"/>
          <w:szCs w:val="24"/>
        </w:rPr>
        <w:t>42</w:t>
      </w:r>
      <w:r>
        <w:rPr>
          <w:rFonts w:hint="eastAsia" w:ascii="Times New Roman" w:hAnsi="Times New Roman" w:cs="宋体"/>
          <w:sz w:val="24"/>
          <w:szCs w:val="24"/>
        </w:rPr>
        <w:fldChar w:fldCharType="end"/>
      </w:r>
      <w:r>
        <w:rPr>
          <w:rFonts w:hint="eastAsia" w:ascii="Times New Roman" w:hAnsi="Times New Roman" w:cs="宋体"/>
          <w:sz w:val="24"/>
          <w:szCs w:val="24"/>
        </w:rPr>
        <w:fldChar w:fldCharType="end"/>
      </w:r>
    </w:p>
    <w:p>
      <w:pPr>
        <w:pStyle w:val="19"/>
        <w:tabs>
          <w:tab w:val="right" w:leader="dot" w:pos="8306"/>
        </w:tabs>
        <w:spacing w:line="312" w:lineRule="auto"/>
        <w:jc w:val="left"/>
        <w:rPr>
          <w:rFonts w:hint="eastAsia" w:ascii="Times New Roman" w:hAnsi="Times New Roman" w:cs="宋体"/>
          <w:sz w:val="24"/>
          <w:szCs w:val="24"/>
        </w:rPr>
      </w:pPr>
      <w:r>
        <w:rPr>
          <w:rFonts w:hint="eastAsia" w:ascii="Times New Roman" w:hAnsi="Times New Roman" w:cs="宋体"/>
          <w:sz w:val="24"/>
          <w:szCs w:val="24"/>
        </w:rPr>
        <w:fldChar w:fldCharType="begin"/>
      </w:r>
      <w:r>
        <w:rPr>
          <w:rFonts w:hint="eastAsia" w:ascii="Times New Roman" w:hAnsi="Times New Roman" w:cs="宋体"/>
          <w:sz w:val="24"/>
          <w:szCs w:val="24"/>
        </w:rPr>
        <w:instrText xml:space="preserve"> HYPERLINK \l _Toc6009 </w:instrText>
      </w:r>
      <w:r>
        <w:rPr>
          <w:rFonts w:hint="eastAsia" w:ascii="Times New Roman" w:hAnsi="Times New Roman" w:cs="宋体"/>
          <w:sz w:val="24"/>
          <w:szCs w:val="24"/>
        </w:rPr>
        <w:fldChar w:fldCharType="separate"/>
      </w:r>
      <w:r>
        <w:rPr>
          <w:rFonts w:hint="eastAsia" w:ascii="Times New Roman" w:hAnsi="Times New Roman" w:cs="宋体"/>
          <w:sz w:val="24"/>
          <w:szCs w:val="24"/>
        </w:rPr>
        <w:t>Explanation of Wording in This Standard</w:t>
      </w:r>
      <w:r>
        <w:rPr>
          <w:rFonts w:hint="eastAsia" w:ascii="Times New Roman" w:hAnsi="Times New Roman" w:cs="宋体"/>
          <w:sz w:val="24"/>
          <w:szCs w:val="24"/>
        </w:rPr>
        <w:tab/>
      </w:r>
      <w:r>
        <w:rPr>
          <w:rFonts w:hint="eastAsia" w:ascii="Times New Roman" w:hAnsi="Times New Roman" w:cs="宋体"/>
          <w:sz w:val="24"/>
          <w:szCs w:val="24"/>
        </w:rPr>
        <w:fldChar w:fldCharType="begin"/>
      </w:r>
      <w:r>
        <w:rPr>
          <w:rFonts w:hint="eastAsia" w:ascii="Times New Roman" w:hAnsi="Times New Roman" w:cs="宋体"/>
          <w:sz w:val="24"/>
          <w:szCs w:val="24"/>
        </w:rPr>
        <w:instrText xml:space="preserve"> PAGEREF _Toc6009 \h </w:instrText>
      </w:r>
      <w:r>
        <w:rPr>
          <w:rFonts w:hint="eastAsia" w:ascii="Times New Roman" w:hAnsi="Times New Roman" w:cs="宋体"/>
          <w:sz w:val="24"/>
          <w:szCs w:val="24"/>
        </w:rPr>
        <w:fldChar w:fldCharType="separate"/>
      </w:r>
      <w:r>
        <w:rPr>
          <w:rFonts w:hint="eastAsia" w:ascii="Times New Roman" w:hAnsi="Times New Roman" w:cs="宋体"/>
          <w:sz w:val="24"/>
          <w:szCs w:val="24"/>
        </w:rPr>
        <w:t>43</w:t>
      </w:r>
      <w:r>
        <w:rPr>
          <w:rFonts w:hint="eastAsia" w:ascii="Times New Roman" w:hAnsi="Times New Roman" w:cs="宋体"/>
          <w:sz w:val="24"/>
          <w:szCs w:val="24"/>
        </w:rPr>
        <w:fldChar w:fldCharType="end"/>
      </w:r>
      <w:r>
        <w:rPr>
          <w:rFonts w:hint="eastAsia" w:ascii="Times New Roman" w:hAnsi="Times New Roman" w:cs="宋体"/>
          <w:sz w:val="24"/>
          <w:szCs w:val="24"/>
        </w:rPr>
        <w:fldChar w:fldCharType="end"/>
      </w:r>
    </w:p>
    <w:p>
      <w:pPr>
        <w:pStyle w:val="19"/>
        <w:tabs>
          <w:tab w:val="right" w:leader="dot" w:pos="8306"/>
        </w:tabs>
        <w:spacing w:line="312" w:lineRule="auto"/>
        <w:jc w:val="left"/>
      </w:pPr>
      <w:r>
        <w:rPr>
          <w:rFonts w:hint="eastAsia" w:ascii="Times New Roman" w:hAnsi="Times New Roman" w:cs="宋体"/>
          <w:sz w:val="24"/>
          <w:szCs w:val="24"/>
        </w:rPr>
        <w:fldChar w:fldCharType="begin"/>
      </w:r>
      <w:r>
        <w:rPr>
          <w:rFonts w:hint="eastAsia" w:ascii="Times New Roman" w:hAnsi="Times New Roman" w:cs="宋体"/>
          <w:sz w:val="24"/>
          <w:szCs w:val="24"/>
        </w:rPr>
        <w:instrText xml:space="preserve"> HYPERLINK \l _Toc18845 </w:instrText>
      </w:r>
      <w:r>
        <w:rPr>
          <w:rFonts w:hint="eastAsia" w:ascii="Times New Roman" w:hAnsi="Times New Roman" w:cs="宋体"/>
          <w:sz w:val="24"/>
          <w:szCs w:val="24"/>
        </w:rPr>
        <w:fldChar w:fldCharType="separate"/>
      </w:r>
      <w:r>
        <w:rPr>
          <w:rFonts w:hint="eastAsia" w:ascii="Times New Roman" w:hAnsi="Times New Roman" w:cs="宋体"/>
          <w:sz w:val="24"/>
          <w:szCs w:val="24"/>
        </w:rPr>
        <w:t>List of Quoted Standards</w:t>
      </w:r>
      <w:r>
        <w:rPr>
          <w:rFonts w:hint="eastAsia" w:ascii="Times New Roman" w:hAnsi="Times New Roman" w:cs="宋体"/>
          <w:sz w:val="24"/>
          <w:szCs w:val="24"/>
        </w:rPr>
        <w:tab/>
      </w:r>
      <w:r>
        <w:rPr>
          <w:rFonts w:hint="eastAsia" w:ascii="Times New Roman" w:hAnsi="Times New Roman" w:cs="宋体"/>
          <w:sz w:val="24"/>
          <w:szCs w:val="24"/>
        </w:rPr>
        <w:fldChar w:fldCharType="begin"/>
      </w:r>
      <w:r>
        <w:rPr>
          <w:rFonts w:hint="eastAsia" w:ascii="Times New Roman" w:hAnsi="Times New Roman" w:cs="宋体"/>
          <w:sz w:val="24"/>
          <w:szCs w:val="24"/>
        </w:rPr>
        <w:instrText xml:space="preserve"> PAGEREF _Toc18845 \h </w:instrText>
      </w:r>
      <w:r>
        <w:rPr>
          <w:rFonts w:hint="eastAsia" w:ascii="Times New Roman" w:hAnsi="Times New Roman" w:cs="宋体"/>
          <w:sz w:val="24"/>
          <w:szCs w:val="24"/>
        </w:rPr>
        <w:fldChar w:fldCharType="separate"/>
      </w:r>
      <w:r>
        <w:rPr>
          <w:rFonts w:hint="eastAsia" w:ascii="Times New Roman" w:hAnsi="Times New Roman" w:cs="宋体"/>
          <w:sz w:val="24"/>
          <w:szCs w:val="24"/>
        </w:rPr>
        <w:t>44</w:t>
      </w:r>
      <w:r>
        <w:rPr>
          <w:rFonts w:hint="eastAsia" w:ascii="Times New Roman" w:hAnsi="Times New Roman" w:cs="宋体"/>
          <w:sz w:val="24"/>
          <w:szCs w:val="24"/>
        </w:rPr>
        <w:fldChar w:fldCharType="end"/>
      </w:r>
      <w:r>
        <w:rPr>
          <w:rFonts w:hint="eastAsia" w:ascii="Times New Roman" w:hAnsi="Times New Roman" w:cs="宋体"/>
          <w:sz w:val="24"/>
          <w:szCs w:val="24"/>
        </w:rPr>
        <w:fldChar w:fldCharType="end"/>
      </w:r>
    </w:p>
    <w:p>
      <w:pPr>
        <w:keepNext w:val="0"/>
        <w:keepLines w:val="0"/>
        <w:pageBreakBefore w:val="0"/>
        <w:widowControl w:val="0"/>
        <w:kinsoku/>
        <w:wordWrap/>
        <w:overflowPunct/>
        <w:topLinePunct w:val="0"/>
        <w:autoSpaceDE/>
        <w:autoSpaceDN/>
        <w:bidi w:val="0"/>
        <w:adjustRightInd/>
        <w:snapToGrid/>
        <w:spacing w:before="72" w:beforeLines="30" w:after="72" w:afterLines="30" w:line="360" w:lineRule="exact"/>
        <w:jc w:val="center"/>
        <w:textAlignment w:val="auto"/>
        <w:outlineLvl w:val="0"/>
        <w:rPr>
          <w:szCs w:val="21"/>
          <w:highlight w:val="none"/>
        </w:rPr>
      </w:pPr>
      <w:r>
        <w:rPr>
          <w:szCs w:val="21"/>
          <w:highlight w:val="none"/>
        </w:rPr>
        <w:fldChar w:fldCharType="end"/>
      </w:r>
    </w:p>
    <w:p>
      <w:pPr>
        <w:rPr>
          <w:szCs w:val="21"/>
          <w:highlight w:val="none"/>
        </w:rPr>
      </w:pPr>
      <w:r>
        <w:rPr>
          <w:szCs w:val="21"/>
          <w:highlight w:val="none"/>
        </w:rPr>
        <w:br w:type="page"/>
      </w:r>
    </w:p>
    <w:p>
      <w:pPr>
        <w:spacing w:before="72" w:beforeLines="30" w:after="72" w:afterLines="30"/>
        <w:jc w:val="center"/>
        <w:outlineLvl w:val="0"/>
        <w:rPr>
          <w:rFonts w:eastAsia="黑体"/>
          <w:sz w:val="28"/>
          <w:szCs w:val="28"/>
          <w:highlight w:val="none"/>
        </w:rPr>
      </w:pPr>
      <w:bookmarkStart w:id="35" w:name="_Toc30872"/>
      <w:bookmarkStart w:id="36" w:name="_Toc4448"/>
      <w:r>
        <w:rPr>
          <w:rFonts w:eastAsia="黑体"/>
          <w:b/>
          <w:sz w:val="28"/>
          <w:szCs w:val="28"/>
          <w:highlight w:val="none"/>
        </w:rPr>
        <w:t xml:space="preserve">1  </w:t>
      </w:r>
      <w:r>
        <w:rPr>
          <w:rFonts w:eastAsia="黑体"/>
          <w:sz w:val="28"/>
          <w:szCs w:val="28"/>
          <w:highlight w:val="none"/>
        </w:rPr>
        <w:t>总  则</w:t>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pPr>
        <w:pStyle w:val="2"/>
        <w:rPr>
          <w:rFonts w:hint="eastAsia"/>
          <w:lang w:eastAsia="zh-CN"/>
        </w:rPr>
      </w:pPr>
    </w:p>
    <w:p>
      <w:pPr>
        <w:spacing w:line="312" w:lineRule="auto"/>
        <w:rPr>
          <w:sz w:val="24"/>
          <w:szCs w:val="28"/>
          <w:highlight w:val="none"/>
        </w:rPr>
      </w:pPr>
      <w:r>
        <w:rPr>
          <w:b/>
          <w:sz w:val="24"/>
          <w:szCs w:val="28"/>
          <w:highlight w:val="none"/>
        </w:rPr>
        <w:t>1.0.1</w:t>
      </w:r>
      <w:r>
        <w:rPr>
          <w:sz w:val="24"/>
          <w:szCs w:val="28"/>
          <w:highlight w:val="none"/>
        </w:rPr>
        <w:t xml:space="preserve">  为规范高延性混凝土在</w:t>
      </w:r>
      <w:r>
        <w:rPr>
          <w:rFonts w:hint="eastAsia" w:ascii="宋体" w:hAnsi="宋体" w:cs="宋体"/>
          <w:sz w:val="24"/>
          <w:szCs w:val="22"/>
          <w:highlight w:val="none"/>
        </w:rPr>
        <w:t>四川省砌体结构</w:t>
      </w:r>
      <w:r>
        <w:rPr>
          <w:sz w:val="24"/>
          <w:szCs w:val="28"/>
          <w:highlight w:val="none"/>
        </w:rPr>
        <w:t>加固工程中的应用，保证工程质量，做到技术先进、安全可靠、经济合理，制定</w:t>
      </w:r>
      <w:r>
        <w:rPr>
          <w:rFonts w:hint="eastAsia"/>
          <w:sz w:val="24"/>
          <w:szCs w:val="28"/>
          <w:highlight w:val="none"/>
        </w:rPr>
        <w:t>本标准</w:t>
      </w:r>
      <w:r>
        <w:rPr>
          <w:sz w:val="24"/>
          <w:szCs w:val="28"/>
          <w:highlight w:val="none"/>
        </w:rPr>
        <w:t>。</w:t>
      </w:r>
    </w:p>
    <w:p>
      <w:pPr>
        <w:spacing w:line="312" w:lineRule="auto"/>
        <w:rPr>
          <w:sz w:val="24"/>
          <w:szCs w:val="28"/>
          <w:highlight w:val="none"/>
        </w:rPr>
      </w:pPr>
      <w:r>
        <w:rPr>
          <w:b/>
          <w:sz w:val="24"/>
          <w:szCs w:val="28"/>
          <w:highlight w:val="none"/>
        </w:rPr>
        <w:t>1.0.2</w:t>
      </w:r>
      <w:r>
        <w:rPr>
          <w:sz w:val="24"/>
          <w:szCs w:val="28"/>
          <w:highlight w:val="none"/>
        </w:rPr>
        <w:t xml:space="preserve">  </w:t>
      </w:r>
      <w:r>
        <w:rPr>
          <w:rFonts w:hint="eastAsia"/>
          <w:sz w:val="24"/>
          <w:szCs w:val="28"/>
          <w:highlight w:val="none"/>
        </w:rPr>
        <w:t>本标准</w:t>
      </w:r>
      <w:r>
        <w:rPr>
          <w:sz w:val="24"/>
          <w:szCs w:val="28"/>
          <w:highlight w:val="none"/>
        </w:rPr>
        <w:t>适用</w:t>
      </w:r>
      <w:r>
        <w:rPr>
          <w:rFonts w:hint="eastAsia"/>
          <w:sz w:val="24"/>
          <w:szCs w:val="28"/>
          <w:highlight w:val="none"/>
        </w:rPr>
        <w:t>于抗震设防烈度抗震设防烈度不超过</w:t>
      </w:r>
      <w:r>
        <w:rPr>
          <w:rFonts w:hint="eastAsia"/>
          <w:sz w:val="24"/>
          <w:szCs w:val="28"/>
          <w:highlight w:val="none"/>
          <w:lang w:val="en-US" w:eastAsia="zh-CN"/>
        </w:rPr>
        <w:t>9</w:t>
      </w:r>
      <w:r>
        <w:rPr>
          <w:rFonts w:hint="eastAsia"/>
          <w:sz w:val="24"/>
          <w:szCs w:val="28"/>
          <w:highlight w:val="none"/>
        </w:rPr>
        <w:t>度地区，</w:t>
      </w:r>
      <w:r>
        <w:rPr>
          <w:sz w:val="24"/>
          <w:szCs w:val="28"/>
          <w:highlight w:val="none"/>
        </w:rPr>
        <w:t>采用高延性混凝土加固</w:t>
      </w:r>
      <w:r>
        <w:rPr>
          <w:rFonts w:hint="eastAsia"/>
          <w:sz w:val="24"/>
          <w:szCs w:val="28"/>
          <w:highlight w:val="none"/>
        </w:rPr>
        <w:t>砖</w:t>
      </w:r>
      <w:r>
        <w:rPr>
          <w:sz w:val="24"/>
          <w:szCs w:val="28"/>
          <w:highlight w:val="none"/>
        </w:rPr>
        <w:t>砌体</w:t>
      </w:r>
      <w:r>
        <w:rPr>
          <w:rFonts w:hint="eastAsia"/>
          <w:sz w:val="24"/>
          <w:szCs w:val="28"/>
          <w:highlight w:val="none"/>
        </w:rPr>
        <w:t>和砌块砌体</w:t>
      </w:r>
      <w:r>
        <w:rPr>
          <w:sz w:val="24"/>
          <w:szCs w:val="28"/>
          <w:highlight w:val="none"/>
        </w:rPr>
        <w:t>结构的设计、施工及质量验收。</w:t>
      </w:r>
    </w:p>
    <w:p>
      <w:pPr>
        <w:spacing w:line="312" w:lineRule="auto"/>
        <w:rPr>
          <w:rFonts w:hint="eastAsia" w:ascii="楷体" w:hAnsi="楷体" w:eastAsia="楷体" w:cs="楷体"/>
          <w:sz w:val="24"/>
          <w:szCs w:val="24"/>
          <w:highlight w:val="none"/>
          <w:u w:val="single"/>
        </w:rPr>
      </w:pPr>
      <w:r>
        <w:rPr>
          <w:rFonts w:hint="eastAsia" w:ascii="楷体" w:hAnsi="楷体" w:eastAsia="楷体" w:cs="楷体"/>
          <w:b w:val="0"/>
          <w:bCs/>
          <w:sz w:val="24"/>
          <w:szCs w:val="24"/>
          <w:highlight w:val="none"/>
          <w:u w:val="single"/>
        </w:rPr>
        <w:t>【条文说明】</w:t>
      </w:r>
      <w:r>
        <w:rPr>
          <w:rFonts w:hint="eastAsia" w:ascii="楷体" w:hAnsi="楷体" w:eastAsia="楷体" w:cs="楷体"/>
          <w:sz w:val="24"/>
          <w:szCs w:val="24"/>
          <w:highlight w:val="none"/>
          <w:u w:val="single"/>
        </w:rPr>
        <w:t xml:space="preserve"> 本标准适用于6</w:t>
      </w:r>
      <w:r>
        <w:rPr>
          <w:rFonts w:hint="eastAsia" w:ascii="楷体" w:hAnsi="楷体" w:eastAsia="楷体" w:cs="楷体"/>
          <w:sz w:val="24"/>
          <w:szCs w:val="24"/>
          <w:highlight w:val="none"/>
          <w:u w:val="single"/>
          <w:lang w:val="en-US" w:eastAsia="zh-CN"/>
        </w:rPr>
        <w:t>-</w:t>
      </w:r>
      <w:r>
        <w:rPr>
          <w:rFonts w:hint="eastAsia" w:ascii="楷体" w:hAnsi="楷体" w:eastAsia="楷体" w:cs="楷体"/>
          <w:sz w:val="24"/>
          <w:szCs w:val="24"/>
          <w:highlight w:val="none"/>
          <w:u w:val="single"/>
        </w:rPr>
        <w:t>9度地区，采用高延性混凝土加固砖砌体和砌块砌体结构的设计、施工及质量验收。我国现行《建筑抗震设计规范》（GB 50011）对建筑物的抗震设防目标是“小震不坏、中震可修、大震不倒”。西安建筑科技大学邓明科教授课题组的多次振动台试验表明，采用高延性混凝土加固的二层砌体房屋，其抗震性能可以大幅度提高，在9度大震时没有出现裂缝，可以达到“中震不坏”甚至是“大震不坏”的设防目标。且在多个高烈度区均进行了试点应用，部分试点也经历了地震的考验。对于石砌体等砌体结构及构件，高延性混凝土或配筋高延性混凝土面层加固仍能够较明显的提高其承载力和整体性，但限于目前对其计算理论的研究较少，因此暂未列入到本规程中。</w:t>
      </w:r>
    </w:p>
    <w:p>
      <w:pPr>
        <w:spacing w:line="312" w:lineRule="auto"/>
        <w:rPr>
          <w:sz w:val="24"/>
          <w:szCs w:val="28"/>
          <w:highlight w:val="none"/>
        </w:rPr>
      </w:pPr>
      <w:r>
        <w:rPr>
          <w:b/>
          <w:sz w:val="24"/>
          <w:szCs w:val="28"/>
          <w:highlight w:val="none"/>
        </w:rPr>
        <w:t>1.0.</w:t>
      </w:r>
      <w:r>
        <w:rPr>
          <w:rFonts w:hint="eastAsia"/>
          <w:b/>
          <w:sz w:val="24"/>
          <w:szCs w:val="28"/>
          <w:highlight w:val="none"/>
        </w:rPr>
        <w:t>3</w:t>
      </w:r>
      <w:r>
        <w:rPr>
          <w:sz w:val="24"/>
          <w:szCs w:val="28"/>
          <w:highlight w:val="none"/>
        </w:rPr>
        <w:t xml:space="preserve">  高延性混凝土加固</w:t>
      </w:r>
      <w:r>
        <w:rPr>
          <w:rFonts w:hint="eastAsia"/>
          <w:sz w:val="24"/>
          <w:szCs w:val="28"/>
          <w:highlight w:val="none"/>
        </w:rPr>
        <w:t>砌体结构的</w:t>
      </w:r>
      <w:r>
        <w:rPr>
          <w:sz w:val="24"/>
          <w:szCs w:val="28"/>
          <w:highlight w:val="none"/>
        </w:rPr>
        <w:t>设计、施工及质量验收除应符合</w:t>
      </w:r>
      <w:r>
        <w:rPr>
          <w:rFonts w:hint="eastAsia"/>
          <w:sz w:val="24"/>
          <w:szCs w:val="28"/>
          <w:highlight w:val="none"/>
        </w:rPr>
        <w:t>本标准</w:t>
      </w:r>
      <w:r>
        <w:rPr>
          <w:sz w:val="24"/>
          <w:szCs w:val="28"/>
          <w:highlight w:val="none"/>
        </w:rPr>
        <w:t>外，尚应符合国家、行业及</w:t>
      </w:r>
      <w:r>
        <w:rPr>
          <w:rFonts w:hint="eastAsia"/>
          <w:sz w:val="24"/>
          <w:szCs w:val="28"/>
          <w:highlight w:val="none"/>
        </w:rPr>
        <w:t>四川省</w:t>
      </w:r>
      <w:r>
        <w:rPr>
          <w:sz w:val="24"/>
          <w:szCs w:val="28"/>
          <w:highlight w:val="none"/>
        </w:rPr>
        <w:t>现行有关标准的规定。</w:t>
      </w:r>
    </w:p>
    <w:p>
      <w:pPr>
        <w:spacing w:line="312" w:lineRule="auto"/>
        <w:rPr>
          <w:rFonts w:hint="eastAsia" w:ascii="楷体" w:hAnsi="楷体" w:eastAsia="楷体" w:cs="楷体"/>
          <w:sz w:val="24"/>
          <w:szCs w:val="24"/>
          <w:highlight w:val="none"/>
          <w:u w:val="single"/>
        </w:rPr>
      </w:pPr>
      <w:r>
        <w:rPr>
          <w:rFonts w:hint="eastAsia" w:ascii="楷体" w:hAnsi="楷体" w:eastAsia="楷体" w:cs="楷体"/>
          <w:b w:val="0"/>
          <w:bCs/>
          <w:sz w:val="24"/>
          <w:szCs w:val="24"/>
          <w:highlight w:val="none"/>
          <w:u w:val="single"/>
        </w:rPr>
        <w:t xml:space="preserve">【条文说明】 </w:t>
      </w:r>
      <w:r>
        <w:rPr>
          <w:rFonts w:hint="eastAsia" w:ascii="楷体" w:hAnsi="楷体" w:eastAsia="楷体" w:cs="楷体"/>
          <w:sz w:val="24"/>
          <w:szCs w:val="24"/>
          <w:highlight w:val="none"/>
          <w:u w:val="single"/>
        </w:rPr>
        <w:t>这条主要是对本标准在实施过程中与其他相关标准配套使用的关系</w:t>
      </w:r>
      <w:r>
        <w:rPr>
          <w:rFonts w:hint="eastAsia" w:ascii="楷体" w:hAnsi="楷体" w:eastAsia="楷体" w:cs="楷体"/>
          <w:sz w:val="24"/>
          <w:szCs w:val="24"/>
          <w:highlight w:val="none"/>
          <w:u w:val="single"/>
          <w:lang w:val="en-US" w:eastAsia="zh-CN"/>
        </w:rPr>
        <w:t>做</w:t>
      </w:r>
      <w:r>
        <w:rPr>
          <w:rFonts w:hint="eastAsia" w:ascii="楷体" w:hAnsi="楷体" w:eastAsia="楷体" w:cs="楷体"/>
          <w:sz w:val="24"/>
          <w:szCs w:val="24"/>
          <w:highlight w:val="none"/>
          <w:u w:val="single"/>
        </w:rPr>
        <w:t>出规定。</w:t>
      </w:r>
    </w:p>
    <w:p>
      <w:pPr>
        <w:pStyle w:val="2"/>
        <w:rPr>
          <w:highlight w:val="none"/>
        </w:rPr>
      </w:pPr>
    </w:p>
    <w:p>
      <w:pPr>
        <w:spacing w:before="72" w:beforeLines="30" w:after="72" w:afterLines="30"/>
        <w:jc w:val="center"/>
        <w:outlineLvl w:val="0"/>
        <w:rPr>
          <w:rFonts w:eastAsia="黑体"/>
          <w:sz w:val="28"/>
          <w:szCs w:val="28"/>
          <w:highlight w:val="none"/>
        </w:rPr>
      </w:pPr>
      <w:r>
        <w:rPr>
          <w:highlight w:val="none"/>
        </w:rPr>
        <w:br w:type="page"/>
      </w:r>
      <w:bookmarkStart w:id="37" w:name="_Toc233176247"/>
      <w:bookmarkStart w:id="38" w:name="_Toc19545189"/>
      <w:bookmarkStart w:id="39" w:name="_Toc25690838"/>
      <w:bookmarkStart w:id="40" w:name="_Toc445666201"/>
      <w:bookmarkStart w:id="41" w:name="_Toc48138958"/>
      <w:bookmarkStart w:id="42" w:name="_Toc32848329"/>
      <w:bookmarkStart w:id="43" w:name="_Toc70169811"/>
      <w:bookmarkStart w:id="44" w:name="_Toc54256638"/>
      <w:bookmarkStart w:id="45" w:name="_Toc48138880"/>
      <w:bookmarkStart w:id="46" w:name="_Toc48209999"/>
      <w:bookmarkStart w:id="47" w:name="_Toc63348916"/>
      <w:bookmarkStart w:id="48" w:name="_Toc38358394"/>
      <w:bookmarkStart w:id="49" w:name="_Toc519684013"/>
      <w:bookmarkStart w:id="50" w:name="_Toc13152"/>
      <w:bookmarkStart w:id="51" w:name="_Toc445664178"/>
      <w:bookmarkStart w:id="52" w:name="_Toc63348840"/>
      <w:bookmarkStart w:id="53" w:name="_Toc532464185"/>
      <w:bookmarkStart w:id="54" w:name="_Toc535475880"/>
      <w:bookmarkStart w:id="55" w:name="_Toc32667"/>
      <w:bookmarkStart w:id="56" w:name="_Toc67330584"/>
      <w:bookmarkStart w:id="57" w:name="_Toc535338328"/>
      <w:bookmarkStart w:id="58" w:name="_Toc32675"/>
      <w:bookmarkStart w:id="59" w:name="_Toc54255543"/>
      <w:bookmarkStart w:id="60" w:name="_Toc48210348"/>
      <w:bookmarkStart w:id="61" w:name="_Toc32865070"/>
      <w:bookmarkStart w:id="62" w:name="_Toc52264488"/>
      <w:bookmarkStart w:id="63" w:name="_Toc25070607"/>
      <w:bookmarkStart w:id="64" w:name="_Toc38352768"/>
      <w:bookmarkStart w:id="65" w:name="_Toc48210108"/>
      <w:r>
        <w:rPr>
          <w:rFonts w:eastAsia="黑体"/>
          <w:b/>
          <w:sz w:val="28"/>
          <w:szCs w:val="28"/>
          <w:highlight w:val="none"/>
        </w:rPr>
        <w:t>2</w:t>
      </w:r>
      <w:r>
        <w:rPr>
          <w:rFonts w:eastAsia="黑体"/>
          <w:sz w:val="28"/>
          <w:szCs w:val="28"/>
          <w:highlight w:val="none"/>
        </w:rPr>
        <w:t xml:space="preserve">  术语</w:t>
      </w:r>
      <w:bookmarkEnd w:id="37"/>
      <w:r>
        <w:rPr>
          <w:rFonts w:eastAsia="黑体"/>
          <w:sz w:val="28"/>
          <w:szCs w:val="28"/>
          <w:highlight w:val="none"/>
        </w:rPr>
        <w:t>和符号</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pPr>
        <w:pStyle w:val="2"/>
      </w:pPr>
    </w:p>
    <w:p>
      <w:pPr>
        <w:adjustRightInd w:val="0"/>
        <w:snapToGrid w:val="0"/>
        <w:spacing w:line="360" w:lineRule="auto"/>
        <w:jc w:val="center"/>
        <w:outlineLvl w:val="1"/>
        <w:rPr>
          <w:rFonts w:eastAsia="黑体"/>
          <w:sz w:val="24"/>
          <w:szCs w:val="24"/>
          <w:highlight w:val="none"/>
        </w:rPr>
      </w:pPr>
      <w:bookmarkStart w:id="66" w:name="_Toc63348841"/>
      <w:bookmarkStart w:id="67" w:name="_Toc445666202"/>
      <w:bookmarkStart w:id="68" w:name="_Toc19545190"/>
      <w:bookmarkStart w:id="69" w:name="_Toc63348917"/>
      <w:bookmarkStart w:id="70" w:name="_Toc535338329"/>
      <w:bookmarkStart w:id="71" w:name="_Toc32848330"/>
      <w:bookmarkStart w:id="72" w:name="_Toc54256639"/>
      <w:bookmarkStart w:id="73" w:name="_Toc48210109"/>
      <w:bookmarkStart w:id="74" w:name="_Toc48138959"/>
      <w:bookmarkStart w:id="75" w:name="_Toc19899"/>
      <w:bookmarkStart w:id="76" w:name="_Toc48138881"/>
      <w:bookmarkStart w:id="77" w:name="_Toc54255544"/>
      <w:bookmarkStart w:id="78" w:name="_Toc32865071"/>
      <w:bookmarkStart w:id="79" w:name="_Toc535475881"/>
      <w:bookmarkStart w:id="80" w:name="_Toc532464186"/>
      <w:bookmarkStart w:id="81" w:name="_Toc52264489"/>
      <w:bookmarkStart w:id="82" w:name="_Toc38352769"/>
      <w:bookmarkStart w:id="83" w:name="_Toc67330585"/>
      <w:bookmarkStart w:id="84" w:name="_Toc519684014"/>
      <w:bookmarkStart w:id="85" w:name="_Toc445664179"/>
      <w:bookmarkStart w:id="86" w:name="_Toc48210000"/>
      <w:bookmarkStart w:id="87" w:name="_Toc38358395"/>
      <w:bookmarkStart w:id="88" w:name="_Toc48210349"/>
      <w:bookmarkStart w:id="89" w:name="_Toc25070608"/>
      <w:bookmarkStart w:id="90" w:name="_Toc15118"/>
      <w:bookmarkStart w:id="91" w:name="_Toc25690839"/>
      <w:bookmarkStart w:id="92" w:name="_Toc28939"/>
      <w:bookmarkStart w:id="93" w:name="_Toc70169812"/>
      <w:r>
        <w:rPr>
          <w:rFonts w:eastAsia="黑体"/>
          <w:b/>
          <w:sz w:val="24"/>
          <w:szCs w:val="24"/>
          <w:highlight w:val="none"/>
        </w:rPr>
        <w:t xml:space="preserve">2.1  </w:t>
      </w:r>
      <w:r>
        <w:rPr>
          <w:rFonts w:eastAsia="黑体"/>
          <w:sz w:val="24"/>
          <w:szCs w:val="24"/>
          <w:highlight w:val="none"/>
        </w:rPr>
        <w:t>术语</w:t>
      </w:r>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p>
      <w:pPr>
        <w:pStyle w:val="2"/>
      </w:pPr>
    </w:p>
    <w:p>
      <w:pPr>
        <w:spacing w:line="312" w:lineRule="auto"/>
        <w:rPr>
          <w:sz w:val="24"/>
          <w:szCs w:val="24"/>
          <w:highlight w:val="none"/>
        </w:rPr>
      </w:pPr>
      <w:r>
        <w:rPr>
          <w:b/>
          <w:sz w:val="24"/>
          <w:szCs w:val="24"/>
          <w:highlight w:val="none"/>
        </w:rPr>
        <w:t>2.1.1</w:t>
      </w:r>
      <w:r>
        <w:rPr>
          <w:sz w:val="24"/>
          <w:szCs w:val="24"/>
          <w:highlight w:val="none"/>
        </w:rPr>
        <w:t xml:space="preserve">  高延性混凝土 high ductile concrete</w:t>
      </w:r>
    </w:p>
    <w:p>
      <w:pPr>
        <w:spacing w:line="312" w:lineRule="auto"/>
        <w:ind w:firstLine="480" w:firstLineChars="200"/>
        <w:rPr>
          <w:sz w:val="24"/>
          <w:szCs w:val="24"/>
          <w:highlight w:val="none"/>
        </w:rPr>
      </w:pPr>
      <w:r>
        <w:rPr>
          <w:sz w:val="24"/>
          <w:szCs w:val="24"/>
          <w:highlight w:val="none"/>
        </w:rPr>
        <w:t>由胶凝材料、骨料、外加剂和合成纤维等原材料组成，按一定比例加水搅拌、成型以后，韧性、抗裂性能和耐损伤能力</w:t>
      </w:r>
      <w:r>
        <w:rPr>
          <w:rFonts w:hint="eastAsia"/>
          <w:sz w:val="24"/>
          <w:szCs w:val="24"/>
          <w:highlight w:val="none"/>
        </w:rPr>
        <w:t>较高</w:t>
      </w:r>
      <w:r>
        <w:rPr>
          <w:sz w:val="24"/>
          <w:szCs w:val="24"/>
          <w:highlight w:val="none"/>
        </w:rPr>
        <w:t>的特种混凝土。</w:t>
      </w:r>
    </w:p>
    <w:p>
      <w:pPr>
        <w:spacing w:line="312" w:lineRule="auto"/>
        <w:rPr>
          <w:rFonts w:hint="eastAsia" w:ascii="楷体" w:hAnsi="楷体" w:eastAsia="楷体" w:cs="楷体"/>
          <w:sz w:val="24"/>
          <w:szCs w:val="24"/>
          <w:highlight w:val="none"/>
          <w:u w:val="single"/>
        </w:rPr>
      </w:pPr>
      <w:r>
        <w:rPr>
          <w:rFonts w:hint="eastAsia" w:ascii="楷体" w:hAnsi="楷体" w:eastAsia="楷体" w:cs="楷体"/>
          <w:b w:val="0"/>
          <w:bCs/>
          <w:sz w:val="24"/>
          <w:szCs w:val="24"/>
          <w:highlight w:val="none"/>
          <w:u w:val="single"/>
        </w:rPr>
        <w:t>【条文说明】</w:t>
      </w:r>
      <w:r>
        <w:rPr>
          <w:rFonts w:hint="eastAsia" w:ascii="楷体" w:hAnsi="楷体" w:eastAsia="楷体" w:cs="楷体"/>
          <w:sz w:val="24"/>
          <w:szCs w:val="24"/>
          <w:highlight w:val="none"/>
          <w:u w:val="single"/>
        </w:rPr>
        <w:t xml:space="preserve"> 高延性混凝土（high ductile concrete，简称HDC），是一种具有韧性高、抗裂性能和耐损伤能力强的新型结构材料。传统的混凝土和纤维混凝土都具有明显的脆性，开裂后很快达到最大拉应力，一般仅出现一条主裂缝和少量微裂缝，表现出应变软化特征；高延性混凝土开裂后，应力基本保持不变，应变能维持较长时间的发展，在拉伸和剪切荷载下表现出良好的多裂缝开展和应变硬化特征（图1）。</w:t>
      </w:r>
    </w:p>
    <w:p>
      <w:pPr>
        <w:spacing w:line="312" w:lineRule="auto"/>
        <w:jc w:val="center"/>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drawing>
          <wp:inline distT="0" distB="0" distL="0" distR="0">
            <wp:extent cx="2226310" cy="1757045"/>
            <wp:effectExtent l="0" t="0" r="13970" b="10795"/>
            <wp:docPr id="1" name="图片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2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226310" cy="1757045"/>
                    </a:xfrm>
                    <a:prstGeom prst="rect">
                      <a:avLst/>
                    </a:prstGeom>
                    <a:noFill/>
                    <a:ln>
                      <a:noFill/>
                    </a:ln>
                  </pic:spPr>
                </pic:pic>
              </a:graphicData>
            </a:graphic>
          </wp:inline>
        </w:drawing>
      </w:r>
    </w:p>
    <w:p>
      <w:pPr>
        <w:spacing w:line="312" w:lineRule="auto"/>
        <w:jc w:val="center"/>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图1 高延性混凝土单轴拉伸曲线比较</w:t>
      </w:r>
    </w:p>
    <w:p>
      <w:pPr>
        <w:spacing w:line="312" w:lineRule="auto"/>
        <w:rPr>
          <w:rFonts w:hint="eastAsia" w:ascii="楷体" w:hAnsi="楷体" w:eastAsia="楷体" w:cs="楷体"/>
          <w:sz w:val="24"/>
          <w:szCs w:val="24"/>
          <w:highlight w:val="none"/>
          <w:u w:val="single"/>
        </w:rPr>
      </w:pPr>
      <w:r>
        <w:rPr>
          <w:rFonts w:hint="eastAsia" w:ascii="楷体" w:hAnsi="楷体" w:eastAsia="楷体" w:cs="楷体"/>
          <w:sz w:val="24"/>
          <w:szCs w:val="24"/>
          <w:highlight w:val="none"/>
          <w:u w:val="single"/>
        </w:rPr>
        <w:t>本标准4.3节对高延性混凝土的强度指标和韧性指标均有明确规定。为达到其韧性指标要求，目前制备高延性混凝土都需要掺加短纤维作为增韧材料。</w:t>
      </w:r>
    </w:p>
    <w:p>
      <w:pPr>
        <w:spacing w:line="312" w:lineRule="auto"/>
        <w:rPr>
          <w:sz w:val="24"/>
          <w:szCs w:val="24"/>
          <w:highlight w:val="none"/>
        </w:rPr>
      </w:pPr>
      <w:r>
        <w:rPr>
          <w:b/>
          <w:sz w:val="24"/>
          <w:szCs w:val="24"/>
          <w:highlight w:val="none"/>
        </w:rPr>
        <w:t xml:space="preserve">2.1.2 </w:t>
      </w:r>
      <w:r>
        <w:rPr>
          <w:sz w:val="24"/>
          <w:szCs w:val="24"/>
          <w:highlight w:val="none"/>
        </w:rPr>
        <w:t xml:space="preserve"> 等效弯曲强度 equivalent flexural strength</w:t>
      </w:r>
    </w:p>
    <w:p>
      <w:pPr>
        <w:spacing w:line="312" w:lineRule="auto"/>
        <w:ind w:firstLine="480" w:firstLineChars="200"/>
        <w:rPr>
          <w:sz w:val="24"/>
          <w:szCs w:val="24"/>
          <w:highlight w:val="none"/>
        </w:rPr>
      </w:pPr>
      <w:r>
        <w:rPr>
          <w:sz w:val="24"/>
          <w:szCs w:val="24"/>
          <w:highlight w:val="none"/>
        </w:rPr>
        <w:t>试件弯曲韧性试验时，根据</w:t>
      </w:r>
      <w:r>
        <w:rPr>
          <w:rFonts w:hint="eastAsia"/>
          <w:sz w:val="24"/>
          <w:szCs w:val="24"/>
          <w:highlight w:val="none"/>
        </w:rPr>
        <w:t>荷载-挠度曲线按图形面积相等原则确定等效弯曲荷载，由等效弯曲荷载计算得到的试件跨中最大拉应力。</w:t>
      </w:r>
    </w:p>
    <w:p>
      <w:pPr>
        <w:spacing w:line="312" w:lineRule="auto"/>
        <w:rPr>
          <w:sz w:val="24"/>
          <w:szCs w:val="24"/>
          <w:highlight w:val="none"/>
        </w:rPr>
      </w:pPr>
      <w:r>
        <w:rPr>
          <w:b/>
          <w:sz w:val="24"/>
          <w:szCs w:val="24"/>
          <w:highlight w:val="none"/>
        </w:rPr>
        <w:t>2.1.3</w:t>
      </w:r>
      <w:r>
        <w:rPr>
          <w:sz w:val="24"/>
          <w:szCs w:val="24"/>
          <w:highlight w:val="none"/>
        </w:rPr>
        <w:t xml:space="preserve">  等效弯曲韧性equivalent flexural toughness </w:t>
      </w:r>
    </w:p>
    <w:p>
      <w:pPr>
        <w:spacing w:line="312" w:lineRule="auto"/>
        <w:ind w:firstLine="480" w:firstLineChars="200"/>
        <w:rPr>
          <w:sz w:val="24"/>
          <w:szCs w:val="24"/>
          <w:highlight w:val="none"/>
        </w:rPr>
      </w:pPr>
      <w:r>
        <w:rPr>
          <w:sz w:val="24"/>
          <w:szCs w:val="24"/>
          <w:highlight w:val="none"/>
        </w:rPr>
        <w:t>试件弯曲韧性试验时等效弯曲强度与挠跨比的乘积。</w:t>
      </w:r>
    </w:p>
    <w:p>
      <w:pPr>
        <w:spacing w:line="312" w:lineRule="auto"/>
        <w:rPr>
          <w:sz w:val="24"/>
          <w:szCs w:val="24"/>
          <w:highlight w:val="none"/>
        </w:rPr>
      </w:pPr>
      <w:r>
        <w:rPr>
          <w:b/>
          <w:sz w:val="24"/>
          <w:szCs w:val="24"/>
          <w:highlight w:val="none"/>
        </w:rPr>
        <w:t xml:space="preserve">2.1.4 </w:t>
      </w:r>
      <w:r>
        <w:rPr>
          <w:sz w:val="24"/>
          <w:szCs w:val="24"/>
          <w:highlight w:val="none"/>
        </w:rPr>
        <w:t xml:space="preserve"> 材料强度利用系数 strength utilization factor of material</w:t>
      </w:r>
    </w:p>
    <w:p>
      <w:pPr>
        <w:spacing w:line="312" w:lineRule="auto"/>
        <w:ind w:firstLine="480" w:firstLineChars="200"/>
        <w:rPr>
          <w:sz w:val="24"/>
          <w:szCs w:val="24"/>
          <w:highlight w:val="none"/>
        </w:rPr>
      </w:pPr>
      <w:r>
        <w:rPr>
          <w:sz w:val="24"/>
          <w:szCs w:val="24"/>
          <w:highlight w:val="none"/>
        </w:rPr>
        <w:t>考虑加固材料自身变形能力高于砌体或混凝土、以及在二次受力条件下其强度得不到充分利用所引入的</w:t>
      </w:r>
      <w:r>
        <w:rPr>
          <w:rFonts w:hint="eastAsia"/>
          <w:sz w:val="24"/>
          <w:szCs w:val="24"/>
          <w:highlight w:val="none"/>
        </w:rPr>
        <w:t>折减</w:t>
      </w:r>
      <w:r>
        <w:rPr>
          <w:sz w:val="24"/>
          <w:szCs w:val="24"/>
          <w:highlight w:val="none"/>
        </w:rPr>
        <w:t>系数。</w:t>
      </w:r>
    </w:p>
    <w:p>
      <w:pPr>
        <w:spacing w:line="312" w:lineRule="auto"/>
        <w:rPr>
          <w:sz w:val="24"/>
          <w:szCs w:val="24"/>
          <w:highlight w:val="none"/>
        </w:rPr>
      </w:pPr>
      <w:r>
        <w:rPr>
          <w:b/>
          <w:sz w:val="24"/>
          <w:szCs w:val="24"/>
          <w:highlight w:val="none"/>
        </w:rPr>
        <w:t>2.1.</w:t>
      </w:r>
      <w:r>
        <w:rPr>
          <w:rFonts w:hint="eastAsia"/>
          <w:b/>
          <w:sz w:val="24"/>
          <w:szCs w:val="24"/>
          <w:highlight w:val="none"/>
        </w:rPr>
        <w:t>5</w:t>
      </w:r>
      <w:r>
        <w:rPr>
          <w:b/>
          <w:sz w:val="24"/>
          <w:szCs w:val="24"/>
          <w:highlight w:val="none"/>
        </w:rPr>
        <w:t xml:space="preserve"> </w:t>
      </w:r>
      <w:r>
        <w:rPr>
          <w:sz w:val="24"/>
          <w:szCs w:val="24"/>
          <w:highlight w:val="none"/>
        </w:rPr>
        <w:t xml:space="preserve"> 高延性混凝土面层加固 structure member strengthening with high ductile concrete layer</w:t>
      </w:r>
    </w:p>
    <w:p>
      <w:pPr>
        <w:spacing w:line="312" w:lineRule="auto"/>
        <w:ind w:firstLine="480" w:firstLineChars="200"/>
        <w:rPr>
          <w:sz w:val="24"/>
          <w:szCs w:val="24"/>
          <w:highlight w:val="none"/>
        </w:rPr>
      </w:pPr>
      <w:r>
        <w:rPr>
          <w:sz w:val="24"/>
          <w:szCs w:val="24"/>
          <w:highlight w:val="none"/>
        </w:rPr>
        <w:t>在原结构构件表面增设一定厚度的高延性混凝土，提高结构整体性、结构构件承载力和抗震能力的加固方法。</w:t>
      </w:r>
    </w:p>
    <w:p>
      <w:pPr>
        <w:spacing w:line="312" w:lineRule="auto"/>
        <w:rPr>
          <w:sz w:val="24"/>
          <w:szCs w:val="24"/>
          <w:highlight w:val="none"/>
        </w:rPr>
      </w:pPr>
      <w:r>
        <w:rPr>
          <w:b/>
          <w:sz w:val="24"/>
          <w:szCs w:val="24"/>
          <w:highlight w:val="none"/>
        </w:rPr>
        <w:t>2.1.</w:t>
      </w:r>
      <w:r>
        <w:rPr>
          <w:rFonts w:hint="eastAsia"/>
          <w:b/>
          <w:sz w:val="24"/>
          <w:szCs w:val="24"/>
          <w:highlight w:val="none"/>
        </w:rPr>
        <w:t>6</w:t>
      </w:r>
      <w:r>
        <w:rPr>
          <w:sz w:val="24"/>
          <w:szCs w:val="24"/>
          <w:highlight w:val="none"/>
        </w:rPr>
        <w:t xml:space="preserve">  配筋高延性混凝土面层加固 structure member strengthening with reinforced high ductile concrete layer </w:t>
      </w:r>
    </w:p>
    <w:p>
      <w:pPr>
        <w:spacing w:line="312" w:lineRule="auto"/>
        <w:ind w:firstLine="480" w:firstLineChars="200"/>
        <w:rPr>
          <w:rFonts w:hint="eastAsia"/>
          <w:sz w:val="24"/>
          <w:szCs w:val="24"/>
          <w:highlight w:val="none"/>
        </w:rPr>
      </w:pPr>
      <w:bookmarkStart w:id="94" w:name="_Toc445666203"/>
      <w:bookmarkStart w:id="95" w:name="_Toc54256640"/>
      <w:bookmarkStart w:id="96" w:name="_Toc445664180"/>
      <w:bookmarkStart w:id="97" w:name="_Toc48138882"/>
      <w:bookmarkStart w:id="98" w:name="_Toc25070609"/>
      <w:bookmarkStart w:id="99" w:name="_Toc19545191"/>
      <w:bookmarkStart w:id="100" w:name="_Toc535475882"/>
      <w:bookmarkStart w:id="101" w:name="_Toc54255545"/>
      <w:bookmarkStart w:id="102" w:name="_Toc48210001"/>
      <w:bookmarkStart w:id="103" w:name="_Toc70169813"/>
      <w:bookmarkStart w:id="104" w:name="_Toc48138960"/>
      <w:bookmarkStart w:id="105" w:name="_Toc67330586"/>
      <w:bookmarkStart w:id="106" w:name="_Toc38358396"/>
      <w:bookmarkStart w:id="107" w:name="_Toc25690840"/>
      <w:bookmarkStart w:id="108" w:name="_Toc48210350"/>
      <w:bookmarkStart w:id="109" w:name="_Toc32865072"/>
      <w:bookmarkStart w:id="110" w:name="_Toc532464187"/>
      <w:bookmarkStart w:id="111" w:name="_Toc63348842"/>
      <w:bookmarkStart w:id="112" w:name="_Toc519684015"/>
      <w:bookmarkStart w:id="113" w:name="_Toc535338330"/>
      <w:bookmarkStart w:id="114" w:name="_Toc48210110"/>
      <w:bookmarkStart w:id="115" w:name="_Toc38352770"/>
      <w:bookmarkStart w:id="116" w:name="_Toc32848331"/>
      <w:bookmarkStart w:id="117" w:name="_Toc52264490"/>
      <w:bookmarkStart w:id="118" w:name="_Toc63348918"/>
      <w:r>
        <w:rPr>
          <w:rFonts w:hint="eastAsia"/>
          <w:sz w:val="24"/>
          <w:szCs w:val="24"/>
          <w:highlight w:val="none"/>
        </w:rPr>
        <w:t>在待加固构件表面增设配筋及一定厚度高延性混凝土的加固方法。</w:t>
      </w:r>
    </w:p>
    <w:p>
      <w:pPr>
        <w:spacing w:line="312" w:lineRule="auto"/>
        <w:rPr>
          <w:sz w:val="24"/>
          <w:szCs w:val="24"/>
          <w:highlight w:val="none"/>
        </w:rPr>
      </w:pPr>
      <w:r>
        <w:rPr>
          <w:rFonts w:hint="eastAsia"/>
          <w:b/>
          <w:sz w:val="24"/>
          <w:szCs w:val="24"/>
          <w:highlight w:val="none"/>
        </w:rPr>
        <w:t>2.1.</w:t>
      </w:r>
      <w:r>
        <w:rPr>
          <w:rFonts w:hint="eastAsia"/>
          <w:b/>
          <w:sz w:val="24"/>
          <w:szCs w:val="24"/>
          <w:highlight w:val="none"/>
          <w:lang w:val="en-US" w:eastAsia="zh-CN"/>
        </w:rPr>
        <w:t>7</w:t>
      </w:r>
      <w:r>
        <w:rPr>
          <w:rFonts w:hint="eastAsia"/>
          <w:sz w:val="24"/>
          <w:szCs w:val="24"/>
          <w:highlight w:val="none"/>
        </w:rPr>
        <w:t xml:space="preserve">  结构胶粘剂 structural adhesive</w:t>
      </w:r>
    </w:p>
    <w:p>
      <w:pPr>
        <w:spacing w:line="312" w:lineRule="auto"/>
        <w:ind w:firstLine="480" w:firstLineChars="200"/>
        <w:rPr>
          <w:sz w:val="24"/>
          <w:szCs w:val="24"/>
          <w:highlight w:val="none"/>
        </w:rPr>
      </w:pPr>
      <w:r>
        <w:rPr>
          <w:rFonts w:hint="eastAsia"/>
          <w:sz w:val="24"/>
          <w:szCs w:val="24"/>
          <w:highlight w:val="none"/>
        </w:rPr>
        <w:t>用于承重结构构件粘接或锚固的、能长期承受设计应力和环境作用的胶粘剂，简称结构胶</w:t>
      </w:r>
      <w:r>
        <w:rPr>
          <w:sz w:val="24"/>
          <w:szCs w:val="24"/>
          <w:highlight w:val="none"/>
        </w:rPr>
        <w:t>。</w:t>
      </w:r>
    </w:p>
    <w:p>
      <w:pPr>
        <w:pStyle w:val="2"/>
      </w:pPr>
    </w:p>
    <w:p>
      <w:pPr>
        <w:adjustRightInd w:val="0"/>
        <w:snapToGrid w:val="0"/>
        <w:spacing w:line="360" w:lineRule="auto"/>
        <w:jc w:val="center"/>
        <w:outlineLvl w:val="1"/>
        <w:rPr>
          <w:rFonts w:eastAsia="黑体"/>
          <w:sz w:val="24"/>
          <w:szCs w:val="24"/>
          <w:highlight w:val="none"/>
        </w:rPr>
      </w:pPr>
      <w:bookmarkStart w:id="119" w:name="_Toc13044"/>
      <w:bookmarkStart w:id="120" w:name="_Toc24444"/>
      <w:bookmarkStart w:id="121" w:name="_Toc16261"/>
      <w:r>
        <w:rPr>
          <w:rFonts w:eastAsia="黑体"/>
          <w:b/>
          <w:sz w:val="24"/>
          <w:szCs w:val="24"/>
          <w:highlight w:val="none"/>
        </w:rPr>
        <w:t>2.2</w:t>
      </w:r>
      <w:r>
        <w:rPr>
          <w:rFonts w:eastAsia="黑体"/>
          <w:sz w:val="24"/>
          <w:szCs w:val="24"/>
          <w:highlight w:val="none"/>
        </w:rPr>
        <w:t xml:space="preserve">  符号</w:t>
      </w:r>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pPr>
        <w:pStyle w:val="2"/>
      </w:pPr>
    </w:p>
    <w:p>
      <w:pPr>
        <w:spacing w:after="120" w:afterLines="50" w:line="312" w:lineRule="auto"/>
        <w:rPr>
          <w:sz w:val="24"/>
          <w:szCs w:val="24"/>
          <w:highlight w:val="none"/>
        </w:rPr>
      </w:pPr>
      <w:r>
        <w:rPr>
          <w:b/>
          <w:sz w:val="24"/>
          <w:szCs w:val="24"/>
          <w:highlight w:val="none"/>
        </w:rPr>
        <w:t>2.2.1</w:t>
      </w:r>
      <w:r>
        <w:rPr>
          <w:sz w:val="24"/>
          <w:szCs w:val="24"/>
          <w:highlight w:val="none"/>
        </w:rPr>
        <w:t xml:space="preserve">  材料性能</w:t>
      </w:r>
    </w:p>
    <w:tbl>
      <w:tblPr>
        <w:tblStyle w:val="23"/>
        <w:tblW w:w="9870" w:type="dxa"/>
        <w:tblInd w:w="0" w:type="dxa"/>
        <w:tblLayout w:type="fixed"/>
        <w:tblCellMar>
          <w:top w:w="0" w:type="dxa"/>
          <w:left w:w="108" w:type="dxa"/>
          <w:bottom w:w="0" w:type="dxa"/>
          <w:right w:w="108" w:type="dxa"/>
        </w:tblCellMar>
      </w:tblPr>
      <w:tblGrid>
        <w:gridCol w:w="1384"/>
        <w:gridCol w:w="8486"/>
      </w:tblGrid>
      <w:tr>
        <w:tblPrEx>
          <w:tblCellMar>
            <w:top w:w="0" w:type="dxa"/>
            <w:left w:w="108" w:type="dxa"/>
            <w:bottom w:w="0" w:type="dxa"/>
            <w:right w:w="108" w:type="dxa"/>
          </w:tblCellMar>
        </w:tblPrEx>
        <w:tc>
          <w:tcPr>
            <w:tcW w:w="1384" w:type="dxa"/>
          </w:tcPr>
          <w:p>
            <w:pPr>
              <w:tabs>
                <w:tab w:val="left" w:pos="2565"/>
              </w:tabs>
              <w:adjustRightInd w:val="0"/>
              <w:snapToGrid w:val="0"/>
              <w:spacing w:line="360" w:lineRule="auto"/>
              <w:ind w:right="-105" w:rightChars="-50"/>
              <w:jc w:val="right"/>
              <w:rPr>
                <w:kern w:val="0"/>
                <w:sz w:val="24"/>
                <w:szCs w:val="24"/>
                <w:highlight w:val="none"/>
              </w:rPr>
            </w:pPr>
            <w:r>
              <w:rPr>
                <w:position w:val="-14"/>
                <w:sz w:val="24"/>
                <w:szCs w:val="24"/>
                <w:highlight w:val="none"/>
              </w:rPr>
              <w:object>
                <v:shape id="_x0000_i1026" o:spt="75" type="#_x0000_t75" style="height:21.4pt;width:15pt;" o:ole="t" filled="f" o:preferrelative="t" stroked="f" coordsize="21600,21600">
                  <v:path/>
                  <v:fill on="f" focussize="0,0"/>
                  <v:stroke on="f" joinstyle="miter"/>
                  <v:imagedata r:id="rId12" o:title=""/>
                  <o:lock v:ext="edit" aspectratio="t"/>
                  <w10:wrap type="none"/>
                  <w10:anchorlock/>
                </v:shape>
                <o:OLEObject Type="Embed" ProgID="Equation.DSMT4" ShapeID="_x0000_i1026" DrawAspect="Content" ObjectID="_1468075725" r:id="rId11">
                  <o:LockedField>false</o:LockedField>
                </o:OLEObject>
              </w:object>
            </w:r>
            <w:r>
              <w:rPr>
                <w:kern w:val="0"/>
                <w:sz w:val="24"/>
                <w:szCs w:val="24"/>
                <w:highlight w:val="none"/>
              </w:rPr>
              <w:t>——</w:t>
            </w:r>
          </w:p>
        </w:tc>
        <w:tc>
          <w:tcPr>
            <w:tcW w:w="8486" w:type="dxa"/>
            <w:vAlign w:val="center"/>
          </w:tcPr>
          <w:p>
            <w:pPr>
              <w:adjustRightInd w:val="0"/>
              <w:snapToGrid w:val="0"/>
              <w:spacing w:line="360" w:lineRule="auto"/>
              <w:rPr>
                <w:kern w:val="0"/>
                <w:sz w:val="24"/>
                <w:szCs w:val="24"/>
                <w:highlight w:val="none"/>
              </w:rPr>
            </w:pPr>
            <w:bookmarkStart w:id="122" w:name="_Toc519683835"/>
            <w:bookmarkStart w:id="123" w:name="_Toc532460913"/>
            <w:bookmarkStart w:id="124" w:name="_Toc515087690"/>
            <w:bookmarkStart w:id="125" w:name="_Toc9927614"/>
            <w:bookmarkStart w:id="126" w:name="_Toc535475885"/>
            <w:bookmarkStart w:id="127" w:name="_Toc534633295"/>
            <w:bookmarkStart w:id="128" w:name="_Toc25690572"/>
            <w:bookmarkStart w:id="129" w:name="_Toc515893895"/>
            <w:bookmarkStart w:id="130" w:name="_Toc534633619"/>
            <w:bookmarkStart w:id="131" w:name="_Toc25070612"/>
            <w:bookmarkStart w:id="132" w:name="_Toc25070310"/>
            <w:bookmarkStart w:id="133" w:name="_Toc25690843"/>
            <w:bookmarkStart w:id="134" w:name="_Toc19545464"/>
            <w:bookmarkStart w:id="135" w:name="_Toc519684018"/>
            <w:bookmarkStart w:id="136" w:name="_Toc7976043"/>
            <w:bookmarkStart w:id="137" w:name="_Toc532464190"/>
            <w:bookmarkStart w:id="138" w:name="_Toc19545194"/>
            <w:bookmarkStart w:id="139" w:name="_Toc10207129"/>
            <w:bookmarkStart w:id="140" w:name="_Toc535338333"/>
            <w:r>
              <w:rPr>
                <w:kern w:val="0"/>
                <w:sz w:val="24"/>
                <w:szCs w:val="24"/>
                <w:highlight w:val="none"/>
              </w:rPr>
              <w:t>等效弯曲强度（N/mm</w:t>
            </w:r>
            <w:r>
              <w:rPr>
                <w:kern w:val="0"/>
                <w:sz w:val="24"/>
                <w:szCs w:val="24"/>
                <w:highlight w:val="none"/>
                <w:vertAlign w:val="superscript"/>
              </w:rPr>
              <w:t>2</w:t>
            </w:r>
            <w:r>
              <w:rPr>
                <w:kern w:val="0"/>
                <w:sz w:val="24"/>
                <w:szCs w:val="24"/>
                <w:highlight w:val="none"/>
              </w:rPr>
              <w:t>）；</w:t>
            </w:r>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tc>
      </w:tr>
      <w:tr>
        <w:tblPrEx>
          <w:tblCellMar>
            <w:top w:w="0" w:type="dxa"/>
            <w:left w:w="108" w:type="dxa"/>
            <w:bottom w:w="0" w:type="dxa"/>
            <w:right w:w="108" w:type="dxa"/>
          </w:tblCellMar>
        </w:tblPrEx>
        <w:tc>
          <w:tcPr>
            <w:tcW w:w="1384" w:type="dxa"/>
          </w:tcPr>
          <w:p>
            <w:pPr>
              <w:tabs>
                <w:tab w:val="left" w:pos="2565"/>
              </w:tabs>
              <w:adjustRightInd w:val="0"/>
              <w:snapToGrid w:val="0"/>
              <w:spacing w:line="360" w:lineRule="auto"/>
              <w:ind w:right="-105" w:rightChars="-50"/>
              <w:jc w:val="right"/>
              <w:rPr>
                <w:kern w:val="0"/>
                <w:sz w:val="24"/>
                <w:szCs w:val="24"/>
                <w:highlight w:val="none"/>
              </w:rPr>
            </w:pPr>
            <w:r>
              <w:rPr>
                <w:position w:val="-12"/>
                <w:sz w:val="24"/>
                <w:szCs w:val="24"/>
                <w:highlight w:val="none"/>
              </w:rPr>
              <w:object>
                <v:shape id="_x0000_i1027" o:spt="75" type="#_x0000_t75" style="height:19pt;width:18pt;" o:ole="t" filled="f" o:preferrelative="t" stroked="f" coordsize="21600,21600">
                  <v:path/>
                  <v:fill on="f" focussize="0,0"/>
                  <v:stroke on="f" joinstyle="miter"/>
                  <v:imagedata r:id="rId14" o:title=""/>
                  <o:lock v:ext="edit" aspectratio="t"/>
                  <w10:wrap type="none"/>
                  <w10:anchorlock/>
                </v:shape>
                <o:OLEObject Type="Embed" ProgID="Equation.DSMT4" ShapeID="_x0000_i1027" DrawAspect="Content" ObjectID="_1468075726" r:id="rId13">
                  <o:LockedField>false</o:LockedField>
                </o:OLEObject>
              </w:object>
            </w:r>
            <w:r>
              <w:rPr>
                <w:kern w:val="0"/>
                <w:sz w:val="24"/>
                <w:szCs w:val="24"/>
                <w:highlight w:val="none"/>
              </w:rPr>
              <w:t>——</w:t>
            </w:r>
          </w:p>
        </w:tc>
        <w:tc>
          <w:tcPr>
            <w:tcW w:w="8486" w:type="dxa"/>
            <w:vAlign w:val="center"/>
          </w:tcPr>
          <w:p>
            <w:pPr>
              <w:adjustRightInd w:val="0"/>
              <w:snapToGrid w:val="0"/>
              <w:spacing w:line="360" w:lineRule="auto"/>
              <w:rPr>
                <w:kern w:val="0"/>
                <w:sz w:val="24"/>
                <w:szCs w:val="24"/>
                <w:highlight w:val="none"/>
              </w:rPr>
            </w:pPr>
            <w:bookmarkStart w:id="141" w:name="_Toc519683836"/>
            <w:bookmarkStart w:id="142" w:name="_Toc19545195"/>
            <w:bookmarkStart w:id="143" w:name="_Toc9927615"/>
            <w:bookmarkStart w:id="144" w:name="_Toc534633296"/>
            <w:bookmarkStart w:id="145" w:name="_Toc535475886"/>
            <w:bookmarkStart w:id="146" w:name="_Toc515087691"/>
            <w:bookmarkStart w:id="147" w:name="_Toc534633620"/>
            <w:bookmarkStart w:id="148" w:name="_Toc25070613"/>
            <w:bookmarkStart w:id="149" w:name="_Toc10207130"/>
            <w:bookmarkStart w:id="150" w:name="_Toc25690844"/>
            <w:bookmarkStart w:id="151" w:name="_Toc535338334"/>
            <w:bookmarkStart w:id="152" w:name="_Toc25690573"/>
            <w:bookmarkStart w:id="153" w:name="_Toc25070311"/>
            <w:bookmarkStart w:id="154" w:name="_Toc519684019"/>
            <w:bookmarkStart w:id="155" w:name="_Toc19545465"/>
            <w:bookmarkStart w:id="156" w:name="_Toc7976044"/>
            <w:bookmarkStart w:id="157" w:name="_Toc532464191"/>
            <w:bookmarkStart w:id="158" w:name="_Toc515893896"/>
            <w:bookmarkStart w:id="159" w:name="_Toc532460914"/>
            <w:r>
              <w:rPr>
                <w:kern w:val="0"/>
                <w:sz w:val="24"/>
                <w:szCs w:val="24"/>
                <w:highlight w:val="none"/>
              </w:rPr>
              <w:t>等效弯曲韧性（kJ/m</w:t>
            </w:r>
            <w:r>
              <w:rPr>
                <w:kern w:val="0"/>
                <w:sz w:val="24"/>
                <w:szCs w:val="24"/>
                <w:highlight w:val="none"/>
                <w:vertAlign w:val="superscript"/>
              </w:rPr>
              <w:t>3</w:t>
            </w:r>
            <w:r>
              <w:rPr>
                <w:kern w:val="0"/>
                <w:sz w:val="24"/>
                <w:szCs w:val="24"/>
                <w:highlight w:val="none"/>
              </w:rPr>
              <w:t>）；</w:t>
            </w:r>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tc>
      </w:tr>
      <w:tr>
        <w:tblPrEx>
          <w:tblCellMar>
            <w:top w:w="0" w:type="dxa"/>
            <w:left w:w="108" w:type="dxa"/>
            <w:bottom w:w="0" w:type="dxa"/>
            <w:right w:w="108" w:type="dxa"/>
          </w:tblCellMar>
        </w:tblPrEx>
        <w:tc>
          <w:tcPr>
            <w:tcW w:w="1384" w:type="dxa"/>
          </w:tcPr>
          <w:p>
            <w:pPr>
              <w:tabs>
                <w:tab w:val="left" w:pos="2565"/>
              </w:tabs>
              <w:adjustRightInd w:val="0"/>
              <w:snapToGrid w:val="0"/>
              <w:spacing w:line="360" w:lineRule="auto"/>
              <w:ind w:right="-105" w:rightChars="-50"/>
              <w:jc w:val="right"/>
              <w:rPr>
                <w:kern w:val="0"/>
                <w:sz w:val="24"/>
                <w:szCs w:val="24"/>
                <w:highlight w:val="none"/>
              </w:rPr>
            </w:pPr>
            <w:r>
              <w:rPr>
                <w:position w:val="-10"/>
                <w:sz w:val="24"/>
                <w:szCs w:val="24"/>
                <w:highlight w:val="none"/>
              </w:rPr>
              <w:object>
                <v:shape id="_x0000_i1028" o:spt="75" type="#_x0000_t75" style="height:15.05pt;width:14pt;" o:ole="t" filled="f" o:preferrelative="t" stroked="f" coordsize="21600,21600">
                  <v:path/>
                  <v:fill on="f" focussize="0,0"/>
                  <v:stroke on="f" joinstyle="miter"/>
                  <v:imagedata r:id="rId16" o:title=""/>
                  <o:lock v:ext="edit" aspectratio="t"/>
                  <w10:wrap type="none"/>
                  <w10:anchorlock/>
                </v:shape>
                <o:OLEObject Type="Embed" ProgID="Equation.DSMT4" ShapeID="_x0000_i1028" DrawAspect="Content" ObjectID="_1468075727" r:id="rId15">
                  <o:LockedField>false</o:LockedField>
                </o:OLEObject>
              </w:object>
            </w:r>
            <w:r>
              <w:rPr>
                <w:kern w:val="0"/>
                <w:sz w:val="24"/>
                <w:szCs w:val="24"/>
                <w:highlight w:val="none"/>
                <w:vertAlign w:val="subscript"/>
              </w:rPr>
              <w:t xml:space="preserve"> </w:t>
            </w:r>
            <w:r>
              <w:rPr>
                <w:kern w:val="0"/>
                <w:sz w:val="24"/>
                <w:szCs w:val="24"/>
                <w:highlight w:val="none"/>
              </w:rPr>
              <w:t>——</w:t>
            </w:r>
          </w:p>
        </w:tc>
        <w:tc>
          <w:tcPr>
            <w:tcW w:w="8486" w:type="dxa"/>
            <w:vAlign w:val="center"/>
          </w:tcPr>
          <w:p>
            <w:pPr>
              <w:adjustRightInd w:val="0"/>
              <w:snapToGrid w:val="0"/>
              <w:spacing w:line="360" w:lineRule="auto"/>
              <w:rPr>
                <w:kern w:val="0"/>
                <w:sz w:val="24"/>
                <w:szCs w:val="24"/>
                <w:highlight w:val="none"/>
              </w:rPr>
            </w:pPr>
            <w:bookmarkStart w:id="160" w:name="_Toc519683839"/>
            <w:bookmarkStart w:id="161" w:name="_Toc535475889"/>
            <w:bookmarkStart w:id="162" w:name="_Toc534633299"/>
            <w:bookmarkStart w:id="163" w:name="_Toc25690574"/>
            <w:bookmarkStart w:id="164" w:name="_Toc515087694"/>
            <w:bookmarkStart w:id="165" w:name="_Toc534633623"/>
            <w:bookmarkStart w:id="166" w:name="_Toc532464194"/>
            <w:bookmarkStart w:id="167" w:name="_Toc25070314"/>
            <w:bookmarkStart w:id="168" w:name="_Toc519684022"/>
            <w:bookmarkStart w:id="169" w:name="_Toc19545198"/>
            <w:bookmarkStart w:id="170" w:name="_Toc25690845"/>
            <w:bookmarkStart w:id="171" w:name="_Toc25070616"/>
            <w:bookmarkStart w:id="172" w:name="_Toc19545468"/>
            <w:bookmarkStart w:id="173" w:name="_Toc535338337"/>
            <w:bookmarkStart w:id="174" w:name="_Toc7976047"/>
            <w:bookmarkStart w:id="175" w:name="_Toc532460917"/>
            <w:bookmarkStart w:id="176" w:name="_Toc10207133"/>
            <w:bookmarkStart w:id="177" w:name="_Toc9927618"/>
            <w:bookmarkStart w:id="178" w:name="_Toc515893899"/>
            <w:r>
              <w:rPr>
                <w:kern w:val="0"/>
                <w:sz w:val="24"/>
                <w:szCs w:val="24"/>
                <w:highlight w:val="none"/>
              </w:rPr>
              <w:t>高延性混凝土的强度等级；</w:t>
            </w:r>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p>
        </w:tc>
      </w:tr>
      <w:tr>
        <w:tblPrEx>
          <w:tblCellMar>
            <w:top w:w="0" w:type="dxa"/>
            <w:left w:w="108" w:type="dxa"/>
            <w:bottom w:w="0" w:type="dxa"/>
            <w:right w:w="108" w:type="dxa"/>
          </w:tblCellMar>
        </w:tblPrEx>
        <w:tc>
          <w:tcPr>
            <w:tcW w:w="1384" w:type="dxa"/>
          </w:tcPr>
          <w:p>
            <w:pPr>
              <w:tabs>
                <w:tab w:val="left" w:pos="2565"/>
              </w:tabs>
              <w:adjustRightInd w:val="0"/>
              <w:snapToGrid w:val="0"/>
              <w:spacing w:line="360" w:lineRule="auto"/>
              <w:ind w:right="-105" w:rightChars="-50"/>
              <w:jc w:val="right"/>
              <w:rPr>
                <w:kern w:val="0"/>
                <w:sz w:val="24"/>
                <w:szCs w:val="24"/>
                <w:highlight w:val="none"/>
              </w:rPr>
            </w:pPr>
            <w:r>
              <w:rPr>
                <w:position w:val="-12"/>
                <w:sz w:val="24"/>
                <w:szCs w:val="24"/>
                <w:highlight w:val="none"/>
              </w:rPr>
              <w:object>
                <v:shape id="_x0000_i1029" o:spt="75" type="#_x0000_t75" style="height:16pt;width:19pt;" o:ole="t" filled="f" o:preferrelative="t" stroked="f" coordsize="21600,21600">
                  <v:path/>
                  <v:fill on="f" focussize="0,0"/>
                  <v:stroke on="f" joinstyle="miter"/>
                  <v:imagedata r:id="rId18" o:title=""/>
                  <o:lock v:ext="edit" aspectratio="t"/>
                  <w10:wrap type="none"/>
                  <w10:anchorlock/>
                </v:shape>
                <o:OLEObject Type="Embed" ProgID="Equation.DSMT4" ShapeID="_x0000_i1029" DrawAspect="Content" ObjectID="_1468075728" r:id="rId17">
                  <o:LockedField>false</o:LockedField>
                </o:OLEObject>
              </w:object>
            </w:r>
            <w:r>
              <w:rPr>
                <w:kern w:val="0"/>
                <w:sz w:val="24"/>
                <w:szCs w:val="24"/>
                <w:highlight w:val="none"/>
              </w:rPr>
              <w:t>——</w:t>
            </w:r>
          </w:p>
        </w:tc>
        <w:tc>
          <w:tcPr>
            <w:tcW w:w="8486" w:type="dxa"/>
            <w:vAlign w:val="center"/>
          </w:tcPr>
          <w:p>
            <w:pPr>
              <w:adjustRightInd w:val="0"/>
              <w:snapToGrid w:val="0"/>
              <w:spacing w:line="360" w:lineRule="auto"/>
              <w:rPr>
                <w:kern w:val="0"/>
                <w:sz w:val="24"/>
                <w:szCs w:val="24"/>
                <w:highlight w:val="none"/>
              </w:rPr>
            </w:pPr>
            <w:bookmarkStart w:id="179" w:name="_Toc515087696"/>
            <w:bookmarkStart w:id="180" w:name="_Toc25070315"/>
            <w:bookmarkStart w:id="181" w:name="_Toc25070617"/>
            <w:bookmarkStart w:id="182" w:name="_Toc19545199"/>
            <w:bookmarkStart w:id="183" w:name="_Toc25690846"/>
            <w:bookmarkStart w:id="184" w:name="_Toc519684024"/>
            <w:bookmarkStart w:id="185" w:name="_Toc19545469"/>
            <w:bookmarkStart w:id="186" w:name="_Toc519683841"/>
            <w:bookmarkStart w:id="187" w:name="_Toc515893901"/>
            <w:bookmarkStart w:id="188" w:name="_Toc25690575"/>
            <w:r>
              <w:rPr>
                <w:kern w:val="0"/>
                <w:sz w:val="24"/>
                <w:szCs w:val="24"/>
                <w:highlight w:val="none"/>
              </w:rPr>
              <w:t>高延性混凝土立方体抗压强度标准值（N/mm</w:t>
            </w:r>
            <w:r>
              <w:rPr>
                <w:kern w:val="0"/>
                <w:sz w:val="24"/>
                <w:szCs w:val="24"/>
                <w:highlight w:val="none"/>
                <w:vertAlign w:val="superscript"/>
              </w:rPr>
              <w:t>2</w:t>
            </w:r>
            <w:r>
              <w:rPr>
                <w:kern w:val="0"/>
                <w:sz w:val="24"/>
                <w:szCs w:val="24"/>
                <w:highlight w:val="none"/>
              </w:rPr>
              <w:t>）；</w:t>
            </w:r>
            <w:bookmarkEnd w:id="179"/>
            <w:bookmarkEnd w:id="180"/>
            <w:bookmarkEnd w:id="181"/>
            <w:bookmarkEnd w:id="182"/>
            <w:bookmarkEnd w:id="183"/>
            <w:bookmarkEnd w:id="184"/>
            <w:bookmarkEnd w:id="185"/>
            <w:bookmarkEnd w:id="186"/>
            <w:bookmarkEnd w:id="187"/>
            <w:bookmarkEnd w:id="188"/>
          </w:p>
        </w:tc>
      </w:tr>
      <w:tr>
        <w:tblPrEx>
          <w:tblCellMar>
            <w:top w:w="0" w:type="dxa"/>
            <w:left w:w="108" w:type="dxa"/>
            <w:bottom w:w="0" w:type="dxa"/>
            <w:right w:w="108" w:type="dxa"/>
          </w:tblCellMar>
        </w:tblPrEx>
        <w:tc>
          <w:tcPr>
            <w:tcW w:w="1384" w:type="dxa"/>
          </w:tcPr>
          <w:p>
            <w:pPr>
              <w:tabs>
                <w:tab w:val="left" w:pos="2565"/>
              </w:tabs>
              <w:adjustRightInd w:val="0"/>
              <w:snapToGrid w:val="0"/>
              <w:spacing w:line="360" w:lineRule="auto"/>
              <w:ind w:right="-105" w:rightChars="-50"/>
              <w:jc w:val="right"/>
              <w:rPr>
                <w:kern w:val="0"/>
                <w:sz w:val="24"/>
                <w:szCs w:val="24"/>
                <w:highlight w:val="none"/>
              </w:rPr>
            </w:pPr>
            <w:r>
              <w:rPr>
                <w:position w:val="-12"/>
                <w:sz w:val="24"/>
                <w:szCs w:val="24"/>
                <w:highlight w:val="none"/>
              </w:rPr>
              <w:object>
                <v:shape id="_x0000_i1030" o:spt="75" type="#_x0000_t75" style="height:17pt;width:17pt;" o:ole="t" filled="f" o:preferrelative="t" stroked="f" coordsize="21600,21600">
                  <v:path/>
                  <v:fill on="f" focussize="0,0"/>
                  <v:stroke on="f" joinstyle="miter"/>
                  <v:imagedata r:id="rId20" o:title=""/>
                  <o:lock v:ext="edit" aspectratio="t"/>
                  <w10:wrap type="none"/>
                  <w10:anchorlock/>
                </v:shape>
                <o:OLEObject Type="Embed" ProgID="Equation.DSMT4" ShapeID="_x0000_i1030" DrawAspect="Content" ObjectID="_1468075729" r:id="rId19">
                  <o:LockedField>false</o:LockedField>
                </o:OLEObject>
              </w:object>
            </w:r>
            <w:r>
              <w:rPr>
                <w:kern w:val="0"/>
                <w:sz w:val="24"/>
                <w:szCs w:val="24"/>
                <w:highlight w:val="none"/>
              </w:rPr>
              <w:t>——</w:t>
            </w:r>
          </w:p>
        </w:tc>
        <w:tc>
          <w:tcPr>
            <w:tcW w:w="8486" w:type="dxa"/>
            <w:vAlign w:val="center"/>
          </w:tcPr>
          <w:p>
            <w:pPr>
              <w:adjustRightInd w:val="0"/>
              <w:snapToGrid w:val="0"/>
              <w:spacing w:line="360" w:lineRule="auto"/>
              <w:rPr>
                <w:kern w:val="0"/>
                <w:sz w:val="24"/>
                <w:szCs w:val="24"/>
                <w:highlight w:val="none"/>
              </w:rPr>
            </w:pPr>
            <w:bookmarkStart w:id="189" w:name="_Toc515087697"/>
            <w:bookmarkStart w:id="190" w:name="_Toc25070316"/>
            <w:bookmarkStart w:id="191" w:name="_Toc25690576"/>
            <w:bookmarkStart w:id="192" w:name="_Toc519683842"/>
            <w:bookmarkStart w:id="193" w:name="_Toc25690847"/>
            <w:bookmarkStart w:id="194" w:name="_Toc515893902"/>
            <w:bookmarkStart w:id="195" w:name="_Toc25070618"/>
            <w:bookmarkStart w:id="196" w:name="_Toc519684025"/>
            <w:bookmarkStart w:id="197" w:name="_Toc19545200"/>
            <w:bookmarkStart w:id="198" w:name="_Toc19545470"/>
            <w:r>
              <w:rPr>
                <w:kern w:val="0"/>
                <w:sz w:val="24"/>
                <w:szCs w:val="24"/>
                <w:highlight w:val="none"/>
              </w:rPr>
              <w:t>高延性混凝土轴心抗压强度标准值（N/mm</w:t>
            </w:r>
            <w:r>
              <w:rPr>
                <w:kern w:val="0"/>
                <w:sz w:val="24"/>
                <w:szCs w:val="24"/>
                <w:highlight w:val="none"/>
                <w:vertAlign w:val="superscript"/>
              </w:rPr>
              <w:t>2</w:t>
            </w:r>
            <w:r>
              <w:rPr>
                <w:kern w:val="0"/>
                <w:sz w:val="24"/>
                <w:szCs w:val="24"/>
                <w:highlight w:val="none"/>
              </w:rPr>
              <w:t>）；</w:t>
            </w:r>
            <w:bookmarkEnd w:id="189"/>
            <w:bookmarkEnd w:id="190"/>
            <w:bookmarkEnd w:id="191"/>
            <w:bookmarkEnd w:id="192"/>
            <w:bookmarkEnd w:id="193"/>
            <w:bookmarkEnd w:id="194"/>
            <w:bookmarkEnd w:id="195"/>
            <w:bookmarkEnd w:id="196"/>
            <w:bookmarkEnd w:id="197"/>
            <w:bookmarkEnd w:id="198"/>
          </w:p>
        </w:tc>
      </w:tr>
      <w:tr>
        <w:tblPrEx>
          <w:tblCellMar>
            <w:top w:w="0" w:type="dxa"/>
            <w:left w:w="108" w:type="dxa"/>
            <w:bottom w:w="0" w:type="dxa"/>
            <w:right w:w="108" w:type="dxa"/>
          </w:tblCellMar>
        </w:tblPrEx>
        <w:tc>
          <w:tcPr>
            <w:tcW w:w="1384" w:type="dxa"/>
          </w:tcPr>
          <w:p>
            <w:pPr>
              <w:tabs>
                <w:tab w:val="left" w:pos="2565"/>
              </w:tabs>
              <w:adjustRightInd w:val="0"/>
              <w:snapToGrid w:val="0"/>
              <w:spacing w:line="360" w:lineRule="auto"/>
              <w:ind w:right="-105" w:rightChars="-50"/>
              <w:jc w:val="right"/>
              <w:rPr>
                <w:kern w:val="0"/>
                <w:sz w:val="24"/>
                <w:szCs w:val="24"/>
                <w:highlight w:val="none"/>
              </w:rPr>
            </w:pPr>
            <w:r>
              <w:rPr>
                <w:position w:val="-10"/>
                <w:sz w:val="24"/>
                <w:szCs w:val="24"/>
                <w:highlight w:val="none"/>
              </w:rPr>
              <w:object>
                <v:shape id="_x0000_i1031" o:spt="75" type="#_x0000_t75" style="height:16pt;width:13pt;" o:ole="t" filled="f" o:preferrelative="t" stroked="f" coordsize="21600,21600">
                  <v:path/>
                  <v:fill on="f" focussize="0,0"/>
                  <v:stroke on="f" joinstyle="miter"/>
                  <v:imagedata r:id="rId22" o:title=""/>
                  <o:lock v:ext="edit" aspectratio="t"/>
                  <w10:wrap type="none"/>
                  <w10:anchorlock/>
                </v:shape>
                <o:OLEObject Type="Embed" ProgID="Equation.DSMT4" ShapeID="_x0000_i1031" DrawAspect="Content" ObjectID="_1468075730" r:id="rId21">
                  <o:LockedField>false</o:LockedField>
                </o:OLEObject>
              </w:object>
            </w:r>
            <w:r>
              <w:rPr>
                <w:kern w:val="0"/>
                <w:sz w:val="24"/>
                <w:szCs w:val="24"/>
                <w:highlight w:val="none"/>
              </w:rPr>
              <w:t>——</w:t>
            </w:r>
          </w:p>
        </w:tc>
        <w:tc>
          <w:tcPr>
            <w:tcW w:w="8486" w:type="dxa"/>
            <w:vAlign w:val="center"/>
          </w:tcPr>
          <w:p>
            <w:pPr>
              <w:adjustRightInd w:val="0"/>
              <w:snapToGrid w:val="0"/>
              <w:spacing w:line="360" w:lineRule="auto"/>
              <w:rPr>
                <w:kern w:val="0"/>
                <w:sz w:val="24"/>
                <w:szCs w:val="24"/>
                <w:highlight w:val="none"/>
              </w:rPr>
            </w:pPr>
            <w:bookmarkStart w:id="199" w:name="_Toc25070317"/>
            <w:bookmarkStart w:id="200" w:name="_Toc519683843"/>
            <w:bookmarkStart w:id="201" w:name="_Toc515893907"/>
            <w:bookmarkStart w:id="202" w:name="_Toc25690577"/>
            <w:bookmarkStart w:id="203" w:name="_Toc25690848"/>
            <w:bookmarkStart w:id="204" w:name="_Toc19545201"/>
            <w:bookmarkStart w:id="205" w:name="_Toc519684026"/>
            <w:bookmarkStart w:id="206" w:name="_Toc19545471"/>
            <w:bookmarkStart w:id="207" w:name="_Toc25070619"/>
            <w:bookmarkStart w:id="208" w:name="_Toc515087702"/>
            <w:r>
              <w:rPr>
                <w:kern w:val="0"/>
                <w:sz w:val="24"/>
                <w:szCs w:val="24"/>
                <w:highlight w:val="none"/>
              </w:rPr>
              <w:t>高延性混凝土轴心抗压强度设计值（N/mm</w:t>
            </w:r>
            <w:r>
              <w:rPr>
                <w:kern w:val="0"/>
                <w:sz w:val="24"/>
                <w:szCs w:val="24"/>
                <w:highlight w:val="none"/>
                <w:vertAlign w:val="superscript"/>
              </w:rPr>
              <w:t>2</w:t>
            </w:r>
            <w:r>
              <w:rPr>
                <w:kern w:val="0"/>
                <w:sz w:val="24"/>
                <w:szCs w:val="24"/>
                <w:highlight w:val="none"/>
              </w:rPr>
              <w:t>）；</w:t>
            </w:r>
            <w:bookmarkEnd w:id="199"/>
            <w:bookmarkEnd w:id="200"/>
            <w:bookmarkEnd w:id="201"/>
            <w:bookmarkEnd w:id="202"/>
            <w:bookmarkEnd w:id="203"/>
            <w:bookmarkEnd w:id="204"/>
            <w:bookmarkEnd w:id="205"/>
            <w:bookmarkEnd w:id="206"/>
            <w:bookmarkEnd w:id="207"/>
            <w:bookmarkEnd w:id="208"/>
          </w:p>
        </w:tc>
      </w:tr>
      <w:tr>
        <w:tblPrEx>
          <w:tblCellMar>
            <w:top w:w="0" w:type="dxa"/>
            <w:left w:w="108" w:type="dxa"/>
            <w:bottom w:w="0" w:type="dxa"/>
            <w:right w:w="108" w:type="dxa"/>
          </w:tblCellMar>
        </w:tblPrEx>
        <w:tc>
          <w:tcPr>
            <w:tcW w:w="1384" w:type="dxa"/>
          </w:tcPr>
          <w:p>
            <w:pPr>
              <w:tabs>
                <w:tab w:val="left" w:pos="2565"/>
              </w:tabs>
              <w:adjustRightInd w:val="0"/>
              <w:snapToGrid w:val="0"/>
              <w:spacing w:line="360" w:lineRule="auto"/>
              <w:ind w:right="-105" w:rightChars="-50"/>
              <w:jc w:val="right"/>
              <w:rPr>
                <w:kern w:val="0"/>
                <w:sz w:val="24"/>
                <w:szCs w:val="24"/>
                <w:highlight w:val="none"/>
              </w:rPr>
            </w:pPr>
            <w:r>
              <w:rPr>
                <w:position w:val="-12"/>
                <w:sz w:val="24"/>
                <w:szCs w:val="24"/>
                <w:highlight w:val="none"/>
              </w:rPr>
              <w:object>
                <v:shape id="_x0000_i1032" o:spt="75" type="#_x0000_t75" style="height:17pt;width:15pt;" o:ole="t" filled="f" o:preferrelative="t" stroked="f" coordsize="21600,21600">
                  <v:path/>
                  <v:fill on="f" focussize="0,0"/>
                  <v:stroke on="f" joinstyle="miter"/>
                  <v:imagedata r:id="rId24" o:title=""/>
                  <o:lock v:ext="edit" aspectratio="t"/>
                  <w10:wrap type="none"/>
                  <w10:anchorlock/>
                </v:shape>
                <o:OLEObject Type="Embed" ProgID="Equation.DSMT4" ShapeID="_x0000_i1032" DrawAspect="Content" ObjectID="_1468075731" r:id="rId23">
                  <o:LockedField>false</o:LockedField>
                </o:OLEObject>
              </w:object>
            </w:r>
            <w:r>
              <w:rPr>
                <w:kern w:val="0"/>
                <w:sz w:val="24"/>
                <w:szCs w:val="24"/>
                <w:highlight w:val="none"/>
              </w:rPr>
              <w:t>——</w:t>
            </w:r>
          </w:p>
        </w:tc>
        <w:tc>
          <w:tcPr>
            <w:tcW w:w="8486" w:type="dxa"/>
            <w:vAlign w:val="center"/>
          </w:tcPr>
          <w:p>
            <w:pPr>
              <w:adjustRightInd w:val="0"/>
              <w:snapToGrid w:val="0"/>
              <w:spacing w:line="360" w:lineRule="auto"/>
              <w:rPr>
                <w:kern w:val="0"/>
                <w:sz w:val="24"/>
                <w:szCs w:val="24"/>
                <w:highlight w:val="none"/>
              </w:rPr>
            </w:pPr>
            <w:bookmarkStart w:id="209" w:name="_Toc515087705"/>
            <w:bookmarkStart w:id="210" w:name="_Toc25690849"/>
            <w:bookmarkStart w:id="211" w:name="_Toc25070620"/>
            <w:bookmarkStart w:id="212" w:name="_Toc19545202"/>
            <w:bookmarkStart w:id="213" w:name="_Toc515893910"/>
            <w:bookmarkStart w:id="214" w:name="_Toc19545472"/>
            <w:bookmarkStart w:id="215" w:name="_Toc519683844"/>
            <w:bookmarkStart w:id="216" w:name="_Toc519684027"/>
            <w:bookmarkStart w:id="217" w:name="_Toc25690578"/>
            <w:bookmarkStart w:id="218" w:name="_Toc25070318"/>
            <w:r>
              <w:rPr>
                <w:kern w:val="0"/>
                <w:sz w:val="24"/>
                <w:szCs w:val="24"/>
                <w:highlight w:val="none"/>
              </w:rPr>
              <w:t>高延性混凝土轴心抗拉强度设计值（N/mm</w:t>
            </w:r>
            <w:r>
              <w:rPr>
                <w:kern w:val="0"/>
                <w:sz w:val="24"/>
                <w:szCs w:val="24"/>
                <w:highlight w:val="none"/>
                <w:vertAlign w:val="superscript"/>
              </w:rPr>
              <w:t>2</w:t>
            </w:r>
            <w:r>
              <w:rPr>
                <w:kern w:val="0"/>
                <w:sz w:val="24"/>
                <w:szCs w:val="24"/>
                <w:highlight w:val="none"/>
              </w:rPr>
              <w:t>）；</w:t>
            </w:r>
            <w:bookmarkEnd w:id="209"/>
            <w:bookmarkEnd w:id="210"/>
            <w:bookmarkEnd w:id="211"/>
            <w:bookmarkEnd w:id="212"/>
            <w:bookmarkEnd w:id="213"/>
            <w:bookmarkEnd w:id="214"/>
            <w:bookmarkEnd w:id="215"/>
            <w:bookmarkEnd w:id="216"/>
            <w:bookmarkEnd w:id="217"/>
            <w:bookmarkEnd w:id="218"/>
          </w:p>
        </w:tc>
      </w:tr>
      <w:tr>
        <w:tblPrEx>
          <w:tblCellMar>
            <w:top w:w="0" w:type="dxa"/>
            <w:left w:w="108" w:type="dxa"/>
            <w:bottom w:w="0" w:type="dxa"/>
            <w:right w:w="108" w:type="dxa"/>
          </w:tblCellMar>
        </w:tblPrEx>
        <w:tc>
          <w:tcPr>
            <w:tcW w:w="1384" w:type="dxa"/>
          </w:tcPr>
          <w:p>
            <w:pPr>
              <w:tabs>
                <w:tab w:val="left" w:pos="2565"/>
              </w:tabs>
              <w:adjustRightInd w:val="0"/>
              <w:snapToGrid w:val="0"/>
              <w:spacing w:line="360" w:lineRule="auto"/>
              <w:ind w:right="-105" w:rightChars="-50"/>
              <w:jc w:val="right"/>
              <w:rPr>
                <w:kern w:val="0"/>
                <w:sz w:val="24"/>
                <w:szCs w:val="24"/>
                <w:highlight w:val="none"/>
              </w:rPr>
            </w:pPr>
            <w:r>
              <w:rPr>
                <w:position w:val="-12"/>
                <w:sz w:val="24"/>
                <w:szCs w:val="24"/>
                <w:highlight w:val="none"/>
              </w:rPr>
              <w:object>
                <v:shape id="_x0000_i1033" o:spt="75" type="#_x0000_t75" style="height:17pt;width:15pt;" o:ole="t" filled="f" o:preferrelative="t" stroked="f" coordsize="21600,21600">
                  <v:path/>
                  <v:fill on="f" focussize="0,0"/>
                  <v:stroke on="f" joinstyle="miter"/>
                  <v:imagedata r:id="rId26" o:title=""/>
                  <o:lock v:ext="edit" aspectratio="t"/>
                  <w10:wrap type="none"/>
                  <w10:anchorlock/>
                </v:shape>
                <o:OLEObject Type="Embed" ProgID="Equation.DSMT4" ShapeID="_x0000_i1033" DrawAspect="Content" ObjectID="_1468075732" r:id="rId25">
                  <o:LockedField>false</o:LockedField>
                </o:OLEObject>
              </w:object>
            </w:r>
            <w:r>
              <w:rPr>
                <w:kern w:val="0"/>
                <w:sz w:val="24"/>
                <w:szCs w:val="24"/>
                <w:highlight w:val="none"/>
              </w:rPr>
              <w:t>——</w:t>
            </w:r>
          </w:p>
        </w:tc>
        <w:tc>
          <w:tcPr>
            <w:tcW w:w="8486" w:type="dxa"/>
            <w:vAlign w:val="center"/>
          </w:tcPr>
          <w:p>
            <w:pPr>
              <w:adjustRightInd w:val="0"/>
              <w:snapToGrid w:val="0"/>
              <w:spacing w:line="360" w:lineRule="auto"/>
              <w:rPr>
                <w:kern w:val="0"/>
                <w:sz w:val="24"/>
                <w:szCs w:val="24"/>
                <w:highlight w:val="none"/>
              </w:rPr>
            </w:pPr>
            <w:bookmarkStart w:id="219" w:name="_Toc19545203"/>
            <w:bookmarkStart w:id="220" w:name="_Toc25070621"/>
            <w:bookmarkStart w:id="221" w:name="_Toc515893903"/>
            <w:bookmarkStart w:id="222" w:name="_Toc25690850"/>
            <w:bookmarkStart w:id="223" w:name="_Toc515087698"/>
            <w:bookmarkStart w:id="224" w:name="_Toc25070319"/>
            <w:bookmarkStart w:id="225" w:name="_Toc25690579"/>
            <w:bookmarkStart w:id="226" w:name="_Toc519684028"/>
            <w:bookmarkStart w:id="227" w:name="_Toc519683845"/>
            <w:bookmarkStart w:id="228" w:name="_Toc19545473"/>
            <w:r>
              <w:rPr>
                <w:kern w:val="0"/>
                <w:sz w:val="24"/>
                <w:szCs w:val="24"/>
                <w:highlight w:val="none"/>
              </w:rPr>
              <w:t>高延性混凝土的</w:t>
            </w:r>
            <w:r>
              <w:rPr>
                <w:rFonts w:hint="eastAsia"/>
                <w:kern w:val="0"/>
                <w:sz w:val="24"/>
                <w:szCs w:val="24"/>
                <w:highlight w:val="none"/>
              </w:rPr>
              <w:t>受压</w:t>
            </w:r>
            <w:r>
              <w:rPr>
                <w:kern w:val="0"/>
                <w:sz w:val="24"/>
                <w:szCs w:val="24"/>
                <w:highlight w:val="none"/>
              </w:rPr>
              <w:t>弹性模量（N/mm</w:t>
            </w:r>
            <w:r>
              <w:rPr>
                <w:kern w:val="0"/>
                <w:sz w:val="24"/>
                <w:szCs w:val="24"/>
                <w:highlight w:val="none"/>
                <w:vertAlign w:val="superscript"/>
              </w:rPr>
              <w:t>2</w:t>
            </w:r>
            <w:r>
              <w:rPr>
                <w:kern w:val="0"/>
                <w:sz w:val="24"/>
                <w:szCs w:val="24"/>
                <w:highlight w:val="none"/>
              </w:rPr>
              <w:t>）；</w:t>
            </w:r>
            <w:bookmarkEnd w:id="219"/>
            <w:bookmarkEnd w:id="220"/>
            <w:bookmarkEnd w:id="221"/>
            <w:bookmarkEnd w:id="222"/>
            <w:bookmarkEnd w:id="223"/>
            <w:bookmarkEnd w:id="224"/>
            <w:bookmarkEnd w:id="225"/>
            <w:bookmarkEnd w:id="226"/>
            <w:bookmarkEnd w:id="227"/>
            <w:bookmarkEnd w:id="228"/>
          </w:p>
        </w:tc>
      </w:tr>
      <w:tr>
        <w:tblPrEx>
          <w:tblCellMar>
            <w:top w:w="0" w:type="dxa"/>
            <w:left w:w="108" w:type="dxa"/>
            <w:bottom w:w="0" w:type="dxa"/>
            <w:right w:w="108" w:type="dxa"/>
          </w:tblCellMar>
        </w:tblPrEx>
        <w:tc>
          <w:tcPr>
            <w:tcW w:w="1384" w:type="dxa"/>
          </w:tcPr>
          <w:p>
            <w:pPr>
              <w:tabs>
                <w:tab w:val="left" w:pos="2565"/>
              </w:tabs>
              <w:adjustRightInd w:val="0"/>
              <w:snapToGrid w:val="0"/>
              <w:spacing w:line="360" w:lineRule="auto"/>
              <w:ind w:right="-105" w:rightChars="-50"/>
              <w:jc w:val="right"/>
              <w:rPr>
                <w:kern w:val="0"/>
                <w:sz w:val="24"/>
                <w:szCs w:val="24"/>
                <w:highlight w:val="none"/>
              </w:rPr>
            </w:pPr>
            <w:r>
              <w:rPr>
                <w:position w:val="-10"/>
                <w:sz w:val="24"/>
                <w:szCs w:val="24"/>
                <w:highlight w:val="none"/>
              </w:rPr>
              <w:object>
                <v:shape id="_x0000_i1034" o:spt="75" type="#_x0000_t75" style="height:16pt;width:18pt;" o:ole="t" filled="f" o:preferrelative="t" stroked="f" coordsize="21600,21600">
                  <v:path/>
                  <v:fill on="f" focussize="0,0"/>
                  <v:stroke on="f" joinstyle="miter"/>
                  <v:imagedata r:id="rId28" o:title=""/>
                  <o:lock v:ext="edit" aspectratio="t"/>
                  <w10:wrap type="none"/>
                  <w10:anchorlock/>
                </v:shape>
                <o:OLEObject Type="Embed" ProgID="Equation.DSMT4" ShapeID="_x0000_i1034" DrawAspect="Content" ObjectID="_1468075733" r:id="rId27">
                  <o:LockedField>false</o:LockedField>
                </o:OLEObject>
              </w:object>
            </w:r>
            <w:r>
              <w:rPr>
                <w:kern w:val="0"/>
                <w:sz w:val="24"/>
                <w:szCs w:val="24"/>
                <w:highlight w:val="none"/>
              </w:rPr>
              <w:t>——</w:t>
            </w:r>
          </w:p>
        </w:tc>
        <w:tc>
          <w:tcPr>
            <w:tcW w:w="8486" w:type="dxa"/>
            <w:vAlign w:val="center"/>
          </w:tcPr>
          <w:p>
            <w:pPr>
              <w:adjustRightInd w:val="0"/>
              <w:snapToGrid w:val="0"/>
              <w:spacing w:line="360" w:lineRule="auto"/>
              <w:rPr>
                <w:kern w:val="0"/>
                <w:sz w:val="24"/>
                <w:szCs w:val="24"/>
                <w:highlight w:val="none"/>
              </w:rPr>
            </w:pPr>
            <w:bookmarkStart w:id="229" w:name="_Toc25070622"/>
            <w:bookmarkStart w:id="230" w:name="_Toc25690851"/>
            <w:bookmarkStart w:id="231" w:name="_Toc19545204"/>
            <w:bookmarkStart w:id="232" w:name="_Toc25070320"/>
            <w:bookmarkStart w:id="233" w:name="_Toc19545474"/>
            <w:bookmarkStart w:id="234" w:name="_Toc25690580"/>
            <w:r>
              <w:rPr>
                <w:kern w:val="0"/>
                <w:sz w:val="24"/>
                <w:szCs w:val="24"/>
                <w:highlight w:val="none"/>
              </w:rPr>
              <w:t>原构件砌体抗压强度设计值（N/mm</w:t>
            </w:r>
            <w:r>
              <w:rPr>
                <w:kern w:val="0"/>
                <w:sz w:val="24"/>
                <w:szCs w:val="24"/>
                <w:highlight w:val="none"/>
                <w:vertAlign w:val="superscript"/>
              </w:rPr>
              <w:t>2</w:t>
            </w:r>
            <w:r>
              <w:rPr>
                <w:kern w:val="0"/>
                <w:sz w:val="24"/>
                <w:szCs w:val="24"/>
                <w:highlight w:val="none"/>
              </w:rPr>
              <w:t>）</w:t>
            </w:r>
            <w:bookmarkEnd w:id="229"/>
            <w:bookmarkEnd w:id="230"/>
            <w:bookmarkEnd w:id="231"/>
            <w:bookmarkEnd w:id="232"/>
            <w:bookmarkEnd w:id="233"/>
            <w:bookmarkEnd w:id="234"/>
            <w:r>
              <w:rPr>
                <w:kern w:val="0"/>
                <w:sz w:val="24"/>
                <w:szCs w:val="24"/>
                <w:highlight w:val="none"/>
              </w:rPr>
              <w:t>。</w:t>
            </w:r>
          </w:p>
        </w:tc>
      </w:tr>
    </w:tbl>
    <w:p>
      <w:pPr>
        <w:spacing w:after="120" w:afterLines="50" w:line="312" w:lineRule="auto"/>
        <w:rPr>
          <w:sz w:val="24"/>
          <w:szCs w:val="24"/>
          <w:highlight w:val="none"/>
        </w:rPr>
      </w:pPr>
      <w:r>
        <w:rPr>
          <w:b/>
          <w:sz w:val="24"/>
          <w:szCs w:val="24"/>
          <w:highlight w:val="none"/>
        </w:rPr>
        <w:t>2.2.2</w:t>
      </w:r>
      <w:r>
        <w:rPr>
          <w:sz w:val="24"/>
          <w:szCs w:val="24"/>
          <w:highlight w:val="none"/>
        </w:rPr>
        <w:t xml:space="preserve">  抗力和作用效应</w:t>
      </w:r>
    </w:p>
    <w:tbl>
      <w:tblPr>
        <w:tblStyle w:val="23"/>
        <w:tblW w:w="0" w:type="auto"/>
        <w:tblInd w:w="0" w:type="dxa"/>
        <w:tblLayout w:type="fixed"/>
        <w:tblCellMar>
          <w:top w:w="0" w:type="dxa"/>
          <w:left w:w="108" w:type="dxa"/>
          <w:bottom w:w="0" w:type="dxa"/>
          <w:right w:w="108" w:type="dxa"/>
        </w:tblCellMar>
      </w:tblPr>
      <w:tblGrid>
        <w:gridCol w:w="1384"/>
        <w:gridCol w:w="8498"/>
      </w:tblGrid>
      <w:tr>
        <w:tc>
          <w:tcPr>
            <w:tcW w:w="1384" w:type="dxa"/>
          </w:tcPr>
          <w:p>
            <w:pPr>
              <w:tabs>
                <w:tab w:val="left" w:pos="2565"/>
              </w:tabs>
              <w:adjustRightInd w:val="0"/>
              <w:snapToGrid w:val="0"/>
              <w:spacing w:line="360" w:lineRule="auto"/>
              <w:ind w:right="-105" w:rightChars="-50"/>
              <w:jc w:val="right"/>
              <w:rPr>
                <w:sz w:val="24"/>
                <w:szCs w:val="24"/>
                <w:highlight w:val="none"/>
              </w:rPr>
            </w:pPr>
            <w:r>
              <w:rPr>
                <w:position w:val="-12"/>
                <w:sz w:val="24"/>
                <w:szCs w:val="24"/>
                <w:highlight w:val="none"/>
              </w:rPr>
              <w:object>
                <v:shape id="_x0000_i1035" o:spt="75" type="#_x0000_t75" style="height:17pt;width:13pt;" o:ole="t" filled="f" o:preferrelative="t" stroked="f" coordsize="21600,21600">
                  <v:path/>
                  <v:fill on="f" focussize="0,0"/>
                  <v:stroke on="f" joinstyle="miter"/>
                  <v:imagedata r:id="rId30" o:title=""/>
                  <o:lock v:ext="edit" aspectratio="t"/>
                  <w10:wrap type="none"/>
                  <w10:anchorlock/>
                </v:shape>
                <o:OLEObject Type="Embed" ProgID="Equation.DSMT4" ShapeID="_x0000_i1035" DrawAspect="Content" ObjectID="_1468075734" r:id="rId29">
                  <o:LockedField>false</o:LockedField>
                </o:OLEObject>
              </w:object>
            </w:r>
            <w:r>
              <w:rPr>
                <w:sz w:val="24"/>
                <w:szCs w:val="24"/>
                <w:highlight w:val="none"/>
              </w:rPr>
              <w:t>——</w:t>
            </w:r>
          </w:p>
        </w:tc>
        <w:tc>
          <w:tcPr>
            <w:tcW w:w="8498" w:type="dxa"/>
            <w:vAlign w:val="center"/>
          </w:tcPr>
          <w:p>
            <w:pPr>
              <w:tabs>
                <w:tab w:val="left" w:pos="2565"/>
              </w:tabs>
              <w:adjustRightInd w:val="0"/>
              <w:snapToGrid w:val="0"/>
              <w:spacing w:line="360" w:lineRule="auto"/>
              <w:ind w:right="-105" w:rightChars="-50"/>
              <w:rPr>
                <w:sz w:val="24"/>
                <w:szCs w:val="24"/>
                <w:highlight w:val="none"/>
              </w:rPr>
            </w:pPr>
            <w:bookmarkStart w:id="235" w:name="_Toc515087703"/>
            <w:bookmarkStart w:id="236" w:name="_Toc519684032"/>
            <w:bookmarkStart w:id="237" w:name="_Toc515893908"/>
            <w:bookmarkStart w:id="238" w:name="_Toc519683849"/>
            <w:r>
              <w:rPr>
                <w:sz w:val="24"/>
                <w:szCs w:val="24"/>
                <w:highlight w:val="none"/>
              </w:rPr>
              <w:t>采用高延性混凝土面层加固后构件提高的受剪承载力（N）；</w:t>
            </w:r>
            <w:bookmarkEnd w:id="235"/>
            <w:bookmarkEnd w:id="236"/>
            <w:bookmarkEnd w:id="237"/>
            <w:bookmarkEnd w:id="238"/>
          </w:p>
        </w:tc>
      </w:tr>
      <w:tr>
        <w:tblPrEx>
          <w:tblCellMar>
            <w:top w:w="0" w:type="dxa"/>
            <w:left w:w="108" w:type="dxa"/>
            <w:bottom w:w="0" w:type="dxa"/>
            <w:right w:w="108" w:type="dxa"/>
          </w:tblCellMar>
        </w:tblPrEx>
        <w:tc>
          <w:tcPr>
            <w:tcW w:w="1384" w:type="dxa"/>
          </w:tcPr>
          <w:p>
            <w:pPr>
              <w:tabs>
                <w:tab w:val="left" w:pos="2565"/>
              </w:tabs>
              <w:adjustRightInd w:val="0"/>
              <w:snapToGrid w:val="0"/>
              <w:spacing w:line="360" w:lineRule="auto"/>
              <w:ind w:right="-105" w:rightChars="-50"/>
              <w:jc w:val="right"/>
              <w:rPr>
                <w:sz w:val="24"/>
                <w:szCs w:val="24"/>
                <w:highlight w:val="none"/>
              </w:rPr>
            </w:pPr>
            <w:r>
              <w:rPr>
                <w:position w:val="-12"/>
                <w:sz w:val="24"/>
                <w:szCs w:val="24"/>
                <w:highlight w:val="none"/>
              </w:rPr>
              <w:object>
                <v:shape id="_x0000_i1036" o:spt="75" type="#_x0000_t75" style="height:17pt;width:12pt;" o:ole="t" filled="f" o:preferrelative="t" stroked="f" coordsize="21600,21600">
                  <v:path/>
                  <v:fill on="f" focussize="0,0"/>
                  <v:stroke on="f" joinstyle="miter"/>
                  <v:imagedata r:id="rId32" o:title=""/>
                  <o:lock v:ext="edit" aspectratio="t"/>
                  <w10:wrap type="none"/>
                  <w10:anchorlock/>
                </v:shape>
                <o:OLEObject Type="Embed" ProgID="Equation.DSMT4" ShapeID="_x0000_i1036" DrawAspect="Content" ObjectID="_1468075735" r:id="rId31">
                  <o:LockedField>false</o:LockedField>
                </o:OLEObject>
              </w:object>
            </w:r>
            <w:r>
              <w:rPr>
                <w:sz w:val="24"/>
                <w:szCs w:val="24"/>
                <w:highlight w:val="none"/>
              </w:rPr>
              <w:t>——</w:t>
            </w:r>
          </w:p>
        </w:tc>
        <w:tc>
          <w:tcPr>
            <w:tcW w:w="8498" w:type="dxa"/>
            <w:vAlign w:val="center"/>
          </w:tcPr>
          <w:p>
            <w:pPr>
              <w:tabs>
                <w:tab w:val="left" w:pos="2565"/>
              </w:tabs>
              <w:adjustRightInd w:val="0"/>
              <w:snapToGrid w:val="0"/>
              <w:spacing w:line="360" w:lineRule="auto"/>
              <w:ind w:right="-105" w:rightChars="-50"/>
              <w:rPr>
                <w:sz w:val="24"/>
                <w:szCs w:val="24"/>
                <w:highlight w:val="none"/>
              </w:rPr>
            </w:pPr>
            <w:bookmarkStart w:id="239" w:name="_Toc515893909"/>
            <w:bookmarkStart w:id="240" w:name="_Toc515087704"/>
            <w:bookmarkStart w:id="241" w:name="_Toc519684033"/>
            <w:bookmarkStart w:id="242" w:name="_Toc519683850"/>
            <w:r>
              <w:rPr>
                <w:sz w:val="24"/>
                <w:szCs w:val="24"/>
                <w:highlight w:val="none"/>
              </w:rPr>
              <w:t>墙体采用配筋面层加固后，水平方向钢筋承担的剪力（N）；</w:t>
            </w:r>
            <w:bookmarkEnd w:id="239"/>
            <w:bookmarkEnd w:id="240"/>
            <w:bookmarkEnd w:id="241"/>
            <w:bookmarkEnd w:id="242"/>
          </w:p>
        </w:tc>
      </w:tr>
      <w:tr>
        <w:tblPrEx>
          <w:tblCellMar>
            <w:top w:w="0" w:type="dxa"/>
            <w:left w:w="108" w:type="dxa"/>
            <w:bottom w:w="0" w:type="dxa"/>
            <w:right w:w="108" w:type="dxa"/>
          </w:tblCellMar>
        </w:tblPrEx>
        <w:tc>
          <w:tcPr>
            <w:tcW w:w="1384" w:type="dxa"/>
          </w:tcPr>
          <w:p>
            <w:pPr>
              <w:tabs>
                <w:tab w:val="left" w:pos="2565"/>
              </w:tabs>
              <w:adjustRightInd w:val="0"/>
              <w:snapToGrid w:val="0"/>
              <w:spacing w:line="360" w:lineRule="auto"/>
              <w:ind w:right="-105" w:rightChars="-50"/>
              <w:jc w:val="right"/>
              <w:rPr>
                <w:sz w:val="24"/>
                <w:szCs w:val="24"/>
                <w:highlight w:val="none"/>
              </w:rPr>
            </w:pPr>
            <w:r>
              <w:rPr>
                <w:position w:val="-10"/>
                <w:sz w:val="24"/>
                <w:szCs w:val="24"/>
                <w:highlight w:val="none"/>
              </w:rPr>
              <w:object>
                <v:shape id="_x0000_i1037" o:spt="75" type="#_x0000_t75" style="height:16pt;width:13pt;" o:ole="t" filled="f" o:preferrelative="t" stroked="f" coordsize="21600,21600">
                  <v:path/>
                  <v:fill on="f" focussize="0,0"/>
                  <v:stroke on="f" joinstyle="miter"/>
                  <v:imagedata r:id="rId34" o:title=""/>
                  <o:lock v:ext="edit" aspectratio="t"/>
                  <w10:wrap type="none"/>
                  <w10:anchorlock/>
                </v:shape>
                <o:OLEObject Type="Embed" ProgID="Equation.DSMT4" ShapeID="_x0000_i1037" DrawAspect="Content" ObjectID="_1468075736" r:id="rId33">
                  <o:LockedField>false</o:LockedField>
                </o:OLEObject>
              </w:object>
            </w:r>
            <w:r>
              <w:rPr>
                <w:sz w:val="24"/>
                <w:szCs w:val="24"/>
                <w:highlight w:val="none"/>
              </w:rPr>
              <w:t>——</w:t>
            </w:r>
          </w:p>
        </w:tc>
        <w:tc>
          <w:tcPr>
            <w:tcW w:w="8498" w:type="dxa"/>
            <w:vAlign w:val="center"/>
          </w:tcPr>
          <w:p>
            <w:pPr>
              <w:tabs>
                <w:tab w:val="left" w:pos="2565"/>
              </w:tabs>
              <w:adjustRightInd w:val="0"/>
              <w:snapToGrid w:val="0"/>
              <w:spacing w:line="360" w:lineRule="auto"/>
              <w:ind w:right="-105" w:rightChars="-50"/>
              <w:rPr>
                <w:sz w:val="24"/>
                <w:szCs w:val="24"/>
                <w:highlight w:val="none"/>
              </w:rPr>
            </w:pPr>
            <w:bookmarkStart w:id="243" w:name="_Toc519684034"/>
            <w:bookmarkStart w:id="244" w:name="_Toc515893911"/>
            <w:bookmarkStart w:id="245" w:name="_Toc519683851"/>
            <w:bookmarkStart w:id="246" w:name="_Toc515087706"/>
            <w:r>
              <w:rPr>
                <w:sz w:val="24"/>
                <w:szCs w:val="24"/>
                <w:highlight w:val="none"/>
              </w:rPr>
              <w:t>考虑地震组合的墙体剪力设计值（N）；</w:t>
            </w:r>
            <w:bookmarkEnd w:id="243"/>
            <w:bookmarkEnd w:id="244"/>
            <w:bookmarkEnd w:id="245"/>
            <w:bookmarkEnd w:id="246"/>
          </w:p>
        </w:tc>
      </w:tr>
      <w:tr>
        <w:tblPrEx>
          <w:tblCellMar>
            <w:top w:w="0" w:type="dxa"/>
            <w:left w:w="108" w:type="dxa"/>
            <w:bottom w:w="0" w:type="dxa"/>
            <w:right w:w="108" w:type="dxa"/>
          </w:tblCellMar>
        </w:tblPrEx>
        <w:tc>
          <w:tcPr>
            <w:tcW w:w="1384" w:type="dxa"/>
          </w:tcPr>
          <w:p>
            <w:pPr>
              <w:tabs>
                <w:tab w:val="left" w:pos="2565"/>
              </w:tabs>
              <w:adjustRightInd w:val="0"/>
              <w:snapToGrid w:val="0"/>
              <w:spacing w:line="360" w:lineRule="auto"/>
              <w:ind w:right="-105" w:rightChars="-50"/>
              <w:jc w:val="right"/>
              <w:rPr>
                <w:sz w:val="24"/>
                <w:szCs w:val="24"/>
                <w:highlight w:val="none"/>
              </w:rPr>
            </w:pPr>
            <w:r>
              <w:rPr>
                <w:position w:val="-10"/>
                <w:sz w:val="24"/>
                <w:szCs w:val="24"/>
                <w:highlight w:val="none"/>
              </w:rPr>
              <w:object>
                <v:shape id="_x0000_i1038" o:spt="75" type="#_x0000_t75" style="height:15pt;width:18pt;" o:ole="t" filled="f" o:preferrelative="t" stroked="f" coordsize="21600,21600">
                  <v:path/>
                  <v:fill on="f" focussize="0,0"/>
                  <v:stroke on="f" joinstyle="miter"/>
                  <v:imagedata r:id="rId36" o:title=""/>
                  <o:lock v:ext="edit" aspectratio="t"/>
                  <w10:wrap type="none"/>
                  <w10:anchorlock/>
                </v:shape>
                <o:OLEObject Type="Embed" ProgID="Equation.DSMT4" ShapeID="_x0000_i1038" DrawAspect="Content" ObjectID="_1468075737" r:id="rId35">
                  <o:LockedField>false</o:LockedField>
                </o:OLEObject>
              </w:object>
            </w:r>
            <w:r>
              <w:rPr>
                <w:sz w:val="24"/>
                <w:szCs w:val="24"/>
                <w:highlight w:val="none"/>
              </w:rPr>
              <w:t>——</w:t>
            </w:r>
          </w:p>
        </w:tc>
        <w:tc>
          <w:tcPr>
            <w:tcW w:w="8498" w:type="dxa"/>
            <w:vAlign w:val="center"/>
          </w:tcPr>
          <w:p>
            <w:pPr>
              <w:tabs>
                <w:tab w:val="left" w:pos="2565"/>
              </w:tabs>
              <w:adjustRightInd w:val="0"/>
              <w:snapToGrid w:val="0"/>
              <w:spacing w:line="360" w:lineRule="auto"/>
              <w:ind w:right="-105" w:rightChars="-50"/>
              <w:rPr>
                <w:sz w:val="24"/>
                <w:szCs w:val="24"/>
                <w:highlight w:val="none"/>
              </w:rPr>
            </w:pPr>
            <w:bookmarkStart w:id="247" w:name="_Toc519683852"/>
            <w:bookmarkStart w:id="248" w:name="_Toc515087707"/>
            <w:bookmarkStart w:id="249" w:name="_Toc515893912"/>
            <w:bookmarkStart w:id="250" w:name="_Toc519684035"/>
            <w:r>
              <w:rPr>
                <w:sz w:val="24"/>
                <w:szCs w:val="24"/>
                <w:highlight w:val="none"/>
              </w:rPr>
              <w:t>原</w:t>
            </w:r>
            <w:r>
              <w:rPr>
                <w:rFonts w:hint="eastAsia"/>
                <w:sz w:val="24"/>
                <w:szCs w:val="24"/>
                <w:highlight w:val="none"/>
              </w:rPr>
              <w:t>砌体</w:t>
            </w:r>
            <w:r>
              <w:rPr>
                <w:sz w:val="24"/>
                <w:szCs w:val="24"/>
                <w:highlight w:val="none"/>
              </w:rPr>
              <w:t>截面抗震受剪承载力（N）</w:t>
            </w:r>
            <w:bookmarkEnd w:id="247"/>
            <w:bookmarkEnd w:id="248"/>
            <w:bookmarkEnd w:id="249"/>
            <w:bookmarkEnd w:id="250"/>
            <w:r>
              <w:rPr>
                <w:sz w:val="24"/>
                <w:szCs w:val="24"/>
                <w:highlight w:val="none"/>
              </w:rPr>
              <w:t>。</w:t>
            </w:r>
          </w:p>
        </w:tc>
      </w:tr>
    </w:tbl>
    <w:p>
      <w:pPr>
        <w:spacing w:after="120" w:afterLines="50" w:line="312" w:lineRule="auto"/>
        <w:rPr>
          <w:sz w:val="24"/>
          <w:szCs w:val="24"/>
          <w:highlight w:val="none"/>
        </w:rPr>
      </w:pPr>
      <w:r>
        <w:rPr>
          <w:b/>
          <w:sz w:val="24"/>
          <w:szCs w:val="24"/>
          <w:highlight w:val="none"/>
        </w:rPr>
        <w:t xml:space="preserve">2.2.3 </w:t>
      </w:r>
      <w:r>
        <w:rPr>
          <w:sz w:val="24"/>
          <w:szCs w:val="24"/>
          <w:highlight w:val="none"/>
        </w:rPr>
        <w:t xml:space="preserve"> 计算系数</w:t>
      </w:r>
    </w:p>
    <w:tbl>
      <w:tblPr>
        <w:tblStyle w:val="23"/>
        <w:tblW w:w="0" w:type="auto"/>
        <w:tblInd w:w="0" w:type="dxa"/>
        <w:tblLayout w:type="fixed"/>
        <w:tblCellMar>
          <w:top w:w="0" w:type="dxa"/>
          <w:left w:w="108" w:type="dxa"/>
          <w:bottom w:w="0" w:type="dxa"/>
          <w:right w:w="108" w:type="dxa"/>
        </w:tblCellMar>
      </w:tblPr>
      <w:tblGrid>
        <w:gridCol w:w="1384"/>
        <w:gridCol w:w="8486"/>
      </w:tblGrid>
      <w:tr>
        <w:tblPrEx>
          <w:tblCellMar>
            <w:top w:w="0" w:type="dxa"/>
            <w:left w:w="108" w:type="dxa"/>
            <w:bottom w:w="0" w:type="dxa"/>
            <w:right w:w="108" w:type="dxa"/>
          </w:tblCellMar>
        </w:tblPrEx>
        <w:tc>
          <w:tcPr>
            <w:tcW w:w="1384" w:type="dxa"/>
          </w:tcPr>
          <w:p>
            <w:pPr>
              <w:tabs>
                <w:tab w:val="left" w:pos="2565"/>
              </w:tabs>
              <w:adjustRightInd w:val="0"/>
              <w:snapToGrid w:val="0"/>
              <w:spacing w:line="360" w:lineRule="auto"/>
              <w:ind w:right="-105" w:rightChars="-50"/>
              <w:jc w:val="right"/>
              <w:rPr>
                <w:sz w:val="24"/>
                <w:szCs w:val="24"/>
                <w:highlight w:val="none"/>
              </w:rPr>
            </w:pPr>
            <w:r>
              <w:rPr>
                <w:position w:val="-10"/>
                <w:sz w:val="24"/>
                <w:szCs w:val="24"/>
                <w:highlight w:val="none"/>
              </w:rPr>
              <w:object>
                <v:shape id="_x0000_i1039" o:spt="75" type="#_x0000_t75" style="height:16pt;width:21pt;" o:ole="t" filled="f" o:preferrelative="t" stroked="f" coordsize="21600,21600">
                  <v:path/>
                  <v:fill on="f" focussize="0,0"/>
                  <v:stroke on="f" joinstyle="miter"/>
                  <v:imagedata r:id="rId38" o:title=""/>
                  <o:lock v:ext="edit" aspectratio="t"/>
                  <w10:wrap type="none"/>
                  <w10:anchorlock/>
                </v:shape>
                <o:OLEObject Type="Embed" ProgID="Equation.DSMT4" ShapeID="_x0000_i1039" DrawAspect="Content" ObjectID="_1468075738" r:id="rId37">
                  <o:LockedField>false</o:LockedField>
                </o:OLEObject>
              </w:object>
            </w:r>
            <w:r>
              <w:rPr>
                <w:sz w:val="24"/>
                <w:szCs w:val="24"/>
                <w:highlight w:val="none"/>
              </w:rPr>
              <w:t>——</w:t>
            </w:r>
          </w:p>
        </w:tc>
        <w:tc>
          <w:tcPr>
            <w:tcW w:w="8486" w:type="dxa"/>
            <w:vAlign w:val="center"/>
          </w:tcPr>
          <w:p>
            <w:pPr>
              <w:tabs>
                <w:tab w:val="left" w:pos="2565"/>
              </w:tabs>
              <w:adjustRightInd w:val="0"/>
              <w:snapToGrid w:val="0"/>
              <w:spacing w:line="360" w:lineRule="auto"/>
              <w:ind w:right="-105" w:rightChars="-50"/>
              <w:rPr>
                <w:sz w:val="24"/>
                <w:szCs w:val="24"/>
                <w:highlight w:val="none"/>
              </w:rPr>
            </w:pPr>
            <w:bookmarkStart w:id="251" w:name="_Toc519683847"/>
            <w:bookmarkStart w:id="252" w:name="_Toc519684030"/>
            <w:bookmarkStart w:id="253" w:name="_Toc515893905"/>
            <w:bookmarkStart w:id="254" w:name="_Toc515087700"/>
            <w:r>
              <w:rPr>
                <w:sz w:val="24"/>
                <w:szCs w:val="24"/>
                <w:highlight w:val="none"/>
              </w:rPr>
              <w:t>轴心受压构件的稳定系数；</w:t>
            </w:r>
            <w:bookmarkEnd w:id="251"/>
            <w:bookmarkEnd w:id="252"/>
            <w:bookmarkEnd w:id="253"/>
            <w:bookmarkEnd w:id="254"/>
          </w:p>
        </w:tc>
      </w:tr>
      <w:tr>
        <w:tblPrEx>
          <w:tblCellMar>
            <w:top w:w="0" w:type="dxa"/>
            <w:left w:w="108" w:type="dxa"/>
            <w:bottom w:w="0" w:type="dxa"/>
            <w:right w:w="108" w:type="dxa"/>
          </w:tblCellMar>
        </w:tblPrEx>
        <w:tc>
          <w:tcPr>
            <w:tcW w:w="1384" w:type="dxa"/>
          </w:tcPr>
          <w:p>
            <w:pPr>
              <w:tabs>
                <w:tab w:val="left" w:pos="2565"/>
              </w:tabs>
              <w:adjustRightInd w:val="0"/>
              <w:snapToGrid w:val="0"/>
              <w:spacing w:line="360" w:lineRule="auto"/>
              <w:ind w:right="-105" w:rightChars="-50"/>
              <w:jc w:val="right"/>
              <w:rPr>
                <w:sz w:val="24"/>
                <w:szCs w:val="24"/>
                <w:highlight w:val="none"/>
              </w:rPr>
            </w:pPr>
            <w:r>
              <w:rPr>
                <w:position w:val="-10"/>
                <w:sz w:val="24"/>
                <w:szCs w:val="24"/>
                <w:highlight w:val="none"/>
              </w:rPr>
              <w:object>
                <v:shape id="_x0000_i1040" o:spt="75" type="#_x0000_t75" style="height:16pt;width:13.95pt;" o:ole="t" filled="f" o:preferrelative="t" stroked="f" coordsize="21600,21600">
                  <v:path/>
                  <v:fill on="f" focussize="0,0"/>
                  <v:stroke on="f" joinstyle="miter"/>
                  <v:imagedata r:id="rId40" o:title=""/>
                  <o:lock v:ext="edit" aspectratio="t"/>
                  <w10:wrap type="none"/>
                  <w10:anchorlock/>
                </v:shape>
                <o:OLEObject Type="Embed" ProgID="Equation.DSMT4" ShapeID="_x0000_i1040" DrawAspect="Content" ObjectID="_1468075739" r:id="rId39">
                  <o:LockedField>false</o:LockedField>
                </o:OLEObject>
              </w:object>
            </w:r>
            <w:r>
              <w:rPr>
                <w:sz w:val="24"/>
                <w:szCs w:val="24"/>
                <w:highlight w:val="none"/>
              </w:rPr>
              <w:t>——</w:t>
            </w:r>
          </w:p>
        </w:tc>
        <w:tc>
          <w:tcPr>
            <w:tcW w:w="8486" w:type="dxa"/>
            <w:vAlign w:val="center"/>
          </w:tcPr>
          <w:p>
            <w:pPr>
              <w:tabs>
                <w:tab w:val="left" w:pos="2565"/>
              </w:tabs>
              <w:adjustRightInd w:val="0"/>
              <w:snapToGrid w:val="0"/>
              <w:spacing w:line="360" w:lineRule="auto"/>
              <w:ind w:right="-105" w:rightChars="-50"/>
              <w:rPr>
                <w:sz w:val="24"/>
                <w:szCs w:val="24"/>
                <w:highlight w:val="none"/>
              </w:rPr>
            </w:pPr>
            <w:bookmarkStart w:id="255" w:name="_Toc515087701"/>
            <w:bookmarkStart w:id="256" w:name="_Toc515893906"/>
            <w:bookmarkStart w:id="257" w:name="_Toc519683848"/>
            <w:bookmarkStart w:id="258" w:name="_Toc519684031"/>
            <w:r>
              <w:rPr>
                <w:sz w:val="24"/>
                <w:szCs w:val="24"/>
                <w:highlight w:val="none"/>
              </w:rPr>
              <w:t>高延性混凝土强度利用系数</w:t>
            </w:r>
            <w:bookmarkEnd w:id="255"/>
            <w:bookmarkEnd w:id="256"/>
            <w:r>
              <w:rPr>
                <w:sz w:val="24"/>
                <w:szCs w:val="24"/>
                <w:highlight w:val="none"/>
              </w:rPr>
              <w:t>；</w:t>
            </w:r>
            <w:bookmarkEnd w:id="257"/>
            <w:bookmarkEnd w:id="258"/>
          </w:p>
        </w:tc>
      </w:tr>
      <w:tr>
        <w:tblPrEx>
          <w:tblCellMar>
            <w:top w:w="0" w:type="dxa"/>
            <w:left w:w="108" w:type="dxa"/>
            <w:bottom w:w="0" w:type="dxa"/>
            <w:right w:w="108" w:type="dxa"/>
          </w:tblCellMar>
        </w:tblPrEx>
        <w:trPr>
          <w:trHeight w:val="398" w:hRule="atLeast"/>
        </w:trPr>
        <w:tc>
          <w:tcPr>
            <w:tcW w:w="1384" w:type="dxa"/>
          </w:tcPr>
          <w:p>
            <w:pPr>
              <w:tabs>
                <w:tab w:val="left" w:pos="2565"/>
              </w:tabs>
              <w:adjustRightInd w:val="0"/>
              <w:snapToGrid w:val="0"/>
              <w:spacing w:line="360" w:lineRule="auto"/>
              <w:ind w:right="-105" w:rightChars="-50"/>
              <w:jc w:val="right"/>
              <w:rPr>
                <w:kern w:val="0"/>
                <w:sz w:val="24"/>
                <w:szCs w:val="24"/>
                <w:highlight w:val="none"/>
              </w:rPr>
            </w:pPr>
            <m:oMath>
              <m:sSub>
                <m:sSubPr>
                  <m:ctrlPr>
                    <w:rPr>
                      <w:rFonts w:ascii="Cambria Math" w:hAnsi="Cambria Math"/>
                      <w:iCs/>
                      <w:sz w:val="24"/>
                      <w:szCs w:val="24"/>
                      <w:highlight w:val="none"/>
                    </w:rPr>
                  </m:ctrlPr>
                </m:sSubPr>
                <m:e>
                  <m:r>
                    <m:rPr>
                      <m:nor/>
                    </m:rPr>
                    <w:rPr>
                      <w:rFonts w:ascii="Cambria Math" w:hAnsi="Cambria Math"/>
                      <w:i/>
                      <w:sz w:val="24"/>
                      <w:szCs w:val="24"/>
                      <w:highlight w:val="none"/>
                    </w:rPr>
                    <m:t>α</m:t>
                  </m:r>
                  <m:ctrlPr>
                    <w:rPr>
                      <w:rFonts w:ascii="Cambria Math" w:hAnsi="Cambria Math"/>
                      <w:iCs/>
                      <w:sz w:val="24"/>
                      <w:szCs w:val="24"/>
                      <w:highlight w:val="none"/>
                    </w:rPr>
                  </m:ctrlPr>
                </m:e>
                <m:sub>
                  <m:r>
                    <m:rPr>
                      <m:nor/>
                      <m:sty m:val="p"/>
                    </m:rPr>
                    <w:rPr>
                      <w:rFonts w:ascii="Cambria Math" w:hAnsi="Cambria Math"/>
                      <w:b w:val="0"/>
                      <w:i w:val="0"/>
                      <w:iCs/>
                      <w:sz w:val="24"/>
                      <w:szCs w:val="24"/>
                      <w:highlight w:val="none"/>
                    </w:rPr>
                    <m:t>sh</m:t>
                  </m:r>
                  <m:ctrlPr>
                    <w:rPr>
                      <w:rFonts w:ascii="Cambria Math" w:hAnsi="Cambria Math"/>
                      <w:iCs/>
                      <w:sz w:val="24"/>
                      <w:szCs w:val="24"/>
                      <w:highlight w:val="none"/>
                    </w:rPr>
                  </m:ctrlPr>
                </m:sub>
              </m:sSub>
            </m:oMath>
            <w:r>
              <w:rPr>
                <w:kern w:val="0"/>
                <w:sz w:val="24"/>
                <w:szCs w:val="24"/>
                <w:highlight w:val="none"/>
              </w:rPr>
              <w:t>——</w:t>
            </w:r>
          </w:p>
        </w:tc>
        <w:tc>
          <w:tcPr>
            <w:tcW w:w="8486" w:type="dxa"/>
            <w:vAlign w:val="center"/>
          </w:tcPr>
          <w:p>
            <w:pPr>
              <w:adjustRightInd w:val="0"/>
              <w:snapToGrid w:val="0"/>
              <w:spacing w:line="360" w:lineRule="auto"/>
              <w:rPr>
                <w:kern w:val="0"/>
                <w:sz w:val="24"/>
                <w:szCs w:val="24"/>
                <w:highlight w:val="none"/>
              </w:rPr>
            </w:pPr>
            <w:r>
              <w:rPr>
                <w:rFonts w:hint="eastAsia"/>
                <w:kern w:val="0"/>
                <w:sz w:val="24"/>
                <w:szCs w:val="24"/>
                <w:highlight w:val="none"/>
              </w:rPr>
              <w:t>受剪加固时，水平</w:t>
            </w:r>
            <w:r>
              <w:rPr>
                <w:kern w:val="0"/>
                <w:sz w:val="24"/>
                <w:szCs w:val="24"/>
                <w:highlight w:val="none"/>
              </w:rPr>
              <w:t>钢筋强度利用系数</w:t>
            </w:r>
            <w:r>
              <w:rPr>
                <w:rFonts w:hint="eastAsia"/>
                <w:kern w:val="0"/>
                <w:sz w:val="24"/>
                <w:szCs w:val="24"/>
                <w:highlight w:val="none"/>
              </w:rPr>
              <w:t>；</w:t>
            </w:r>
          </w:p>
        </w:tc>
      </w:tr>
      <w:tr>
        <w:tblPrEx>
          <w:tblCellMar>
            <w:top w:w="0" w:type="dxa"/>
            <w:left w:w="108" w:type="dxa"/>
            <w:bottom w:w="0" w:type="dxa"/>
            <w:right w:w="108" w:type="dxa"/>
          </w:tblCellMar>
        </w:tblPrEx>
        <w:tc>
          <w:tcPr>
            <w:tcW w:w="1384" w:type="dxa"/>
          </w:tcPr>
          <w:p>
            <w:pPr>
              <w:tabs>
                <w:tab w:val="left" w:pos="2565"/>
              </w:tabs>
              <w:adjustRightInd w:val="0"/>
              <w:snapToGrid w:val="0"/>
              <w:spacing w:line="360" w:lineRule="auto"/>
              <w:ind w:right="-105" w:rightChars="-50"/>
              <w:jc w:val="right"/>
              <w:rPr>
                <w:iCs/>
                <w:sz w:val="24"/>
                <w:szCs w:val="24"/>
                <w:highlight w:val="none"/>
              </w:rPr>
            </w:pPr>
            <m:oMath>
              <m:sSub>
                <m:sSubPr>
                  <m:ctrlPr>
                    <w:rPr>
                      <w:rFonts w:ascii="Cambria Math" w:hAnsi="Cambria Math"/>
                      <w:iCs/>
                      <w:sz w:val="24"/>
                      <w:szCs w:val="24"/>
                      <w:highlight w:val="none"/>
                    </w:rPr>
                  </m:ctrlPr>
                </m:sSubPr>
                <m:e>
                  <m:r>
                    <m:rPr>
                      <m:nor/>
                    </m:rPr>
                    <w:rPr>
                      <w:rFonts w:ascii="Cambria Math" w:hAnsi="Cambria Math"/>
                      <w:i/>
                      <w:sz w:val="24"/>
                      <w:szCs w:val="24"/>
                      <w:highlight w:val="none"/>
                    </w:rPr>
                    <m:t>α</m:t>
                  </m:r>
                  <m:ctrlPr>
                    <w:rPr>
                      <w:rFonts w:ascii="Cambria Math" w:hAnsi="Cambria Math"/>
                      <w:iCs/>
                      <w:sz w:val="24"/>
                      <w:szCs w:val="24"/>
                      <w:highlight w:val="none"/>
                    </w:rPr>
                  </m:ctrlPr>
                </m:e>
                <m:sub>
                  <m:r>
                    <m:rPr>
                      <m:nor/>
                      <m:sty m:val="p"/>
                    </m:rPr>
                    <w:rPr>
                      <w:rFonts w:ascii="Cambria Math" w:hAnsi="Cambria Math"/>
                      <w:b w:val="0"/>
                      <w:i w:val="0"/>
                      <w:iCs/>
                      <w:sz w:val="24"/>
                      <w:szCs w:val="24"/>
                      <w:highlight w:val="none"/>
                    </w:rPr>
                    <m:t>s</m:t>
                  </m:r>
                  <m:r>
                    <m:rPr>
                      <m:nor/>
                      <m:sty m:val="p"/>
                    </m:rPr>
                    <w:rPr>
                      <w:rFonts w:hint="eastAsia" w:ascii="Cambria Math" w:hAnsi="Cambria Math"/>
                      <w:b w:val="0"/>
                      <w:i w:val="0"/>
                      <w:iCs/>
                      <w:sz w:val="24"/>
                      <w:szCs w:val="24"/>
                      <w:highlight w:val="none"/>
                    </w:rPr>
                    <m:t>v</m:t>
                  </m:r>
                  <m:ctrlPr>
                    <w:rPr>
                      <w:rFonts w:ascii="Cambria Math" w:hAnsi="Cambria Math"/>
                      <w:iCs/>
                      <w:sz w:val="24"/>
                      <w:szCs w:val="24"/>
                      <w:highlight w:val="none"/>
                    </w:rPr>
                  </m:ctrlPr>
                </m:sub>
              </m:sSub>
            </m:oMath>
            <w:r>
              <w:rPr>
                <w:kern w:val="0"/>
                <w:sz w:val="24"/>
                <w:szCs w:val="24"/>
                <w:highlight w:val="none"/>
              </w:rPr>
              <w:t>——</w:t>
            </w:r>
          </w:p>
        </w:tc>
        <w:tc>
          <w:tcPr>
            <w:tcW w:w="8486" w:type="dxa"/>
            <w:vAlign w:val="center"/>
          </w:tcPr>
          <w:p>
            <w:pPr>
              <w:adjustRightInd w:val="0"/>
              <w:snapToGrid w:val="0"/>
              <w:spacing w:line="360" w:lineRule="auto"/>
              <w:rPr>
                <w:kern w:val="0"/>
                <w:sz w:val="24"/>
                <w:szCs w:val="24"/>
                <w:highlight w:val="none"/>
              </w:rPr>
            </w:pPr>
            <w:r>
              <w:rPr>
                <w:rFonts w:hint="eastAsia"/>
                <w:kern w:val="0"/>
                <w:sz w:val="24"/>
                <w:szCs w:val="24"/>
                <w:highlight w:val="none"/>
              </w:rPr>
              <w:t>受压加固时，</w:t>
            </w:r>
            <w:r>
              <w:rPr>
                <w:kern w:val="0"/>
                <w:sz w:val="24"/>
                <w:szCs w:val="24"/>
                <w:highlight w:val="none"/>
              </w:rPr>
              <w:t>竖向钢筋强度利用系数</w:t>
            </w:r>
            <w:r>
              <w:rPr>
                <w:rFonts w:hint="eastAsia"/>
                <w:kern w:val="0"/>
                <w:sz w:val="24"/>
                <w:szCs w:val="24"/>
                <w:highlight w:val="none"/>
              </w:rPr>
              <w:t>；</w:t>
            </w:r>
          </w:p>
        </w:tc>
      </w:tr>
      <w:tr>
        <w:tblPrEx>
          <w:tblCellMar>
            <w:top w:w="0" w:type="dxa"/>
            <w:left w:w="108" w:type="dxa"/>
            <w:bottom w:w="0" w:type="dxa"/>
            <w:right w:w="108" w:type="dxa"/>
          </w:tblCellMar>
        </w:tblPrEx>
        <w:tc>
          <w:tcPr>
            <w:tcW w:w="1384" w:type="dxa"/>
          </w:tcPr>
          <w:p>
            <w:pPr>
              <w:tabs>
                <w:tab w:val="left" w:pos="2565"/>
              </w:tabs>
              <w:adjustRightInd w:val="0"/>
              <w:snapToGrid w:val="0"/>
              <w:spacing w:line="360" w:lineRule="auto"/>
              <w:ind w:right="-105" w:rightChars="-50"/>
              <w:jc w:val="right"/>
              <w:rPr>
                <w:sz w:val="24"/>
                <w:szCs w:val="24"/>
                <w:highlight w:val="none"/>
              </w:rPr>
            </w:pPr>
            <w:r>
              <w:rPr>
                <w:position w:val="-10"/>
                <w:sz w:val="24"/>
                <w:szCs w:val="24"/>
                <w:highlight w:val="none"/>
              </w:rPr>
              <w:object>
                <v:shape id="_x0000_i1041" o:spt="75" type="#_x0000_t75" style="height:15.05pt;width:12.05pt;" o:ole="t" filled="f" o:preferrelative="t" stroked="f" coordsize="21600,21600">
                  <v:path/>
                  <v:fill on="f" focussize="0,0"/>
                  <v:stroke on="f" joinstyle="miter"/>
                  <v:imagedata r:id="rId42" o:title=""/>
                  <o:lock v:ext="edit" aspectratio="t"/>
                  <w10:wrap type="none"/>
                  <w10:anchorlock/>
                </v:shape>
                <o:OLEObject Type="Embed" ProgID="Equation.DSMT4" ShapeID="_x0000_i1041" DrawAspect="Content" ObjectID="_1468075740" r:id="rId41">
                  <o:LockedField>false</o:LockedField>
                </o:OLEObject>
              </w:object>
            </w:r>
            <w:r>
              <w:rPr>
                <w:sz w:val="24"/>
                <w:szCs w:val="24"/>
                <w:highlight w:val="none"/>
              </w:rPr>
              <w:t>——</w:t>
            </w:r>
          </w:p>
        </w:tc>
        <w:tc>
          <w:tcPr>
            <w:tcW w:w="8486" w:type="dxa"/>
            <w:vAlign w:val="center"/>
          </w:tcPr>
          <w:p>
            <w:pPr>
              <w:tabs>
                <w:tab w:val="left" w:pos="2565"/>
              </w:tabs>
              <w:adjustRightInd w:val="0"/>
              <w:snapToGrid w:val="0"/>
              <w:spacing w:line="360" w:lineRule="auto"/>
              <w:ind w:right="-105" w:rightChars="-50"/>
              <w:rPr>
                <w:sz w:val="24"/>
                <w:szCs w:val="24"/>
                <w:highlight w:val="none"/>
              </w:rPr>
            </w:pPr>
            <w:bookmarkStart w:id="259" w:name="_Toc515087709"/>
            <w:bookmarkStart w:id="260" w:name="_Toc515893914"/>
            <w:bookmarkStart w:id="261" w:name="_Toc519684037"/>
            <w:bookmarkStart w:id="262" w:name="_Toc519683854"/>
            <w:r>
              <w:rPr>
                <w:sz w:val="24"/>
                <w:szCs w:val="24"/>
                <w:highlight w:val="none"/>
              </w:rPr>
              <w:t>高延性混凝土加固</w:t>
            </w:r>
            <w:r>
              <w:rPr>
                <w:rFonts w:hint="eastAsia"/>
                <w:sz w:val="24"/>
                <w:szCs w:val="24"/>
                <w:highlight w:val="none"/>
              </w:rPr>
              <w:t>后</w:t>
            </w:r>
            <w:r>
              <w:rPr>
                <w:sz w:val="24"/>
                <w:szCs w:val="24"/>
                <w:highlight w:val="none"/>
              </w:rPr>
              <w:t>墙体侧向刚度的提高系数。</w:t>
            </w:r>
            <w:bookmarkEnd w:id="259"/>
            <w:bookmarkEnd w:id="260"/>
            <w:bookmarkEnd w:id="261"/>
            <w:bookmarkEnd w:id="262"/>
          </w:p>
        </w:tc>
      </w:tr>
    </w:tbl>
    <w:p>
      <w:pPr>
        <w:spacing w:after="120" w:afterLines="50" w:line="312" w:lineRule="auto"/>
        <w:rPr>
          <w:sz w:val="24"/>
          <w:szCs w:val="24"/>
          <w:highlight w:val="none"/>
        </w:rPr>
      </w:pPr>
      <w:r>
        <w:rPr>
          <w:b/>
          <w:sz w:val="24"/>
          <w:szCs w:val="24"/>
          <w:highlight w:val="none"/>
        </w:rPr>
        <w:t>2.2.</w:t>
      </w:r>
      <w:r>
        <w:rPr>
          <w:rFonts w:hint="eastAsia"/>
          <w:b/>
          <w:sz w:val="24"/>
          <w:szCs w:val="24"/>
          <w:highlight w:val="none"/>
        </w:rPr>
        <w:t>4</w:t>
      </w:r>
      <w:r>
        <w:rPr>
          <w:b/>
          <w:sz w:val="24"/>
          <w:szCs w:val="24"/>
          <w:highlight w:val="none"/>
        </w:rPr>
        <w:t xml:space="preserve"> </w:t>
      </w:r>
      <w:r>
        <w:rPr>
          <w:sz w:val="24"/>
          <w:szCs w:val="24"/>
          <w:highlight w:val="none"/>
        </w:rPr>
        <w:t xml:space="preserve"> </w:t>
      </w:r>
      <w:r>
        <w:rPr>
          <w:rFonts w:hint="eastAsia"/>
          <w:sz w:val="24"/>
          <w:szCs w:val="24"/>
          <w:highlight w:val="none"/>
        </w:rPr>
        <w:t>几何参数</w:t>
      </w:r>
    </w:p>
    <w:tbl>
      <w:tblPr>
        <w:tblStyle w:val="23"/>
        <w:tblW w:w="0" w:type="auto"/>
        <w:tblInd w:w="0" w:type="dxa"/>
        <w:tblLayout w:type="fixed"/>
        <w:tblCellMar>
          <w:top w:w="0" w:type="dxa"/>
          <w:left w:w="108" w:type="dxa"/>
          <w:bottom w:w="0" w:type="dxa"/>
          <w:right w:w="108" w:type="dxa"/>
        </w:tblCellMar>
      </w:tblPr>
      <w:tblGrid>
        <w:gridCol w:w="1384"/>
        <w:gridCol w:w="8498"/>
      </w:tblGrid>
      <w:tr>
        <w:tblPrEx>
          <w:tblCellMar>
            <w:top w:w="0" w:type="dxa"/>
            <w:left w:w="108" w:type="dxa"/>
            <w:bottom w:w="0" w:type="dxa"/>
            <w:right w:w="108" w:type="dxa"/>
          </w:tblCellMar>
        </w:tblPrEx>
        <w:tc>
          <w:tcPr>
            <w:tcW w:w="1384" w:type="dxa"/>
          </w:tcPr>
          <w:p>
            <w:pPr>
              <w:tabs>
                <w:tab w:val="left" w:pos="2565"/>
              </w:tabs>
              <w:adjustRightInd w:val="0"/>
              <w:snapToGrid w:val="0"/>
              <w:spacing w:line="360" w:lineRule="auto"/>
              <w:ind w:right="-105" w:rightChars="-50"/>
              <w:jc w:val="right"/>
              <w:rPr>
                <w:kern w:val="0"/>
                <w:sz w:val="24"/>
                <w:szCs w:val="24"/>
                <w:highlight w:val="none"/>
              </w:rPr>
            </w:pPr>
            <w:r>
              <w:rPr>
                <w:position w:val="-10"/>
                <w:sz w:val="24"/>
                <w:szCs w:val="24"/>
                <w:highlight w:val="none"/>
              </w:rPr>
              <w:object>
                <v:shape id="_x0000_i1042" o:spt="75" type="#_x0000_t75" style="height:15pt;width:22.5pt;" o:ole="t" filled="f" o:preferrelative="t" stroked="f" coordsize="21600,21600">
                  <v:path/>
                  <v:fill on="f" focussize="0,0"/>
                  <v:stroke on="f" joinstyle="miter"/>
                  <v:imagedata r:id="rId44" o:title=""/>
                  <o:lock v:ext="edit" aspectratio="t"/>
                  <w10:wrap type="none"/>
                  <w10:anchorlock/>
                </v:shape>
                <o:OLEObject Type="Embed" ProgID="Equation.DSMT4" ShapeID="_x0000_i1042" DrawAspect="Content" ObjectID="_1468075741" r:id="rId43">
                  <o:LockedField>false</o:LockedField>
                </o:OLEObject>
              </w:object>
            </w:r>
            <w:r>
              <w:rPr>
                <w:kern w:val="0"/>
                <w:sz w:val="24"/>
                <w:szCs w:val="24"/>
                <w:highlight w:val="none"/>
              </w:rPr>
              <w:t>——</w:t>
            </w:r>
          </w:p>
        </w:tc>
        <w:tc>
          <w:tcPr>
            <w:tcW w:w="8498" w:type="dxa"/>
            <w:vAlign w:val="center"/>
          </w:tcPr>
          <w:p>
            <w:pPr>
              <w:adjustRightInd w:val="0"/>
              <w:snapToGrid w:val="0"/>
              <w:spacing w:line="360" w:lineRule="auto"/>
              <w:rPr>
                <w:kern w:val="0"/>
                <w:sz w:val="24"/>
                <w:szCs w:val="24"/>
                <w:highlight w:val="none"/>
              </w:rPr>
            </w:pPr>
            <w:r>
              <w:rPr>
                <w:kern w:val="0"/>
                <w:sz w:val="24"/>
                <w:szCs w:val="24"/>
                <w:highlight w:val="none"/>
              </w:rPr>
              <w:t>原构件截面面积（mm</w:t>
            </w:r>
            <w:r>
              <w:rPr>
                <w:kern w:val="0"/>
                <w:sz w:val="24"/>
                <w:szCs w:val="24"/>
                <w:highlight w:val="none"/>
                <w:vertAlign w:val="superscript"/>
              </w:rPr>
              <w:t>2</w:t>
            </w:r>
            <w:r>
              <w:rPr>
                <w:kern w:val="0"/>
                <w:sz w:val="24"/>
                <w:szCs w:val="24"/>
                <w:highlight w:val="none"/>
              </w:rPr>
              <w:t>）；</w:t>
            </w:r>
          </w:p>
        </w:tc>
      </w:tr>
      <w:tr>
        <w:tblPrEx>
          <w:tblCellMar>
            <w:top w:w="0" w:type="dxa"/>
            <w:left w:w="108" w:type="dxa"/>
            <w:bottom w:w="0" w:type="dxa"/>
            <w:right w:w="108" w:type="dxa"/>
          </w:tblCellMar>
        </w:tblPrEx>
        <w:tc>
          <w:tcPr>
            <w:tcW w:w="1384" w:type="dxa"/>
          </w:tcPr>
          <w:p>
            <w:pPr>
              <w:tabs>
                <w:tab w:val="left" w:pos="2565"/>
              </w:tabs>
              <w:adjustRightInd w:val="0"/>
              <w:snapToGrid w:val="0"/>
              <w:spacing w:line="360" w:lineRule="auto"/>
              <w:ind w:right="-105" w:rightChars="-50"/>
              <w:jc w:val="right"/>
              <w:rPr>
                <w:kern w:val="0"/>
                <w:sz w:val="24"/>
                <w:szCs w:val="24"/>
                <w:highlight w:val="none"/>
              </w:rPr>
            </w:pPr>
            <w:r>
              <w:rPr>
                <w:position w:val="-10"/>
                <w:sz w:val="24"/>
                <w:szCs w:val="24"/>
                <w:highlight w:val="none"/>
              </w:rPr>
              <w:object>
                <v:shape id="_x0000_i1043" o:spt="75" type="#_x0000_t75" style="height:15pt;width:15pt;" o:ole="t" filled="f" o:preferrelative="t" stroked="f" coordsize="21600,21600">
                  <v:path/>
                  <v:fill on="f" focussize="0,0"/>
                  <v:stroke on="f" joinstyle="miter"/>
                  <v:imagedata r:id="rId46" o:title=""/>
                  <o:lock v:ext="edit" aspectratio="t"/>
                  <w10:wrap type="none"/>
                  <w10:anchorlock/>
                </v:shape>
                <o:OLEObject Type="Embed" ProgID="Equation.DSMT4" ShapeID="_x0000_i1043" DrawAspect="Content" ObjectID="_1468075742" r:id="rId45">
                  <o:LockedField>false</o:LockedField>
                </o:OLEObject>
              </w:object>
            </w:r>
            <w:r>
              <w:rPr>
                <w:kern w:val="0"/>
                <w:sz w:val="24"/>
                <w:szCs w:val="24"/>
                <w:highlight w:val="none"/>
              </w:rPr>
              <w:t>——</w:t>
            </w:r>
          </w:p>
        </w:tc>
        <w:tc>
          <w:tcPr>
            <w:tcW w:w="8498" w:type="dxa"/>
            <w:vAlign w:val="center"/>
          </w:tcPr>
          <w:p>
            <w:pPr>
              <w:tabs>
                <w:tab w:val="left" w:pos="2565"/>
              </w:tabs>
              <w:adjustRightInd w:val="0"/>
              <w:snapToGrid w:val="0"/>
              <w:spacing w:line="360" w:lineRule="auto"/>
              <w:rPr>
                <w:kern w:val="0"/>
                <w:sz w:val="24"/>
                <w:szCs w:val="24"/>
                <w:highlight w:val="none"/>
              </w:rPr>
            </w:pPr>
            <w:r>
              <w:rPr>
                <w:kern w:val="0"/>
                <w:sz w:val="24"/>
                <w:szCs w:val="24"/>
                <w:highlight w:val="none"/>
              </w:rPr>
              <w:t>新增高延性混凝土面层的截面面积（mm</w:t>
            </w:r>
            <w:r>
              <w:rPr>
                <w:kern w:val="0"/>
                <w:sz w:val="24"/>
                <w:szCs w:val="24"/>
                <w:highlight w:val="none"/>
                <w:vertAlign w:val="superscript"/>
              </w:rPr>
              <w:t>2</w:t>
            </w:r>
            <w:r>
              <w:rPr>
                <w:kern w:val="0"/>
                <w:sz w:val="24"/>
                <w:szCs w:val="24"/>
                <w:highlight w:val="none"/>
              </w:rPr>
              <w:t>）；</w:t>
            </w:r>
          </w:p>
        </w:tc>
      </w:tr>
    </w:tbl>
    <w:p>
      <w:pPr>
        <w:spacing w:line="312" w:lineRule="auto"/>
        <w:ind w:firstLine="420" w:firstLineChars="200"/>
        <w:rPr>
          <w:highlight w:val="none"/>
        </w:rPr>
      </w:pPr>
    </w:p>
    <w:p>
      <w:pPr>
        <w:spacing w:before="72" w:beforeLines="30" w:after="72" w:afterLines="30"/>
        <w:jc w:val="center"/>
        <w:outlineLvl w:val="0"/>
        <w:rPr>
          <w:rFonts w:eastAsia="黑体"/>
          <w:sz w:val="28"/>
          <w:szCs w:val="28"/>
          <w:highlight w:val="none"/>
        </w:rPr>
      </w:pPr>
      <w:r>
        <w:rPr>
          <w:highlight w:val="none"/>
        </w:rPr>
        <w:br w:type="page"/>
      </w:r>
      <w:bookmarkStart w:id="263" w:name="_Toc25690853"/>
      <w:bookmarkStart w:id="264" w:name="_Toc8716"/>
      <w:bookmarkStart w:id="265" w:name="_Toc38358397"/>
      <w:bookmarkStart w:id="266" w:name="_Toc48210351"/>
      <w:bookmarkStart w:id="267" w:name="_Toc2349"/>
      <w:bookmarkStart w:id="268" w:name="_Toc535475891"/>
      <w:bookmarkStart w:id="269" w:name="_Toc30237"/>
      <w:bookmarkStart w:id="270" w:name="_Toc48138883"/>
      <w:bookmarkStart w:id="271" w:name="_Toc535338339"/>
      <w:bookmarkStart w:id="272" w:name="_Toc32865073"/>
      <w:bookmarkStart w:id="273" w:name="_Toc63348843"/>
      <w:bookmarkStart w:id="274" w:name="_Toc48210111"/>
      <w:bookmarkStart w:id="275" w:name="_Toc38352771"/>
      <w:bookmarkStart w:id="276" w:name="_Toc70169814"/>
      <w:bookmarkStart w:id="277" w:name="_Toc63348919"/>
      <w:bookmarkStart w:id="278" w:name="_Toc32848332"/>
      <w:bookmarkStart w:id="279" w:name="_Toc67330587"/>
      <w:bookmarkStart w:id="280" w:name="_Toc25070624"/>
      <w:bookmarkStart w:id="281" w:name="_Toc52264491"/>
      <w:bookmarkStart w:id="282" w:name="_Toc19545206"/>
      <w:bookmarkStart w:id="283" w:name="_Toc48210002"/>
      <w:bookmarkStart w:id="284" w:name="_Toc54255546"/>
      <w:bookmarkStart w:id="285" w:name="_Toc54256641"/>
      <w:bookmarkStart w:id="286" w:name="_Toc48138961"/>
      <w:r>
        <w:rPr>
          <w:rFonts w:eastAsia="黑体"/>
          <w:b/>
          <w:sz w:val="28"/>
          <w:szCs w:val="28"/>
          <w:highlight w:val="none"/>
        </w:rPr>
        <w:t>3</w:t>
      </w:r>
      <w:r>
        <w:rPr>
          <w:rFonts w:eastAsia="黑体"/>
          <w:sz w:val="28"/>
          <w:szCs w:val="28"/>
          <w:highlight w:val="none"/>
        </w:rPr>
        <w:t xml:space="preserve">  基本规定</w:t>
      </w:r>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p>
    <w:p>
      <w:pPr>
        <w:spacing w:before="72" w:beforeLines="30" w:after="72" w:afterLines="30"/>
        <w:jc w:val="center"/>
        <w:outlineLvl w:val="0"/>
        <w:rPr>
          <w:rFonts w:eastAsia="黑体"/>
          <w:sz w:val="28"/>
          <w:szCs w:val="28"/>
          <w:highlight w:val="none"/>
        </w:rPr>
      </w:pPr>
    </w:p>
    <w:p>
      <w:pPr>
        <w:spacing w:line="312" w:lineRule="auto"/>
        <w:rPr>
          <w:sz w:val="24"/>
          <w:szCs w:val="28"/>
          <w:highlight w:val="none"/>
        </w:rPr>
      </w:pPr>
      <w:r>
        <w:rPr>
          <w:b/>
          <w:sz w:val="24"/>
          <w:szCs w:val="28"/>
          <w:highlight w:val="none"/>
        </w:rPr>
        <w:t>3.0.1</w:t>
      </w:r>
      <w:r>
        <w:rPr>
          <w:sz w:val="24"/>
          <w:szCs w:val="28"/>
          <w:highlight w:val="none"/>
        </w:rPr>
        <w:t xml:space="preserve">  高延性混凝土的拌合物性能、力学性能、耐久性能等应符合</w:t>
      </w:r>
      <w:r>
        <w:rPr>
          <w:rFonts w:hint="eastAsia"/>
          <w:sz w:val="24"/>
          <w:szCs w:val="28"/>
          <w:highlight w:val="none"/>
        </w:rPr>
        <w:t>本标准</w:t>
      </w:r>
      <w:r>
        <w:rPr>
          <w:sz w:val="24"/>
          <w:szCs w:val="28"/>
          <w:highlight w:val="none"/>
        </w:rPr>
        <w:t>有关规定，同时应满足设计要求。</w:t>
      </w:r>
    </w:p>
    <w:p>
      <w:pPr>
        <w:spacing w:line="312" w:lineRule="auto"/>
        <w:rPr>
          <w:sz w:val="24"/>
          <w:szCs w:val="28"/>
          <w:highlight w:val="none"/>
        </w:rPr>
      </w:pPr>
      <w:r>
        <w:rPr>
          <w:b/>
          <w:sz w:val="24"/>
          <w:szCs w:val="28"/>
          <w:highlight w:val="none"/>
        </w:rPr>
        <w:t>3.0.2</w:t>
      </w:r>
      <w:r>
        <w:rPr>
          <w:sz w:val="24"/>
          <w:szCs w:val="28"/>
          <w:highlight w:val="none"/>
        </w:rPr>
        <w:t xml:space="preserve">  高延性混凝土的正常使用环境温度不</w:t>
      </w:r>
      <w:r>
        <w:rPr>
          <w:rFonts w:hint="eastAsia"/>
          <w:sz w:val="24"/>
          <w:szCs w:val="28"/>
          <w:highlight w:val="none"/>
          <w:lang w:val="en-US" w:eastAsia="zh-CN"/>
        </w:rPr>
        <w:t>宜</w:t>
      </w:r>
      <w:r>
        <w:rPr>
          <w:sz w:val="24"/>
          <w:szCs w:val="28"/>
          <w:highlight w:val="none"/>
        </w:rPr>
        <w:t>超过90°C</w:t>
      </w:r>
      <w:r>
        <w:rPr>
          <w:rFonts w:hint="eastAsia"/>
          <w:sz w:val="24"/>
          <w:szCs w:val="28"/>
          <w:highlight w:val="none"/>
        </w:rPr>
        <w:t>，</w:t>
      </w:r>
      <w:r>
        <w:rPr>
          <w:bCs/>
          <w:sz w:val="24"/>
          <w:szCs w:val="28"/>
          <w:highlight w:val="none"/>
        </w:rPr>
        <w:t>当</w:t>
      </w:r>
      <w:r>
        <w:rPr>
          <w:sz w:val="24"/>
          <w:szCs w:val="28"/>
          <w:highlight w:val="none"/>
        </w:rPr>
        <w:t>正常使用环境温度</w:t>
      </w:r>
      <w:r>
        <w:rPr>
          <w:bCs/>
          <w:sz w:val="24"/>
          <w:szCs w:val="28"/>
          <w:highlight w:val="none"/>
        </w:rPr>
        <w:t>高于</w:t>
      </w:r>
      <w:r>
        <w:rPr>
          <w:sz w:val="24"/>
          <w:szCs w:val="28"/>
          <w:highlight w:val="none"/>
        </w:rPr>
        <w:t>90°C时，应采取适当的隔热措施。</w:t>
      </w:r>
    </w:p>
    <w:p>
      <w:pPr>
        <w:spacing w:line="312" w:lineRule="auto"/>
        <w:rPr>
          <w:rFonts w:hint="eastAsia" w:ascii="楷体" w:hAnsi="楷体" w:eastAsia="楷体" w:cs="楷体"/>
          <w:sz w:val="24"/>
          <w:szCs w:val="24"/>
          <w:highlight w:val="none"/>
          <w:u w:val="single"/>
        </w:rPr>
      </w:pPr>
      <w:r>
        <w:rPr>
          <w:rFonts w:hint="eastAsia" w:ascii="楷体" w:hAnsi="楷体" w:eastAsia="楷体" w:cs="楷体"/>
          <w:b w:val="0"/>
          <w:bCs/>
          <w:sz w:val="24"/>
          <w:szCs w:val="24"/>
          <w:highlight w:val="none"/>
          <w:u w:val="single"/>
        </w:rPr>
        <w:t>【条文说明】</w:t>
      </w:r>
      <w:r>
        <w:rPr>
          <w:rFonts w:hint="eastAsia" w:ascii="楷体" w:hAnsi="楷体" w:eastAsia="楷体" w:cs="楷体"/>
          <w:sz w:val="24"/>
          <w:szCs w:val="24"/>
          <w:highlight w:val="none"/>
          <w:u w:val="single"/>
        </w:rPr>
        <w:t xml:space="preserve"> 本编制组前期对高延性混凝土的耐高温性能做了相应的试验研究，其在高温下的强度变化与普通混凝土或普通砂浆等水泥基材料的强度变化情况相似。混凝土在高温下有可能产生爆裂，但由于高延性混凝土中含有纤维，在高温作用下纤维会溶解形成水蒸气的迁移通道，使构件中蒸汽压得到释放，避免了基体的爆裂。高延性混凝土耐高温试验结果显示，在125°C时，高延性混凝土的各项性能指标基本不受影响，一般情况下使用环境温度规定为不宜超过90°C。</w:t>
      </w:r>
    </w:p>
    <w:p>
      <w:pPr>
        <w:spacing w:line="312" w:lineRule="auto"/>
        <w:ind w:firstLine="480" w:firstLineChars="200"/>
        <w:rPr>
          <w:rFonts w:hint="eastAsia" w:ascii="楷体" w:hAnsi="楷体" w:eastAsia="楷体" w:cs="楷体"/>
          <w:sz w:val="24"/>
          <w:szCs w:val="24"/>
          <w:highlight w:val="none"/>
          <w:u w:val="single"/>
          <w:lang w:val="en-US" w:eastAsia="zh-CN"/>
        </w:rPr>
      </w:pPr>
      <w:r>
        <w:rPr>
          <w:rFonts w:hint="eastAsia" w:ascii="楷体" w:hAnsi="楷体" w:eastAsia="楷体" w:cs="楷体"/>
          <w:sz w:val="24"/>
          <w:szCs w:val="24"/>
          <w:highlight w:val="none"/>
          <w:u w:val="single"/>
        </w:rPr>
        <w:t>本课题组经过试验研究，采用高延性混凝土加固后的砖砌体墙经过耐火极限测试表明，在测试3h时构件未丧失完整性且隔热性未破坏，说明这种加固方式可以提高原构件的耐火极限，但采用高延性混凝土的工程遇火灾后，为了安全起见，一般要通过检测鉴定评定结构安全现状是否仍满足要求，当有问题时应采取相应的加固或修复处理措施</w:t>
      </w:r>
      <w:r>
        <w:rPr>
          <w:rFonts w:hint="eastAsia" w:ascii="楷体" w:hAnsi="楷体" w:eastAsia="楷体" w:cs="楷体"/>
          <w:sz w:val="24"/>
          <w:szCs w:val="24"/>
          <w:highlight w:val="none"/>
          <w:u w:val="single"/>
          <w:lang w:eastAsia="zh-CN"/>
        </w:rPr>
        <w:t>。</w:t>
      </w:r>
    </w:p>
    <w:p>
      <w:pPr>
        <w:spacing w:line="312" w:lineRule="auto"/>
        <w:rPr>
          <w:rFonts w:hint="eastAsia"/>
          <w:sz w:val="24"/>
          <w:szCs w:val="28"/>
          <w:highlight w:val="none"/>
        </w:rPr>
      </w:pPr>
      <w:r>
        <w:rPr>
          <w:rFonts w:hint="eastAsia"/>
          <w:b/>
          <w:sz w:val="24"/>
          <w:szCs w:val="28"/>
          <w:highlight w:val="none"/>
        </w:rPr>
        <w:t>3</w:t>
      </w:r>
      <w:r>
        <w:rPr>
          <w:b/>
          <w:sz w:val="24"/>
          <w:szCs w:val="28"/>
          <w:highlight w:val="none"/>
        </w:rPr>
        <w:t xml:space="preserve">.0.3 </w:t>
      </w:r>
      <w:r>
        <w:rPr>
          <w:sz w:val="24"/>
          <w:szCs w:val="28"/>
          <w:highlight w:val="none"/>
        </w:rPr>
        <w:t xml:space="preserve"> 砌体结构加固前，应按</w:t>
      </w:r>
      <w:r>
        <w:rPr>
          <w:rFonts w:hint="eastAsia"/>
          <w:sz w:val="24"/>
          <w:szCs w:val="28"/>
          <w:highlight w:val="none"/>
        </w:rPr>
        <w:t>国家现行有关标准进行安全性鉴定和抗震鉴定。</w:t>
      </w:r>
    </w:p>
    <w:p>
      <w:pPr>
        <w:spacing w:line="312" w:lineRule="auto"/>
        <w:rPr>
          <w:rFonts w:hint="eastAsia" w:ascii="Times New Roman" w:hAnsi="Times New Roman" w:eastAsia="宋体" w:cs="Times New Roman"/>
          <w:b/>
          <w:sz w:val="24"/>
          <w:szCs w:val="28"/>
          <w:highlight w:val="none"/>
        </w:rPr>
      </w:pPr>
      <w:r>
        <w:rPr>
          <w:rFonts w:hint="eastAsia" w:ascii="Times New Roman" w:hAnsi="Times New Roman" w:eastAsia="宋体" w:cs="Times New Roman"/>
          <w:b/>
          <w:kern w:val="2"/>
          <w:sz w:val="24"/>
          <w:szCs w:val="28"/>
          <w:highlight w:val="none"/>
          <w:lang w:eastAsia="zh-CN"/>
        </w:rPr>
        <w:t xml:space="preserve">3.0.3  </w:t>
      </w:r>
      <w:r>
        <w:rPr>
          <w:rFonts w:hint="eastAsia" w:ascii="Times New Roman" w:hAnsi="Times New Roman" w:eastAsia="宋体" w:cs="Times New Roman"/>
          <w:b w:val="0"/>
          <w:bCs/>
          <w:kern w:val="2"/>
          <w:sz w:val="24"/>
          <w:szCs w:val="28"/>
          <w:highlight w:val="none"/>
          <w:lang w:eastAsia="zh-CN"/>
        </w:rPr>
        <w:t>采用高延性混凝土面层加固砌体结构时，原砌筑砂浆的强度等级不宜低于M0.4，块体强度等级不宜低于MU5.0。</w:t>
      </w:r>
    </w:p>
    <w:p>
      <w:pPr>
        <w:spacing w:line="312" w:lineRule="auto"/>
        <w:rPr>
          <w:sz w:val="24"/>
          <w:szCs w:val="28"/>
          <w:highlight w:val="none"/>
        </w:rPr>
      </w:pPr>
      <w:r>
        <w:rPr>
          <w:b/>
          <w:sz w:val="24"/>
          <w:szCs w:val="28"/>
          <w:highlight w:val="none"/>
        </w:rPr>
        <w:t>3.0.</w:t>
      </w:r>
      <w:r>
        <w:rPr>
          <w:rFonts w:hint="eastAsia"/>
          <w:b/>
          <w:sz w:val="24"/>
          <w:szCs w:val="28"/>
          <w:highlight w:val="none"/>
        </w:rPr>
        <w:t>4</w:t>
      </w:r>
      <w:r>
        <w:rPr>
          <w:sz w:val="24"/>
          <w:szCs w:val="28"/>
          <w:highlight w:val="none"/>
        </w:rPr>
        <w:t xml:space="preserve">  高延性混凝土加固砌体结构应符合下列规定：</w:t>
      </w:r>
    </w:p>
    <w:p>
      <w:pPr>
        <w:spacing w:line="312" w:lineRule="auto"/>
        <w:ind w:firstLine="435"/>
        <w:rPr>
          <w:b/>
          <w:sz w:val="24"/>
          <w:szCs w:val="28"/>
          <w:highlight w:val="none"/>
        </w:rPr>
      </w:pPr>
      <w:r>
        <w:rPr>
          <w:rFonts w:hint="eastAsia"/>
          <w:b/>
          <w:sz w:val="24"/>
          <w:szCs w:val="28"/>
          <w:highlight w:val="none"/>
        </w:rPr>
        <w:t>1</w:t>
      </w:r>
      <w:r>
        <w:rPr>
          <w:sz w:val="24"/>
          <w:szCs w:val="28"/>
          <w:highlight w:val="none"/>
        </w:rPr>
        <w:t xml:space="preserve">  加固结构的安全等级，应根据结构破坏后果的严重性、结构的重要性和加固设计</w:t>
      </w:r>
      <w:r>
        <w:rPr>
          <w:rFonts w:hint="eastAsia"/>
          <w:sz w:val="24"/>
          <w:szCs w:val="28"/>
          <w:highlight w:val="none"/>
          <w:lang w:eastAsia="zh-CN"/>
        </w:rPr>
        <w:t>工作年限</w:t>
      </w:r>
      <w:r>
        <w:rPr>
          <w:sz w:val="24"/>
          <w:szCs w:val="28"/>
          <w:highlight w:val="none"/>
        </w:rPr>
        <w:t>综合确定，并</w:t>
      </w:r>
      <w:r>
        <w:rPr>
          <w:rFonts w:hint="eastAsia"/>
          <w:sz w:val="24"/>
          <w:szCs w:val="28"/>
          <w:highlight w:val="none"/>
        </w:rPr>
        <w:t>应</w:t>
      </w:r>
      <w:r>
        <w:rPr>
          <w:sz w:val="24"/>
          <w:szCs w:val="28"/>
          <w:highlight w:val="none"/>
        </w:rPr>
        <w:t>符合国家</w:t>
      </w:r>
      <w:r>
        <w:rPr>
          <w:rFonts w:hint="eastAsia"/>
          <w:sz w:val="24"/>
          <w:szCs w:val="28"/>
          <w:highlight w:val="none"/>
        </w:rPr>
        <w:t>现行有关</w:t>
      </w:r>
      <w:r>
        <w:rPr>
          <w:sz w:val="24"/>
          <w:szCs w:val="28"/>
          <w:highlight w:val="none"/>
        </w:rPr>
        <w:t>标准的规定</w:t>
      </w:r>
      <w:r>
        <w:rPr>
          <w:rFonts w:hint="eastAsia"/>
          <w:sz w:val="24"/>
          <w:szCs w:val="28"/>
          <w:highlight w:val="none"/>
        </w:rPr>
        <w:t>；</w:t>
      </w:r>
    </w:p>
    <w:p>
      <w:pPr>
        <w:spacing w:line="312" w:lineRule="auto"/>
        <w:ind w:firstLine="435"/>
        <w:rPr>
          <w:sz w:val="24"/>
          <w:szCs w:val="28"/>
          <w:highlight w:val="none"/>
        </w:rPr>
      </w:pPr>
      <w:r>
        <w:rPr>
          <w:rFonts w:hint="eastAsia"/>
          <w:b/>
          <w:sz w:val="24"/>
          <w:szCs w:val="28"/>
          <w:highlight w:val="none"/>
        </w:rPr>
        <w:t>2</w:t>
      </w:r>
      <w:r>
        <w:rPr>
          <w:sz w:val="24"/>
          <w:szCs w:val="28"/>
          <w:highlight w:val="none"/>
        </w:rPr>
        <w:t xml:space="preserve">  采用高延性混凝土加固砌体结构的设计，应综合考虑其技术经济效果，避免不必要的拆除和更换；</w:t>
      </w:r>
    </w:p>
    <w:p>
      <w:pPr>
        <w:spacing w:line="312" w:lineRule="auto"/>
        <w:ind w:firstLine="435"/>
        <w:rPr>
          <w:sz w:val="24"/>
          <w:szCs w:val="28"/>
          <w:highlight w:val="none"/>
        </w:rPr>
      </w:pPr>
      <w:r>
        <w:rPr>
          <w:rFonts w:hint="eastAsia"/>
          <w:b/>
          <w:sz w:val="24"/>
          <w:szCs w:val="28"/>
          <w:highlight w:val="none"/>
        </w:rPr>
        <w:t>3</w:t>
      </w:r>
      <w:r>
        <w:rPr>
          <w:sz w:val="24"/>
          <w:szCs w:val="28"/>
          <w:highlight w:val="none"/>
        </w:rPr>
        <w:t xml:space="preserve">  对加固过程中可能出现倾斜、失稳、过大变形或坍塌的结构，应在加固设计文件中提出相应的临时性安全措施，并明确要求施工单位应严格执行；</w:t>
      </w:r>
    </w:p>
    <w:p>
      <w:pPr>
        <w:spacing w:line="312" w:lineRule="auto"/>
        <w:ind w:firstLine="435"/>
        <w:rPr>
          <w:sz w:val="24"/>
          <w:szCs w:val="28"/>
          <w:highlight w:val="none"/>
        </w:rPr>
      </w:pPr>
      <w:r>
        <w:rPr>
          <w:rFonts w:hint="eastAsia"/>
          <w:b/>
          <w:sz w:val="24"/>
          <w:szCs w:val="28"/>
          <w:highlight w:val="none"/>
        </w:rPr>
        <w:t>4</w:t>
      </w:r>
      <w:r>
        <w:rPr>
          <w:sz w:val="24"/>
          <w:szCs w:val="28"/>
          <w:highlight w:val="none"/>
        </w:rPr>
        <w:t xml:space="preserve">  采用高延性混凝土加固时应避免对未加固部分以及相关结构构件造成不利的影响；</w:t>
      </w:r>
    </w:p>
    <w:p>
      <w:pPr>
        <w:spacing w:line="312" w:lineRule="auto"/>
        <w:ind w:firstLine="435"/>
        <w:rPr>
          <w:sz w:val="24"/>
          <w:szCs w:val="28"/>
          <w:highlight w:val="none"/>
        </w:rPr>
      </w:pPr>
      <w:r>
        <w:rPr>
          <w:rFonts w:hint="eastAsia"/>
          <w:b/>
          <w:sz w:val="24"/>
          <w:szCs w:val="28"/>
          <w:highlight w:val="none"/>
        </w:rPr>
        <w:t>5</w:t>
      </w:r>
      <w:r>
        <w:rPr>
          <w:b/>
          <w:sz w:val="24"/>
          <w:szCs w:val="28"/>
          <w:highlight w:val="none"/>
        </w:rPr>
        <w:t xml:space="preserve">  </w:t>
      </w:r>
      <w:r>
        <w:rPr>
          <w:sz w:val="24"/>
          <w:szCs w:val="28"/>
          <w:highlight w:val="none"/>
        </w:rPr>
        <w:t>未经技术鉴定或设计许可，不得改变加固后结构的用途和使用环境；</w:t>
      </w:r>
    </w:p>
    <w:p>
      <w:pPr>
        <w:spacing w:line="312" w:lineRule="auto"/>
        <w:ind w:firstLine="435"/>
        <w:rPr>
          <w:sz w:val="24"/>
          <w:szCs w:val="28"/>
          <w:highlight w:val="none"/>
        </w:rPr>
      </w:pPr>
      <w:r>
        <w:rPr>
          <w:rFonts w:hint="eastAsia"/>
          <w:b/>
          <w:sz w:val="24"/>
          <w:szCs w:val="28"/>
          <w:highlight w:val="none"/>
        </w:rPr>
        <w:t>6</w:t>
      </w:r>
      <w:r>
        <w:rPr>
          <w:sz w:val="24"/>
          <w:szCs w:val="28"/>
          <w:highlight w:val="none"/>
        </w:rPr>
        <w:t xml:space="preserve">  采用配筋高延性混凝土加固时</w:t>
      </w:r>
      <w:r>
        <w:rPr>
          <w:rFonts w:hint="eastAsia"/>
          <w:sz w:val="24"/>
          <w:szCs w:val="28"/>
          <w:highlight w:val="none"/>
        </w:rPr>
        <w:t>，受力钢筋的高延性</w:t>
      </w:r>
      <w:r>
        <w:rPr>
          <w:sz w:val="24"/>
          <w:szCs w:val="28"/>
          <w:highlight w:val="none"/>
        </w:rPr>
        <w:t>混凝土保护层厚度</w:t>
      </w:r>
      <w:r>
        <w:rPr>
          <w:rFonts w:hint="eastAsia"/>
          <w:sz w:val="24"/>
          <w:szCs w:val="28"/>
          <w:highlight w:val="none"/>
        </w:rPr>
        <w:t>，</w:t>
      </w:r>
      <w:r>
        <w:rPr>
          <w:rFonts w:hint="eastAsia"/>
          <w:sz w:val="24"/>
          <w:szCs w:val="28"/>
          <w:highlight w:val="none"/>
          <w:lang w:val="en-US" w:eastAsia="zh-CN"/>
        </w:rPr>
        <w:t>不应小于钢筋的公称直径d，且</w:t>
      </w:r>
      <w:r>
        <w:rPr>
          <w:rFonts w:hint="eastAsia"/>
          <w:sz w:val="24"/>
          <w:szCs w:val="28"/>
          <w:highlight w:val="none"/>
        </w:rPr>
        <w:t>不宜小于表3.0.4中的规定</w:t>
      </w:r>
      <w:r>
        <w:rPr>
          <w:sz w:val="24"/>
          <w:szCs w:val="28"/>
          <w:highlight w:val="none"/>
        </w:rPr>
        <w:t>。</w:t>
      </w:r>
    </w:p>
    <w:p>
      <w:pPr>
        <w:snapToGrid w:val="0"/>
        <w:spacing w:before="120" w:beforeLines="50" w:line="312" w:lineRule="auto"/>
        <w:jc w:val="center"/>
        <w:rPr>
          <w:rFonts w:eastAsia="黑体"/>
          <w:sz w:val="24"/>
          <w:szCs w:val="28"/>
          <w:highlight w:val="none"/>
        </w:rPr>
      </w:pPr>
      <w:r>
        <w:rPr>
          <w:rFonts w:eastAsia="黑体"/>
          <w:sz w:val="21"/>
          <w:szCs w:val="21"/>
          <w:highlight w:val="none"/>
        </w:rPr>
        <w:t>表</w:t>
      </w:r>
      <w:r>
        <w:rPr>
          <w:rFonts w:hint="eastAsia" w:eastAsia="黑体"/>
          <w:b/>
          <w:bCs/>
          <w:sz w:val="21"/>
          <w:szCs w:val="21"/>
          <w:highlight w:val="none"/>
        </w:rPr>
        <w:t>3.0.4</w:t>
      </w:r>
      <w:r>
        <w:rPr>
          <w:rFonts w:eastAsia="黑体"/>
          <w:sz w:val="21"/>
          <w:szCs w:val="21"/>
          <w:highlight w:val="none"/>
        </w:rPr>
        <w:t xml:space="preserve">  </w:t>
      </w:r>
      <w:r>
        <w:rPr>
          <w:rFonts w:hint="eastAsia" w:eastAsia="黑体"/>
          <w:sz w:val="21"/>
          <w:szCs w:val="21"/>
          <w:highlight w:val="none"/>
        </w:rPr>
        <w:t>受力钢筋的高延性混凝土保护层厚度（mm）</w:t>
      </w:r>
    </w:p>
    <w:tbl>
      <w:tblPr>
        <w:tblStyle w:val="23"/>
        <w:tblW w:w="7761"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809"/>
        <w:gridCol w:w="1984"/>
        <w:gridCol w:w="1984"/>
        <w:gridCol w:w="1984"/>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1809" w:type="dxa"/>
            <w:tcBorders>
              <w:top w:val="single" w:color="000000" w:sz="12" w:space="0"/>
              <w:tl2br w:val="single" w:color="auto" w:sz="4" w:space="0"/>
            </w:tcBorders>
            <w:vAlign w:val="center"/>
          </w:tcPr>
          <w:p>
            <w:pPr>
              <w:jc w:val="right"/>
              <w:rPr>
                <w:sz w:val="21"/>
                <w:szCs w:val="21"/>
                <w:highlight w:val="none"/>
              </w:rPr>
            </w:pPr>
            <w:r>
              <w:rPr>
                <w:rFonts w:hint="eastAsia"/>
                <w:sz w:val="21"/>
                <w:szCs w:val="21"/>
                <w:highlight w:val="none"/>
              </w:rPr>
              <w:t>环境条件</w:t>
            </w:r>
          </w:p>
          <w:p>
            <w:pPr>
              <w:jc w:val="left"/>
              <w:rPr>
                <w:sz w:val="21"/>
                <w:szCs w:val="21"/>
                <w:highlight w:val="none"/>
              </w:rPr>
            </w:pPr>
            <w:r>
              <w:rPr>
                <w:rFonts w:hint="eastAsia"/>
                <w:sz w:val="21"/>
                <w:szCs w:val="21"/>
                <w:highlight w:val="none"/>
              </w:rPr>
              <w:t>构件类别</w:t>
            </w:r>
          </w:p>
        </w:tc>
        <w:tc>
          <w:tcPr>
            <w:tcW w:w="1984" w:type="dxa"/>
            <w:tcBorders>
              <w:top w:val="single" w:color="000000" w:sz="12" w:space="0"/>
            </w:tcBorders>
            <w:vAlign w:val="center"/>
          </w:tcPr>
          <w:p>
            <w:pPr>
              <w:jc w:val="center"/>
              <w:rPr>
                <w:sz w:val="21"/>
                <w:szCs w:val="21"/>
                <w:highlight w:val="none"/>
              </w:rPr>
            </w:pPr>
            <w:r>
              <w:rPr>
                <w:rFonts w:hint="eastAsia"/>
                <w:sz w:val="21"/>
                <w:szCs w:val="21"/>
                <w:highlight w:val="none"/>
              </w:rPr>
              <w:t>室内</w:t>
            </w:r>
            <w:r>
              <w:rPr>
                <w:rFonts w:hint="eastAsia"/>
                <w:sz w:val="21"/>
                <w:szCs w:val="21"/>
                <w:highlight w:val="none"/>
                <w:lang w:val="en-US" w:eastAsia="zh-CN"/>
              </w:rPr>
              <w:t>干燥</w:t>
            </w:r>
            <w:r>
              <w:rPr>
                <w:rFonts w:hint="eastAsia"/>
                <w:sz w:val="21"/>
                <w:szCs w:val="21"/>
                <w:highlight w:val="none"/>
              </w:rPr>
              <w:t>环境</w:t>
            </w:r>
          </w:p>
        </w:tc>
        <w:tc>
          <w:tcPr>
            <w:tcW w:w="1984" w:type="dxa"/>
            <w:tcBorders>
              <w:top w:val="single" w:color="000000" w:sz="12" w:space="0"/>
            </w:tcBorders>
            <w:vAlign w:val="center"/>
          </w:tcPr>
          <w:p>
            <w:pPr>
              <w:jc w:val="center"/>
              <w:rPr>
                <w:rFonts w:hint="eastAsia"/>
                <w:sz w:val="21"/>
                <w:szCs w:val="21"/>
                <w:highlight w:val="none"/>
              </w:rPr>
            </w:pPr>
            <w:r>
              <w:rPr>
                <w:rFonts w:hint="eastAsia"/>
                <w:sz w:val="21"/>
                <w:szCs w:val="21"/>
                <w:highlight w:val="none"/>
              </w:rPr>
              <w:t>露天或室内</w:t>
            </w:r>
          </w:p>
          <w:p>
            <w:pPr>
              <w:jc w:val="center"/>
              <w:rPr>
                <w:sz w:val="21"/>
                <w:szCs w:val="21"/>
                <w:highlight w:val="none"/>
              </w:rPr>
            </w:pPr>
            <w:r>
              <w:rPr>
                <w:rFonts w:hint="eastAsia"/>
                <w:sz w:val="21"/>
                <w:szCs w:val="21"/>
                <w:highlight w:val="none"/>
              </w:rPr>
              <w:t>潮湿环境</w:t>
            </w:r>
          </w:p>
        </w:tc>
        <w:tc>
          <w:tcPr>
            <w:tcW w:w="1984" w:type="dxa"/>
            <w:tcBorders>
              <w:top w:val="single" w:color="000000" w:sz="12" w:space="0"/>
            </w:tcBorders>
            <w:vAlign w:val="center"/>
          </w:tcPr>
          <w:p>
            <w:pPr>
              <w:jc w:val="center"/>
              <w:rPr>
                <w:rFonts w:hint="eastAsia"/>
                <w:sz w:val="21"/>
                <w:szCs w:val="21"/>
                <w:highlight w:val="none"/>
              </w:rPr>
            </w:pPr>
            <w:r>
              <w:rPr>
                <w:rFonts w:hint="eastAsia" w:ascii="Times New Roman" w:hAnsi="Times New Roman" w:eastAsia="宋体" w:cs="Times New Roman"/>
                <w:kern w:val="2"/>
                <w:sz w:val="21"/>
                <w:szCs w:val="21"/>
                <w:highlight w:val="none"/>
                <w:lang w:val="en-US" w:eastAsia="zh-CN"/>
              </w:rPr>
              <w:t>干湿交替或严寒和寒冷地区露天环境</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1809" w:type="dxa"/>
          </w:tcPr>
          <w:p>
            <w:pPr>
              <w:jc w:val="center"/>
              <w:rPr>
                <w:sz w:val="21"/>
                <w:szCs w:val="21"/>
                <w:highlight w:val="none"/>
              </w:rPr>
            </w:pPr>
            <w:r>
              <w:rPr>
                <w:rFonts w:hint="eastAsia"/>
                <w:sz w:val="21"/>
                <w:szCs w:val="21"/>
                <w:highlight w:val="none"/>
              </w:rPr>
              <w:t>墙</w:t>
            </w:r>
          </w:p>
        </w:tc>
        <w:tc>
          <w:tcPr>
            <w:tcW w:w="1984" w:type="dxa"/>
          </w:tcPr>
          <w:p>
            <w:pPr>
              <w:jc w:val="center"/>
              <w:rPr>
                <w:sz w:val="21"/>
                <w:szCs w:val="21"/>
                <w:highlight w:val="none"/>
              </w:rPr>
            </w:pPr>
            <w:r>
              <w:rPr>
                <w:rFonts w:hint="eastAsia"/>
                <w:sz w:val="21"/>
                <w:szCs w:val="21"/>
                <w:highlight w:val="none"/>
              </w:rPr>
              <w:t>15</w:t>
            </w:r>
          </w:p>
        </w:tc>
        <w:tc>
          <w:tcPr>
            <w:tcW w:w="1984" w:type="dxa"/>
          </w:tcPr>
          <w:p>
            <w:pPr>
              <w:jc w:val="center"/>
              <w:rPr>
                <w:sz w:val="21"/>
                <w:szCs w:val="21"/>
                <w:highlight w:val="none"/>
              </w:rPr>
            </w:pPr>
            <w:r>
              <w:rPr>
                <w:rFonts w:hint="eastAsia"/>
                <w:sz w:val="21"/>
                <w:szCs w:val="21"/>
                <w:highlight w:val="none"/>
              </w:rPr>
              <w:t>20</w:t>
            </w:r>
          </w:p>
        </w:tc>
        <w:tc>
          <w:tcPr>
            <w:tcW w:w="1984" w:type="dxa"/>
          </w:tcPr>
          <w:p>
            <w:pPr>
              <w:jc w:val="center"/>
              <w:rPr>
                <w:rFonts w:hint="default" w:eastAsia="宋体"/>
                <w:sz w:val="21"/>
                <w:szCs w:val="21"/>
                <w:highlight w:val="none"/>
                <w:lang w:val="en-US" w:eastAsia="zh-CN"/>
              </w:rPr>
            </w:pPr>
            <w:r>
              <w:rPr>
                <w:rFonts w:hint="eastAsia"/>
                <w:sz w:val="21"/>
                <w:szCs w:val="21"/>
                <w:highlight w:val="none"/>
                <w:lang w:val="en-US" w:eastAsia="zh-CN"/>
              </w:rPr>
              <w:t>25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1809" w:type="dxa"/>
            <w:tcBorders>
              <w:bottom w:val="single" w:color="000000" w:sz="12" w:space="0"/>
            </w:tcBorders>
          </w:tcPr>
          <w:p>
            <w:pPr>
              <w:jc w:val="center"/>
              <w:rPr>
                <w:sz w:val="21"/>
                <w:szCs w:val="21"/>
                <w:highlight w:val="none"/>
              </w:rPr>
            </w:pPr>
            <w:r>
              <w:rPr>
                <w:rFonts w:hint="eastAsia"/>
                <w:sz w:val="21"/>
                <w:szCs w:val="21"/>
                <w:highlight w:val="none"/>
              </w:rPr>
              <w:t>梁、柱</w:t>
            </w:r>
          </w:p>
        </w:tc>
        <w:tc>
          <w:tcPr>
            <w:tcW w:w="1984" w:type="dxa"/>
            <w:tcBorders>
              <w:bottom w:val="single" w:color="000000" w:sz="12" w:space="0"/>
            </w:tcBorders>
          </w:tcPr>
          <w:p>
            <w:pPr>
              <w:jc w:val="center"/>
              <w:rPr>
                <w:sz w:val="21"/>
                <w:szCs w:val="21"/>
                <w:highlight w:val="none"/>
              </w:rPr>
            </w:pPr>
            <w:r>
              <w:rPr>
                <w:rFonts w:hint="eastAsia"/>
                <w:sz w:val="21"/>
                <w:szCs w:val="21"/>
                <w:highlight w:val="none"/>
              </w:rPr>
              <w:t>20</w:t>
            </w:r>
          </w:p>
        </w:tc>
        <w:tc>
          <w:tcPr>
            <w:tcW w:w="1984" w:type="dxa"/>
            <w:tcBorders>
              <w:bottom w:val="single" w:color="000000" w:sz="12" w:space="0"/>
            </w:tcBorders>
          </w:tcPr>
          <w:p>
            <w:pPr>
              <w:jc w:val="center"/>
              <w:rPr>
                <w:sz w:val="21"/>
                <w:szCs w:val="21"/>
                <w:highlight w:val="none"/>
              </w:rPr>
            </w:pPr>
            <w:r>
              <w:rPr>
                <w:rFonts w:hint="eastAsia"/>
                <w:sz w:val="21"/>
                <w:szCs w:val="21"/>
                <w:highlight w:val="none"/>
              </w:rPr>
              <w:t>25</w:t>
            </w:r>
          </w:p>
        </w:tc>
        <w:tc>
          <w:tcPr>
            <w:tcW w:w="1984" w:type="dxa"/>
            <w:tcBorders>
              <w:bottom w:val="single" w:color="000000" w:sz="12" w:space="0"/>
            </w:tcBorders>
          </w:tcPr>
          <w:p>
            <w:pPr>
              <w:jc w:val="center"/>
              <w:rPr>
                <w:rFonts w:hint="default" w:eastAsia="宋体"/>
                <w:sz w:val="21"/>
                <w:szCs w:val="21"/>
                <w:highlight w:val="none"/>
                <w:lang w:val="en-US" w:eastAsia="zh-CN"/>
              </w:rPr>
            </w:pPr>
            <w:r>
              <w:rPr>
                <w:rFonts w:hint="eastAsia"/>
                <w:sz w:val="21"/>
                <w:szCs w:val="21"/>
                <w:highlight w:val="none"/>
                <w:lang w:val="en-US" w:eastAsia="zh-CN"/>
              </w:rPr>
              <w:t>35</w:t>
            </w:r>
          </w:p>
        </w:tc>
      </w:tr>
    </w:tbl>
    <w:p>
      <w:pPr>
        <w:spacing w:line="312" w:lineRule="auto"/>
        <w:ind w:firstLine="437"/>
        <w:rPr>
          <w:rFonts w:hint="eastAsia" w:ascii="Times New Roman" w:hAnsi="Times New Roman" w:eastAsia="宋体" w:cs="Times New Roman"/>
          <w:b/>
          <w:bCs w:val="0"/>
          <w:sz w:val="24"/>
          <w:szCs w:val="28"/>
          <w:highlight w:val="none"/>
          <w:lang w:val="en-US" w:eastAsia="zh-CN"/>
        </w:rPr>
      </w:pPr>
    </w:p>
    <w:p>
      <w:pPr>
        <w:spacing w:line="312" w:lineRule="auto"/>
        <w:ind w:firstLine="437"/>
        <w:rPr>
          <w:rFonts w:hint="eastAsia" w:ascii="Times New Roman" w:hAnsi="Times New Roman" w:eastAsia="宋体" w:cs="Times New Roman"/>
          <w:b/>
          <w:bCs w:val="0"/>
          <w:sz w:val="24"/>
          <w:szCs w:val="28"/>
          <w:highlight w:val="none"/>
          <w:lang w:val="en-US" w:eastAsia="zh-CN"/>
        </w:rPr>
      </w:pPr>
      <w:r>
        <w:rPr>
          <w:rFonts w:hint="eastAsia" w:ascii="Times New Roman" w:hAnsi="Times New Roman" w:eastAsia="宋体" w:cs="Times New Roman"/>
          <w:b/>
          <w:bCs w:val="0"/>
          <w:sz w:val="24"/>
          <w:szCs w:val="28"/>
          <w:highlight w:val="none"/>
          <w:lang w:val="en-US" w:eastAsia="zh-CN"/>
        </w:rPr>
        <w:t>7</w:t>
      </w:r>
      <w:r>
        <w:rPr>
          <w:rFonts w:hint="eastAsia" w:cs="Times New Roman"/>
          <w:b/>
          <w:bCs w:val="0"/>
          <w:sz w:val="24"/>
          <w:szCs w:val="28"/>
          <w:highlight w:val="none"/>
          <w:lang w:val="en-US" w:eastAsia="zh-CN"/>
        </w:rPr>
        <w:t xml:space="preserve">  </w:t>
      </w:r>
      <w:r>
        <w:rPr>
          <w:rFonts w:hint="eastAsia" w:ascii="Times New Roman" w:hAnsi="Times New Roman" w:eastAsia="宋体" w:cs="Times New Roman"/>
          <w:b w:val="0"/>
          <w:bCs/>
          <w:kern w:val="2"/>
          <w:sz w:val="24"/>
          <w:szCs w:val="28"/>
          <w:highlight w:val="none"/>
          <w:lang w:val="en-US" w:eastAsia="zh-CN"/>
        </w:rPr>
        <w:t>在加固设计时，若发现原砌体结构无圈梁和构造柱，或圈梁和构造柱等影响结构整体牢固性的构造措施数量不足或设置部位不当时应在本次加固设计时补足。</w:t>
      </w:r>
    </w:p>
    <w:p>
      <w:pPr>
        <w:spacing w:line="312" w:lineRule="auto"/>
        <w:rPr>
          <w:rFonts w:hint="eastAsia" w:ascii="楷体" w:hAnsi="楷体" w:eastAsia="楷体" w:cs="楷体"/>
          <w:sz w:val="24"/>
          <w:szCs w:val="24"/>
          <w:highlight w:val="none"/>
          <w:u w:val="single"/>
        </w:rPr>
      </w:pPr>
      <w:r>
        <w:rPr>
          <w:rFonts w:hint="eastAsia" w:ascii="楷体" w:hAnsi="楷体" w:eastAsia="楷体" w:cs="楷体"/>
          <w:b w:val="0"/>
          <w:bCs/>
          <w:sz w:val="24"/>
          <w:szCs w:val="24"/>
          <w:highlight w:val="none"/>
          <w:u w:val="single"/>
        </w:rPr>
        <w:t>【条文说明】</w:t>
      </w:r>
      <w:r>
        <w:rPr>
          <w:rFonts w:hint="eastAsia" w:ascii="楷体" w:hAnsi="楷体" w:eastAsia="楷体" w:cs="楷体"/>
          <w:sz w:val="24"/>
          <w:szCs w:val="24"/>
          <w:highlight w:val="none"/>
          <w:u w:val="single"/>
        </w:rPr>
        <w:t>被加固的结构、构件，其加固前的服役时间各不相同，其加固后的结构使用功能又可能有所改变，因此不能直接沿用原设计的安全等级作为加固后的安全等级，而应根据业主对该结构下一目标使用期的要求，以及该房屋加固后的用途和重要性重新进行定位。</w:t>
      </w:r>
    </w:p>
    <w:p>
      <w:pPr>
        <w:spacing w:line="312" w:lineRule="auto"/>
        <w:rPr>
          <w:rFonts w:hint="eastAsia" w:ascii="楷体" w:hAnsi="楷体" w:eastAsia="楷体" w:cs="楷体"/>
          <w:sz w:val="24"/>
          <w:szCs w:val="24"/>
          <w:highlight w:val="none"/>
          <w:u w:val="single"/>
        </w:rPr>
      </w:pPr>
      <w:r>
        <w:rPr>
          <w:rFonts w:hint="eastAsia" w:ascii="楷体" w:hAnsi="楷体" w:eastAsia="楷体" w:cs="楷体"/>
          <w:sz w:val="24"/>
          <w:szCs w:val="24"/>
          <w:highlight w:val="none"/>
          <w:u w:val="single"/>
        </w:rPr>
        <w:t>结构的加固设计，系以业主提供的结构用途、使用条件和使用环境为依据进行的，倘若加固后任意改变其用途、使用条件或使用环境，将显著影响结构加固部分的安全性及耐久性。因此，改变前必须经技术鉴定或设计许可，否则其后果将很严重。</w:t>
      </w:r>
    </w:p>
    <w:p>
      <w:pPr>
        <w:spacing w:line="312" w:lineRule="auto"/>
        <w:rPr>
          <w:rFonts w:hint="eastAsia"/>
          <w:sz w:val="24"/>
          <w:szCs w:val="28"/>
          <w:highlight w:val="none"/>
        </w:rPr>
      </w:pPr>
      <w:r>
        <w:rPr>
          <w:b/>
          <w:sz w:val="24"/>
          <w:szCs w:val="28"/>
          <w:highlight w:val="none"/>
        </w:rPr>
        <w:t>3.0.</w:t>
      </w:r>
      <w:r>
        <w:rPr>
          <w:rFonts w:hint="eastAsia"/>
          <w:b/>
          <w:sz w:val="24"/>
          <w:szCs w:val="28"/>
          <w:highlight w:val="none"/>
        </w:rPr>
        <w:t>5</w:t>
      </w:r>
      <w:r>
        <w:rPr>
          <w:b/>
          <w:sz w:val="24"/>
          <w:szCs w:val="28"/>
          <w:highlight w:val="none"/>
        </w:rPr>
        <w:t xml:space="preserve"> </w:t>
      </w:r>
      <w:r>
        <w:rPr>
          <w:sz w:val="24"/>
          <w:szCs w:val="28"/>
          <w:highlight w:val="none"/>
        </w:rPr>
        <w:t xml:space="preserve"> 采用高延性混凝土加固的砌体结构</w:t>
      </w:r>
      <w:r>
        <w:rPr>
          <w:rFonts w:hint="eastAsia"/>
          <w:sz w:val="24"/>
          <w:szCs w:val="28"/>
          <w:highlight w:val="none"/>
        </w:rPr>
        <w:t>，其</w:t>
      </w:r>
      <w:r>
        <w:rPr>
          <w:sz w:val="24"/>
          <w:szCs w:val="28"/>
          <w:highlight w:val="none"/>
        </w:rPr>
        <w:t>加固设计</w:t>
      </w:r>
      <w:r>
        <w:rPr>
          <w:rFonts w:hint="eastAsia"/>
          <w:sz w:val="24"/>
          <w:szCs w:val="28"/>
          <w:highlight w:val="none"/>
          <w:lang w:eastAsia="zh-CN"/>
        </w:rPr>
        <w:t>工作年限</w:t>
      </w:r>
      <w:r>
        <w:rPr>
          <w:sz w:val="24"/>
          <w:szCs w:val="28"/>
          <w:highlight w:val="none"/>
        </w:rPr>
        <w:t>应符合现行国家标准</w:t>
      </w:r>
      <w:r>
        <w:rPr>
          <w:rFonts w:hint="eastAsia"/>
          <w:sz w:val="24"/>
          <w:szCs w:val="28"/>
          <w:highlight w:val="none"/>
        </w:rPr>
        <w:t>《既有建筑鉴定与加固通用规范》GB 55021</w:t>
      </w:r>
      <w:r>
        <w:rPr>
          <w:rFonts w:hint="eastAsia"/>
          <w:sz w:val="24"/>
          <w:szCs w:val="28"/>
          <w:highlight w:val="none"/>
          <w:lang w:eastAsia="zh-CN"/>
        </w:rPr>
        <w:t>、</w:t>
      </w:r>
      <w:r>
        <w:rPr>
          <w:sz w:val="24"/>
          <w:szCs w:val="28"/>
          <w:highlight w:val="none"/>
        </w:rPr>
        <w:t>《砌体结构加固设计规范》GB 50702</w:t>
      </w:r>
      <w:r>
        <w:rPr>
          <w:rFonts w:hint="eastAsia"/>
          <w:sz w:val="24"/>
          <w:szCs w:val="28"/>
          <w:highlight w:val="none"/>
        </w:rPr>
        <w:t>及国家有关标准的规定。</w:t>
      </w:r>
    </w:p>
    <w:p>
      <w:pPr>
        <w:spacing w:line="312" w:lineRule="auto"/>
        <w:rPr>
          <w:rFonts w:hint="eastAsia" w:ascii="楷体" w:hAnsi="楷体" w:eastAsia="楷体" w:cs="楷体"/>
          <w:sz w:val="24"/>
          <w:szCs w:val="24"/>
          <w:highlight w:val="none"/>
          <w:u w:val="single"/>
          <w:lang w:val="en-US" w:eastAsia="zh-CN"/>
        </w:rPr>
      </w:pPr>
      <w:r>
        <w:rPr>
          <w:rFonts w:hint="eastAsia" w:ascii="楷体" w:hAnsi="楷体" w:eastAsia="楷体" w:cs="楷体"/>
          <w:b w:val="0"/>
          <w:bCs/>
          <w:sz w:val="24"/>
          <w:szCs w:val="24"/>
          <w:highlight w:val="none"/>
          <w:u w:val="single"/>
        </w:rPr>
        <w:t>【条文说明】</w:t>
      </w:r>
      <w:r>
        <w:rPr>
          <w:rFonts w:hint="eastAsia" w:ascii="楷体" w:hAnsi="楷体" w:eastAsia="楷体" w:cs="楷体"/>
          <w:sz w:val="24"/>
          <w:szCs w:val="24"/>
          <w:highlight w:val="none"/>
          <w:u w:val="single"/>
          <w:lang w:val="en-US" w:eastAsia="zh-CN"/>
        </w:rPr>
        <w:t>采用高延性混凝土加固的结构加固设计工作年限的规定，与现行国家标准《既有建筑鉴定与加固通用规范》GB 55021、《砌体结构加固设计规范》GB 50702和《混凝土结构加固设计规范》GB 50367等相协调。</w:t>
      </w:r>
    </w:p>
    <w:p>
      <w:pPr>
        <w:spacing w:before="72" w:beforeLines="30" w:after="72" w:afterLines="30"/>
        <w:jc w:val="center"/>
        <w:outlineLvl w:val="0"/>
        <w:rPr>
          <w:rFonts w:eastAsia="黑体"/>
          <w:sz w:val="28"/>
          <w:szCs w:val="28"/>
          <w:highlight w:val="none"/>
        </w:rPr>
      </w:pPr>
      <w:r>
        <w:rPr>
          <w:highlight w:val="none"/>
        </w:rPr>
        <w:br w:type="page"/>
      </w:r>
      <w:bookmarkStart w:id="287" w:name="_Toc532464199"/>
      <w:bookmarkStart w:id="288" w:name="_Toc25070625"/>
      <w:bookmarkStart w:id="289" w:name="_Toc535475895"/>
      <w:bookmarkStart w:id="290" w:name="_Toc19545207"/>
      <w:bookmarkStart w:id="291" w:name="_Toc519684041"/>
      <w:bookmarkStart w:id="292" w:name="_Toc25690854"/>
      <w:bookmarkStart w:id="293" w:name="_Toc445664184"/>
      <w:bookmarkStart w:id="294" w:name="_Toc32848333"/>
      <w:bookmarkStart w:id="295" w:name="_Toc535338343"/>
      <w:bookmarkStart w:id="296" w:name="_Toc32865074"/>
      <w:bookmarkStart w:id="297" w:name="_Toc48210003"/>
      <w:bookmarkStart w:id="298" w:name="_Toc48138884"/>
      <w:bookmarkStart w:id="299" w:name="_Toc48210352"/>
      <w:bookmarkStart w:id="300" w:name="_Toc48210112"/>
      <w:bookmarkStart w:id="301" w:name="_Toc52264492"/>
      <w:bookmarkStart w:id="302" w:name="_Toc54256642"/>
      <w:bookmarkStart w:id="303" w:name="_Toc54255547"/>
      <w:bookmarkStart w:id="304" w:name="_Toc38358398"/>
      <w:bookmarkStart w:id="305" w:name="_Toc48138962"/>
      <w:bookmarkStart w:id="306" w:name="_Toc38352772"/>
      <w:bookmarkStart w:id="307" w:name="_Toc28439"/>
      <w:bookmarkStart w:id="308" w:name="_Toc63348920"/>
      <w:bookmarkStart w:id="309" w:name="_Toc67330588"/>
      <w:bookmarkStart w:id="310" w:name="_Toc29858"/>
      <w:bookmarkStart w:id="311" w:name="_Toc63348844"/>
      <w:bookmarkStart w:id="312" w:name="_Toc70169815"/>
      <w:bookmarkStart w:id="313" w:name="_Toc25862"/>
      <w:bookmarkStart w:id="314" w:name="_Toc233176251"/>
      <w:r>
        <w:rPr>
          <w:rFonts w:eastAsia="黑体"/>
          <w:b/>
          <w:sz w:val="28"/>
          <w:szCs w:val="28"/>
          <w:highlight w:val="none"/>
        </w:rPr>
        <w:t>4</w:t>
      </w:r>
      <w:r>
        <w:rPr>
          <w:rFonts w:eastAsia="黑体"/>
          <w:sz w:val="28"/>
          <w:szCs w:val="28"/>
          <w:highlight w:val="none"/>
        </w:rPr>
        <w:t xml:space="preserve">  </w:t>
      </w:r>
      <w:bookmarkEnd w:id="287"/>
      <w:bookmarkEnd w:id="288"/>
      <w:bookmarkEnd w:id="289"/>
      <w:bookmarkEnd w:id="290"/>
      <w:bookmarkEnd w:id="291"/>
      <w:bookmarkEnd w:id="292"/>
      <w:bookmarkEnd w:id="293"/>
      <w:bookmarkEnd w:id="294"/>
      <w:bookmarkEnd w:id="295"/>
      <w:r>
        <w:rPr>
          <w:rFonts w:eastAsia="黑体"/>
          <w:sz w:val="28"/>
          <w:szCs w:val="28"/>
          <w:highlight w:val="none"/>
        </w:rPr>
        <w:t>高延性混凝土</w:t>
      </w:r>
      <w:bookmarkEnd w:id="296"/>
      <w:bookmarkEnd w:id="297"/>
      <w:bookmarkEnd w:id="298"/>
      <w:bookmarkEnd w:id="299"/>
      <w:bookmarkEnd w:id="300"/>
      <w:bookmarkEnd w:id="301"/>
      <w:bookmarkEnd w:id="302"/>
      <w:bookmarkEnd w:id="303"/>
      <w:bookmarkEnd w:id="304"/>
      <w:bookmarkEnd w:id="305"/>
      <w:bookmarkEnd w:id="306"/>
      <w:r>
        <w:rPr>
          <w:rFonts w:eastAsia="黑体"/>
          <w:sz w:val="28"/>
          <w:szCs w:val="28"/>
          <w:highlight w:val="none"/>
        </w:rPr>
        <w:t>材料</w:t>
      </w:r>
      <w:bookmarkEnd w:id="307"/>
      <w:bookmarkEnd w:id="308"/>
      <w:bookmarkEnd w:id="309"/>
      <w:bookmarkEnd w:id="310"/>
      <w:bookmarkEnd w:id="311"/>
      <w:bookmarkEnd w:id="312"/>
      <w:bookmarkEnd w:id="313"/>
    </w:p>
    <w:p>
      <w:pPr>
        <w:pStyle w:val="2"/>
      </w:pPr>
    </w:p>
    <w:p>
      <w:pPr>
        <w:spacing w:line="360" w:lineRule="auto"/>
        <w:jc w:val="center"/>
        <w:outlineLvl w:val="1"/>
        <w:rPr>
          <w:rFonts w:eastAsia="黑体"/>
          <w:sz w:val="24"/>
          <w:szCs w:val="28"/>
          <w:highlight w:val="none"/>
        </w:rPr>
      </w:pPr>
      <w:bookmarkStart w:id="315" w:name="_Toc535338344"/>
      <w:bookmarkStart w:id="316" w:name="_Toc445664185"/>
      <w:bookmarkStart w:id="317" w:name="_Toc532464200"/>
      <w:bookmarkStart w:id="318" w:name="_Toc535475896"/>
      <w:bookmarkStart w:id="319" w:name="_Toc519684042"/>
      <w:bookmarkStart w:id="320" w:name="_Toc445666207"/>
      <w:bookmarkStart w:id="321" w:name="_Toc48210004"/>
      <w:bookmarkStart w:id="322" w:name="_Toc42709216"/>
      <w:bookmarkStart w:id="323" w:name="_Toc48210113"/>
      <w:bookmarkStart w:id="324" w:name="_Toc1104"/>
      <w:bookmarkStart w:id="325" w:name="_Toc63348921"/>
      <w:bookmarkStart w:id="326" w:name="_Toc25172040"/>
      <w:bookmarkStart w:id="327" w:name="_Toc63348845"/>
      <w:bookmarkStart w:id="328" w:name="_Toc54255548"/>
      <w:bookmarkStart w:id="329" w:name="_Toc54256643"/>
      <w:bookmarkStart w:id="330" w:name="_Toc67330589"/>
      <w:bookmarkStart w:id="331" w:name="_Toc52264493"/>
      <w:bookmarkStart w:id="332" w:name="_Toc48210353"/>
      <w:bookmarkStart w:id="333" w:name="_Toc5426"/>
      <w:bookmarkStart w:id="334" w:name="_Toc25308063"/>
      <w:bookmarkStart w:id="335" w:name="_Toc25064"/>
      <w:bookmarkStart w:id="336" w:name="_Toc42708970"/>
      <w:bookmarkStart w:id="337" w:name="_Toc70169816"/>
      <w:bookmarkStart w:id="338" w:name="_Toc25070642"/>
      <w:bookmarkStart w:id="339" w:name="_Toc519684076"/>
      <w:bookmarkStart w:id="340" w:name="_Toc532464294"/>
      <w:bookmarkStart w:id="341" w:name="_Toc25690857"/>
      <w:bookmarkStart w:id="342" w:name="_Toc535475935"/>
      <w:bookmarkStart w:id="343" w:name="_Toc445664196"/>
      <w:bookmarkStart w:id="344" w:name="_Toc535338383"/>
      <w:bookmarkStart w:id="345" w:name="_Toc19545224"/>
      <w:bookmarkStart w:id="346" w:name="_Toc445666218"/>
      <w:r>
        <w:rPr>
          <w:rFonts w:eastAsia="黑体"/>
          <w:b/>
          <w:sz w:val="24"/>
          <w:szCs w:val="28"/>
          <w:highlight w:val="none"/>
        </w:rPr>
        <w:t>4.1</w:t>
      </w:r>
      <w:r>
        <w:rPr>
          <w:rFonts w:eastAsia="黑体"/>
          <w:sz w:val="24"/>
          <w:szCs w:val="28"/>
          <w:highlight w:val="none"/>
        </w:rPr>
        <w:t xml:space="preserve">  </w:t>
      </w:r>
      <w:bookmarkEnd w:id="315"/>
      <w:bookmarkEnd w:id="316"/>
      <w:bookmarkEnd w:id="317"/>
      <w:bookmarkEnd w:id="318"/>
      <w:bookmarkEnd w:id="319"/>
      <w:bookmarkEnd w:id="320"/>
      <w:r>
        <w:rPr>
          <w:rFonts w:eastAsia="黑体"/>
          <w:sz w:val="24"/>
          <w:szCs w:val="28"/>
          <w:highlight w:val="none"/>
        </w:rPr>
        <w:t>原材料</w:t>
      </w:r>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p>
    <w:p>
      <w:pPr>
        <w:pStyle w:val="2"/>
      </w:pPr>
    </w:p>
    <w:p>
      <w:pPr>
        <w:spacing w:line="312" w:lineRule="auto"/>
        <w:rPr>
          <w:sz w:val="24"/>
          <w:szCs w:val="28"/>
          <w:highlight w:val="none"/>
        </w:rPr>
      </w:pPr>
      <w:bookmarkStart w:id="347" w:name="_Toc445664186"/>
      <w:bookmarkStart w:id="348" w:name="_Toc445666208"/>
      <w:bookmarkStart w:id="349" w:name="_Toc519684043"/>
      <w:bookmarkStart w:id="350" w:name="_Toc535338362"/>
      <w:bookmarkStart w:id="351" w:name="_Toc535475914"/>
      <w:bookmarkStart w:id="352" w:name="_Toc532464218"/>
      <w:r>
        <w:rPr>
          <w:b/>
          <w:sz w:val="24"/>
          <w:szCs w:val="28"/>
          <w:highlight w:val="none"/>
        </w:rPr>
        <w:t>4.1.1</w:t>
      </w:r>
      <w:r>
        <w:rPr>
          <w:sz w:val="24"/>
          <w:szCs w:val="28"/>
          <w:highlight w:val="none"/>
        </w:rPr>
        <w:t xml:space="preserve">  高延性混凝土采用合成纤维作为增韧材料。合成纤维的规格宜符合表4.1.1-1</w:t>
      </w:r>
      <w:r>
        <w:rPr>
          <w:rFonts w:hint="eastAsia"/>
          <w:sz w:val="24"/>
          <w:szCs w:val="28"/>
          <w:highlight w:val="none"/>
        </w:rPr>
        <w:t>、</w:t>
      </w:r>
      <w:r>
        <w:rPr>
          <w:sz w:val="24"/>
          <w:szCs w:val="28"/>
          <w:highlight w:val="none"/>
        </w:rPr>
        <w:t>力学性能</w:t>
      </w:r>
      <w:r>
        <w:rPr>
          <w:rFonts w:hint="eastAsia"/>
          <w:sz w:val="24"/>
          <w:szCs w:val="28"/>
          <w:highlight w:val="none"/>
        </w:rPr>
        <w:t>应符合</w:t>
      </w:r>
      <w:r>
        <w:rPr>
          <w:sz w:val="24"/>
          <w:szCs w:val="28"/>
          <w:highlight w:val="none"/>
        </w:rPr>
        <w:t>表4.1.1-2的规定。其中，纤维力学性能应满足现行国家标准《水泥混凝土和砂浆用合成纤维》GB/T 21120的规定。</w:t>
      </w:r>
    </w:p>
    <w:p>
      <w:pPr>
        <w:snapToGrid w:val="0"/>
        <w:spacing w:before="120" w:beforeLines="50" w:line="312" w:lineRule="auto"/>
        <w:jc w:val="center"/>
        <w:rPr>
          <w:rFonts w:eastAsia="黑体"/>
          <w:sz w:val="24"/>
          <w:szCs w:val="28"/>
          <w:highlight w:val="none"/>
        </w:rPr>
      </w:pPr>
      <w:r>
        <w:rPr>
          <w:rFonts w:eastAsia="黑体"/>
          <w:sz w:val="24"/>
          <w:szCs w:val="28"/>
          <w:highlight w:val="none"/>
        </w:rPr>
        <w:t>表4.1.1-1  合成纤维的规格</w:t>
      </w:r>
    </w:p>
    <w:tbl>
      <w:tblPr>
        <w:tblStyle w:val="23"/>
        <w:tblW w:w="0" w:type="auto"/>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497"/>
        <w:gridCol w:w="2994"/>
        <w:gridCol w:w="1497"/>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1497" w:type="dxa"/>
            <w:tcBorders>
              <w:top w:val="single" w:color="000000" w:sz="12" w:space="0"/>
            </w:tcBorders>
            <w:vAlign w:val="center"/>
          </w:tcPr>
          <w:p>
            <w:pPr>
              <w:jc w:val="center"/>
              <w:rPr>
                <w:sz w:val="21"/>
                <w:szCs w:val="21"/>
                <w:highlight w:val="none"/>
              </w:rPr>
            </w:pPr>
            <w:r>
              <w:rPr>
                <w:sz w:val="21"/>
                <w:szCs w:val="21"/>
                <w:highlight w:val="none"/>
              </w:rPr>
              <w:t>外  形</w:t>
            </w:r>
          </w:p>
        </w:tc>
        <w:tc>
          <w:tcPr>
            <w:tcW w:w="2994" w:type="dxa"/>
            <w:tcBorders>
              <w:top w:val="single" w:color="000000" w:sz="12" w:space="0"/>
            </w:tcBorders>
            <w:vAlign w:val="center"/>
          </w:tcPr>
          <w:p>
            <w:pPr>
              <w:jc w:val="center"/>
              <w:rPr>
                <w:sz w:val="21"/>
                <w:szCs w:val="21"/>
                <w:highlight w:val="none"/>
              </w:rPr>
            </w:pPr>
            <w:r>
              <w:rPr>
                <w:sz w:val="21"/>
                <w:szCs w:val="21"/>
                <w:highlight w:val="none"/>
              </w:rPr>
              <w:t>公称长度（mm）</w:t>
            </w:r>
          </w:p>
        </w:tc>
        <w:tc>
          <w:tcPr>
            <w:tcW w:w="1497" w:type="dxa"/>
            <w:tcBorders>
              <w:top w:val="single" w:color="000000" w:sz="12" w:space="0"/>
            </w:tcBorders>
            <w:vAlign w:val="center"/>
          </w:tcPr>
          <w:p>
            <w:pPr>
              <w:jc w:val="center"/>
              <w:rPr>
                <w:sz w:val="21"/>
                <w:szCs w:val="21"/>
                <w:highlight w:val="none"/>
              </w:rPr>
            </w:pPr>
            <w:r>
              <w:rPr>
                <w:sz w:val="21"/>
                <w:szCs w:val="21"/>
                <w:highlight w:val="none"/>
              </w:rPr>
              <w:t>当量直径（</w:t>
            </w:r>
            <w:r>
              <w:rPr>
                <w:sz w:val="21"/>
                <w:szCs w:val="21"/>
                <w:highlight w:val="none"/>
              </w:rPr>
              <w:sym w:font="Symbol" w:char="F06D"/>
            </w:r>
            <w:r>
              <w:rPr>
                <w:sz w:val="21"/>
                <w:szCs w:val="21"/>
                <w:highlight w:val="none"/>
              </w:rPr>
              <w:t>m）</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1497" w:type="dxa"/>
          </w:tcPr>
          <w:p>
            <w:pPr>
              <w:jc w:val="center"/>
              <w:rPr>
                <w:sz w:val="21"/>
                <w:szCs w:val="21"/>
                <w:highlight w:val="none"/>
              </w:rPr>
            </w:pPr>
            <w:r>
              <w:rPr>
                <w:rFonts w:hint="eastAsia"/>
                <w:sz w:val="21"/>
                <w:szCs w:val="21"/>
                <w:highlight w:val="none"/>
                <w:lang w:val="en-US" w:eastAsia="zh-CN"/>
              </w:rPr>
              <w:t>合成</w:t>
            </w:r>
            <w:r>
              <w:rPr>
                <w:sz w:val="21"/>
                <w:szCs w:val="21"/>
                <w:highlight w:val="none"/>
              </w:rPr>
              <w:t>纤维</w:t>
            </w:r>
          </w:p>
        </w:tc>
        <w:tc>
          <w:tcPr>
            <w:tcW w:w="2994" w:type="dxa"/>
          </w:tcPr>
          <w:p>
            <w:pPr>
              <w:jc w:val="center"/>
              <w:rPr>
                <w:sz w:val="21"/>
                <w:szCs w:val="21"/>
                <w:highlight w:val="none"/>
              </w:rPr>
            </w:pPr>
            <w:r>
              <w:rPr>
                <w:sz w:val="21"/>
                <w:szCs w:val="21"/>
                <w:highlight w:val="none"/>
              </w:rPr>
              <w:t>4~15</w:t>
            </w:r>
          </w:p>
        </w:tc>
        <w:tc>
          <w:tcPr>
            <w:tcW w:w="1497" w:type="dxa"/>
          </w:tcPr>
          <w:p>
            <w:pPr>
              <w:jc w:val="center"/>
              <w:rPr>
                <w:sz w:val="21"/>
                <w:szCs w:val="21"/>
                <w:highlight w:val="none"/>
              </w:rPr>
            </w:pPr>
            <w:r>
              <w:rPr>
                <w:sz w:val="21"/>
                <w:szCs w:val="21"/>
                <w:highlight w:val="none"/>
              </w:rPr>
              <w:t>12~50</w:t>
            </w:r>
          </w:p>
        </w:tc>
      </w:tr>
    </w:tbl>
    <w:p>
      <w:pPr>
        <w:snapToGrid w:val="0"/>
        <w:spacing w:before="120" w:beforeLines="50" w:line="312" w:lineRule="auto"/>
        <w:jc w:val="center"/>
        <w:rPr>
          <w:rFonts w:eastAsia="黑体"/>
          <w:sz w:val="24"/>
          <w:szCs w:val="28"/>
          <w:highlight w:val="none"/>
        </w:rPr>
      </w:pPr>
      <w:r>
        <w:rPr>
          <w:rFonts w:eastAsia="黑体"/>
          <w:sz w:val="24"/>
          <w:szCs w:val="28"/>
          <w:highlight w:val="none"/>
        </w:rPr>
        <w:t>表4.1.1-2  合成纤维的力学性能</w:t>
      </w:r>
    </w:p>
    <w:tbl>
      <w:tblPr>
        <w:tblStyle w:val="23"/>
        <w:tblW w:w="0" w:type="auto"/>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2994"/>
        <w:gridCol w:w="2994"/>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2994" w:type="dxa"/>
            <w:vAlign w:val="center"/>
          </w:tcPr>
          <w:p>
            <w:pPr>
              <w:jc w:val="center"/>
              <w:rPr>
                <w:sz w:val="21"/>
                <w:szCs w:val="21"/>
                <w:highlight w:val="none"/>
              </w:rPr>
            </w:pPr>
            <w:r>
              <w:rPr>
                <w:sz w:val="21"/>
                <w:szCs w:val="21"/>
                <w:highlight w:val="none"/>
              </w:rPr>
              <w:t>项  目</w:t>
            </w:r>
          </w:p>
        </w:tc>
        <w:tc>
          <w:tcPr>
            <w:tcW w:w="2994" w:type="dxa"/>
            <w:vAlign w:val="center"/>
          </w:tcPr>
          <w:p>
            <w:pPr>
              <w:jc w:val="center"/>
              <w:rPr>
                <w:sz w:val="21"/>
                <w:szCs w:val="21"/>
                <w:highlight w:val="none"/>
              </w:rPr>
            </w:pPr>
            <w:r>
              <w:rPr>
                <w:sz w:val="21"/>
                <w:szCs w:val="21"/>
                <w:highlight w:val="none"/>
              </w:rPr>
              <w:t>力学性能</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2994" w:type="dxa"/>
            <w:vAlign w:val="center"/>
          </w:tcPr>
          <w:p>
            <w:pPr>
              <w:jc w:val="center"/>
              <w:rPr>
                <w:sz w:val="21"/>
                <w:szCs w:val="21"/>
                <w:highlight w:val="none"/>
              </w:rPr>
            </w:pPr>
            <w:r>
              <w:rPr>
                <w:sz w:val="21"/>
                <w:szCs w:val="21"/>
                <w:highlight w:val="none"/>
              </w:rPr>
              <w:t>断裂强度（N/mm</w:t>
            </w:r>
            <w:r>
              <w:rPr>
                <w:sz w:val="21"/>
                <w:szCs w:val="21"/>
                <w:highlight w:val="none"/>
                <w:vertAlign w:val="superscript"/>
              </w:rPr>
              <w:t>2</w:t>
            </w:r>
            <w:r>
              <w:rPr>
                <w:sz w:val="21"/>
                <w:szCs w:val="21"/>
                <w:highlight w:val="none"/>
              </w:rPr>
              <w:t>）</w:t>
            </w:r>
          </w:p>
        </w:tc>
        <w:tc>
          <w:tcPr>
            <w:tcW w:w="2994" w:type="dxa"/>
            <w:vAlign w:val="center"/>
          </w:tcPr>
          <w:p>
            <w:pPr>
              <w:jc w:val="center"/>
              <w:rPr>
                <w:sz w:val="21"/>
                <w:szCs w:val="21"/>
                <w:highlight w:val="none"/>
              </w:rPr>
            </w:pPr>
            <w:r>
              <w:rPr>
                <w:rFonts w:ascii="宋体" w:hAnsi="宋体"/>
                <w:sz w:val="21"/>
                <w:szCs w:val="21"/>
                <w:highlight w:val="none"/>
              </w:rPr>
              <w:t>≥</w:t>
            </w:r>
            <w:r>
              <w:rPr>
                <w:sz w:val="21"/>
                <w:szCs w:val="21"/>
                <w:highlight w:val="none"/>
              </w:rPr>
              <w:t>1200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2994" w:type="dxa"/>
            <w:vAlign w:val="center"/>
          </w:tcPr>
          <w:p>
            <w:pPr>
              <w:jc w:val="center"/>
              <w:rPr>
                <w:sz w:val="21"/>
                <w:szCs w:val="21"/>
                <w:highlight w:val="none"/>
              </w:rPr>
            </w:pPr>
            <w:r>
              <w:rPr>
                <w:sz w:val="21"/>
                <w:szCs w:val="21"/>
                <w:highlight w:val="none"/>
              </w:rPr>
              <w:t>初始模量（N/mm</w:t>
            </w:r>
            <w:r>
              <w:rPr>
                <w:sz w:val="21"/>
                <w:szCs w:val="21"/>
                <w:highlight w:val="none"/>
                <w:vertAlign w:val="superscript"/>
              </w:rPr>
              <w:t>2</w:t>
            </w:r>
            <w:r>
              <w:rPr>
                <w:sz w:val="21"/>
                <w:szCs w:val="21"/>
                <w:highlight w:val="none"/>
              </w:rPr>
              <w:t>）</w:t>
            </w:r>
          </w:p>
        </w:tc>
        <w:tc>
          <w:tcPr>
            <w:tcW w:w="2994" w:type="dxa"/>
            <w:vAlign w:val="center"/>
          </w:tcPr>
          <w:p>
            <w:pPr>
              <w:jc w:val="center"/>
              <w:rPr>
                <w:rFonts w:hint="eastAsia" w:eastAsia="宋体"/>
                <w:sz w:val="21"/>
                <w:szCs w:val="21"/>
                <w:highlight w:val="none"/>
                <w:lang w:eastAsia="zh-CN"/>
              </w:rPr>
            </w:pPr>
            <w:r>
              <w:rPr>
                <w:rFonts w:ascii="宋体" w:hAnsi="宋体"/>
                <w:sz w:val="21"/>
                <w:szCs w:val="21"/>
                <w:highlight w:val="none"/>
              </w:rPr>
              <w:t>≥</w:t>
            </w:r>
            <w:r>
              <w:rPr>
                <w:sz w:val="21"/>
                <w:szCs w:val="21"/>
                <w:highlight w:val="none"/>
              </w:rPr>
              <w:t>3</w:t>
            </w:r>
            <w:r>
              <w:rPr>
                <w:rFonts w:hint="eastAsia"/>
                <w:sz w:val="21"/>
                <w:szCs w:val="21"/>
                <w:highlight w:val="none"/>
                <w:lang w:val="en-US" w:eastAsia="zh-CN"/>
              </w:rPr>
              <w:t>.</w:t>
            </w:r>
            <w:r>
              <w:rPr>
                <w:sz w:val="21"/>
                <w:szCs w:val="21"/>
                <w:highlight w:val="none"/>
              </w:rPr>
              <w:t>0</w:t>
            </w:r>
            <w:r>
              <w:rPr>
                <w:sz w:val="21"/>
                <w:szCs w:val="21"/>
                <w:highlight w:val="none"/>
              </w:rPr>
              <w:sym w:font="Symbol" w:char="F0B4"/>
            </w:r>
            <w:r>
              <w:rPr>
                <w:sz w:val="21"/>
                <w:szCs w:val="21"/>
                <w:highlight w:val="none"/>
              </w:rPr>
              <w:t>10</w:t>
            </w:r>
            <w:r>
              <w:rPr>
                <w:rFonts w:hint="eastAsia"/>
                <w:sz w:val="21"/>
                <w:szCs w:val="21"/>
                <w:highlight w:val="none"/>
                <w:vertAlign w:val="superscript"/>
                <w:lang w:val="en-US" w:eastAsia="zh-CN"/>
              </w:rPr>
              <w:t>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2994" w:type="dxa"/>
            <w:vAlign w:val="center"/>
          </w:tcPr>
          <w:p>
            <w:pPr>
              <w:jc w:val="center"/>
              <w:rPr>
                <w:sz w:val="21"/>
                <w:szCs w:val="21"/>
                <w:highlight w:val="none"/>
              </w:rPr>
            </w:pPr>
            <w:r>
              <w:rPr>
                <w:sz w:val="21"/>
                <w:szCs w:val="21"/>
                <w:highlight w:val="none"/>
              </w:rPr>
              <w:t>断裂伸长率（%）</w:t>
            </w:r>
          </w:p>
        </w:tc>
        <w:tc>
          <w:tcPr>
            <w:tcW w:w="2994" w:type="dxa"/>
            <w:vAlign w:val="center"/>
          </w:tcPr>
          <w:p>
            <w:pPr>
              <w:jc w:val="center"/>
              <w:rPr>
                <w:sz w:val="21"/>
                <w:szCs w:val="21"/>
                <w:highlight w:val="none"/>
              </w:rPr>
            </w:pPr>
            <w:r>
              <w:rPr>
                <w:sz w:val="21"/>
                <w:szCs w:val="21"/>
                <w:highlight w:val="none"/>
              </w:rPr>
              <w:t>3.0~8.0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2994" w:type="dxa"/>
            <w:vAlign w:val="center"/>
          </w:tcPr>
          <w:p>
            <w:pPr>
              <w:jc w:val="center"/>
              <w:rPr>
                <w:sz w:val="21"/>
                <w:szCs w:val="21"/>
                <w:highlight w:val="none"/>
              </w:rPr>
            </w:pPr>
            <w:r>
              <w:rPr>
                <w:sz w:val="21"/>
                <w:szCs w:val="21"/>
                <w:highlight w:val="none"/>
              </w:rPr>
              <w:t>耐碱性能（极限拉力保持率）</w:t>
            </w:r>
          </w:p>
        </w:tc>
        <w:tc>
          <w:tcPr>
            <w:tcW w:w="2994" w:type="dxa"/>
            <w:vAlign w:val="center"/>
          </w:tcPr>
          <w:p>
            <w:pPr>
              <w:jc w:val="center"/>
              <w:rPr>
                <w:sz w:val="21"/>
                <w:szCs w:val="21"/>
                <w:highlight w:val="none"/>
              </w:rPr>
            </w:pPr>
            <w:r>
              <w:rPr>
                <w:rFonts w:ascii="宋体" w:hAnsi="宋体"/>
                <w:sz w:val="21"/>
                <w:szCs w:val="21"/>
                <w:highlight w:val="none"/>
              </w:rPr>
              <w:t>≥</w:t>
            </w:r>
            <w:r>
              <w:rPr>
                <w:sz w:val="21"/>
                <w:szCs w:val="21"/>
                <w:highlight w:val="none"/>
              </w:rPr>
              <w:t>95%</w:t>
            </w:r>
          </w:p>
        </w:tc>
      </w:tr>
    </w:tbl>
    <w:p>
      <w:pPr>
        <w:keepNext w:val="0"/>
        <w:keepLines w:val="0"/>
        <w:pageBreakBefore w:val="0"/>
        <w:widowControl w:val="0"/>
        <w:kinsoku/>
        <w:wordWrap/>
        <w:overflowPunct/>
        <w:topLinePunct w:val="0"/>
        <w:autoSpaceDE/>
        <w:autoSpaceDN/>
        <w:bidi w:val="0"/>
        <w:adjustRightInd/>
        <w:snapToGrid/>
        <w:spacing w:before="157" w:beforeLines="50" w:line="312" w:lineRule="auto"/>
        <w:textAlignment w:val="auto"/>
        <w:rPr>
          <w:rFonts w:hint="eastAsia" w:ascii="楷体" w:hAnsi="楷体" w:eastAsia="楷体" w:cs="楷体"/>
          <w:sz w:val="24"/>
          <w:szCs w:val="24"/>
          <w:highlight w:val="none"/>
          <w:u w:val="single"/>
        </w:rPr>
      </w:pPr>
      <w:r>
        <w:rPr>
          <w:rFonts w:hint="eastAsia" w:ascii="楷体" w:hAnsi="楷体" w:eastAsia="楷体" w:cs="楷体"/>
          <w:b w:val="0"/>
          <w:bCs/>
          <w:sz w:val="24"/>
          <w:szCs w:val="24"/>
          <w:highlight w:val="none"/>
          <w:u w:val="single"/>
        </w:rPr>
        <w:t>【条文说明】</w:t>
      </w:r>
      <w:r>
        <w:rPr>
          <w:rFonts w:hint="eastAsia" w:ascii="楷体" w:hAnsi="楷体" w:eastAsia="楷体" w:cs="楷体"/>
          <w:sz w:val="24"/>
          <w:szCs w:val="24"/>
          <w:highlight w:val="none"/>
          <w:u w:val="single"/>
        </w:rPr>
        <w:t xml:space="preserve"> 纤维的耐碱性能用来衡量合成纤维在碱性介质内纤维强度的稳定性，而极限拉力保持率是评价耐碱性能的主要参数。极限拉力保持率是指合成纤维在氢氧化钠碱溶液中，以规定的温度、浓度和时间浸泡处理，然后测试其断裂强度，与原试样的断裂强度之比的百分率。</w:t>
      </w:r>
    </w:p>
    <w:p>
      <w:pPr>
        <w:spacing w:line="312" w:lineRule="auto"/>
        <w:jc w:val="left"/>
        <w:rPr>
          <w:sz w:val="24"/>
          <w:szCs w:val="28"/>
          <w:highlight w:val="none"/>
        </w:rPr>
      </w:pPr>
      <w:r>
        <w:rPr>
          <w:b/>
          <w:sz w:val="24"/>
          <w:szCs w:val="28"/>
          <w:highlight w:val="none"/>
        </w:rPr>
        <w:t>4.1.2</w:t>
      </w:r>
      <w:r>
        <w:rPr>
          <w:sz w:val="24"/>
          <w:szCs w:val="28"/>
          <w:highlight w:val="none"/>
        </w:rPr>
        <w:t xml:space="preserve">  水泥应符合现行国家标准《通用硅酸盐水泥》GB 175的相关规定。</w:t>
      </w:r>
    </w:p>
    <w:p>
      <w:pPr>
        <w:spacing w:line="312" w:lineRule="auto"/>
        <w:jc w:val="left"/>
        <w:rPr>
          <w:sz w:val="24"/>
          <w:szCs w:val="28"/>
          <w:highlight w:val="none"/>
        </w:rPr>
      </w:pPr>
      <w:r>
        <w:rPr>
          <w:b/>
          <w:sz w:val="24"/>
          <w:szCs w:val="28"/>
          <w:highlight w:val="none"/>
        </w:rPr>
        <w:t>4.1.3</w:t>
      </w:r>
      <w:r>
        <w:rPr>
          <w:sz w:val="24"/>
          <w:szCs w:val="28"/>
          <w:highlight w:val="none"/>
        </w:rPr>
        <w:t xml:space="preserve">  骨料应符合现行国家标准《建设用砂》GB/T 14684的规定，并宜采用中砂。</w:t>
      </w:r>
    </w:p>
    <w:p>
      <w:pPr>
        <w:spacing w:line="312" w:lineRule="auto"/>
        <w:jc w:val="left"/>
        <w:rPr>
          <w:sz w:val="24"/>
          <w:szCs w:val="28"/>
          <w:highlight w:val="none"/>
        </w:rPr>
      </w:pPr>
      <w:r>
        <w:rPr>
          <w:b/>
          <w:sz w:val="24"/>
          <w:szCs w:val="28"/>
          <w:highlight w:val="none"/>
        </w:rPr>
        <w:t>4.1.4</w:t>
      </w:r>
      <w:r>
        <w:rPr>
          <w:sz w:val="24"/>
          <w:szCs w:val="28"/>
          <w:highlight w:val="none"/>
        </w:rPr>
        <w:t xml:space="preserve">  外加剂应符合现行国家标准《混凝土外加剂》GB 8076和《混凝土外加剂应用技术规范》 GB 50119的规定。</w:t>
      </w:r>
    </w:p>
    <w:p>
      <w:pPr>
        <w:spacing w:line="312" w:lineRule="auto"/>
        <w:jc w:val="left"/>
        <w:rPr>
          <w:sz w:val="24"/>
          <w:szCs w:val="28"/>
          <w:highlight w:val="none"/>
        </w:rPr>
      </w:pPr>
      <w:r>
        <w:rPr>
          <w:b/>
          <w:sz w:val="24"/>
          <w:szCs w:val="28"/>
          <w:highlight w:val="none"/>
        </w:rPr>
        <w:t xml:space="preserve">4.1.5 </w:t>
      </w:r>
      <w:r>
        <w:rPr>
          <w:sz w:val="24"/>
          <w:szCs w:val="28"/>
          <w:highlight w:val="none"/>
        </w:rPr>
        <w:t xml:space="preserve"> 粉煤灰和粒化高炉矿渣粉等矿物掺合料应符合现行国家标准《用于水泥和混凝土中的粉煤灰》GB/T 1596和《用于水泥、砂浆和混凝土中的粒化高炉矿渣粉》GB/T 18046</w:t>
      </w:r>
      <w:r>
        <w:rPr>
          <w:rFonts w:hint="eastAsia"/>
          <w:sz w:val="24"/>
          <w:szCs w:val="28"/>
          <w:highlight w:val="none"/>
        </w:rPr>
        <w:t>等国家现行有关标准</w:t>
      </w:r>
      <w:r>
        <w:rPr>
          <w:sz w:val="24"/>
          <w:szCs w:val="28"/>
          <w:highlight w:val="none"/>
        </w:rPr>
        <w:t>的规定。</w:t>
      </w:r>
    </w:p>
    <w:p>
      <w:pPr>
        <w:spacing w:line="312" w:lineRule="auto"/>
        <w:jc w:val="left"/>
        <w:rPr>
          <w:sz w:val="24"/>
          <w:szCs w:val="28"/>
          <w:highlight w:val="none"/>
        </w:rPr>
      </w:pPr>
      <w:r>
        <w:rPr>
          <w:b/>
          <w:sz w:val="24"/>
          <w:szCs w:val="28"/>
          <w:highlight w:val="none"/>
        </w:rPr>
        <w:t>4.1.6</w:t>
      </w:r>
      <w:r>
        <w:rPr>
          <w:sz w:val="24"/>
          <w:szCs w:val="28"/>
          <w:highlight w:val="none"/>
        </w:rPr>
        <w:t xml:space="preserve">  拌合用水应符合现行行业标准《混凝土用水标准》JGJ 63的规定。</w:t>
      </w:r>
    </w:p>
    <w:p>
      <w:pPr>
        <w:spacing w:line="360" w:lineRule="auto"/>
        <w:jc w:val="center"/>
        <w:outlineLvl w:val="1"/>
        <w:rPr>
          <w:rFonts w:eastAsia="黑体"/>
          <w:sz w:val="24"/>
          <w:szCs w:val="28"/>
          <w:highlight w:val="none"/>
        </w:rPr>
      </w:pPr>
      <w:bookmarkStart w:id="353" w:name="_Toc67330590"/>
      <w:bookmarkStart w:id="354" w:name="_Toc63348846"/>
      <w:bookmarkStart w:id="355" w:name="_Toc70169817"/>
      <w:bookmarkStart w:id="356" w:name="_Toc63348922"/>
      <w:bookmarkStart w:id="357" w:name="_Toc22750"/>
      <w:bookmarkStart w:id="358" w:name="_Toc12367"/>
      <w:bookmarkStart w:id="359" w:name="_Toc54256644"/>
      <w:bookmarkStart w:id="360" w:name="_Toc25298"/>
      <w:bookmarkStart w:id="361" w:name="_Toc54255549"/>
      <w:bookmarkStart w:id="362" w:name="_Toc42709234"/>
      <w:bookmarkStart w:id="363" w:name="_Toc48210354"/>
      <w:bookmarkStart w:id="364" w:name="_Toc25308081"/>
      <w:bookmarkStart w:id="365" w:name="_Toc48210022"/>
      <w:bookmarkStart w:id="366" w:name="_Toc48210131"/>
      <w:bookmarkStart w:id="367" w:name="_Toc52264494"/>
      <w:bookmarkStart w:id="368" w:name="_Toc25172058"/>
      <w:bookmarkStart w:id="369" w:name="_Toc42708988"/>
      <w:r>
        <w:rPr>
          <w:rFonts w:eastAsia="黑体"/>
          <w:b/>
          <w:sz w:val="24"/>
          <w:szCs w:val="28"/>
          <w:highlight w:val="none"/>
        </w:rPr>
        <w:t>4.2</w:t>
      </w:r>
      <w:r>
        <w:rPr>
          <w:rFonts w:eastAsia="黑体"/>
          <w:sz w:val="24"/>
          <w:szCs w:val="28"/>
          <w:highlight w:val="none"/>
        </w:rPr>
        <w:t xml:space="preserve">  拌合物性能</w:t>
      </w:r>
      <w:bookmarkEnd w:id="353"/>
      <w:bookmarkEnd w:id="354"/>
      <w:bookmarkEnd w:id="355"/>
      <w:bookmarkEnd w:id="356"/>
      <w:bookmarkEnd w:id="357"/>
      <w:bookmarkEnd w:id="358"/>
      <w:bookmarkEnd w:id="359"/>
      <w:bookmarkEnd w:id="360"/>
      <w:bookmarkEnd w:id="361"/>
    </w:p>
    <w:p>
      <w:pPr>
        <w:spacing w:line="312" w:lineRule="auto"/>
        <w:rPr>
          <w:rFonts w:hint="eastAsia" w:ascii="仿宋_GB2312" w:hAnsi="仿宋_GB2312" w:eastAsia="仿宋_GB2312" w:cs="仿宋_GB2312"/>
          <w:kern w:val="2"/>
          <w:sz w:val="21"/>
          <w:szCs w:val="21"/>
          <w:highlight w:val="none"/>
          <w:lang w:val="en-US" w:eastAsia="zh-CN" w:bidi="ar-SA"/>
        </w:rPr>
      </w:pPr>
      <w:r>
        <w:rPr>
          <w:b/>
          <w:sz w:val="24"/>
          <w:szCs w:val="28"/>
          <w:highlight w:val="none"/>
        </w:rPr>
        <w:t>4.2.1</w:t>
      </w:r>
      <w:r>
        <w:rPr>
          <w:sz w:val="24"/>
          <w:szCs w:val="28"/>
          <w:highlight w:val="none"/>
        </w:rPr>
        <w:t xml:space="preserve">  高延性混凝土拌合物应具有良好的和易性，不</w:t>
      </w:r>
      <w:r>
        <w:rPr>
          <w:rFonts w:hint="eastAsia"/>
          <w:sz w:val="24"/>
          <w:szCs w:val="28"/>
          <w:highlight w:val="none"/>
        </w:rPr>
        <w:t>应出现</w:t>
      </w:r>
      <w:r>
        <w:rPr>
          <w:sz w:val="24"/>
          <w:szCs w:val="28"/>
          <w:highlight w:val="none"/>
        </w:rPr>
        <w:t>离析、泌水</w:t>
      </w:r>
      <w:r>
        <w:rPr>
          <w:rFonts w:hint="eastAsia"/>
          <w:sz w:val="24"/>
          <w:szCs w:val="28"/>
          <w:highlight w:val="none"/>
          <w:lang w:val="en-US" w:eastAsia="zh-CN"/>
        </w:rPr>
        <w:t>等</w:t>
      </w:r>
      <w:r>
        <w:rPr>
          <w:rFonts w:hint="eastAsia"/>
          <w:sz w:val="24"/>
          <w:szCs w:val="28"/>
          <w:highlight w:val="none"/>
        </w:rPr>
        <w:t>现象</w:t>
      </w:r>
      <w:r>
        <w:rPr>
          <w:sz w:val="24"/>
          <w:szCs w:val="28"/>
          <w:highlight w:val="none"/>
        </w:rPr>
        <w:t>，纤维不得聚团。</w:t>
      </w:r>
    </w:p>
    <w:p>
      <w:pPr>
        <w:spacing w:line="312" w:lineRule="auto"/>
        <w:rPr>
          <w:sz w:val="24"/>
          <w:szCs w:val="28"/>
          <w:highlight w:val="none"/>
        </w:rPr>
      </w:pPr>
      <w:r>
        <w:rPr>
          <w:b/>
          <w:sz w:val="24"/>
          <w:szCs w:val="28"/>
          <w:highlight w:val="none"/>
        </w:rPr>
        <w:t>4.2.</w:t>
      </w:r>
      <w:r>
        <w:rPr>
          <w:rFonts w:hint="eastAsia"/>
          <w:b/>
          <w:sz w:val="24"/>
          <w:szCs w:val="28"/>
          <w:highlight w:val="none"/>
        </w:rPr>
        <w:t>2</w:t>
      </w:r>
      <w:r>
        <w:rPr>
          <w:sz w:val="24"/>
          <w:szCs w:val="28"/>
          <w:highlight w:val="none"/>
        </w:rPr>
        <w:t xml:space="preserve">  用于结构加固的高延性混凝土，其拌合物用于压抹施工时，稠度宜为25mm~40mm</w:t>
      </w:r>
      <w:r>
        <w:rPr>
          <w:rFonts w:hint="eastAsia"/>
          <w:sz w:val="24"/>
          <w:szCs w:val="28"/>
          <w:highlight w:val="none"/>
          <w:lang w:eastAsia="zh-CN"/>
        </w:rPr>
        <w:t>；</w:t>
      </w:r>
      <w:r>
        <w:rPr>
          <w:sz w:val="24"/>
          <w:szCs w:val="28"/>
          <w:highlight w:val="none"/>
        </w:rPr>
        <w:t>用于喷射施工时，稠度宜为60mm~80mm</w:t>
      </w:r>
      <w:r>
        <w:rPr>
          <w:rFonts w:hint="eastAsia"/>
          <w:sz w:val="24"/>
          <w:szCs w:val="28"/>
          <w:highlight w:val="none"/>
          <w:lang w:eastAsia="zh-CN"/>
        </w:rPr>
        <w:t>。</w:t>
      </w:r>
      <w:r>
        <w:rPr>
          <w:sz w:val="24"/>
          <w:szCs w:val="28"/>
          <w:highlight w:val="none"/>
        </w:rPr>
        <w:t>高延性混凝土拌合物稠度的测试方法应符合现行行业标准《建筑砂浆基本性能试验方法标准》JGJ/T 70的相关规定。</w:t>
      </w:r>
    </w:p>
    <w:p>
      <w:pPr>
        <w:pStyle w:val="2"/>
        <w:rPr>
          <w:rFonts w:hint="eastAsia" w:ascii="楷体" w:hAnsi="楷体" w:eastAsia="楷体" w:cs="楷体"/>
          <w:kern w:val="2"/>
          <w:sz w:val="24"/>
          <w:szCs w:val="24"/>
          <w:highlight w:val="none"/>
          <w:u w:val="single"/>
          <w:lang w:val="en-US" w:eastAsia="zh-CN" w:bidi="ar-SA"/>
        </w:rPr>
      </w:pPr>
      <w:r>
        <w:rPr>
          <w:rFonts w:hint="eastAsia" w:ascii="楷体" w:hAnsi="楷体" w:eastAsia="楷体" w:cs="楷体"/>
          <w:b w:val="0"/>
          <w:bCs/>
          <w:sz w:val="24"/>
          <w:szCs w:val="24"/>
          <w:highlight w:val="none"/>
          <w:u w:val="single"/>
        </w:rPr>
        <w:t>【条文说明】</w:t>
      </w:r>
      <w:r>
        <w:rPr>
          <w:rFonts w:hint="eastAsia" w:ascii="楷体" w:hAnsi="楷体" w:eastAsia="楷体" w:cs="楷体"/>
          <w:kern w:val="2"/>
          <w:sz w:val="24"/>
          <w:szCs w:val="24"/>
          <w:highlight w:val="none"/>
          <w:u w:val="single"/>
          <w:lang w:val="en-US" w:eastAsia="zh-CN" w:bidi="ar-SA"/>
        </w:rPr>
        <w:t>高韧性混凝土材料中不含粗骨料，其拌合物性能类似于砂浆，控制高延性混凝土拌合物的稠度，可以更好地保证其施工操作的方便，同时合适的稠度更有利于施工的密实程度和保证施工质量。总结成功的工程经验，本条规定了材料的稠度要求。</w:t>
      </w:r>
    </w:p>
    <w:p>
      <w:pPr>
        <w:spacing w:line="240" w:lineRule="auto"/>
        <w:jc w:val="left"/>
        <w:outlineLvl w:val="9"/>
        <w:rPr>
          <w:rFonts w:eastAsia="黑体"/>
          <w:b/>
          <w:highlight w:val="none"/>
        </w:rPr>
      </w:pPr>
      <w:bookmarkStart w:id="370" w:name="_Toc70169818"/>
      <w:bookmarkStart w:id="371" w:name="_Toc67330591"/>
      <w:bookmarkStart w:id="372" w:name="_Toc54256645"/>
      <w:bookmarkStart w:id="373" w:name="_Toc20699"/>
      <w:bookmarkStart w:id="374" w:name="_Toc63348847"/>
      <w:bookmarkStart w:id="375" w:name="_Toc54255550"/>
      <w:bookmarkStart w:id="376" w:name="_Toc63348923"/>
      <w:r>
        <w:rPr>
          <w:rFonts w:eastAsia="黑体"/>
          <w:b/>
          <w:highlight w:val="none"/>
        </w:rPr>
        <w:br w:type="page"/>
      </w:r>
    </w:p>
    <w:p>
      <w:pPr>
        <w:spacing w:line="360" w:lineRule="auto"/>
        <w:jc w:val="center"/>
        <w:outlineLvl w:val="1"/>
        <w:rPr>
          <w:rFonts w:eastAsia="黑体"/>
          <w:sz w:val="24"/>
          <w:szCs w:val="28"/>
          <w:highlight w:val="none"/>
        </w:rPr>
      </w:pPr>
      <w:bookmarkStart w:id="377" w:name="_Toc21215"/>
      <w:bookmarkStart w:id="378" w:name="_Toc4819"/>
      <w:r>
        <w:rPr>
          <w:rFonts w:eastAsia="黑体"/>
          <w:b/>
          <w:sz w:val="24"/>
          <w:szCs w:val="28"/>
          <w:highlight w:val="none"/>
        </w:rPr>
        <w:t xml:space="preserve">4.3 </w:t>
      </w:r>
      <w:r>
        <w:rPr>
          <w:rFonts w:eastAsia="黑体"/>
          <w:sz w:val="24"/>
          <w:szCs w:val="28"/>
          <w:highlight w:val="none"/>
        </w:rPr>
        <w:t xml:space="preserve"> 力学性能</w:t>
      </w:r>
      <w:bookmarkEnd w:id="347"/>
      <w:bookmarkEnd w:id="348"/>
      <w:bookmarkEnd w:id="349"/>
      <w:bookmarkEnd w:id="350"/>
      <w:bookmarkEnd w:id="351"/>
      <w:bookmarkEnd w:id="352"/>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p>
    <w:p>
      <w:pPr>
        <w:pStyle w:val="2"/>
      </w:pPr>
    </w:p>
    <w:p>
      <w:pPr>
        <w:spacing w:line="312" w:lineRule="auto"/>
        <w:rPr>
          <w:sz w:val="24"/>
          <w:szCs w:val="28"/>
          <w:highlight w:val="none"/>
        </w:rPr>
      </w:pPr>
      <w:r>
        <w:rPr>
          <w:b/>
          <w:sz w:val="24"/>
          <w:szCs w:val="28"/>
          <w:highlight w:val="none"/>
        </w:rPr>
        <w:t xml:space="preserve">4.3.1 </w:t>
      </w:r>
      <w:r>
        <w:rPr>
          <w:sz w:val="24"/>
          <w:szCs w:val="28"/>
          <w:highlight w:val="none"/>
        </w:rPr>
        <w:t xml:space="preserve"> 高延性混凝土按力学性能指标分为</w:t>
      </w:r>
      <w:r>
        <w:rPr>
          <w:sz w:val="24"/>
          <w:szCs w:val="21"/>
          <w:highlight w:val="none"/>
        </w:rPr>
        <w:fldChar w:fldCharType="begin"/>
      </w:r>
      <w:r>
        <w:rPr>
          <w:sz w:val="24"/>
          <w:szCs w:val="21"/>
          <w:highlight w:val="none"/>
        </w:rPr>
        <w:instrText xml:space="preserve"> = 1 \* ROMAN </w:instrText>
      </w:r>
      <w:r>
        <w:rPr>
          <w:sz w:val="24"/>
          <w:szCs w:val="21"/>
          <w:highlight w:val="none"/>
        </w:rPr>
        <w:fldChar w:fldCharType="separate"/>
      </w:r>
      <w:r>
        <w:rPr>
          <w:sz w:val="24"/>
          <w:szCs w:val="21"/>
          <w:highlight w:val="none"/>
        </w:rPr>
        <w:t>I</w:t>
      </w:r>
      <w:r>
        <w:rPr>
          <w:sz w:val="24"/>
          <w:szCs w:val="21"/>
          <w:highlight w:val="none"/>
        </w:rPr>
        <w:fldChar w:fldCharType="end"/>
      </w:r>
      <w:r>
        <w:rPr>
          <w:sz w:val="24"/>
          <w:szCs w:val="21"/>
          <w:highlight w:val="none"/>
        </w:rPr>
        <w:t>类、</w:t>
      </w:r>
      <w:r>
        <w:rPr>
          <w:sz w:val="24"/>
          <w:szCs w:val="21"/>
          <w:highlight w:val="none"/>
        </w:rPr>
        <w:fldChar w:fldCharType="begin"/>
      </w:r>
      <w:r>
        <w:rPr>
          <w:sz w:val="24"/>
          <w:szCs w:val="21"/>
          <w:highlight w:val="none"/>
        </w:rPr>
        <w:instrText xml:space="preserve"> = 2 \* ROMAN </w:instrText>
      </w:r>
      <w:r>
        <w:rPr>
          <w:sz w:val="24"/>
          <w:szCs w:val="21"/>
          <w:highlight w:val="none"/>
        </w:rPr>
        <w:fldChar w:fldCharType="separate"/>
      </w:r>
      <w:r>
        <w:rPr>
          <w:sz w:val="24"/>
          <w:szCs w:val="21"/>
          <w:highlight w:val="none"/>
        </w:rPr>
        <w:t>II</w:t>
      </w:r>
      <w:r>
        <w:rPr>
          <w:sz w:val="24"/>
          <w:szCs w:val="21"/>
          <w:highlight w:val="none"/>
        </w:rPr>
        <w:fldChar w:fldCharType="end"/>
      </w:r>
      <w:r>
        <w:rPr>
          <w:sz w:val="24"/>
          <w:szCs w:val="21"/>
          <w:highlight w:val="none"/>
        </w:rPr>
        <w:t>类和</w:t>
      </w:r>
      <w:r>
        <w:rPr>
          <w:sz w:val="24"/>
          <w:szCs w:val="21"/>
          <w:highlight w:val="none"/>
        </w:rPr>
        <w:fldChar w:fldCharType="begin"/>
      </w:r>
      <w:r>
        <w:rPr>
          <w:sz w:val="24"/>
          <w:szCs w:val="21"/>
          <w:highlight w:val="none"/>
        </w:rPr>
        <w:instrText xml:space="preserve"> = 3 \* ROMAN </w:instrText>
      </w:r>
      <w:r>
        <w:rPr>
          <w:sz w:val="24"/>
          <w:szCs w:val="21"/>
          <w:highlight w:val="none"/>
        </w:rPr>
        <w:fldChar w:fldCharType="separate"/>
      </w:r>
      <w:r>
        <w:rPr>
          <w:sz w:val="24"/>
          <w:szCs w:val="21"/>
          <w:highlight w:val="none"/>
        </w:rPr>
        <w:t>III</w:t>
      </w:r>
      <w:r>
        <w:rPr>
          <w:sz w:val="24"/>
          <w:szCs w:val="21"/>
          <w:highlight w:val="none"/>
        </w:rPr>
        <w:fldChar w:fldCharType="end"/>
      </w:r>
      <w:r>
        <w:rPr>
          <w:sz w:val="24"/>
          <w:szCs w:val="21"/>
          <w:highlight w:val="none"/>
        </w:rPr>
        <w:t>类</w:t>
      </w:r>
      <w:r>
        <w:rPr>
          <w:sz w:val="24"/>
          <w:szCs w:val="28"/>
          <w:highlight w:val="none"/>
        </w:rPr>
        <w:t>，各类高延性混凝土的主要力学性能指标如表4.3.1所示：</w:t>
      </w:r>
    </w:p>
    <w:p>
      <w:pPr>
        <w:snapToGrid w:val="0"/>
        <w:spacing w:before="120" w:beforeLines="50" w:line="312" w:lineRule="auto"/>
        <w:jc w:val="center"/>
        <w:rPr>
          <w:rFonts w:eastAsia="黑体"/>
          <w:sz w:val="21"/>
          <w:szCs w:val="28"/>
          <w:highlight w:val="none"/>
        </w:rPr>
      </w:pPr>
      <w:r>
        <w:rPr>
          <w:rFonts w:eastAsia="黑体"/>
          <w:sz w:val="21"/>
          <w:szCs w:val="28"/>
          <w:highlight w:val="none"/>
        </w:rPr>
        <w:t>表4.3.1  高延性混凝土的主要力学性能指标</w:t>
      </w:r>
    </w:p>
    <w:tbl>
      <w:tblPr>
        <w:tblStyle w:val="23"/>
        <w:tblW w:w="6308"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2233"/>
        <w:gridCol w:w="1354"/>
        <w:gridCol w:w="907"/>
        <w:gridCol w:w="907"/>
        <w:gridCol w:w="907"/>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2233" w:type="dxa"/>
            <w:vMerge w:val="restart"/>
            <w:vAlign w:val="center"/>
          </w:tcPr>
          <w:p>
            <w:pPr>
              <w:snapToGrid w:val="0"/>
              <w:jc w:val="center"/>
              <w:rPr>
                <w:sz w:val="21"/>
                <w:szCs w:val="21"/>
                <w:highlight w:val="none"/>
              </w:rPr>
            </w:pPr>
            <w:r>
              <w:rPr>
                <w:sz w:val="21"/>
                <w:szCs w:val="21"/>
                <w:highlight w:val="none"/>
              </w:rPr>
              <w:t>指标类别</w:t>
            </w:r>
          </w:p>
        </w:tc>
        <w:tc>
          <w:tcPr>
            <w:tcW w:w="1354" w:type="dxa"/>
            <w:vMerge w:val="restart"/>
            <w:vAlign w:val="center"/>
          </w:tcPr>
          <w:p>
            <w:pPr>
              <w:snapToGrid w:val="0"/>
              <w:jc w:val="center"/>
              <w:rPr>
                <w:sz w:val="21"/>
                <w:szCs w:val="21"/>
                <w:highlight w:val="none"/>
              </w:rPr>
            </w:pPr>
            <w:r>
              <w:rPr>
                <w:sz w:val="21"/>
                <w:szCs w:val="21"/>
                <w:highlight w:val="none"/>
              </w:rPr>
              <w:t>标准养护龄期</w:t>
            </w:r>
          </w:p>
        </w:tc>
        <w:tc>
          <w:tcPr>
            <w:tcW w:w="2721" w:type="dxa"/>
            <w:gridSpan w:val="3"/>
            <w:vAlign w:val="center"/>
          </w:tcPr>
          <w:p>
            <w:pPr>
              <w:snapToGrid w:val="0"/>
              <w:jc w:val="center"/>
              <w:rPr>
                <w:sz w:val="21"/>
                <w:szCs w:val="21"/>
                <w:highlight w:val="none"/>
              </w:rPr>
            </w:pPr>
            <w:r>
              <w:rPr>
                <w:sz w:val="21"/>
                <w:szCs w:val="21"/>
                <w:highlight w:val="none"/>
              </w:rPr>
              <w:t>性能指标</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2233" w:type="dxa"/>
            <w:vMerge w:val="continue"/>
            <w:vAlign w:val="center"/>
          </w:tcPr>
          <w:p>
            <w:pPr>
              <w:snapToGrid w:val="0"/>
              <w:jc w:val="center"/>
              <w:rPr>
                <w:sz w:val="21"/>
                <w:szCs w:val="21"/>
                <w:highlight w:val="none"/>
              </w:rPr>
            </w:pPr>
          </w:p>
        </w:tc>
        <w:tc>
          <w:tcPr>
            <w:tcW w:w="1354" w:type="dxa"/>
            <w:vMerge w:val="continue"/>
            <w:vAlign w:val="center"/>
          </w:tcPr>
          <w:p>
            <w:pPr>
              <w:snapToGrid w:val="0"/>
              <w:jc w:val="center"/>
              <w:rPr>
                <w:sz w:val="21"/>
                <w:szCs w:val="21"/>
                <w:highlight w:val="none"/>
              </w:rPr>
            </w:pPr>
          </w:p>
        </w:tc>
        <w:tc>
          <w:tcPr>
            <w:tcW w:w="907" w:type="dxa"/>
            <w:vAlign w:val="center"/>
          </w:tcPr>
          <w:p>
            <w:pPr>
              <w:snapToGrid w:val="0"/>
              <w:jc w:val="center"/>
              <w:rPr>
                <w:sz w:val="21"/>
                <w:szCs w:val="21"/>
                <w:highlight w:val="none"/>
              </w:rPr>
            </w:pPr>
            <w:r>
              <w:rPr>
                <w:sz w:val="21"/>
                <w:szCs w:val="21"/>
                <w:highlight w:val="none"/>
              </w:rPr>
              <w:fldChar w:fldCharType="begin"/>
            </w:r>
            <w:r>
              <w:rPr>
                <w:sz w:val="21"/>
                <w:szCs w:val="21"/>
                <w:highlight w:val="none"/>
              </w:rPr>
              <w:instrText xml:space="preserve"> = 1 \* ROMAN </w:instrText>
            </w:r>
            <w:r>
              <w:rPr>
                <w:sz w:val="21"/>
                <w:szCs w:val="21"/>
                <w:highlight w:val="none"/>
              </w:rPr>
              <w:fldChar w:fldCharType="separate"/>
            </w:r>
            <w:r>
              <w:rPr>
                <w:sz w:val="21"/>
                <w:szCs w:val="21"/>
                <w:highlight w:val="none"/>
              </w:rPr>
              <w:t>I</w:t>
            </w:r>
            <w:r>
              <w:rPr>
                <w:sz w:val="21"/>
                <w:szCs w:val="21"/>
                <w:highlight w:val="none"/>
              </w:rPr>
              <w:fldChar w:fldCharType="end"/>
            </w:r>
            <w:r>
              <w:rPr>
                <w:sz w:val="21"/>
                <w:szCs w:val="21"/>
                <w:highlight w:val="none"/>
              </w:rPr>
              <w:t>类</w:t>
            </w:r>
          </w:p>
        </w:tc>
        <w:tc>
          <w:tcPr>
            <w:tcW w:w="907" w:type="dxa"/>
            <w:vAlign w:val="center"/>
          </w:tcPr>
          <w:p>
            <w:pPr>
              <w:snapToGrid w:val="0"/>
              <w:jc w:val="center"/>
              <w:rPr>
                <w:sz w:val="21"/>
                <w:szCs w:val="21"/>
                <w:highlight w:val="none"/>
              </w:rPr>
            </w:pPr>
            <w:r>
              <w:rPr>
                <w:sz w:val="21"/>
                <w:szCs w:val="21"/>
                <w:highlight w:val="none"/>
              </w:rPr>
              <w:fldChar w:fldCharType="begin"/>
            </w:r>
            <w:r>
              <w:rPr>
                <w:sz w:val="21"/>
                <w:szCs w:val="21"/>
                <w:highlight w:val="none"/>
              </w:rPr>
              <w:instrText xml:space="preserve"> = 2 \* ROMAN </w:instrText>
            </w:r>
            <w:r>
              <w:rPr>
                <w:sz w:val="21"/>
                <w:szCs w:val="21"/>
                <w:highlight w:val="none"/>
              </w:rPr>
              <w:fldChar w:fldCharType="separate"/>
            </w:r>
            <w:r>
              <w:rPr>
                <w:sz w:val="21"/>
                <w:szCs w:val="21"/>
                <w:highlight w:val="none"/>
              </w:rPr>
              <w:t>II</w:t>
            </w:r>
            <w:r>
              <w:rPr>
                <w:sz w:val="21"/>
                <w:szCs w:val="21"/>
                <w:highlight w:val="none"/>
              </w:rPr>
              <w:fldChar w:fldCharType="end"/>
            </w:r>
            <w:r>
              <w:rPr>
                <w:sz w:val="21"/>
                <w:szCs w:val="21"/>
                <w:highlight w:val="none"/>
              </w:rPr>
              <w:t>类</w:t>
            </w:r>
          </w:p>
        </w:tc>
        <w:tc>
          <w:tcPr>
            <w:tcW w:w="907" w:type="dxa"/>
            <w:vAlign w:val="center"/>
          </w:tcPr>
          <w:p>
            <w:pPr>
              <w:snapToGrid w:val="0"/>
              <w:jc w:val="center"/>
              <w:rPr>
                <w:sz w:val="21"/>
                <w:szCs w:val="21"/>
                <w:highlight w:val="none"/>
              </w:rPr>
            </w:pPr>
            <w:r>
              <w:rPr>
                <w:sz w:val="21"/>
                <w:szCs w:val="21"/>
                <w:highlight w:val="none"/>
              </w:rPr>
              <w:fldChar w:fldCharType="begin"/>
            </w:r>
            <w:r>
              <w:rPr>
                <w:sz w:val="21"/>
                <w:szCs w:val="21"/>
                <w:highlight w:val="none"/>
              </w:rPr>
              <w:instrText xml:space="preserve"> = 3 \* ROMAN </w:instrText>
            </w:r>
            <w:r>
              <w:rPr>
                <w:sz w:val="21"/>
                <w:szCs w:val="21"/>
                <w:highlight w:val="none"/>
              </w:rPr>
              <w:fldChar w:fldCharType="separate"/>
            </w:r>
            <w:r>
              <w:rPr>
                <w:sz w:val="21"/>
                <w:szCs w:val="21"/>
                <w:highlight w:val="none"/>
              </w:rPr>
              <w:t>III</w:t>
            </w:r>
            <w:r>
              <w:rPr>
                <w:sz w:val="21"/>
                <w:szCs w:val="21"/>
                <w:highlight w:val="none"/>
              </w:rPr>
              <w:fldChar w:fldCharType="end"/>
            </w:r>
            <w:r>
              <w:rPr>
                <w:sz w:val="21"/>
                <w:szCs w:val="21"/>
                <w:highlight w:val="none"/>
              </w:rPr>
              <w:t>类</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2233" w:type="dxa"/>
            <w:vMerge w:val="restart"/>
            <w:vAlign w:val="center"/>
          </w:tcPr>
          <w:p>
            <w:pPr>
              <w:snapToGrid w:val="0"/>
              <w:jc w:val="center"/>
              <w:rPr>
                <w:sz w:val="21"/>
                <w:szCs w:val="21"/>
                <w:highlight w:val="none"/>
              </w:rPr>
            </w:pPr>
            <w:r>
              <w:rPr>
                <w:sz w:val="21"/>
                <w:szCs w:val="21"/>
                <w:highlight w:val="none"/>
              </w:rPr>
              <w:t>等效弯曲韧性（kJ/m</w:t>
            </w:r>
            <w:r>
              <w:rPr>
                <w:sz w:val="21"/>
                <w:szCs w:val="21"/>
                <w:highlight w:val="none"/>
                <w:vertAlign w:val="superscript"/>
              </w:rPr>
              <w:t>3</w:t>
            </w:r>
            <w:r>
              <w:rPr>
                <w:sz w:val="21"/>
                <w:szCs w:val="21"/>
                <w:highlight w:val="none"/>
              </w:rPr>
              <w:t>）</w:t>
            </w:r>
          </w:p>
        </w:tc>
        <w:tc>
          <w:tcPr>
            <w:tcW w:w="1354" w:type="dxa"/>
            <w:vAlign w:val="center"/>
          </w:tcPr>
          <w:p>
            <w:pPr>
              <w:snapToGrid w:val="0"/>
              <w:jc w:val="center"/>
              <w:rPr>
                <w:sz w:val="21"/>
                <w:szCs w:val="21"/>
                <w:highlight w:val="none"/>
              </w:rPr>
            </w:pPr>
            <w:r>
              <w:rPr>
                <w:rFonts w:hint="eastAsia"/>
                <w:sz w:val="21"/>
                <w:szCs w:val="21"/>
                <w:highlight w:val="none"/>
              </w:rPr>
              <w:t>28d</w:t>
            </w:r>
          </w:p>
        </w:tc>
        <w:tc>
          <w:tcPr>
            <w:tcW w:w="907" w:type="dxa"/>
            <w:vAlign w:val="center"/>
          </w:tcPr>
          <w:p>
            <w:pPr>
              <w:snapToGrid w:val="0"/>
              <w:jc w:val="center"/>
              <w:rPr>
                <w:rFonts w:ascii="宋体" w:hAnsi="宋体"/>
                <w:sz w:val="21"/>
                <w:szCs w:val="21"/>
                <w:highlight w:val="none"/>
              </w:rPr>
            </w:pPr>
            <w:r>
              <w:rPr>
                <w:rFonts w:hint="eastAsia" w:ascii="宋体" w:hAnsi="宋体" w:cs="宋体"/>
                <w:sz w:val="21"/>
                <w:szCs w:val="21"/>
                <w:highlight w:val="none"/>
              </w:rPr>
              <w:t>≥</w:t>
            </w:r>
            <w:r>
              <w:rPr>
                <w:sz w:val="21"/>
                <w:szCs w:val="21"/>
                <w:highlight w:val="none"/>
              </w:rPr>
              <w:t>1</w:t>
            </w:r>
            <w:r>
              <w:rPr>
                <w:rFonts w:hint="eastAsia"/>
                <w:sz w:val="21"/>
                <w:szCs w:val="21"/>
                <w:highlight w:val="none"/>
              </w:rPr>
              <w:t>7</w:t>
            </w:r>
            <w:r>
              <w:rPr>
                <w:sz w:val="21"/>
                <w:szCs w:val="21"/>
                <w:highlight w:val="none"/>
              </w:rPr>
              <w:t>0.0</w:t>
            </w:r>
          </w:p>
        </w:tc>
        <w:tc>
          <w:tcPr>
            <w:tcW w:w="907" w:type="dxa"/>
            <w:vAlign w:val="center"/>
          </w:tcPr>
          <w:p>
            <w:pPr>
              <w:snapToGrid w:val="0"/>
              <w:jc w:val="center"/>
              <w:rPr>
                <w:rFonts w:ascii="宋体" w:hAnsi="宋体"/>
                <w:sz w:val="21"/>
                <w:szCs w:val="21"/>
                <w:highlight w:val="none"/>
              </w:rPr>
            </w:pPr>
            <w:r>
              <w:rPr>
                <w:rFonts w:hint="eastAsia" w:ascii="宋体" w:hAnsi="宋体" w:cs="宋体"/>
                <w:sz w:val="21"/>
                <w:szCs w:val="21"/>
                <w:highlight w:val="none"/>
              </w:rPr>
              <w:t>≥</w:t>
            </w:r>
            <w:r>
              <w:rPr>
                <w:sz w:val="21"/>
                <w:szCs w:val="21"/>
                <w:highlight w:val="none"/>
              </w:rPr>
              <w:t>1</w:t>
            </w:r>
            <w:r>
              <w:rPr>
                <w:rFonts w:hint="eastAsia"/>
                <w:sz w:val="21"/>
                <w:szCs w:val="21"/>
                <w:highlight w:val="none"/>
              </w:rPr>
              <w:t>3</w:t>
            </w:r>
            <w:r>
              <w:rPr>
                <w:sz w:val="21"/>
                <w:szCs w:val="21"/>
                <w:highlight w:val="none"/>
              </w:rPr>
              <w:t>0.0</w:t>
            </w:r>
          </w:p>
        </w:tc>
        <w:tc>
          <w:tcPr>
            <w:tcW w:w="907" w:type="dxa"/>
            <w:vAlign w:val="center"/>
          </w:tcPr>
          <w:p>
            <w:pPr>
              <w:snapToGrid w:val="0"/>
              <w:jc w:val="center"/>
              <w:rPr>
                <w:rFonts w:ascii="宋体" w:hAnsi="宋体"/>
                <w:sz w:val="21"/>
                <w:szCs w:val="21"/>
                <w:highlight w:val="none"/>
              </w:rPr>
            </w:pPr>
            <w:r>
              <w:rPr>
                <w:rFonts w:hint="eastAsia" w:ascii="宋体" w:hAnsi="宋体" w:cs="宋体"/>
                <w:sz w:val="21"/>
                <w:szCs w:val="21"/>
                <w:highlight w:val="none"/>
              </w:rPr>
              <w:t>≥</w:t>
            </w:r>
            <w:r>
              <w:rPr>
                <w:rFonts w:hint="eastAsia"/>
                <w:sz w:val="21"/>
                <w:szCs w:val="21"/>
                <w:highlight w:val="none"/>
              </w:rPr>
              <w:t>9</w:t>
            </w:r>
            <w:r>
              <w:rPr>
                <w:sz w:val="21"/>
                <w:szCs w:val="21"/>
                <w:highlight w:val="none"/>
              </w:rPr>
              <w:t>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2233" w:type="dxa"/>
            <w:vMerge w:val="continue"/>
            <w:vAlign w:val="center"/>
          </w:tcPr>
          <w:p>
            <w:pPr>
              <w:snapToGrid w:val="0"/>
              <w:jc w:val="center"/>
              <w:rPr>
                <w:sz w:val="21"/>
                <w:szCs w:val="21"/>
                <w:highlight w:val="none"/>
              </w:rPr>
            </w:pPr>
          </w:p>
        </w:tc>
        <w:tc>
          <w:tcPr>
            <w:tcW w:w="1354" w:type="dxa"/>
            <w:vAlign w:val="center"/>
          </w:tcPr>
          <w:p>
            <w:pPr>
              <w:snapToGrid w:val="0"/>
              <w:jc w:val="center"/>
              <w:rPr>
                <w:sz w:val="21"/>
                <w:szCs w:val="21"/>
                <w:highlight w:val="none"/>
              </w:rPr>
            </w:pPr>
            <w:r>
              <w:rPr>
                <w:sz w:val="21"/>
                <w:szCs w:val="21"/>
                <w:highlight w:val="none"/>
              </w:rPr>
              <w:t>60d</w:t>
            </w:r>
          </w:p>
        </w:tc>
        <w:tc>
          <w:tcPr>
            <w:tcW w:w="907" w:type="dxa"/>
            <w:vAlign w:val="center"/>
          </w:tcPr>
          <w:p>
            <w:pPr>
              <w:snapToGrid w:val="0"/>
              <w:jc w:val="center"/>
              <w:rPr>
                <w:sz w:val="21"/>
                <w:szCs w:val="21"/>
                <w:highlight w:val="none"/>
              </w:rPr>
            </w:pPr>
            <w:r>
              <w:rPr>
                <w:rFonts w:hint="eastAsia" w:ascii="宋体" w:hAnsi="宋体" w:cs="宋体"/>
                <w:sz w:val="21"/>
                <w:szCs w:val="21"/>
                <w:highlight w:val="none"/>
              </w:rPr>
              <w:t>≥</w:t>
            </w:r>
            <w:r>
              <w:rPr>
                <w:sz w:val="21"/>
                <w:szCs w:val="21"/>
                <w:highlight w:val="none"/>
              </w:rPr>
              <w:t>160.0</w:t>
            </w:r>
          </w:p>
        </w:tc>
        <w:tc>
          <w:tcPr>
            <w:tcW w:w="907" w:type="dxa"/>
            <w:vAlign w:val="center"/>
          </w:tcPr>
          <w:p>
            <w:pPr>
              <w:snapToGrid w:val="0"/>
              <w:jc w:val="center"/>
              <w:rPr>
                <w:sz w:val="21"/>
                <w:szCs w:val="21"/>
                <w:highlight w:val="none"/>
              </w:rPr>
            </w:pPr>
            <w:r>
              <w:rPr>
                <w:rFonts w:hint="eastAsia" w:ascii="宋体" w:hAnsi="宋体" w:cs="宋体"/>
                <w:sz w:val="21"/>
                <w:szCs w:val="21"/>
                <w:highlight w:val="none"/>
              </w:rPr>
              <w:t>≥</w:t>
            </w:r>
            <w:r>
              <w:rPr>
                <w:sz w:val="21"/>
                <w:szCs w:val="21"/>
                <w:highlight w:val="none"/>
              </w:rPr>
              <w:t>120.0</w:t>
            </w:r>
          </w:p>
        </w:tc>
        <w:tc>
          <w:tcPr>
            <w:tcW w:w="907" w:type="dxa"/>
            <w:vAlign w:val="center"/>
          </w:tcPr>
          <w:p>
            <w:pPr>
              <w:snapToGrid w:val="0"/>
              <w:jc w:val="center"/>
              <w:rPr>
                <w:sz w:val="21"/>
                <w:szCs w:val="21"/>
                <w:highlight w:val="none"/>
              </w:rPr>
            </w:pPr>
            <w:r>
              <w:rPr>
                <w:rFonts w:hint="eastAsia" w:ascii="宋体" w:hAnsi="宋体" w:cs="宋体"/>
                <w:sz w:val="21"/>
                <w:szCs w:val="21"/>
                <w:highlight w:val="none"/>
              </w:rPr>
              <w:t>≥</w:t>
            </w:r>
            <w:r>
              <w:rPr>
                <w:sz w:val="21"/>
                <w:szCs w:val="21"/>
                <w:highlight w:val="none"/>
              </w:rPr>
              <w:t>80.0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2233" w:type="dxa"/>
            <w:vMerge w:val="restart"/>
            <w:vAlign w:val="center"/>
          </w:tcPr>
          <w:p>
            <w:pPr>
              <w:snapToGrid w:val="0"/>
              <w:jc w:val="center"/>
              <w:rPr>
                <w:sz w:val="21"/>
                <w:szCs w:val="21"/>
                <w:highlight w:val="none"/>
              </w:rPr>
            </w:pPr>
            <w:r>
              <w:rPr>
                <w:sz w:val="21"/>
                <w:szCs w:val="21"/>
                <w:highlight w:val="none"/>
              </w:rPr>
              <w:t>等效弯曲强度（N/mm</w:t>
            </w:r>
            <w:r>
              <w:rPr>
                <w:sz w:val="21"/>
                <w:szCs w:val="21"/>
                <w:highlight w:val="none"/>
                <w:vertAlign w:val="superscript"/>
              </w:rPr>
              <w:t>2</w:t>
            </w:r>
            <w:r>
              <w:rPr>
                <w:sz w:val="21"/>
                <w:szCs w:val="21"/>
                <w:highlight w:val="none"/>
              </w:rPr>
              <w:t>）</w:t>
            </w:r>
          </w:p>
        </w:tc>
        <w:tc>
          <w:tcPr>
            <w:tcW w:w="1354" w:type="dxa"/>
            <w:vAlign w:val="center"/>
          </w:tcPr>
          <w:p>
            <w:pPr>
              <w:snapToGrid w:val="0"/>
              <w:jc w:val="center"/>
              <w:rPr>
                <w:sz w:val="21"/>
                <w:szCs w:val="21"/>
                <w:highlight w:val="none"/>
              </w:rPr>
            </w:pPr>
            <w:r>
              <w:rPr>
                <w:rFonts w:hint="eastAsia"/>
                <w:sz w:val="21"/>
                <w:szCs w:val="21"/>
                <w:highlight w:val="none"/>
              </w:rPr>
              <w:t>28d</w:t>
            </w:r>
          </w:p>
        </w:tc>
        <w:tc>
          <w:tcPr>
            <w:tcW w:w="907" w:type="dxa"/>
            <w:vAlign w:val="center"/>
          </w:tcPr>
          <w:p>
            <w:pPr>
              <w:snapToGrid w:val="0"/>
              <w:jc w:val="center"/>
              <w:rPr>
                <w:rFonts w:ascii="宋体" w:hAnsi="宋体"/>
                <w:sz w:val="21"/>
                <w:szCs w:val="21"/>
                <w:highlight w:val="none"/>
              </w:rPr>
            </w:pPr>
            <w:r>
              <w:rPr>
                <w:rFonts w:hint="eastAsia" w:ascii="宋体" w:hAnsi="宋体" w:cs="宋体"/>
                <w:sz w:val="21"/>
                <w:szCs w:val="21"/>
                <w:highlight w:val="none"/>
              </w:rPr>
              <w:t>≥</w:t>
            </w:r>
            <w:r>
              <w:rPr>
                <w:sz w:val="21"/>
                <w:szCs w:val="21"/>
                <w:highlight w:val="none"/>
              </w:rPr>
              <w:t>1</w:t>
            </w:r>
            <w:r>
              <w:rPr>
                <w:rFonts w:hint="eastAsia"/>
                <w:sz w:val="21"/>
                <w:szCs w:val="21"/>
                <w:highlight w:val="none"/>
              </w:rPr>
              <w:t>0</w:t>
            </w:r>
            <w:r>
              <w:rPr>
                <w:sz w:val="21"/>
                <w:szCs w:val="21"/>
                <w:highlight w:val="none"/>
              </w:rPr>
              <w:t>.0</w:t>
            </w:r>
          </w:p>
        </w:tc>
        <w:tc>
          <w:tcPr>
            <w:tcW w:w="907" w:type="dxa"/>
            <w:vAlign w:val="center"/>
          </w:tcPr>
          <w:p>
            <w:pPr>
              <w:snapToGrid w:val="0"/>
              <w:jc w:val="center"/>
              <w:rPr>
                <w:rFonts w:ascii="宋体" w:hAnsi="宋体"/>
                <w:sz w:val="21"/>
                <w:szCs w:val="21"/>
                <w:highlight w:val="none"/>
              </w:rPr>
            </w:pPr>
            <w:r>
              <w:rPr>
                <w:rFonts w:hint="eastAsia" w:ascii="宋体" w:hAnsi="宋体" w:cs="宋体"/>
                <w:sz w:val="21"/>
                <w:szCs w:val="21"/>
                <w:highlight w:val="none"/>
              </w:rPr>
              <w:t>≥</w:t>
            </w:r>
            <w:r>
              <w:rPr>
                <w:rFonts w:hint="eastAsia"/>
                <w:sz w:val="21"/>
                <w:szCs w:val="21"/>
                <w:highlight w:val="none"/>
              </w:rPr>
              <w:t>9</w:t>
            </w:r>
            <w:r>
              <w:rPr>
                <w:sz w:val="21"/>
                <w:szCs w:val="21"/>
                <w:highlight w:val="none"/>
              </w:rPr>
              <w:t>.0</w:t>
            </w:r>
          </w:p>
        </w:tc>
        <w:tc>
          <w:tcPr>
            <w:tcW w:w="907" w:type="dxa"/>
            <w:vAlign w:val="center"/>
          </w:tcPr>
          <w:p>
            <w:pPr>
              <w:snapToGrid w:val="0"/>
              <w:jc w:val="center"/>
              <w:rPr>
                <w:rFonts w:ascii="宋体" w:hAnsi="宋体"/>
                <w:sz w:val="21"/>
                <w:szCs w:val="21"/>
                <w:highlight w:val="none"/>
              </w:rPr>
            </w:pPr>
            <w:r>
              <w:rPr>
                <w:rFonts w:hint="eastAsia" w:ascii="宋体" w:hAnsi="宋体" w:cs="宋体"/>
                <w:sz w:val="21"/>
                <w:szCs w:val="21"/>
                <w:highlight w:val="none"/>
              </w:rPr>
              <w:t>≥</w:t>
            </w:r>
            <w:r>
              <w:rPr>
                <w:rFonts w:hint="eastAsia"/>
                <w:sz w:val="21"/>
                <w:szCs w:val="21"/>
                <w:highlight w:val="none"/>
              </w:rPr>
              <w:t>8</w:t>
            </w:r>
            <w:r>
              <w:rPr>
                <w:sz w:val="21"/>
                <w:szCs w:val="21"/>
                <w:highlight w:val="none"/>
              </w:rPr>
              <w:t>.0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2233" w:type="dxa"/>
            <w:vMerge w:val="continue"/>
            <w:vAlign w:val="center"/>
          </w:tcPr>
          <w:p>
            <w:pPr>
              <w:snapToGrid w:val="0"/>
              <w:jc w:val="center"/>
              <w:rPr>
                <w:sz w:val="21"/>
                <w:szCs w:val="21"/>
                <w:highlight w:val="none"/>
              </w:rPr>
            </w:pPr>
          </w:p>
        </w:tc>
        <w:tc>
          <w:tcPr>
            <w:tcW w:w="1354" w:type="dxa"/>
            <w:vAlign w:val="center"/>
          </w:tcPr>
          <w:p>
            <w:pPr>
              <w:snapToGrid w:val="0"/>
              <w:jc w:val="center"/>
              <w:rPr>
                <w:sz w:val="21"/>
                <w:szCs w:val="21"/>
                <w:highlight w:val="none"/>
              </w:rPr>
            </w:pPr>
            <w:r>
              <w:rPr>
                <w:sz w:val="21"/>
                <w:szCs w:val="21"/>
                <w:highlight w:val="none"/>
              </w:rPr>
              <w:t>60d</w:t>
            </w:r>
          </w:p>
        </w:tc>
        <w:tc>
          <w:tcPr>
            <w:tcW w:w="907" w:type="dxa"/>
            <w:vAlign w:val="center"/>
          </w:tcPr>
          <w:p>
            <w:pPr>
              <w:snapToGrid w:val="0"/>
              <w:jc w:val="center"/>
              <w:rPr>
                <w:sz w:val="21"/>
                <w:szCs w:val="21"/>
                <w:highlight w:val="none"/>
              </w:rPr>
            </w:pPr>
            <w:r>
              <w:rPr>
                <w:rFonts w:hint="eastAsia" w:ascii="宋体" w:hAnsi="宋体" w:cs="宋体"/>
                <w:sz w:val="21"/>
                <w:szCs w:val="21"/>
                <w:highlight w:val="none"/>
              </w:rPr>
              <w:t>≥</w:t>
            </w:r>
            <w:r>
              <w:rPr>
                <w:sz w:val="21"/>
                <w:szCs w:val="21"/>
                <w:highlight w:val="none"/>
              </w:rPr>
              <w:t>11.0</w:t>
            </w:r>
          </w:p>
        </w:tc>
        <w:tc>
          <w:tcPr>
            <w:tcW w:w="907" w:type="dxa"/>
            <w:vAlign w:val="center"/>
          </w:tcPr>
          <w:p>
            <w:pPr>
              <w:snapToGrid w:val="0"/>
              <w:jc w:val="center"/>
              <w:rPr>
                <w:sz w:val="21"/>
                <w:szCs w:val="21"/>
                <w:highlight w:val="none"/>
              </w:rPr>
            </w:pPr>
            <w:r>
              <w:rPr>
                <w:rFonts w:hint="eastAsia" w:ascii="宋体" w:hAnsi="宋体" w:cs="宋体"/>
                <w:sz w:val="21"/>
                <w:szCs w:val="21"/>
                <w:highlight w:val="none"/>
              </w:rPr>
              <w:t>≥</w:t>
            </w:r>
            <w:r>
              <w:rPr>
                <w:sz w:val="21"/>
                <w:szCs w:val="21"/>
                <w:highlight w:val="none"/>
              </w:rPr>
              <w:t>10.0</w:t>
            </w:r>
          </w:p>
        </w:tc>
        <w:tc>
          <w:tcPr>
            <w:tcW w:w="907" w:type="dxa"/>
            <w:vAlign w:val="center"/>
          </w:tcPr>
          <w:p>
            <w:pPr>
              <w:snapToGrid w:val="0"/>
              <w:jc w:val="center"/>
              <w:rPr>
                <w:sz w:val="21"/>
                <w:szCs w:val="21"/>
                <w:highlight w:val="none"/>
              </w:rPr>
            </w:pPr>
            <w:r>
              <w:rPr>
                <w:rFonts w:hint="eastAsia" w:ascii="宋体" w:hAnsi="宋体" w:cs="宋体"/>
                <w:sz w:val="21"/>
                <w:szCs w:val="21"/>
                <w:highlight w:val="none"/>
              </w:rPr>
              <w:t>≥</w:t>
            </w:r>
            <w:r>
              <w:rPr>
                <w:sz w:val="21"/>
                <w:szCs w:val="21"/>
                <w:highlight w:val="none"/>
              </w:rPr>
              <w:t>9.0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2233" w:type="dxa"/>
            <w:vMerge w:val="restart"/>
            <w:vAlign w:val="center"/>
          </w:tcPr>
          <w:p>
            <w:pPr>
              <w:snapToGrid w:val="0"/>
              <w:jc w:val="center"/>
              <w:rPr>
                <w:sz w:val="21"/>
                <w:szCs w:val="21"/>
                <w:highlight w:val="none"/>
              </w:rPr>
            </w:pPr>
            <w:r>
              <w:rPr>
                <w:rFonts w:hint="eastAsia"/>
                <w:sz w:val="21"/>
                <w:szCs w:val="21"/>
                <w:highlight w:val="none"/>
              </w:rPr>
              <w:t>极限</w:t>
            </w:r>
            <w:r>
              <w:rPr>
                <w:sz w:val="21"/>
                <w:szCs w:val="21"/>
                <w:highlight w:val="none"/>
              </w:rPr>
              <w:t>抗</w:t>
            </w:r>
            <w:r>
              <w:rPr>
                <w:rFonts w:hint="eastAsia"/>
                <w:sz w:val="21"/>
                <w:szCs w:val="21"/>
                <w:highlight w:val="none"/>
              </w:rPr>
              <w:t>拉</w:t>
            </w:r>
            <w:r>
              <w:rPr>
                <w:sz w:val="21"/>
                <w:szCs w:val="21"/>
                <w:highlight w:val="none"/>
              </w:rPr>
              <w:t>强度（N/mm</w:t>
            </w:r>
            <w:r>
              <w:rPr>
                <w:sz w:val="21"/>
                <w:szCs w:val="21"/>
                <w:highlight w:val="none"/>
                <w:vertAlign w:val="superscript"/>
              </w:rPr>
              <w:t>2</w:t>
            </w:r>
            <w:r>
              <w:rPr>
                <w:sz w:val="21"/>
                <w:szCs w:val="21"/>
                <w:highlight w:val="none"/>
              </w:rPr>
              <w:t>）</w:t>
            </w:r>
          </w:p>
        </w:tc>
        <w:tc>
          <w:tcPr>
            <w:tcW w:w="1354" w:type="dxa"/>
            <w:vAlign w:val="center"/>
          </w:tcPr>
          <w:p>
            <w:pPr>
              <w:snapToGrid w:val="0"/>
              <w:jc w:val="center"/>
              <w:rPr>
                <w:sz w:val="21"/>
                <w:szCs w:val="21"/>
                <w:highlight w:val="none"/>
              </w:rPr>
            </w:pPr>
            <w:r>
              <w:rPr>
                <w:rFonts w:hint="eastAsia"/>
                <w:sz w:val="21"/>
                <w:szCs w:val="21"/>
                <w:highlight w:val="none"/>
              </w:rPr>
              <w:t>28d</w:t>
            </w:r>
          </w:p>
        </w:tc>
        <w:tc>
          <w:tcPr>
            <w:tcW w:w="907" w:type="dxa"/>
            <w:vAlign w:val="center"/>
          </w:tcPr>
          <w:p>
            <w:pPr>
              <w:snapToGrid w:val="0"/>
              <w:jc w:val="center"/>
              <w:rPr>
                <w:rFonts w:hint="default" w:ascii="宋体" w:hAnsi="宋体" w:cs="宋体"/>
                <w:sz w:val="21"/>
                <w:szCs w:val="21"/>
                <w:highlight w:val="none"/>
                <w:lang w:val="en-US" w:eastAsia="zh-CN"/>
              </w:rPr>
            </w:pPr>
            <w:r>
              <w:rPr>
                <w:rFonts w:hint="eastAsia" w:ascii="宋体" w:hAnsi="宋体" w:cs="宋体"/>
                <w:sz w:val="21"/>
                <w:szCs w:val="21"/>
                <w:highlight w:val="none"/>
              </w:rPr>
              <w:t>≥</w:t>
            </w:r>
            <w:r>
              <w:rPr>
                <w:rFonts w:hint="eastAsia" w:ascii="宋体" w:hAnsi="宋体" w:cs="宋体"/>
                <w:sz w:val="21"/>
                <w:szCs w:val="21"/>
                <w:highlight w:val="none"/>
                <w:lang w:val="en-US" w:eastAsia="zh-CN"/>
              </w:rPr>
              <w:t>5.2</w:t>
            </w:r>
          </w:p>
        </w:tc>
        <w:tc>
          <w:tcPr>
            <w:tcW w:w="907" w:type="dxa"/>
            <w:vAlign w:val="center"/>
          </w:tcPr>
          <w:p>
            <w:pPr>
              <w:snapToGrid w:val="0"/>
              <w:jc w:val="center"/>
              <w:rPr>
                <w:rFonts w:hint="default" w:ascii="宋体" w:hAnsi="宋体" w:cs="宋体"/>
                <w:sz w:val="21"/>
                <w:szCs w:val="21"/>
                <w:highlight w:val="none"/>
                <w:lang w:val="en-US" w:eastAsia="zh-CN"/>
              </w:rPr>
            </w:pPr>
            <w:r>
              <w:rPr>
                <w:rFonts w:hint="eastAsia" w:ascii="宋体" w:hAnsi="宋体" w:cs="宋体"/>
                <w:sz w:val="21"/>
                <w:szCs w:val="21"/>
                <w:highlight w:val="none"/>
              </w:rPr>
              <w:t>≥</w:t>
            </w:r>
            <w:r>
              <w:rPr>
                <w:rFonts w:hint="eastAsia" w:ascii="宋体" w:hAnsi="宋体" w:cs="宋体"/>
                <w:sz w:val="21"/>
                <w:szCs w:val="21"/>
                <w:highlight w:val="none"/>
                <w:lang w:val="en-US" w:eastAsia="zh-CN"/>
              </w:rPr>
              <w:t>4.4</w:t>
            </w:r>
          </w:p>
        </w:tc>
        <w:tc>
          <w:tcPr>
            <w:tcW w:w="907" w:type="dxa"/>
            <w:vAlign w:val="center"/>
          </w:tcPr>
          <w:p>
            <w:pPr>
              <w:snapToGrid w:val="0"/>
              <w:jc w:val="center"/>
              <w:rPr>
                <w:rFonts w:hint="default" w:ascii="宋体" w:hAnsi="宋体" w:cs="宋体"/>
                <w:sz w:val="21"/>
                <w:szCs w:val="21"/>
                <w:highlight w:val="none"/>
                <w:lang w:val="en-US" w:eastAsia="zh-CN"/>
              </w:rPr>
            </w:pPr>
            <w:r>
              <w:rPr>
                <w:rFonts w:hint="eastAsia" w:ascii="宋体" w:hAnsi="宋体" w:cs="宋体"/>
                <w:sz w:val="21"/>
                <w:szCs w:val="21"/>
                <w:highlight w:val="none"/>
              </w:rPr>
              <w:t>≥</w:t>
            </w:r>
            <w:r>
              <w:rPr>
                <w:rFonts w:hint="eastAsia" w:ascii="宋体" w:hAnsi="宋体" w:cs="宋体"/>
                <w:sz w:val="21"/>
                <w:szCs w:val="21"/>
                <w:highlight w:val="none"/>
                <w:lang w:val="en-US" w:eastAsia="zh-CN"/>
              </w:rPr>
              <w:t>3.6</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2233" w:type="dxa"/>
            <w:vMerge w:val="continue"/>
            <w:vAlign w:val="center"/>
          </w:tcPr>
          <w:p>
            <w:pPr>
              <w:snapToGrid w:val="0"/>
              <w:jc w:val="center"/>
              <w:rPr>
                <w:sz w:val="21"/>
                <w:szCs w:val="21"/>
                <w:highlight w:val="none"/>
              </w:rPr>
            </w:pPr>
          </w:p>
        </w:tc>
        <w:tc>
          <w:tcPr>
            <w:tcW w:w="1354" w:type="dxa"/>
            <w:vAlign w:val="center"/>
          </w:tcPr>
          <w:p>
            <w:pPr>
              <w:snapToGrid w:val="0"/>
              <w:jc w:val="center"/>
              <w:rPr>
                <w:sz w:val="21"/>
                <w:szCs w:val="21"/>
                <w:highlight w:val="none"/>
              </w:rPr>
            </w:pPr>
            <w:r>
              <w:rPr>
                <w:sz w:val="21"/>
                <w:szCs w:val="21"/>
                <w:highlight w:val="none"/>
              </w:rPr>
              <w:t>60d</w:t>
            </w:r>
          </w:p>
        </w:tc>
        <w:tc>
          <w:tcPr>
            <w:tcW w:w="907" w:type="dxa"/>
            <w:vAlign w:val="center"/>
          </w:tcPr>
          <w:p>
            <w:pPr>
              <w:snapToGrid w:val="0"/>
              <w:jc w:val="center"/>
              <w:rPr>
                <w:rFonts w:hint="eastAsia" w:ascii="宋体" w:hAnsi="宋体" w:cs="宋体"/>
                <w:sz w:val="21"/>
                <w:szCs w:val="21"/>
                <w:highlight w:val="none"/>
              </w:rPr>
            </w:pPr>
            <w:r>
              <w:rPr>
                <w:rFonts w:hint="eastAsia" w:ascii="宋体" w:hAnsi="宋体" w:cs="宋体"/>
                <w:sz w:val="21"/>
                <w:szCs w:val="21"/>
                <w:highlight w:val="none"/>
              </w:rPr>
              <w:t>≥</w:t>
            </w:r>
            <w:r>
              <w:rPr>
                <w:rFonts w:hint="eastAsia" w:ascii="宋体" w:hAnsi="宋体" w:cs="宋体"/>
                <w:sz w:val="21"/>
                <w:szCs w:val="21"/>
                <w:highlight w:val="none"/>
                <w:lang w:val="en-US" w:eastAsia="zh-CN"/>
              </w:rPr>
              <w:t>6.5</w:t>
            </w:r>
          </w:p>
        </w:tc>
        <w:tc>
          <w:tcPr>
            <w:tcW w:w="907" w:type="dxa"/>
            <w:vAlign w:val="center"/>
          </w:tcPr>
          <w:p>
            <w:pPr>
              <w:snapToGrid w:val="0"/>
              <w:jc w:val="center"/>
              <w:rPr>
                <w:rFonts w:hint="default" w:ascii="宋体" w:hAnsi="宋体" w:cs="宋体"/>
                <w:sz w:val="21"/>
                <w:szCs w:val="21"/>
                <w:highlight w:val="none"/>
                <w:lang w:val="en-US"/>
              </w:rPr>
            </w:pPr>
            <w:r>
              <w:rPr>
                <w:rFonts w:hint="eastAsia" w:ascii="宋体" w:hAnsi="宋体" w:cs="宋体"/>
                <w:sz w:val="21"/>
                <w:szCs w:val="21"/>
                <w:highlight w:val="none"/>
              </w:rPr>
              <w:t>≥</w:t>
            </w:r>
            <w:r>
              <w:rPr>
                <w:rFonts w:hint="eastAsia" w:ascii="宋体" w:hAnsi="宋体" w:cs="宋体"/>
                <w:sz w:val="21"/>
                <w:szCs w:val="21"/>
                <w:highlight w:val="none"/>
                <w:lang w:val="en-US" w:eastAsia="zh-CN"/>
              </w:rPr>
              <w:t>5.5</w:t>
            </w:r>
          </w:p>
        </w:tc>
        <w:tc>
          <w:tcPr>
            <w:tcW w:w="907" w:type="dxa"/>
            <w:vAlign w:val="center"/>
          </w:tcPr>
          <w:p>
            <w:pPr>
              <w:snapToGrid w:val="0"/>
              <w:jc w:val="center"/>
              <w:rPr>
                <w:rFonts w:hint="default" w:ascii="宋体" w:hAnsi="宋体" w:cs="宋体"/>
                <w:sz w:val="21"/>
                <w:szCs w:val="21"/>
                <w:highlight w:val="none"/>
                <w:lang w:val="en-US"/>
              </w:rPr>
            </w:pPr>
            <w:r>
              <w:rPr>
                <w:rFonts w:hint="eastAsia" w:ascii="宋体" w:hAnsi="宋体" w:cs="宋体"/>
                <w:sz w:val="21"/>
                <w:szCs w:val="21"/>
                <w:highlight w:val="none"/>
              </w:rPr>
              <w:t>≥</w:t>
            </w:r>
            <w:r>
              <w:rPr>
                <w:rFonts w:hint="eastAsia" w:ascii="宋体" w:hAnsi="宋体" w:cs="宋体"/>
                <w:sz w:val="21"/>
                <w:szCs w:val="21"/>
                <w:highlight w:val="none"/>
                <w:lang w:val="en-US" w:eastAsia="zh-CN"/>
              </w:rPr>
              <w:t>4.5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2233" w:type="dxa"/>
            <w:vAlign w:val="center"/>
          </w:tcPr>
          <w:p>
            <w:pPr>
              <w:snapToGrid w:val="0"/>
              <w:jc w:val="center"/>
              <w:rPr>
                <w:sz w:val="21"/>
                <w:szCs w:val="21"/>
                <w:highlight w:val="none"/>
              </w:rPr>
            </w:pPr>
            <w:r>
              <w:rPr>
                <w:rFonts w:hint="eastAsia" w:ascii="Times New Roman" w:hAnsi="Times New Roman" w:eastAsia="宋体" w:cs="Times New Roman"/>
                <w:kern w:val="2"/>
                <w:sz w:val="21"/>
                <w:szCs w:val="21"/>
                <w:highlight w:val="none"/>
              </w:rPr>
              <w:t>极限抗拉应变</w:t>
            </w:r>
          </w:p>
        </w:tc>
        <w:tc>
          <w:tcPr>
            <w:tcW w:w="1354" w:type="dxa"/>
            <w:vAlign w:val="center"/>
          </w:tcPr>
          <w:p>
            <w:pPr>
              <w:snapToGrid w:val="0"/>
              <w:jc w:val="center"/>
              <w:rPr>
                <w:sz w:val="21"/>
                <w:szCs w:val="21"/>
                <w:highlight w:val="none"/>
              </w:rPr>
            </w:pPr>
            <w:r>
              <w:rPr>
                <w:rFonts w:hint="eastAsia"/>
                <w:sz w:val="21"/>
                <w:szCs w:val="21"/>
                <w:highlight w:val="none"/>
              </w:rPr>
              <w:t>28d</w:t>
            </w:r>
          </w:p>
        </w:tc>
        <w:tc>
          <w:tcPr>
            <w:tcW w:w="2721" w:type="dxa"/>
            <w:gridSpan w:val="3"/>
            <w:vAlign w:val="center"/>
          </w:tcPr>
          <w:p>
            <w:pPr>
              <w:snapToGrid w:val="0"/>
              <w:jc w:val="center"/>
              <w:rPr>
                <w:rFonts w:hint="eastAsia" w:ascii="宋体" w:hAnsi="宋体" w:eastAsia="宋体" w:cs="宋体"/>
                <w:sz w:val="21"/>
                <w:szCs w:val="21"/>
                <w:highlight w:val="none"/>
                <w:lang w:eastAsia="zh-CN"/>
              </w:rPr>
            </w:pPr>
            <w:r>
              <w:rPr>
                <w:rFonts w:hint="eastAsia" w:ascii="宋体" w:hAnsi="宋体" w:cs="宋体"/>
                <w:sz w:val="21"/>
                <w:szCs w:val="21"/>
                <w:highlight w:val="none"/>
              </w:rPr>
              <w:t>≥</w:t>
            </w:r>
            <w:r>
              <w:rPr>
                <w:sz w:val="21"/>
                <w:szCs w:val="21"/>
                <w:highlight w:val="none"/>
              </w:rPr>
              <w:t>1</w:t>
            </w:r>
            <w:r>
              <w:rPr>
                <w:rFonts w:hint="eastAsia"/>
                <w:sz w:val="21"/>
                <w:szCs w:val="21"/>
                <w:highlight w:val="none"/>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2233" w:type="dxa"/>
            <w:vMerge w:val="restart"/>
            <w:vAlign w:val="center"/>
          </w:tcPr>
          <w:p>
            <w:pPr>
              <w:snapToGrid w:val="0"/>
              <w:jc w:val="center"/>
              <w:rPr>
                <w:sz w:val="21"/>
                <w:szCs w:val="21"/>
                <w:highlight w:val="none"/>
              </w:rPr>
            </w:pPr>
            <w:r>
              <w:rPr>
                <w:sz w:val="21"/>
                <w:szCs w:val="21"/>
                <w:highlight w:val="none"/>
              </w:rPr>
              <w:t>抗折强度（N/mm</w:t>
            </w:r>
            <w:r>
              <w:rPr>
                <w:sz w:val="21"/>
                <w:szCs w:val="21"/>
                <w:highlight w:val="none"/>
                <w:vertAlign w:val="superscript"/>
              </w:rPr>
              <w:t>2</w:t>
            </w:r>
            <w:r>
              <w:rPr>
                <w:sz w:val="21"/>
                <w:szCs w:val="21"/>
                <w:highlight w:val="none"/>
              </w:rPr>
              <w:t>）</w:t>
            </w:r>
          </w:p>
        </w:tc>
        <w:tc>
          <w:tcPr>
            <w:tcW w:w="1354" w:type="dxa"/>
            <w:vAlign w:val="center"/>
          </w:tcPr>
          <w:p>
            <w:pPr>
              <w:snapToGrid w:val="0"/>
              <w:jc w:val="center"/>
              <w:rPr>
                <w:sz w:val="21"/>
                <w:szCs w:val="21"/>
                <w:highlight w:val="none"/>
              </w:rPr>
            </w:pPr>
            <w:r>
              <w:rPr>
                <w:rFonts w:hint="eastAsia"/>
                <w:sz w:val="21"/>
                <w:szCs w:val="21"/>
                <w:highlight w:val="none"/>
              </w:rPr>
              <w:t>28d</w:t>
            </w:r>
          </w:p>
        </w:tc>
        <w:tc>
          <w:tcPr>
            <w:tcW w:w="2721" w:type="dxa"/>
            <w:gridSpan w:val="3"/>
            <w:vAlign w:val="center"/>
          </w:tcPr>
          <w:p>
            <w:pPr>
              <w:snapToGrid w:val="0"/>
              <w:jc w:val="center"/>
              <w:rPr>
                <w:rFonts w:ascii="宋体" w:hAnsi="宋体"/>
                <w:sz w:val="21"/>
                <w:szCs w:val="21"/>
                <w:highlight w:val="none"/>
              </w:rPr>
            </w:pPr>
            <w:r>
              <w:rPr>
                <w:rFonts w:hint="eastAsia" w:ascii="宋体" w:hAnsi="宋体" w:cs="宋体"/>
                <w:sz w:val="21"/>
                <w:szCs w:val="21"/>
                <w:highlight w:val="none"/>
              </w:rPr>
              <w:t>≥</w:t>
            </w:r>
            <w:r>
              <w:rPr>
                <w:sz w:val="21"/>
                <w:szCs w:val="21"/>
                <w:highlight w:val="none"/>
              </w:rPr>
              <w:t>1</w:t>
            </w:r>
            <w:r>
              <w:rPr>
                <w:rFonts w:hint="eastAsia"/>
                <w:sz w:val="21"/>
                <w:szCs w:val="21"/>
                <w:highlight w:val="none"/>
              </w:rPr>
              <w:t>1</w:t>
            </w:r>
            <w:r>
              <w:rPr>
                <w:sz w:val="21"/>
                <w:szCs w:val="21"/>
                <w:highlight w:val="none"/>
              </w:rPr>
              <w:t>.0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2233" w:type="dxa"/>
            <w:vMerge w:val="continue"/>
            <w:vAlign w:val="center"/>
          </w:tcPr>
          <w:p>
            <w:pPr>
              <w:snapToGrid w:val="0"/>
              <w:jc w:val="center"/>
              <w:rPr>
                <w:sz w:val="21"/>
                <w:szCs w:val="21"/>
                <w:highlight w:val="none"/>
              </w:rPr>
            </w:pPr>
          </w:p>
        </w:tc>
        <w:tc>
          <w:tcPr>
            <w:tcW w:w="1354" w:type="dxa"/>
            <w:vAlign w:val="center"/>
          </w:tcPr>
          <w:p>
            <w:pPr>
              <w:snapToGrid w:val="0"/>
              <w:jc w:val="center"/>
              <w:rPr>
                <w:sz w:val="21"/>
                <w:szCs w:val="21"/>
                <w:highlight w:val="none"/>
              </w:rPr>
            </w:pPr>
            <w:r>
              <w:rPr>
                <w:sz w:val="21"/>
                <w:szCs w:val="21"/>
                <w:highlight w:val="none"/>
              </w:rPr>
              <w:t>60d</w:t>
            </w:r>
          </w:p>
        </w:tc>
        <w:tc>
          <w:tcPr>
            <w:tcW w:w="2721" w:type="dxa"/>
            <w:gridSpan w:val="3"/>
            <w:vAlign w:val="center"/>
          </w:tcPr>
          <w:p>
            <w:pPr>
              <w:snapToGrid w:val="0"/>
              <w:jc w:val="center"/>
              <w:rPr>
                <w:sz w:val="21"/>
                <w:szCs w:val="21"/>
                <w:highlight w:val="none"/>
              </w:rPr>
            </w:pPr>
            <w:r>
              <w:rPr>
                <w:rFonts w:hint="eastAsia" w:ascii="宋体" w:hAnsi="宋体" w:cs="宋体"/>
                <w:sz w:val="21"/>
                <w:szCs w:val="21"/>
                <w:highlight w:val="none"/>
              </w:rPr>
              <w:t>≥</w:t>
            </w:r>
            <w:r>
              <w:rPr>
                <w:sz w:val="21"/>
                <w:szCs w:val="21"/>
                <w:highlight w:val="none"/>
              </w:rPr>
              <w:t>12.0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2233" w:type="dxa"/>
            <w:vMerge w:val="restart"/>
            <w:vAlign w:val="center"/>
          </w:tcPr>
          <w:p>
            <w:pPr>
              <w:snapToGrid w:val="0"/>
              <w:jc w:val="center"/>
              <w:rPr>
                <w:sz w:val="21"/>
                <w:szCs w:val="21"/>
                <w:highlight w:val="none"/>
              </w:rPr>
            </w:pPr>
            <w:r>
              <w:rPr>
                <w:sz w:val="21"/>
                <w:szCs w:val="21"/>
                <w:highlight w:val="none"/>
              </w:rPr>
              <w:t>立方体抗压强度（N/mm</w:t>
            </w:r>
            <w:r>
              <w:rPr>
                <w:sz w:val="21"/>
                <w:szCs w:val="21"/>
                <w:highlight w:val="none"/>
                <w:vertAlign w:val="superscript"/>
              </w:rPr>
              <w:t>2</w:t>
            </w:r>
            <w:r>
              <w:rPr>
                <w:sz w:val="21"/>
                <w:szCs w:val="21"/>
                <w:highlight w:val="none"/>
              </w:rPr>
              <w:t>）</w:t>
            </w:r>
          </w:p>
        </w:tc>
        <w:tc>
          <w:tcPr>
            <w:tcW w:w="1354" w:type="dxa"/>
            <w:vAlign w:val="center"/>
          </w:tcPr>
          <w:p>
            <w:pPr>
              <w:snapToGrid w:val="0"/>
              <w:jc w:val="center"/>
              <w:rPr>
                <w:sz w:val="21"/>
                <w:szCs w:val="21"/>
                <w:highlight w:val="none"/>
              </w:rPr>
            </w:pPr>
            <w:r>
              <w:rPr>
                <w:rFonts w:hint="eastAsia"/>
                <w:sz w:val="21"/>
                <w:szCs w:val="21"/>
                <w:highlight w:val="none"/>
              </w:rPr>
              <w:t>28d</w:t>
            </w:r>
          </w:p>
        </w:tc>
        <w:tc>
          <w:tcPr>
            <w:tcW w:w="2721" w:type="dxa"/>
            <w:gridSpan w:val="3"/>
            <w:vAlign w:val="center"/>
          </w:tcPr>
          <w:p>
            <w:pPr>
              <w:snapToGrid w:val="0"/>
              <w:jc w:val="center"/>
              <w:rPr>
                <w:rFonts w:ascii="宋体" w:hAnsi="宋体"/>
                <w:sz w:val="21"/>
                <w:szCs w:val="21"/>
                <w:highlight w:val="none"/>
              </w:rPr>
            </w:pPr>
            <w:r>
              <w:rPr>
                <w:rFonts w:hint="eastAsia" w:ascii="宋体" w:hAnsi="宋体" w:cs="宋体"/>
                <w:sz w:val="21"/>
                <w:szCs w:val="21"/>
                <w:highlight w:val="none"/>
              </w:rPr>
              <w:t>≥</w:t>
            </w:r>
            <w:r>
              <w:rPr>
                <w:rFonts w:hint="eastAsia"/>
                <w:sz w:val="21"/>
                <w:szCs w:val="21"/>
                <w:highlight w:val="none"/>
              </w:rPr>
              <w:t>45</w:t>
            </w:r>
            <w:r>
              <w:rPr>
                <w:sz w:val="21"/>
                <w:szCs w:val="21"/>
                <w:highlight w:val="none"/>
              </w:rPr>
              <w:t>.0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2233" w:type="dxa"/>
            <w:vMerge w:val="continue"/>
            <w:vAlign w:val="center"/>
          </w:tcPr>
          <w:p>
            <w:pPr>
              <w:snapToGrid w:val="0"/>
              <w:jc w:val="center"/>
              <w:rPr>
                <w:sz w:val="21"/>
                <w:szCs w:val="21"/>
                <w:highlight w:val="none"/>
              </w:rPr>
            </w:pPr>
          </w:p>
        </w:tc>
        <w:tc>
          <w:tcPr>
            <w:tcW w:w="1354" w:type="dxa"/>
            <w:vAlign w:val="center"/>
          </w:tcPr>
          <w:p>
            <w:pPr>
              <w:snapToGrid w:val="0"/>
              <w:jc w:val="center"/>
              <w:rPr>
                <w:sz w:val="21"/>
                <w:szCs w:val="21"/>
                <w:highlight w:val="none"/>
              </w:rPr>
            </w:pPr>
            <w:r>
              <w:rPr>
                <w:sz w:val="21"/>
                <w:szCs w:val="21"/>
                <w:highlight w:val="none"/>
              </w:rPr>
              <w:t>60d</w:t>
            </w:r>
          </w:p>
        </w:tc>
        <w:tc>
          <w:tcPr>
            <w:tcW w:w="2721" w:type="dxa"/>
            <w:gridSpan w:val="3"/>
            <w:vAlign w:val="center"/>
          </w:tcPr>
          <w:p>
            <w:pPr>
              <w:snapToGrid w:val="0"/>
              <w:jc w:val="center"/>
              <w:rPr>
                <w:sz w:val="21"/>
                <w:szCs w:val="21"/>
                <w:highlight w:val="none"/>
              </w:rPr>
            </w:pPr>
            <w:r>
              <w:rPr>
                <w:rFonts w:hint="eastAsia" w:ascii="宋体" w:hAnsi="宋体" w:cs="宋体"/>
                <w:sz w:val="21"/>
                <w:szCs w:val="21"/>
                <w:highlight w:val="none"/>
              </w:rPr>
              <w:t>≥</w:t>
            </w:r>
            <w:r>
              <w:rPr>
                <w:sz w:val="21"/>
                <w:szCs w:val="21"/>
                <w:highlight w:val="none"/>
              </w:rPr>
              <w:t>50.0</w:t>
            </w:r>
          </w:p>
        </w:tc>
      </w:tr>
    </w:tbl>
    <w:p>
      <w:pPr>
        <w:spacing w:line="312" w:lineRule="auto"/>
        <w:rPr>
          <w:sz w:val="21"/>
          <w:szCs w:val="21"/>
          <w:highlight w:val="none"/>
        </w:rPr>
      </w:pPr>
      <w:r>
        <w:rPr>
          <w:sz w:val="21"/>
          <w:szCs w:val="21"/>
          <w:highlight w:val="none"/>
        </w:rPr>
        <w:t>注： 1  表中性能指标除立方体抗压强度为标准值外，其他性能指标均指</w:t>
      </w:r>
      <w:r>
        <w:rPr>
          <w:rFonts w:hint="eastAsia"/>
          <w:sz w:val="21"/>
          <w:szCs w:val="21"/>
          <w:highlight w:val="none"/>
        </w:rPr>
        <w:t>试验结果的</w:t>
      </w:r>
      <w:r>
        <w:rPr>
          <w:sz w:val="21"/>
          <w:szCs w:val="21"/>
          <w:highlight w:val="none"/>
        </w:rPr>
        <w:t>代表值</w:t>
      </w:r>
      <w:r>
        <w:rPr>
          <w:rFonts w:hint="eastAsia"/>
          <w:sz w:val="21"/>
          <w:szCs w:val="21"/>
          <w:highlight w:val="none"/>
        </w:rPr>
        <w:t>，按本标准第</w:t>
      </w:r>
      <w:r>
        <w:rPr>
          <w:rFonts w:hint="eastAsia"/>
          <w:sz w:val="21"/>
          <w:szCs w:val="21"/>
          <w:highlight w:val="none"/>
          <w:lang w:val="en-US" w:eastAsia="zh-CN"/>
        </w:rPr>
        <w:t>4.3.4</w:t>
      </w:r>
      <w:r>
        <w:rPr>
          <w:rFonts w:hint="eastAsia"/>
          <w:sz w:val="21"/>
          <w:szCs w:val="21"/>
          <w:highlight w:val="none"/>
        </w:rPr>
        <w:t>条规定计算</w:t>
      </w:r>
      <w:r>
        <w:rPr>
          <w:sz w:val="21"/>
          <w:szCs w:val="21"/>
          <w:highlight w:val="none"/>
        </w:rPr>
        <w:t>；</w:t>
      </w:r>
    </w:p>
    <w:p>
      <w:pPr>
        <w:spacing w:line="312" w:lineRule="auto"/>
        <w:ind w:firstLine="495" w:firstLineChars="236"/>
        <w:rPr>
          <w:sz w:val="21"/>
          <w:szCs w:val="21"/>
          <w:highlight w:val="none"/>
        </w:rPr>
      </w:pPr>
      <w:r>
        <w:rPr>
          <w:sz w:val="21"/>
          <w:szCs w:val="21"/>
          <w:highlight w:val="none"/>
        </w:rPr>
        <w:t>2  表中</w:t>
      </w:r>
      <w:r>
        <w:rPr>
          <w:sz w:val="21"/>
          <w:szCs w:val="21"/>
          <w:highlight w:val="none"/>
        </w:rPr>
        <w:fldChar w:fldCharType="begin"/>
      </w:r>
      <w:r>
        <w:rPr>
          <w:sz w:val="21"/>
          <w:szCs w:val="21"/>
          <w:highlight w:val="none"/>
        </w:rPr>
        <w:instrText xml:space="preserve"> = 1 \* ROMAN </w:instrText>
      </w:r>
      <w:r>
        <w:rPr>
          <w:sz w:val="21"/>
          <w:szCs w:val="21"/>
          <w:highlight w:val="none"/>
        </w:rPr>
        <w:fldChar w:fldCharType="separate"/>
      </w:r>
      <w:r>
        <w:rPr>
          <w:sz w:val="21"/>
          <w:szCs w:val="21"/>
          <w:highlight w:val="none"/>
        </w:rPr>
        <w:t>I</w:t>
      </w:r>
      <w:r>
        <w:rPr>
          <w:sz w:val="21"/>
          <w:szCs w:val="21"/>
          <w:highlight w:val="none"/>
        </w:rPr>
        <w:fldChar w:fldCharType="end"/>
      </w:r>
      <w:r>
        <w:rPr>
          <w:sz w:val="21"/>
          <w:szCs w:val="21"/>
          <w:highlight w:val="none"/>
        </w:rPr>
        <w:t>类、</w:t>
      </w:r>
      <w:r>
        <w:rPr>
          <w:sz w:val="21"/>
          <w:szCs w:val="21"/>
          <w:highlight w:val="none"/>
        </w:rPr>
        <w:fldChar w:fldCharType="begin"/>
      </w:r>
      <w:r>
        <w:rPr>
          <w:sz w:val="21"/>
          <w:szCs w:val="21"/>
          <w:highlight w:val="none"/>
        </w:rPr>
        <w:instrText xml:space="preserve"> = 2 \* ROMAN </w:instrText>
      </w:r>
      <w:r>
        <w:rPr>
          <w:sz w:val="21"/>
          <w:szCs w:val="21"/>
          <w:highlight w:val="none"/>
        </w:rPr>
        <w:fldChar w:fldCharType="separate"/>
      </w:r>
      <w:r>
        <w:rPr>
          <w:sz w:val="21"/>
          <w:szCs w:val="21"/>
          <w:highlight w:val="none"/>
        </w:rPr>
        <w:t>II</w:t>
      </w:r>
      <w:r>
        <w:rPr>
          <w:sz w:val="21"/>
          <w:szCs w:val="21"/>
          <w:highlight w:val="none"/>
        </w:rPr>
        <w:fldChar w:fldCharType="end"/>
      </w:r>
      <w:r>
        <w:rPr>
          <w:sz w:val="21"/>
          <w:szCs w:val="21"/>
          <w:highlight w:val="none"/>
        </w:rPr>
        <w:t>类、</w:t>
      </w:r>
      <w:r>
        <w:rPr>
          <w:sz w:val="21"/>
          <w:szCs w:val="21"/>
          <w:highlight w:val="none"/>
        </w:rPr>
        <w:fldChar w:fldCharType="begin"/>
      </w:r>
      <w:r>
        <w:rPr>
          <w:sz w:val="21"/>
          <w:szCs w:val="21"/>
          <w:highlight w:val="none"/>
        </w:rPr>
        <w:instrText xml:space="preserve"> = 3 \* ROMAN </w:instrText>
      </w:r>
      <w:r>
        <w:rPr>
          <w:sz w:val="21"/>
          <w:szCs w:val="21"/>
          <w:highlight w:val="none"/>
        </w:rPr>
        <w:fldChar w:fldCharType="separate"/>
      </w:r>
      <w:r>
        <w:rPr>
          <w:sz w:val="21"/>
          <w:szCs w:val="21"/>
          <w:highlight w:val="none"/>
        </w:rPr>
        <w:t>III</w:t>
      </w:r>
      <w:r>
        <w:rPr>
          <w:sz w:val="21"/>
          <w:szCs w:val="21"/>
          <w:highlight w:val="none"/>
        </w:rPr>
        <w:fldChar w:fldCharType="end"/>
      </w:r>
      <w:r>
        <w:rPr>
          <w:sz w:val="21"/>
          <w:szCs w:val="21"/>
          <w:highlight w:val="none"/>
        </w:rPr>
        <w:t>类高延性混凝土的选用应符合</w:t>
      </w:r>
      <w:r>
        <w:rPr>
          <w:rFonts w:hint="eastAsia"/>
          <w:sz w:val="21"/>
          <w:szCs w:val="21"/>
          <w:highlight w:val="none"/>
        </w:rPr>
        <w:t>本标准</w:t>
      </w:r>
      <w:r>
        <w:rPr>
          <w:sz w:val="21"/>
          <w:szCs w:val="21"/>
          <w:highlight w:val="none"/>
        </w:rPr>
        <w:t>第5.1.</w:t>
      </w:r>
      <w:r>
        <w:rPr>
          <w:rFonts w:hint="eastAsia"/>
          <w:sz w:val="21"/>
          <w:szCs w:val="21"/>
          <w:highlight w:val="none"/>
        </w:rPr>
        <w:t>2</w:t>
      </w:r>
      <w:r>
        <w:rPr>
          <w:sz w:val="21"/>
          <w:szCs w:val="21"/>
          <w:highlight w:val="none"/>
        </w:rPr>
        <w:t>条</w:t>
      </w:r>
      <w:r>
        <w:rPr>
          <w:rFonts w:hint="eastAsia"/>
          <w:sz w:val="21"/>
          <w:szCs w:val="21"/>
          <w:highlight w:val="none"/>
        </w:rPr>
        <w:t>和第C</w:t>
      </w:r>
      <w:r>
        <w:rPr>
          <w:sz w:val="21"/>
          <w:szCs w:val="21"/>
          <w:highlight w:val="none"/>
        </w:rPr>
        <w:t>.1.</w:t>
      </w:r>
      <w:r>
        <w:rPr>
          <w:rFonts w:hint="eastAsia"/>
          <w:sz w:val="21"/>
          <w:szCs w:val="21"/>
          <w:highlight w:val="none"/>
        </w:rPr>
        <w:t>4</w:t>
      </w:r>
      <w:r>
        <w:rPr>
          <w:sz w:val="21"/>
          <w:szCs w:val="21"/>
          <w:highlight w:val="none"/>
        </w:rPr>
        <w:t>条的规定。</w:t>
      </w:r>
    </w:p>
    <w:p>
      <w:pPr>
        <w:spacing w:line="312" w:lineRule="auto"/>
        <w:ind w:firstLine="420" w:firstLineChars="200"/>
        <w:rPr>
          <w:rFonts w:ascii="Times New Roman" w:hAnsi="Times New Roman" w:eastAsia="宋体" w:cs="Times New Roman"/>
          <w:sz w:val="21"/>
          <w:szCs w:val="21"/>
          <w:highlight w:val="none"/>
        </w:rPr>
      </w:pPr>
      <w:r>
        <w:rPr>
          <w:rFonts w:hint="default" w:ascii="Times New Roman" w:hAnsi="Times New Roman" w:cs="Times New Roman"/>
          <w:sz w:val="21"/>
          <w:szCs w:val="21"/>
          <w:highlight w:val="none"/>
        </w:rPr>
        <w:t>3</w:t>
      </w:r>
      <w:r>
        <w:rPr>
          <w:rFonts w:ascii="Times New Roman" w:hAnsi="Times New Roman" w:cs="Times New Roman"/>
          <w:sz w:val="21"/>
          <w:szCs w:val="21"/>
          <w:highlight w:val="none"/>
        </w:rPr>
        <w:t xml:space="preserve"> </w:t>
      </w:r>
      <w:r>
        <w:rPr>
          <w:rFonts w:hint="default" w:ascii="Times New Roman" w:hAnsi="Times New Roman" w:cs="Times New Roman"/>
          <w:sz w:val="21"/>
          <w:szCs w:val="21"/>
          <w:highlight w:val="none"/>
        </w:rPr>
        <w:t xml:space="preserve"> 表中28d龄期作为施工过程控制指标，60d龄期作为最终验收的指标要求。</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楷体" w:hAnsi="楷体" w:eastAsia="楷体" w:cs="楷体"/>
          <w:sz w:val="24"/>
          <w:szCs w:val="24"/>
          <w:highlight w:val="none"/>
          <w:u w:val="single"/>
        </w:rPr>
      </w:pPr>
      <w:r>
        <w:rPr>
          <w:rFonts w:hint="eastAsia" w:ascii="楷体" w:hAnsi="楷体" w:eastAsia="楷体" w:cs="楷体"/>
          <w:b w:val="0"/>
          <w:bCs/>
          <w:sz w:val="24"/>
          <w:szCs w:val="24"/>
          <w:highlight w:val="none"/>
          <w:u w:val="single"/>
        </w:rPr>
        <w:t>【条文说明】</w:t>
      </w:r>
      <w:r>
        <w:rPr>
          <w:rFonts w:hint="eastAsia" w:ascii="楷体" w:hAnsi="楷体" w:eastAsia="楷体" w:cs="楷体"/>
          <w:sz w:val="24"/>
          <w:szCs w:val="24"/>
          <w:highlight w:val="none"/>
          <w:u w:val="single"/>
        </w:rPr>
        <w:t>本条给出了高延性混凝土几个主要力学性能指标，作为高延性混凝土力学性能检验的重要依据。其中等效弯曲韧性和等效弯曲强度为韧性评价指标，抗拉强度、抗折强度和立方体抗压强度为强度评价指标。</w:t>
      </w:r>
    </w:p>
    <w:p>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eastAsia" w:ascii="楷体" w:hAnsi="楷体" w:eastAsia="楷体" w:cs="楷体"/>
          <w:sz w:val="24"/>
          <w:szCs w:val="24"/>
          <w:highlight w:val="none"/>
          <w:u w:val="single"/>
        </w:rPr>
      </w:pPr>
      <w:r>
        <w:rPr>
          <w:rFonts w:hint="eastAsia" w:ascii="楷体" w:hAnsi="楷体" w:eastAsia="楷体" w:cs="楷体"/>
          <w:sz w:val="24"/>
          <w:szCs w:val="24"/>
          <w:highlight w:val="none"/>
          <w:u w:val="single"/>
        </w:rPr>
        <w:t>配制高延性混凝土时，采用了大量的矿物掺合料取代水泥。因此高延性混凝土的早期强度增长较慢，但是超过28d以后的强度仍有较大幅度增长，因此，表中以60d的性能指标作为高延性混凝土最终的力学性能评价标准。</w:t>
      </w:r>
    </w:p>
    <w:p>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eastAsia" w:ascii="楷体" w:hAnsi="楷体" w:eastAsia="楷体" w:cs="楷体"/>
          <w:sz w:val="24"/>
          <w:szCs w:val="24"/>
          <w:highlight w:val="none"/>
          <w:u w:val="single"/>
        </w:rPr>
      </w:pPr>
      <w:r>
        <w:rPr>
          <w:rFonts w:hint="eastAsia" w:ascii="楷体" w:hAnsi="楷体" w:eastAsia="楷体" w:cs="楷体"/>
          <w:sz w:val="24"/>
          <w:szCs w:val="24"/>
          <w:highlight w:val="none"/>
          <w:u w:val="single"/>
        </w:rPr>
        <w:t>采用高延性混凝土能有效避免混凝土的脆性破坏，充分发挥其韧性和强度的优势，具有良好的经济效益。由于混凝土材料本身随强度增高、脆性增大的变化规律，实际工程使用抗压强度较高的高延性混凝土时，其韧性评价指标也会有所降低，但在保证其韧性评价指标能够满足表4.3.1要求的前提下也可以正常使用。</w:t>
      </w:r>
    </w:p>
    <w:p>
      <w:pPr>
        <w:spacing w:line="312" w:lineRule="auto"/>
        <w:rPr>
          <w:sz w:val="24"/>
          <w:szCs w:val="28"/>
          <w:highlight w:val="none"/>
        </w:rPr>
      </w:pPr>
      <w:r>
        <w:rPr>
          <w:rFonts w:hint="eastAsia"/>
          <w:b/>
          <w:bCs/>
          <w:sz w:val="24"/>
          <w:szCs w:val="28"/>
          <w:highlight w:val="none"/>
        </w:rPr>
        <w:t>4.3.2</w:t>
      </w:r>
      <w:r>
        <w:rPr>
          <w:sz w:val="24"/>
          <w:szCs w:val="28"/>
          <w:highlight w:val="none"/>
        </w:rPr>
        <w:t xml:space="preserve">  </w:t>
      </w:r>
      <w:r>
        <w:rPr>
          <w:rFonts w:hint="eastAsia"/>
          <w:sz w:val="24"/>
          <w:szCs w:val="28"/>
          <w:highlight w:val="none"/>
        </w:rPr>
        <w:t>检验</w:t>
      </w:r>
      <w:r>
        <w:rPr>
          <w:sz w:val="24"/>
          <w:szCs w:val="28"/>
          <w:highlight w:val="none"/>
        </w:rPr>
        <w:t>高延性混凝土力学性能的</w:t>
      </w:r>
      <w:r>
        <w:rPr>
          <w:rFonts w:hint="eastAsia"/>
          <w:sz w:val="24"/>
          <w:szCs w:val="28"/>
          <w:highlight w:val="none"/>
          <w:lang w:eastAsia="zh-CN"/>
        </w:rPr>
        <w:t>试件</w:t>
      </w:r>
      <w:r>
        <w:rPr>
          <w:sz w:val="24"/>
          <w:szCs w:val="28"/>
          <w:highlight w:val="none"/>
        </w:rPr>
        <w:t>，其制作及养护方法应</w:t>
      </w:r>
      <w:r>
        <w:rPr>
          <w:kern w:val="0"/>
          <w:sz w:val="24"/>
          <w:szCs w:val="22"/>
          <w:highlight w:val="none"/>
        </w:rPr>
        <w:t>符合</w:t>
      </w:r>
      <w:r>
        <w:rPr>
          <w:sz w:val="24"/>
          <w:szCs w:val="28"/>
          <w:highlight w:val="none"/>
        </w:rPr>
        <w:t>《</w:t>
      </w:r>
      <w:r>
        <w:rPr>
          <w:rFonts w:hint="eastAsia"/>
          <w:sz w:val="24"/>
          <w:szCs w:val="28"/>
          <w:highlight w:val="none"/>
        </w:rPr>
        <w:t>混凝土物理力学性能试验方法标准</w:t>
      </w:r>
      <w:r>
        <w:rPr>
          <w:sz w:val="24"/>
          <w:szCs w:val="28"/>
          <w:highlight w:val="none"/>
        </w:rPr>
        <w:t>》</w:t>
      </w:r>
      <w:r>
        <w:rPr>
          <w:kern w:val="0"/>
          <w:sz w:val="24"/>
          <w:szCs w:val="22"/>
          <w:highlight w:val="none"/>
        </w:rPr>
        <w:t>GB/T 50081</w:t>
      </w:r>
      <w:r>
        <w:rPr>
          <w:rFonts w:hint="eastAsia"/>
          <w:kern w:val="0"/>
          <w:sz w:val="24"/>
          <w:szCs w:val="22"/>
          <w:highlight w:val="none"/>
          <w:lang w:val="en-US" w:eastAsia="zh-CN"/>
        </w:rPr>
        <w:t>和</w:t>
      </w:r>
      <w:r>
        <w:rPr>
          <w:rFonts w:hint="eastAsia" w:hAnsi="宋体"/>
          <w:sz w:val="24"/>
          <w:szCs w:val="28"/>
          <w:highlight w:val="none"/>
        </w:rPr>
        <w:t>《高延性纤维增强水泥基复合材料力学性能试验方法》JC/T 2461等国家现行有关标准</w:t>
      </w:r>
      <w:r>
        <w:rPr>
          <w:kern w:val="0"/>
          <w:sz w:val="24"/>
          <w:szCs w:val="22"/>
          <w:highlight w:val="none"/>
        </w:rPr>
        <w:t>的</w:t>
      </w:r>
      <w:r>
        <w:rPr>
          <w:rFonts w:hint="eastAsia"/>
          <w:kern w:val="0"/>
          <w:sz w:val="24"/>
          <w:szCs w:val="22"/>
          <w:highlight w:val="none"/>
          <w:lang w:val="en-US" w:eastAsia="zh-CN"/>
        </w:rPr>
        <w:t>相</w:t>
      </w:r>
      <w:r>
        <w:rPr>
          <w:kern w:val="0"/>
          <w:sz w:val="24"/>
          <w:szCs w:val="22"/>
          <w:highlight w:val="none"/>
        </w:rPr>
        <w:t>关规定，</w:t>
      </w:r>
      <w:r>
        <w:rPr>
          <w:rFonts w:hint="eastAsia"/>
          <w:kern w:val="0"/>
          <w:sz w:val="24"/>
          <w:szCs w:val="22"/>
          <w:highlight w:val="none"/>
        </w:rPr>
        <w:t>材料力学性能的评定龄期可采用标准养护28d或60d，具体由设计确定。</w:t>
      </w:r>
      <w:r>
        <w:rPr>
          <w:rFonts w:hint="eastAsia"/>
          <w:kern w:val="0"/>
          <w:sz w:val="24"/>
          <w:szCs w:val="22"/>
          <w:highlight w:val="none"/>
          <w:lang w:eastAsia="zh-CN"/>
        </w:rPr>
        <w:t>试件</w:t>
      </w:r>
      <w:r>
        <w:rPr>
          <w:kern w:val="0"/>
          <w:sz w:val="24"/>
          <w:szCs w:val="22"/>
          <w:highlight w:val="none"/>
        </w:rPr>
        <w:t>的标准尺寸</w:t>
      </w:r>
      <w:r>
        <w:rPr>
          <w:sz w:val="24"/>
          <w:szCs w:val="28"/>
          <w:highlight w:val="none"/>
        </w:rPr>
        <w:t>应符合下列规定：</w:t>
      </w:r>
    </w:p>
    <w:p>
      <w:pPr>
        <w:spacing w:line="312" w:lineRule="auto"/>
        <w:ind w:firstLine="422"/>
        <w:rPr>
          <w:rFonts w:hint="eastAsia" w:eastAsia="宋体"/>
          <w:sz w:val="24"/>
          <w:szCs w:val="28"/>
          <w:highlight w:val="none"/>
          <w:lang w:eastAsia="zh-CN"/>
        </w:rPr>
      </w:pPr>
      <w:r>
        <w:rPr>
          <w:b/>
          <w:bCs/>
          <w:sz w:val="24"/>
          <w:szCs w:val="28"/>
          <w:highlight w:val="none"/>
        </w:rPr>
        <w:t>1</w:t>
      </w:r>
      <w:r>
        <w:rPr>
          <w:sz w:val="24"/>
          <w:szCs w:val="28"/>
          <w:highlight w:val="none"/>
        </w:rPr>
        <w:t xml:space="preserve">  </w:t>
      </w:r>
      <w:r>
        <w:rPr>
          <w:kern w:val="0"/>
          <w:sz w:val="24"/>
          <w:szCs w:val="22"/>
          <w:highlight w:val="none"/>
        </w:rPr>
        <w:t>测定立方体抗压强度的标准</w:t>
      </w:r>
      <w:r>
        <w:rPr>
          <w:rFonts w:hint="eastAsia"/>
          <w:kern w:val="0"/>
          <w:sz w:val="24"/>
          <w:szCs w:val="22"/>
          <w:highlight w:val="none"/>
          <w:lang w:eastAsia="zh-CN"/>
        </w:rPr>
        <w:t>试件</w:t>
      </w:r>
      <w:r>
        <w:rPr>
          <w:kern w:val="0"/>
          <w:sz w:val="24"/>
          <w:szCs w:val="22"/>
          <w:highlight w:val="none"/>
        </w:rPr>
        <w:t>尺寸为100mm</w:t>
      </w:r>
      <w:r>
        <w:rPr>
          <w:kern w:val="0"/>
          <w:sz w:val="24"/>
          <w:szCs w:val="22"/>
          <w:highlight w:val="none"/>
        </w:rPr>
        <w:sym w:font="Symbol" w:char="F0B4"/>
      </w:r>
      <w:r>
        <w:rPr>
          <w:kern w:val="0"/>
          <w:sz w:val="24"/>
          <w:szCs w:val="22"/>
          <w:highlight w:val="none"/>
        </w:rPr>
        <w:t>100mm</w:t>
      </w:r>
      <w:r>
        <w:rPr>
          <w:rFonts w:hint="eastAsia"/>
          <w:kern w:val="0"/>
          <w:sz w:val="24"/>
          <w:szCs w:val="22"/>
          <w:highlight w:val="none"/>
        </w:rPr>
        <w:t xml:space="preserve"> </w:t>
      </w:r>
      <w:r>
        <w:rPr>
          <w:kern w:val="0"/>
          <w:sz w:val="24"/>
          <w:szCs w:val="22"/>
          <w:highlight w:val="none"/>
        </w:rPr>
        <w:sym w:font="Symbol" w:char="F0B4"/>
      </w:r>
      <w:r>
        <w:rPr>
          <w:kern w:val="0"/>
          <w:sz w:val="24"/>
          <w:szCs w:val="22"/>
          <w:highlight w:val="none"/>
        </w:rPr>
        <w:t>100mm</w:t>
      </w:r>
      <w:r>
        <w:rPr>
          <w:rFonts w:hint="eastAsia"/>
          <w:sz w:val="24"/>
          <w:szCs w:val="28"/>
          <w:highlight w:val="none"/>
          <w:lang w:eastAsia="zh-CN"/>
        </w:rPr>
        <w:t>。</w:t>
      </w:r>
    </w:p>
    <w:p>
      <w:pPr>
        <w:spacing w:line="312" w:lineRule="auto"/>
        <w:ind w:firstLine="422"/>
        <w:rPr>
          <w:sz w:val="24"/>
          <w:szCs w:val="28"/>
          <w:highlight w:val="none"/>
        </w:rPr>
      </w:pPr>
      <w:r>
        <w:rPr>
          <w:b/>
          <w:bCs/>
          <w:sz w:val="24"/>
          <w:szCs w:val="28"/>
          <w:highlight w:val="none"/>
        </w:rPr>
        <w:t>2</w:t>
      </w:r>
      <w:r>
        <w:rPr>
          <w:sz w:val="24"/>
          <w:szCs w:val="28"/>
          <w:highlight w:val="none"/>
        </w:rPr>
        <w:t xml:space="preserve">  </w:t>
      </w:r>
      <w:r>
        <w:rPr>
          <w:kern w:val="0"/>
          <w:sz w:val="24"/>
          <w:szCs w:val="22"/>
          <w:highlight w:val="none"/>
        </w:rPr>
        <w:t>测定抗折强度、</w:t>
      </w:r>
      <w:r>
        <w:rPr>
          <w:sz w:val="24"/>
          <w:szCs w:val="28"/>
          <w:highlight w:val="none"/>
        </w:rPr>
        <w:t>等效弯曲强度和等效弯曲韧性</w:t>
      </w:r>
      <w:r>
        <w:rPr>
          <w:kern w:val="0"/>
          <w:sz w:val="24"/>
          <w:szCs w:val="22"/>
          <w:highlight w:val="none"/>
        </w:rPr>
        <w:t>的标准</w:t>
      </w:r>
      <w:r>
        <w:rPr>
          <w:rFonts w:hint="eastAsia"/>
          <w:kern w:val="0"/>
          <w:sz w:val="24"/>
          <w:szCs w:val="22"/>
          <w:highlight w:val="none"/>
          <w:lang w:eastAsia="zh-CN"/>
        </w:rPr>
        <w:t>试件</w:t>
      </w:r>
      <w:r>
        <w:rPr>
          <w:kern w:val="0"/>
          <w:sz w:val="24"/>
          <w:szCs w:val="22"/>
          <w:highlight w:val="none"/>
        </w:rPr>
        <w:t>尺寸为40mm</w:t>
      </w:r>
      <w:r>
        <w:rPr>
          <w:kern w:val="0"/>
          <w:sz w:val="24"/>
          <w:szCs w:val="22"/>
          <w:highlight w:val="none"/>
        </w:rPr>
        <w:sym w:font="Symbol" w:char="F0B4"/>
      </w:r>
      <w:r>
        <w:rPr>
          <w:kern w:val="0"/>
          <w:sz w:val="24"/>
          <w:szCs w:val="22"/>
          <w:highlight w:val="none"/>
        </w:rPr>
        <w:t>40mm</w:t>
      </w:r>
      <w:r>
        <w:rPr>
          <w:kern w:val="0"/>
          <w:sz w:val="24"/>
          <w:szCs w:val="22"/>
          <w:highlight w:val="none"/>
        </w:rPr>
        <w:sym w:font="Symbol" w:char="F0B4"/>
      </w:r>
      <w:r>
        <w:rPr>
          <w:kern w:val="0"/>
          <w:sz w:val="24"/>
          <w:szCs w:val="22"/>
          <w:highlight w:val="none"/>
        </w:rPr>
        <w:t>160mm</w:t>
      </w:r>
      <w:r>
        <w:rPr>
          <w:rFonts w:hint="eastAsia"/>
          <w:kern w:val="0"/>
          <w:sz w:val="24"/>
          <w:szCs w:val="22"/>
          <w:highlight w:val="none"/>
        </w:rPr>
        <w:t>。</w:t>
      </w:r>
    </w:p>
    <w:p>
      <w:pPr>
        <w:spacing w:line="312" w:lineRule="auto"/>
        <w:rPr>
          <w:sz w:val="24"/>
          <w:szCs w:val="28"/>
          <w:highlight w:val="none"/>
        </w:rPr>
      </w:pPr>
      <w:r>
        <w:rPr>
          <w:rFonts w:hint="eastAsia"/>
          <w:b/>
          <w:bCs/>
          <w:sz w:val="24"/>
          <w:szCs w:val="28"/>
          <w:highlight w:val="none"/>
        </w:rPr>
        <w:t>4.3.3</w:t>
      </w:r>
      <w:r>
        <w:rPr>
          <w:sz w:val="24"/>
          <w:szCs w:val="28"/>
          <w:highlight w:val="none"/>
        </w:rPr>
        <w:t xml:space="preserve">  高延性混凝土力学性能测定方法应符合下列规定：</w:t>
      </w:r>
    </w:p>
    <w:p>
      <w:pPr>
        <w:spacing w:line="312" w:lineRule="auto"/>
        <w:ind w:firstLine="422"/>
        <w:rPr>
          <w:sz w:val="24"/>
          <w:szCs w:val="28"/>
          <w:highlight w:val="none"/>
        </w:rPr>
      </w:pPr>
      <w:r>
        <w:rPr>
          <w:b/>
          <w:bCs/>
          <w:sz w:val="24"/>
          <w:szCs w:val="28"/>
          <w:highlight w:val="none"/>
        </w:rPr>
        <w:t>1</w:t>
      </w:r>
      <w:r>
        <w:rPr>
          <w:sz w:val="24"/>
          <w:szCs w:val="28"/>
          <w:highlight w:val="none"/>
        </w:rPr>
        <w:t xml:space="preserve">  </w:t>
      </w:r>
      <w:r>
        <w:rPr>
          <w:kern w:val="0"/>
          <w:sz w:val="24"/>
          <w:szCs w:val="22"/>
          <w:highlight w:val="none"/>
        </w:rPr>
        <w:t>按</w:t>
      </w:r>
      <w:r>
        <w:rPr>
          <w:sz w:val="24"/>
          <w:szCs w:val="28"/>
          <w:highlight w:val="none"/>
        </w:rPr>
        <w:t>现行国家标准《</w:t>
      </w:r>
      <w:r>
        <w:rPr>
          <w:rFonts w:hint="eastAsia"/>
          <w:sz w:val="24"/>
          <w:szCs w:val="28"/>
          <w:highlight w:val="none"/>
        </w:rPr>
        <w:t>混凝土物理力学性能试验方法标准</w:t>
      </w:r>
      <w:r>
        <w:rPr>
          <w:sz w:val="24"/>
          <w:szCs w:val="28"/>
          <w:highlight w:val="none"/>
        </w:rPr>
        <w:t>》</w:t>
      </w:r>
      <w:r>
        <w:rPr>
          <w:kern w:val="0"/>
          <w:sz w:val="24"/>
          <w:szCs w:val="22"/>
          <w:highlight w:val="none"/>
        </w:rPr>
        <w:t>GB/T 50081的有关规定进行</w:t>
      </w:r>
      <w:r>
        <w:rPr>
          <w:rFonts w:hint="eastAsia"/>
          <w:kern w:val="0"/>
          <w:sz w:val="24"/>
          <w:szCs w:val="22"/>
          <w:highlight w:val="none"/>
          <w:lang w:val="en-US" w:eastAsia="zh-CN"/>
        </w:rPr>
        <w:t>立方体抗压</w:t>
      </w:r>
      <w:r>
        <w:rPr>
          <w:kern w:val="0"/>
          <w:sz w:val="24"/>
          <w:szCs w:val="22"/>
          <w:highlight w:val="none"/>
        </w:rPr>
        <w:t>试验</w:t>
      </w:r>
      <w:r>
        <w:rPr>
          <w:rFonts w:hint="eastAsia"/>
          <w:kern w:val="0"/>
          <w:sz w:val="24"/>
          <w:szCs w:val="22"/>
          <w:highlight w:val="none"/>
          <w:lang w:eastAsia="zh-CN"/>
        </w:rPr>
        <w:t>，</w:t>
      </w:r>
      <w:r>
        <w:rPr>
          <w:kern w:val="0"/>
          <w:sz w:val="24"/>
          <w:szCs w:val="22"/>
          <w:highlight w:val="none"/>
        </w:rPr>
        <w:t>测定</w:t>
      </w:r>
      <w:r>
        <w:rPr>
          <w:rFonts w:hint="eastAsia"/>
          <w:kern w:val="0"/>
          <w:sz w:val="24"/>
          <w:szCs w:val="22"/>
          <w:highlight w:val="none"/>
        </w:rPr>
        <w:t>高延性混凝土的</w:t>
      </w:r>
      <w:r>
        <w:rPr>
          <w:kern w:val="0"/>
          <w:sz w:val="24"/>
          <w:szCs w:val="22"/>
          <w:highlight w:val="none"/>
        </w:rPr>
        <w:t>立方体抗压强度，测试结果应乘以尺寸折算系数</w:t>
      </w:r>
      <w:r>
        <w:rPr>
          <w:sz w:val="24"/>
          <w:szCs w:val="28"/>
          <w:highlight w:val="none"/>
        </w:rPr>
        <w:t>0.95；</w:t>
      </w:r>
    </w:p>
    <w:p>
      <w:pPr>
        <w:spacing w:line="312" w:lineRule="auto"/>
        <w:ind w:firstLine="422"/>
        <w:rPr>
          <w:sz w:val="24"/>
          <w:szCs w:val="28"/>
          <w:highlight w:val="none"/>
        </w:rPr>
      </w:pPr>
      <w:r>
        <w:rPr>
          <w:b/>
          <w:bCs/>
          <w:sz w:val="24"/>
          <w:szCs w:val="28"/>
          <w:highlight w:val="none"/>
        </w:rPr>
        <w:t>2</w:t>
      </w:r>
      <w:r>
        <w:rPr>
          <w:sz w:val="24"/>
          <w:szCs w:val="28"/>
          <w:highlight w:val="none"/>
        </w:rPr>
        <w:t xml:space="preserve">  </w:t>
      </w:r>
      <w:r>
        <w:rPr>
          <w:kern w:val="0"/>
          <w:sz w:val="24"/>
          <w:szCs w:val="22"/>
          <w:highlight w:val="none"/>
        </w:rPr>
        <w:t>按</w:t>
      </w:r>
      <w:r>
        <w:rPr>
          <w:sz w:val="24"/>
          <w:szCs w:val="28"/>
          <w:highlight w:val="none"/>
        </w:rPr>
        <w:t>现行国家标准《水泥胶砂强度检验方法（ISO法）》GB/T 17671</w:t>
      </w:r>
      <w:r>
        <w:rPr>
          <w:kern w:val="0"/>
          <w:sz w:val="24"/>
          <w:szCs w:val="22"/>
          <w:highlight w:val="none"/>
        </w:rPr>
        <w:t>的有关规定进行抗折试验，测定高延性混凝土的抗折强度；</w:t>
      </w:r>
    </w:p>
    <w:p>
      <w:pPr>
        <w:spacing w:line="312" w:lineRule="auto"/>
        <w:ind w:firstLine="422"/>
        <w:rPr>
          <w:rFonts w:hint="eastAsia" w:eastAsia="宋体"/>
          <w:sz w:val="24"/>
          <w:szCs w:val="28"/>
          <w:highlight w:val="none"/>
          <w:lang w:eastAsia="zh-CN"/>
        </w:rPr>
      </w:pPr>
      <w:r>
        <w:rPr>
          <w:b/>
          <w:bCs/>
          <w:sz w:val="24"/>
          <w:szCs w:val="28"/>
          <w:highlight w:val="none"/>
        </w:rPr>
        <w:t xml:space="preserve">3 </w:t>
      </w:r>
      <w:r>
        <w:rPr>
          <w:sz w:val="24"/>
          <w:szCs w:val="28"/>
          <w:highlight w:val="none"/>
        </w:rPr>
        <w:t xml:space="preserve"> </w:t>
      </w:r>
      <w:r>
        <w:rPr>
          <w:kern w:val="0"/>
          <w:sz w:val="24"/>
          <w:szCs w:val="22"/>
          <w:highlight w:val="none"/>
        </w:rPr>
        <w:t>按</w:t>
      </w:r>
      <w:r>
        <w:rPr>
          <w:rFonts w:hint="eastAsia"/>
          <w:sz w:val="24"/>
          <w:szCs w:val="28"/>
          <w:highlight w:val="none"/>
        </w:rPr>
        <w:t>本标准</w:t>
      </w:r>
      <w:r>
        <w:rPr>
          <w:sz w:val="24"/>
          <w:szCs w:val="28"/>
          <w:highlight w:val="none"/>
        </w:rPr>
        <w:t>附录</w:t>
      </w:r>
      <w:r>
        <w:rPr>
          <w:rFonts w:hint="eastAsia"/>
          <w:sz w:val="24"/>
          <w:szCs w:val="28"/>
          <w:highlight w:val="none"/>
        </w:rPr>
        <w:t>A</w:t>
      </w:r>
      <w:r>
        <w:rPr>
          <w:sz w:val="24"/>
          <w:szCs w:val="28"/>
          <w:highlight w:val="none"/>
        </w:rPr>
        <w:t>的方法</w:t>
      </w:r>
      <w:r>
        <w:rPr>
          <w:rFonts w:hint="eastAsia"/>
          <w:sz w:val="24"/>
          <w:szCs w:val="28"/>
          <w:highlight w:val="none"/>
          <w:lang w:val="en-US" w:eastAsia="zh-CN"/>
        </w:rPr>
        <w:t>进行</w:t>
      </w:r>
      <w:r>
        <w:rPr>
          <w:rFonts w:hint="eastAsia"/>
          <w:sz w:val="24"/>
          <w:szCs w:val="28"/>
          <w:highlight w:val="none"/>
        </w:rPr>
        <w:t>四点弯曲试验</w:t>
      </w:r>
      <w:r>
        <w:rPr>
          <w:rFonts w:hint="eastAsia"/>
          <w:sz w:val="24"/>
          <w:szCs w:val="28"/>
          <w:highlight w:val="none"/>
          <w:lang w:eastAsia="zh-CN"/>
        </w:rPr>
        <w:t>，</w:t>
      </w:r>
      <w:r>
        <w:rPr>
          <w:sz w:val="24"/>
          <w:szCs w:val="28"/>
          <w:highlight w:val="none"/>
        </w:rPr>
        <w:t>测定高延性混凝土的等效弯曲强度和等效弯曲韧性</w:t>
      </w:r>
      <w:r>
        <w:rPr>
          <w:rFonts w:hint="eastAsia"/>
          <w:sz w:val="24"/>
          <w:szCs w:val="28"/>
          <w:highlight w:val="none"/>
          <w:lang w:eastAsia="zh-CN"/>
        </w:rPr>
        <w:t>；</w:t>
      </w:r>
    </w:p>
    <w:p>
      <w:pPr>
        <w:spacing w:line="312" w:lineRule="auto"/>
        <w:ind w:firstLine="482" w:firstLineChars="200"/>
        <w:rPr>
          <w:rFonts w:hAnsi="宋体"/>
          <w:sz w:val="24"/>
          <w:szCs w:val="28"/>
          <w:highlight w:val="none"/>
        </w:rPr>
      </w:pPr>
      <w:r>
        <w:rPr>
          <w:rFonts w:hint="eastAsia" w:hAnsi="宋体"/>
          <w:b/>
          <w:sz w:val="24"/>
          <w:szCs w:val="28"/>
          <w:highlight w:val="none"/>
        </w:rPr>
        <w:t>4</w:t>
      </w:r>
      <w:r>
        <w:rPr>
          <w:rFonts w:hint="eastAsia" w:hAnsi="宋体"/>
          <w:sz w:val="24"/>
          <w:szCs w:val="28"/>
          <w:highlight w:val="none"/>
        </w:rPr>
        <w:t xml:space="preserve">  按照现行行业标准《高延性纤维增强水泥基复合材料力学性能试验方法》JC/T 2461</w:t>
      </w:r>
      <w:r>
        <w:rPr>
          <w:kern w:val="0"/>
          <w:sz w:val="24"/>
          <w:szCs w:val="22"/>
          <w:highlight w:val="none"/>
        </w:rPr>
        <w:t>的有关规定</w:t>
      </w:r>
      <w:r>
        <w:rPr>
          <w:rFonts w:hint="eastAsia"/>
          <w:kern w:val="0"/>
          <w:sz w:val="24"/>
          <w:szCs w:val="22"/>
          <w:highlight w:val="none"/>
          <w:lang w:val="en-US" w:eastAsia="zh-CN"/>
        </w:rPr>
        <w:t>进行拉伸试验</w:t>
      </w:r>
      <w:r>
        <w:rPr>
          <w:rFonts w:hint="eastAsia"/>
          <w:kern w:val="0"/>
          <w:sz w:val="24"/>
          <w:szCs w:val="22"/>
          <w:highlight w:val="none"/>
          <w:lang w:eastAsia="zh-CN"/>
        </w:rPr>
        <w:t>，</w:t>
      </w:r>
      <w:r>
        <w:rPr>
          <w:rFonts w:hint="eastAsia"/>
          <w:kern w:val="0"/>
          <w:sz w:val="24"/>
          <w:szCs w:val="22"/>
          <w:highlight w:val="none"/>
        </w:rPr>
        <w:t>测定高延性混凝土的极限抗拉</w:t>
      </w:r>
      <w:r>
        <w:rPr>
          <w:kern w:val="0"/>
          <w:sz w:val="24"/>
          <w:szCs w:val="22"/>
          <w:highlight w:val="none"/>
        </w:rPr>
        <w:t>强度</w:t>
      </w:r>
      <w:r>
        <w:rPr>
          <w:rFonts w:hint="eastAsia"/>
          <w:kern w:val="0"/>
          <w:sz w:val="24"/>
          <w:szCs w:val="22"/>
          <w:highlight w:val="none"/>
        </w:rPr>
        <w:t>。</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楷体" w:hAnsi="楷体" w:eastAsia="楷体" w:cs="楷体"/>
          <w:b w:val="0"/>
          <w:bCs/>
          <w:sz w:val="24"/>
          <w:szCs w:val="24"/>
          <w:highlight w:val="none"/>
          <w:u w:val="single"/>
        </w:rPr>
      </w:pPr>
      <w:r>
        <w:rPr>
          <w:rFonts w:hint="eastAsia" w:ascii="楷体" w:hAnsi="楷体" w:eastAsia="楷体" w:cs="楷体"/>
          <w:b w:val="0"/>
          <w:bCs/>
          <w:sz w:val="24"/>
          <w:szCs w:val="24"/>
          <w:highlight w:val="none"/>
          <w:u w:val="single"/>
        </w:rPr>
        <w:t>【条文说明】4.3.2、4.3.3  本条主要给出了高延性混凝土主要力学性能的试验方法及标准</w:t>
      </w:r>
      <w:r>
        <w:rPr>
          <w:rFonts w:hint="eastAsia" w:ascii="楷体" w:hAnsi="楷体" w:eastAsia="楷体" w:cs="楷体"/>
          <w:b w:val="0"/>
          <w:bCs/>
          <w:sz w:val="24"/>
          <w:szCs w:val="24"/>
          <w:highlight w:val="none"/>
          <w:u w:val="single"/>
          <w:lang w:eastAsia="zh-CN"/>
        </w:rPr>
        <w:t>试件</w:t>
      </w:r>
      <w:r>
        <w:rPr>
          <w:rFonts w:hint="eastAsia" w:ascii="楷体" w:hAnsi="楷体" w:eastAsia="楷体" w:cs="楷体"/>
          <w:b w:val="0"/>
          <w:bCs/>
          <w:sz w:val="24"/>
          <w:szCs w:val="24"/>
          <w:highlight w:val="none"/>
          <w:u w:val="single"/>
        </w:rPr>
        <w:t>尺寸。由于高延性混凝土基体内不含粗骨料，且材料匀质性较好，为便于现场制作</w:t>
      </w:r>
      <w:r>
        <w:rPr>
          <w:rFonts w:hint="eastAsia" w:ascii="楷体" w:hAnsi="楷体" w:eastAsia="楷体" w:cs="楷体"/>
          <w:b w:val="0"/>
          <w:bCs/>
          <w:sz w:val="24"/>
          <w:szCs w:val="24"/>
          <w:highlight w:val="none"/>
          <w:u w:val="single"/>
          <w:lang w:eastAsia="zh-CN"/>
        </w:rPr>
        <w:t>试件</w:t>
      </w:r>
      <w:r>
        <w:rPr>
          <w:rFonts w:hint="eastAsia" w:ascii="楷体" w:hAnsi="楷体" w:eastAsia="楷体" w:cs="楷体"/>
          <w:b w:val="0"/>
          <w:bCs/>
          <w:sz w:val="24"/>
          <w:szCs w:val="24"/>
          <w:highlight w:val="none"/>
          <w:u w:val="single"/>
        </w:rPr>
        <w:t>，本条规定统一采用边长为100mm的立方体</w:t>
      </w:r>
      <w:r>
        <w:rPr>
          <w:rFonts w:hint="eastAsia" w:ascii="楷体" w:hAnsi="楷体" w:eastAsia="楷体" w:cs="楷体"/>
          <w:b w:val="0"/>
          <w:bCs/>
          <w:sz w:val="24"/>
          <w:szCs w:val="24"/>
          <w:highlight w:val="none"/>
          <w:u w:val="single"/>
          <w:lang w:eastAsia="zh-CN"/>
        </w:rPr>
        <w:t>试件</w:t>
      </w:r>
      <w:r>
        <w:rPr>
          <w:rFonts w:hint="eastAsia" w:ascii="楷体" w:hAnsi="楷体" w:eastAsia="楷体" w:cs="楷体"/>
          <w:b w:val="0"/>
          <w:bCs/>
          <w:sz w:val="24"/>
          <w:szCs w:val="24"/>
          <w:highlight w:val="none"/>
          <w:u w:val="single"/>
        </w:rPr>
        <w:t>作为标准</w:t>
      </w:r>
      <w:r>
        <w:rPr>
          <w:rFonts w:hint="eastAsia" w:ascii="楷体" w:hAnsi="楷体" w:eastAsia="楷体" w:cs="楷体"/>
          <w:b w:val="0"/>
          <w:bCs/>
          <w:sz w:val="24"/>
          <w:szCs w:val="24"/>
          <w:highlight w:val="none"/>
          <w:u w:val="single"/>
          <w:lang w:eastAsia="zh-CN"/>
        </w:rPr>
        <w:t>试件</w:t>
      </w:r>
      <w:r>
        <w:rPr>
          <w:rFonts w:hint="eastAsia" w:ascii="楷体" w:hAnsi="楷体" w:eastAsia="楷体" w:cs="楷体"/>
          <w:b w:val="0"/>
          <w:bCs/>
          <w:sz w:val="24"/>
          <w:szCs w:val="24"/>
          <w:highlight w:val="none"/>
          <w:u w:val="single"/>
        </w:rPr>
        <w:t>进行高延性混凝土的立方体抗压强度评定，测试结果应乘以尺寸折算系数0.95。</w:t>
      </w:r>
    </w:p>
    <w:p>
      <w:pPr>
        <w:spacing w:line="312" w:lineRule="auto"/>
        <w:rPr>
          <w:sz w:val="24"/>
          <w:szCs w:val="28"/>
          <w:highlight w:val="none"/>
        </w:rPr>
      </w:pPr>
      <w:r>
        <w:rPr>
          <w:rFonts w:hint="eastAsia"/>
          <w:b/>
          <w:sz w:val="24"/>
          <w:szCs w:val="28"/>
          <w:highlight w:val="none"/>
        </w:rPr>
        <w:t>4.3</w:t>
      </w:r>
      <w:r>
        <w:rPr>
          <w:b/>
          <w:sz w:val="24"/>
          <w:szCs w:val="28"/>
          <w:highlight w:val="none"/>
        </w:rPr>
        <w:t>.4</w:t>
      </w:r>
      <w:r>
        <w:rPr>
          <w:sz w:val="24"/>
          <w:szCs w:val="28"/>
          <w:highlight w:val="none"/>
        </w:rPr>
        <w:t xml:space="preserve">  高延性混凝土的力学性能试验结果</w:t>
      </w:r>
      <w:r>
        <w:rPr>
          <w:rFonts w:hint="eastAsia"/>
          <w:sz w:val="24"/>
          <w:szCs w:val="28"/>
          <w:highlight w:val="none"/>
        </w:rPr>
        <w:t>代表值的计算</w:t>
      </w:r>
      <w:r>
        <w:rPr>
          <w:sz w:val="24"/>
          <w:szCs w:val="28"/>
          <w:highlight w:val="none"/>
        </w:rPr>
        <w:t>方法应符合下列规定：</w:t>
      </w:r>
    </w:p>
    <w:p>
      <w:pPr>
        <w:spacing w:line="312" w:lineRule="auto"/>
        <w:ind w:firstLine="422"/>
        <w:rPr>
          <w:sz w:val="24"/>
          <w:szCs w:val="28"/>
          <w:highlight w:val="none"/>
        </w:rPr>
      </w:pPr>
      <w:r>
        <w:rPr>
          <w:b/>
          <w:sz w:val="24"/>
          <w:szCs w:val="28"/>
          <w:highlight w:val="none"/>
        </w:rPr>
        <w:t xml:space="preserve">1 </w:t>
      </w:r>
      <w:r>
        <w:rPr>
          <w:sz w:val="24"/>
          <w:szCs w:val="28"/>
          <w:highlight w:val="none"/>
        </w:rPr>
        <w:t xml:space="preserve"> 高延性混凝土的等效弯曲强度代表值和等效弯曲韧性代表值取3个</w:t>
      </w:r>
      <w:r>
        <w:rPr>
          <w:rFonts w:hint="eastAsia"/>
          <w:sz w:val="24"/>
          <w:szCs w:val="28"/>
          <w:highlight w:val="none"/>
          <w:lang w:eastAsia="zh-CN"/>
        </w:rPr>
        <w:t>试件（</w:t>
      </w:r>
      <w:r>
        <w:rPr>
          <w:rFonts w:hint="eastAsia"/>
          <w:sz w:val="24"/>
          <w:szCs w:val="28"/>
          <w:highlight w:val="none"/>
          <w:lang w:val="en-US" w:eastAsia="zh-CN"/>
        </w:rPr>
        <w:t>1组</w:t>
      </w:r>
      <w:r>
        <w:rPr>
          <w:rFonts w:hint="eastAsia"/>
          <w:sz w:val="24"/>
          <w:szCs w:val="28"/>
          <w:highlight w:val="none"/>
          <w:lang w:eastAsia="zh-CN"/>
        </w:rPr>
        <w:t>）</w:t>
      </w:r>
      <w:r>
        <w:rPr>
          <w:sz w:val="24"/>
          <w:szCs w:val="28"/>
          <w:highlight w:val="none"/>
        </w:rPr>
        <w:t>测试结果的算术平均值；</w:t>
      </w:r>
    </w:p>
    <w:p>
      <w:pPr>
        <w:spacing w:line="312" w:lineRule="auto"/>
        <w:ind w:firstLine="422"/>
        <w:rPr>
          <w:sz w:val="24"/>
          <w:szCs w:val="28"/>
          <w:highlight w:val="none"/>
        </w:rPr>
      </w:pPr>
      <w:r>
        <w:rPr>
          <w:b/>
          <w:sz w:val="24"/>
          <w:szCs w:val="28"/>
          <w:highlight w:val="none"/>
        </w:rPr>
        <w:t xml:space="preserve">2 </w:t>
      </w:r>
      <w:r>
        <w:rPr>
          <w:sz w:val="24"/>
          <w:szCs w:val="28"/>
          <w:highlight w:val="none"/>
        </w:rPr>
        <w:t xml:space="preserve"> 高延性混凝土的</w:t>
      </w:r>
      <w:r>
        <w:rPr>
          <w:rFonts w:hint="eastAsia"/>
          <w:sz w:val="24"/>
          <w:szCs w:val="28"/>
          <w:highlight w:val="none"/>
        </w:rPr>
        <w:t>极限抗拉强度试验以</w:t>
      </w:r>
      <w:r>
        <w:rPr>
          <w:sz w:val="24"/>
          <w:szCs w:val="28"/>
          <w:highlight w:val="none"/>
        </w:rPr>
        <w:t>6</w:t>
      </w:r>
      <w:r>
        <w:rPr>
          <w:rFonts w:hint="eastAsia"/>
          <w:sz w:val="24"/>
          <w:szCs w:val="28"/>
          <w:highlight w:val="none"/>
        </w:rPr>
        <w:t>个试件为一组，6个试件测值的算术平均值作为该组试件的极限抗拉强度，精确至 0.01 MPa.</w:t>
      </w:r>
    </w:p>
    <w:p>
      <w:pPr>
        <w:spacing w:line="312" w:lineRule="auto"/>
        <w:ind w:firstLine="422"/>
        <w:rPr>
          <w:sz w:val="24"/>
          <w:szCs w:val="28"/>
          <w:highlight w:val="none"/>
        </w:rPr>
      </w:pPr>
      <w:r>
        <w:rPr>
          <w:b/>
          <w:sz w:val="24"/>
          <w:szCs w:val="28"/>
          <w:highlight w:val="none"/>
        </w:rPr>
        <w:t>3</w:t>
      </w:r>
      <w:r>
        <w:rPr>
          <w:sz w:val="24"/>
          <w:szCs w:val="28"/>
          <w:highlight w:val="none"/>
        </w:rPr>
        <w:t xml:space="preserve">  </w:t>
      </w:r>
      <w:r>
        <w:rPr>
          <w:kern w:val="0"/>
          <w:sz w:val="24"/>
          <w:szCs w:val="22"/>
          <w:highlight w:val="none"/>
        </w:rPr>
        <w:t>高延性混凝土的抗折强度代表值的计算应符合《水泥胶砂强度检验方法（ISO法）》GB/T 17671的有关规定</w:t>
      </w:r>
      <w:r>
        <w:rPr>
          <w:sz w:val="24"/>
          <w:szCs w:val="28"/>
          <w:highlight w:val="none"/>
        </w:rPr>
        <w:t>；</w:t>
      </w:r>
    </w:p>
    <w:p>
      <w:pPr>
        <w:spacing w:line="312" w:lineRule="auto"/>
        <w:ind w:firstLine="422"/>
        <w:rPr>
          <w:sz w:val="24"/>
          <w:szCs w:val="28"/>
          <w:highlight w:val="none"/>
        </w:rPr>
      </w:pPr>
      <w:r>
        <w:rPr>
          <w:b/>
          <w:sz w:val="24"/>
          <w:szCs w:val="28"/>
          <w:highlight w:val="none"/>
        </w:rPr>
        <w:t>4</w:t>
      </w:r>
      <w:r>
        <w:rPr>
          <w:sz w:val="24"/>
          <w:szCs w:val="28"/>
          <w:highlight w:val="none"/>
        </w:rPr>
        <w:t xml:space="preserve">  高延性混凝土的立方体抗压强度标准值的计算应符合现行国家标准《混凝土强度检验评定标准》GB/T 50107的有关规定。</w:t>
      </w:r>
    </w:p>
    <w:p>
      <w:pPr>
        <w:spacing w:line="312" w:lineRule="auto"/>
        <w:rPr>
          <w:sz w:val="24"/>
          <w:szCs w:val="28"/>
          <w:highlight w:val="none"/>
        </w:rPr>
      </w:pPr>
      <w:r>
        <w:rPr>
          <w:b/>
          <w:sz w:val="24"/>
          <w:szCs w:val="28"/>
          <w:highlight w:val="none"/>
        </w:rPr>
        <w:t>4.3.5</w:t>
      </w:r>
      <w:r>
        <w:rPr>
          <w:sz w:val="24"/>
          <w:szCs w:val="28"/>
          <w:highlight w:val="none"/>
        </w:rPr>
        <w:t xml:space="preserve">  I类、II类、III类高延性混凝土的材料性能计算指标应按表</w:t>
      </w:r>
      <w:r>
        <w:rPr>
          <w:rFonts w:hint="eastAsia"/>
          <w:sz w:val="24"/>
          <w:szCs w:val="28"/>
          <w:highlight w:val="none"/>
          <w:lang w:val="en-US" w:eastAsia="zh-CN"/>
        </w:rPr>
        <w:t>4.3.5</w:t>
      </w:r>
      <w:r>
        <w:rPr>
          <w:sz w:val="24"/>
          <w:szCs w:val="28"/>
          <w:highlight w:val="none"/>
        </w:rPr>
        <w:t>取值。</w:t>
      </w:r>
    </w:p>
    <w:p>
      <w:pPr>
        <w:spacing w:before="120" w:beforeLines="50" w:line="312" w:lineRule="auto"/>
        <w:jc w:val="center"/>
        <w:rPr>
          <w:rFonts w:eastAsia="黑体"/>
          <w:sz w:val="21"/>
          <w:szCs w:val="24"/>
          <w:highlight w:val="none"/>
        </w:rPr>
      </w:pPr>
      <w:r>
        <w:rPr>
          <w:rFonts w:eastAsia="黑体"/>
          <w:sz w:val="21"/>
          <w:szCs w:val="24"/>
          <w:highlight w:val="none"/>
        </w:rPr>
        <w:t>表</w:t>
      </w:r>
      <w:r>
        <w:rPr>
          <w:rFonts w:hint="eastAsia" w:eastAsia="黑体"/>
          <w:sz w:val="21"/>
          <w:szCs w:val="24"/>
          <w:highlight w:val="none"/>
          <w:lang w:val="en-US" w:eastAsia="zh-CN"/>
        </w:rPr>
        <w:t>4.3.5</w:t>
      </w:r>
      <w:r>
        <w:rPr>
          <w:rFonts w:eastAsia="黑体"/>
          <w:sz w:val="21"/>
          <w:szCs w:val="24"/>
          <w:highlight w:val="none"/>
        </w:rPr>
        <w:t xml:space="preserve">  </w:t>
      </w:r>
      <w:r>
        <w:rPr>
          <w:rFonts w:hint="eastAsia" w:eastAsia="黑体"/>
          <w:sz w:val="21"/>
          <w:szCs w:val="24"/>
          <w:highlight w:val="none"/>
        </w:rPr>
        <w:t>高延性混凝土</w:t>
      </w:r>
      <w:r>
        <w:rPr>
          <w:rFonts w:eastAsia="黑体"/>
          <w:sz w:val="21"/>
          <w:szCs w:val="24"/>
          <w:highlight w:val="none"/>
        </w:rPr>
        <w:t>的</w:t>
      </w:r>
      <w:r>
        <w:rPr>
          <w:rFonts w:hint="eastAsia" w:eastAsia="黑体"/>
          <w:sz w:val="21"/>
          <w:szCs w:val="24"/>
          <w:highlight w:val="none"/>
        </w:rPr>
        <w:t>材料性能计算指标</w:t>
      </w:r>
    </w:p>
    <w:tbl>
      <w:tblPr>
        <w:tblStyle w:val="2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4"/>
        <w:gridCol w:w="1361"/>
        <w:gridCol w:w="1531"/>
        <w:gridCol w:w="850"/>
        <w:gridCol w:w="624"/>
        <w:gridCol w:w="624"/>
        <w:gridCol w:w="62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94" w:type="dxa"/>
            <w:vMerge w:val="restart"/>
            <w:tcBorders>
              <w:tl2br w:val="nil"/>
              <w:tr2bl w:val="nil"/>
            </w:tcBorders>
            <w:shd w:val="clear" w:color="auto" w:fill="auto"/>
            <w:vAlign w:val="center"/>
          </w:tcPr>
          <w:p>
            <w:pPr>
              <w:snapToGrid w:val="0"/>
              <w:jc w:val="center"/>
              <w:rPr>
                <w:sz w:val="21"/>
                <w:szCs w:val="21"/>
                <w:highlight w:val="none"/>
              </w:rPr>
            </w:pPr>
            <w:r>
              <w:rPr>
                <w:rFonts w:hint="eastAsia"/>
                <w:sz w:val="21"/>
                <w:szCs w:val="21"/>
                <w:highlight w:val="none"/>
              </w:rPr>
              <w:t>分类</w:t>
            </w:r>
          </w:p>
        </w:tc>
        <w:tc>
          <w:tcPr>
            <w:tcW w:w="1361" w:type="dxa"/>
            <w:vMerge w:val="restart"/>
            <w:tcBorders>
              <w:tl2br w:val="nil"/>
              <w:tr2bl w:val="nil"/>
            </w:tcBorders>
            <w:shd w:val="clear" w:color="auto" w:fill="auto"/>
            <w:vAlign w:val="center"/>
          </w:tcPr>
          <w:p>
            <w:pPr>
              <w:snapToGrid w:val="0"/>
              <w:jc w:val="center"/>
              <w:rPr>
                <w:position w:val="-10"/>
                <w:sz w:val="21"/>
                <w:szCs w:val="21"/>
                <w:highlight w:val="none"/>
              </w:rPr>
            </w:pPr>
            <w:r>
              <w:rPr>
                <w:sz w:val="21"/>
                <w:szCs w:val="21"/>
                <w:highlight w:val="none"/>
              </w:rPr>
              <w:t>轴心抗压强度设计值</w:t>
            </w:r>
            <w:r>
              <w:rPr>
                <w:position w:val="-10"/>
                <w:sz w:val="21"/>
                <w:szCs w:val="21"/>
                <w:highlight w:val="none"/>
              </w:rPr>
              <w:object>
                <v:shape id="_x0000_i1044" o:spt="75" type="#_x0000_t75" style="height:14.15pt;width:14.15pt;" o:ole="t" filled="f" o:preferrelative="t" stroked="f" coordsize="21600,21600">
                  <v:path/>
                  <v:fill on="f" focussize="0,0"/>
                  <v:stroke on="f"/>
                  <v:imagedata r:id="rId48" o:title=""/>
                  <o:lock v:ext="edit" aspectratio="t"/>
                  <w10:wrap type="none"/>
                  <w10:anchorlock/>
                </v:shape>
                <o:OLEObject Type="Embed" ProgID="Equation.DSMT4" ShapeID="_x0000_i1044" DrawAspect="Content" ObjectID="_1468075743" r:id="rId47">
                  <o:LockedField>false</o:LockedField>
                </o:OLEObject>
              </w:object>
            </w:r>
          </w:p>
          <w:p>
            <w:pPr>
              <w:snapToGrid w:val="0"/>
              <w:jc w:val="center"/>
              <w:rPr>
                <w:sz w:val="21"/>
                <w:szCs w:val="21"/>
                <w:highlight w:val="none"/>
              </w:rPr>
            </w:pPr>
            <w:r>
              <w:rPr>
                <w:rFonts w:hint="eastAsia"/>
                <w:sz w:val="21"/>
                <w:szCs w:val="21"/>
                <w:highlight w:val="none"/>
              </w:rPr>
              <w:t>（</w:t>
            </w:r>
            <w:r>
              <w:rPr>
                <w:sz w:val="21"/>
                <w:szCs w:val="21"/>
                <w:highlight w:val="none"/>
              </w:rPr>
              <w:t>N/mm</w:t>
            </w:r>
            <w:r>
              <w:rPr>
                <w:sz w:val="21"/>
                <w:szCs w:val="21"/>
                <w:highlight w:val="none"/>
                <w:vertAlign w:val="superscript"/>
              </w:rPr>
              <w:t>2</w:t>
            </w:r>
            <w:r>
              <w:rPr>
                <w:rFonts w:hint="eastAsia"/>
                <w:sz w:val="21"/>
                <w:szCs w:val="21"/>
                <w:highlight w:val="none"/>
              </w:rPr>
              <w:t>）</w:t>
            </w:r>
          </w:p>
        </w:tc>
        <w:tc>
          <w:tcPr>
            <w:tcW w:w="1531" w:type="dxa"/>
            <w:vMerge w:val="restart"/>
            <w:tcBorders>
              <w:tl2br w:val="nil"/>
              <w:tr2bl w:val="nil"/>
            </w:tcBorders>
            <w:shd w:val="clear" w:color="auto" w:fill="auto"/>
            <w:vAlign w:val="center"/>
          </w:tcPr>
          <w:p>
            <w:pPr>
              <w:snapToGrid w:val="0"/>
              <w:jc w:val="center"/>
              <w:rPr>
                <w:sz w:val="21"/>
                <w:szCs w:val="21"/>
                <w:highlight w:val="none"/>
              </w:rPr>
            </w:pPr>
            <w:r>
              <w:rPr>
                <w:sz w:val="21"/>
                <w:szCs w:val="21"/>
                <w:highlight w:val="none"/>
              </w:rPr>
              <w:t>受压弹性</w:t>
            </w:r>
          </w:p>
          <w:p>
            <w:pPr>
              <w:snapToGrid w:val="0"/>
              <w:jc w:val="center"/>
              <w:rPr>
                <w:position w:val="-10"/>
                <w:sz w:val="21"/>
                <w:szCs w:val="21"/>
                <w:highlight w:val="none"/>
              </w:rPr>
            </w:pPr>
            <w:r>
              <w:rPr>
                <w:sz w:val="21"/>
                <w:szCs w:val="21"/>
                <w:highlight w:val="none"/>
              </w:rPr>
              <w:t>模量</w:t>
            </w:r>
            <w:r>
              <w:rPr>
                <w:position w:val="-10"/>
                <w:sz w:val="21"/>
                <w:szCs w:val="21"/>
                <w:highlight w:val="none"/>
              </w:rPr>
              <w:object>
                <v:shape id="_x0000_i1045" o:spt="75" type="#_x0000_t75" style="height:15pt;width:15pt;" o:ole="t" filled="f" o:preferrelative="t" stroked="f" coordsize="21600,21600">
                  <v:path/>
                  <v:fill on="f" focussize="0,0"/>
                  <v:stroke on="f" joinstyle="miter"/>
                  <v:imagedata r:id="rId50" o:title=""/>
                  <o:lock v:ext="edit" aspectratio="t"/>
                  <w10:wrap type="none"/>
                  <w10:anchorlock/>
                </v:shape>
                <o:OLEObject Type="Embed" ProgID="Equation.DSMT4" ShapeID="_x0000_i1045" DrawAspect="Content" ObjectID="_1468075744" r:id="rId49">
                  <o:LockedField>false</o:LockedField>
                </o:OLEObject>
              </w:object>
            </w:r>
          </w:p>
          <w:p>
            <w:pPr>
              <w:snapToGrid w:val="0"/>
              <w:jc w:val="center"/>
              <w:rPr>
                <w:sz w:val="21"/>
                <w:szCs w:val="21"/>
                <w:highlight w:val="none"/>
              </w:rPr>
            </w:pPr>
            <w:r>
              <w:rPr>
                <w:rFonts w:hint="eastAsia"/>
                <w:sz w:val="21"/>
                <w:szCs w:val="21"/>
                <w:highlight w:val="none"/>
              </w:rPr>
              <w:t>（</w:t>
            </w:r>
            <w:r>
              <w:rPr>
                <w:sz w:val="21"/>
                <w:szCs w:val="21"/>
                <w:highlight w:val="none"/>
              </w:rPr>
              <w:t>N/mm</w:t>
            </w:r>
            <w:r>
              <w:rPr>
                <w:sz w:val="21"/>
                <w:szCs w:val="21"/>
                <w:highlight w:val="none"/>
                <w:vertAlign w:val="superscript"/>
              </w:rPr>
              <w:t>2</w:t>
            </w:r>
            <w:r>
              <w:rPr>
                <w:rFonts w:hint="eastAsia"/>
                <w:sz w:val="21"/>
                <w:szCs w:val="21"/>
                <w:highlight w:val="none"/>
              </w:rPr>
              <w:t>）</w:t>
            </w:r>
          </w:p>
        </w:tc>
        <w:tc>
          <w:tcPr>
            <w:tcW w:w="850" w:type="dxa"/>
            <w:vMerge w:val="restart"/>
            <w:tcBorders>
              <w:tl2br w:val="nil"/>
              <w:tr2bl w:val="nil"/>
            </w:tcBorders>
            <w:shd w:val="clear" w:color="auto" w:fill="auto"/>
            <w:vAlign w:val="center"/>
          </w:tcPr>
          <w:p>
            <w:pPr>
              <w:snapToGrid w:val="0"/>
              <w:jc w:val="center"/>
              <w:rPr>
                <w:sz w:val="21"/>
                <w:szCs w:val="21"/>
                <w:highlight w:val="none"/>
              </w:rPr>
            </w:pPr>
            <w:r>
              <w:rPr>
                <w:rFonts w:hint="eastAsia"/>
                <w:sz w:val="21"/>
                <w:szCs w:val="21"/>
                <w:highlight w:val="none"/>
              </w:rPr>
              <w:t>泊松比</w:t>
            </w:r>
          </w:p>
        </w:tc>
        <w:tc>
          <w:tcPr>
            <w:tcW w:w="1872" w:type="dxa"/>
            <w:gridSpan w:val="3"/>
            <w:tcBorders>
              <w:tl2br w:val="nil"/>
              <w:tr2bl w:val="nil"/>
            </w:tcBorders>
            <w:shd w:val="clear" w:color="auto" w:fill="auto"/>
            <w:vAlign w:val="center"/>
          </w:tcPr>
          <w:p>
            <w:pPr>
              <w:snapToGrid w:val="0"/>
              <w:jc w:val="center"/>
              <w:rPr>
                <w:rFonts w:hint="eastAsia"/>
                <w:sz w:val="21"/>
                <w:szCs w:val="21"/>
                <w:highlight w:val="none"/>
              </w:rPr>
            </w:pPr>
            <w:r>
              <w:rPr>
                <w:sz w:val="21"/>
                <w:szCs w:val="21"/>
                <w:highlight w:val="none"/>
              </w:rPr>
              <w:t>轴心抗</w:t>
            </w:r>
            <w:r>
              <w:rPr>
                <w:rFonts w:hint="eastAsia"/>
                <w:sz w:val="21"/>
                <w:szCs w:val="21"/>
                <w:highlight w:val="none"/>
                <w:lang w:val="en-US" w:eastAsia="zh-CN"/>
              </w:rPr>
              <w:t>拉</w:t>
            </w:r>
            <w:r>
              <w:rPr>
                <w:sz w:val="21"/>
                <w:szCs w:val="21"/>
                <w:highlight w:val="none"/>
              </w:rPr>
              <w:t>强度设计值</w:t>
            </w:r>
            <w:r>
              <w:rPr>
                <w:rFonts w:hint="default" w:ascii="Times New Roman" w:hAnsi="Times New Roman" w:eastAsia="仿宋_GB2312" w:cs="Times New Roman"/>
                <w:sz w:val="21"/>
                <w:szCs w:val="21"/>
                <w:highlight w:val="none"/>
              </w:rPr>
              <w:drawing>
                <wp:inline distT="0" distB="0" distL="114300" distR="114300">
                  <wp:extent cx="175260" cy="179705"/>
                  <wp:effectExtent l="0" t="0" r="0" b="2540"/>
                  <wp:docPr id="29"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89"/>
                          <pic:cNvPicPr>
                            <a:picLocks noChangeAspect="1"/>
                          </pic:cNvPicPr>
                        </pic:nvPicPr>
                        <pic:blipFill>
                          <a:blip r:embed="rId51"/>
                          <a:stretch>
                            <a:fillRect/>
                          </a:stretch>
                        </pic:blipFill>
                        <pic:spPr>
                          <a:xfrm>
                            <a:off x="0" y="0"/>
                            <a:ext cx="175260" cy="179705"/>
                          </a:xfrm>
                          <a:prstGeom prst="rect">
                            <a:avLst/>
                          </a:prstGeom>
                          <a:noFill/>
                          <a:ln>
                            <a:noFill/>
                          </a:ln>
                        </pic:spPr>
                      </pic:pic>
                    </a:graphicData>
                  </a:graphic>
                </wp:inline>
              </w:drawing>
            </w:r>
            <w:r>
              <w:rPr>
                <w:rFonts w:hint="eastAsia"/>
                <w:sz w:val="21"/>
                <w:szCs w:val="21"/>
                <w:highlight w:val="none"/>
              </w:rPr>
              <w:t>（</w:t>
            </w:r>
            <w:r>
              <w:rPr>
                <w:sz w:val="21"/>
                <w:szCs w:val="21"/>
                <w:highlight w:val="none"/>
              </w:rPr>
              <w:t>N/mm</w:t>
            </w:r>
            <w:r>
              <w:rPr>
                <w:sz w:val="21"/>
                <w:szCs w:val="21"/>
                <w:highlight w:val="none"/>
                <w:vertAlign w:val="superscript"/>
              </w:rPr>
              <w:t>2</w:t>
            </w:r>
            <w:r>
              <w:rPr>
                <w:rFonts w:hint="eastAsia"/>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94" w:type="dxa"/>
            <w:vMerge w:val="continue"/>
            <w:tcBorders>
              <w:tl2br w:val="nil"/>
              <w:tr2bl w:val="nil"/>
            </w:tcBorders>
            <w:shd w:val="clear" w:color="auto" w:fill="auto"/>
            <w:vAlign w:val="center"/>
          </w:tcPr>
          <w:p>
            <w:pPr>
              <w:snapToGrid w:val="0"/>
              <w:jc w:val="center"/>
              <w:rPr>
                <w:sz w:val="24"/>
                <w:szCs w:val="28"/>
              </w:rPr>
            </w:pPr>
          </w:p>
        </w:tc>
        <w:tc>
          <w:tcPr>
            <w:tcW w:w="1361" w:type="dxa"/>
            <w:vMerge w:val="continue"/>
            <w:tcBorders>
              <w:tl2br w:val="nil"/>
              <w:tr2bl w:val="nil"/>
            </w:tcBorders>
            <w:shd w:val="clear" w:color="auto" w:fill="auto"/>
            <w:vAlign w:val="center"/>
          </w:tcPr>
          <w:p>
            <w:pPr>
              <w:snapToGrid w:val="0"/>
              <w:jc w:val="center"/>
              <w:rPr>
                <w:sz w:val="24"/>
                <w:szCs w:val="28"/>
              </w:rPr>
            </w:pPr>
          </w:p>
        </w:tc>
        <w:tc>
          <w:tcPr>
            <w:tcW w:w="1531" w:type="dxa"/>
            <w:vMerge w:val="continue"/>
            <w:tcBorders>
              <w:tl2br w:val="nil"/>
              <w:tr2bl w:val="nil"/>
            </w:tcBorders>
            <w:shd w:val="clear" w:color="auto" w:fill="auto"/>
            <w:vAlign w:val="center"/>
          </w:tcPr>
          <w:p>
            <w:pPr>
              <w:snapToGrid w:val="0"/>
              <w:jc w:val="center"/>
              <w:rPr>
                <w:sz w:val="24"/>
                <w:szCs w:val="28"/>
              </w:rPr>
            </w:pPr>
          </w:p>
        </w:tc>
        <w:tc>
          <w:tcPr>
            <w:tcW w:w="850" w:type="dxa"/>
            <w:vMerge w:val="continue"/>
            <w:tcBorders>
              <w:tl2br w:val="nil"/>
              <w:tr2bl w:val="nil"/>
            </w:tcBorders>
            <w:shd w:val="clear" w:color="auto" w:fill="auto"/>
            <w:vAlign w:val="center"/>
          </w:tcPr>
          <w:p>
            <w:pPr>
              <w:snapToGrid w:val="0"/>
              <w:jc w:val="center"/>
              <w:rPr>
                <w:sz w:val="24"/>
                <w:szCs w:val="28"/>
              </w:rPr>
            </w:pPr>
          </w:p>
        </w:tc>
        <w:tc>
          <w:tcPr>
            <w:tcW w:w="624" w:type="dxa"/>
            <w:tcBorders>
              <w:tl2br w:val="nil"/>
              <w:tr2bl w:val="nil"/>
            </w:tcBorders>
            <w:shd w:val="clear" w:color="auto" w:fill="auto"/>
            <w:vAlign w:val="center"/>
          </w:tcPr>
          <w:p>
            <w:pPr>
              <w:snapToGrid w:val="0"/>
              <w:jc w:val="center"/>
              <w:rPr>
                <w:rFonts w:hint="eastAsia"/>
                <w:sz w:val="21"/>
                <w:szCs w:val="21"/>
                <w:highlight w:val="none"/>
              </w:rPr>
            </w:pPr>
            <w:r>
              <w:rPr>
                <w:sz w:val="21"/>
                <w:szCs w:val="21"/>
                <w:highlight w:val="none"/>
              </w:rPr>
              <w:fldChar w:fldCharType="begin"/>
            </w:r>
            <w:r>
              <w:rPr>
                <w:sz w:val="21"/>
                <w:szCs w:val="21"/>
                <w:highlight w:val="none"/>
              </w:rPr>
              <w:instrText xml:space="preserve"> = 1 \* ROMAN </w:instrText>
            </w:r>
            <w:r>
              <w:rPr>
                <w:sz w:val="21"/>
                <w:szCs w:val="21"/>
                <w:highlight w:val="none"/>
              </w:rPr>
              <w:fldChar w:fldCharType="separate"/>
            </w:r>
            <w:r>
              <w:rPr>
                <w:sz w:val="21"/>
                <w:szCs w:val="21"/>
                <w:highlight w:val="none"/>
              </w:rPr>
              <w:t>I</w:t>
            </w:r>
            <w:r>
              <w:rPr>
                <w:sz w:val="21"/>
                <w:szCs w:val="21"/>
                <w:highlight w:val="none"/>
              </w:rPr>
              <w:fldChar w:fldCharType="end"/>
            </w:r>
            <w:r>
              <w:rPr>
                <w:sz w:val="21"/>
                <w:szCs w:val="21"/>
                <w:highlight w:val="none"/>
              </w:rPr>
              <w:t>类</w:t>
            </w:r>
          </w:p>
        </w:tc>
        <w:tc>
          <w:tcPr>
            <w:tcW w:w="624" w:type="dxa"/>
            <w:tcBorders>
              <w:tl2br w:val="nil"/>
              <w:tr2bl w:val="nil"/>
            </w:tcBorders>
            <w:shd w:val="clear" w:color="auto" w:fill="auto"/>
            <w:vAlign w:val="center"/>
          </w:tcPr>
          <w:p>
            <w:pPr>
              <w:snapToGrid w:val="0"/>
              <w:jc w:val="center"/>
              <w:rPr>
                <w:rFonts w:hint="eastAsia"/>
                <w:sz w:val="21"/>
                <w:szCs w:val="21"/>
                <w:highlight w:val="none"/>
              </w:rPr>
            </w:pPr>
            <w:r>
              <w:rPr>
                <w:sz w:val="21"/>
                <w:szCs w:val="21"/>
                <w:highlight w:val="none"/>
              </w:rPr>
              <w:fldChar w:fldCharType="begin"/>
            </w:r>
            <w:r>
              <w:rPr>
                <w:sz w:val="21"/>
                <w:szCs w:val="21"/>
                <w:highlight w:val="none"/>
              </w:rPr>
              <w:instrText xml:space="preserve"> = 2 \* ROMAN </w:instrText>
            </w:r>
            <w:r>
              <w:rPr>
                <w:sz w:val="21"/>
                <w:szCs w:val="21"/>
                <w:highlight w:val="none"/>
              </w:rPr>
              <w:fldChar w:fldCharType="separate"/>
            </w:r>
            <w:r>
              <w:rPr>
                <w:sz w:val="21"/>
                <w:szCs w:val="21"/>
                <w:highlight w:val="none"/>
              </w:rPr>
              <w:t>II</w:t>
            </w:r>
            <w:r>
              <w:rPr>
                <w:sz w:val="21"/>
                <w:szCs w:val="21"/>
                <w:highlight w:val="none"/>
              </w:rPr>
              <w:fldChar w:fldCharType="end"/>
            </w:r>
            <w:r>
              <w:rPr>
                <w:sz w:val="21"/>
                <w:szCs w:val="21"/>
                <w:highlight w:val="none"/>
              </w:rPr>
              <w:t>类</w:t>
            </w:r>
          </w:p>
        </w:tc>
        <w:tc>
          <w:tcPr>
            <w:tcW w:w="624" w:type="dxa"/>
            <w:tcBorders>
              <w:tl2br w:val="nil"/>
              <w:tr2bl w:val="nil"/>
            </w:tcBorders>
            <w:shd w:val="clear" w:color="auto" w:fill="auto"/>
            <w:vAlign w:val="center"/>
          </w:tcPr>
          <w:p>
            <w:pPr>
              <w:snapToGrid w:val="0"/>
              <w:jc w:val="center"/>
              <w:rPr>
                <w:rFonts w:hint="eastAsia"/>
                <w:sz w:val="21"/>
                <w:szCs w:val="21"/>
                <w:highlight w:val="none"/>
              </w:rPr>
            </w:pPr>
            <w:r>
              <w:rPr>
                <w:sz w:val="21"/>
                <w:szCs w:val="21"/>
                <w:highlight w:val="none"/>
              </w:rPr>
              <w:fldChar w:fldCharType="begin"/>
            </w:r>
            <w:r>
              <w:rPr>
                <w:sz w:val="21"/>
                <w:szCs w:val="21"/>
                <w:highlight w:val="none"/>
              </w:rPr>
              <w:instrText xml:space="preserve"> = 3 \* ROMAN </w:instrText>
            </w:r>
            <w:r>
              <w:rPr>
                <w:sz w:val="21"/>
                <w:szCs w:val="21"/>
                <w:highlight w:val="none"/>
              </w:rPr>
              <w:fldChar w:fldCharType="separate"/>
            </w:r>
            <w:r>
              <w:rPr>
                <w:sz w:val="21"/>
                <w:szCs w:val="21"/>
                <w:highlight w:val="none"/>
              </w:rPr>
              <w:t>III</w:t>
            </w:r>
            <w:r>
              <w:rPr>
                <w:sz w:val="21"/>
                <w:szCs w:val="21"/>
                <w:highlight w:val="none"/>
              </w:rPr>
              <w:fldChar w:fldCharType="end"/>
            </w:r>
            <w:r>
              <w:rPr>
                <w:sz w:val="21"/>
                <w:szCs w:val="21"/>
                <w:highlight w:val="none"/>
              </w:rPr>
              <w:t>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94" w:type="dxa"/>
            <w:tcBorders>
              <w:tl2br w:val="nil"/>
              <w:tr2bl w:val="nil"/>
            </w:tcBorders>
            <w:shd w:val="clear" w:color="auto" w:fill="auto"/>
            <w:vAlign w:val="center"/>
          </w:tcPr>
          <w:p>
            <w:pPr>
              <w:jc w:val="center"/>
              <w:rPr>
                <w:sz w:val="21"/>
                <w:szCs w:val="21"/>
                <w:highlight w:val="none"/>
              </w:rPr>
            </w:pPr>
            <w:r>
              <w:rPr>
                <w:rFonts w:hint="eastAsia"/>
                <w:sz w:val="21"/>
                <w:szCs w:val="21"/>
                <w:highlight w:val="none"/>
              </w:rPr>
              <w:t>计算指标</w:t>
            </w:r>
          </w:p>
        </w:tc>
        <w:tc>
          <w:tcPr>
            <w:tcW w:w="1361" w:type="dxa"/>
            <w:tcBorders>
              <w:tl2br w:val="nil"/>
              <w:tr2bl w:val="nil"/>
            </w:tcBorders>
            <w:shd w:val="clear" w:color="auto" w:fill="auto"/>
            <w:vAlign w:val="center"/>
          </w:tcPr>
          <w:p>
            <w:pPr>
              <w:jc w:val="center"/>
              <w:rPr>
                <w:sz w:val="21"/>
                <w:szCs w:val="21"/>
                <w:highlight w:val="none"/>
              </w:rPr>
            </w:pPr>
            <w:r>
              <w:rPr>
                <w:sz w:val="21"/>
                <w:szCs w:val="21"/>
                <w:highlight w:val="none"/>
              </w:rPr>
              <w:t>27.6</w:t>
            </w:r>
          </w:p>
        </w:tc>
        <w:tc>
          <w:tcPr>
            <w:tcW w:w="1531" w:type="dxa"/>
            <w:tcBorders>
              <w:tl2br w:val="nil"/>
              <w:tr2bl w:val="nil"/>
            </w:tcBorders>
            <w:shd w:val="clear" w:color="auto" w:fill="auto"/>
            <w:vAlign w:val="center"/>
          </w:tcPr>
          <w:p>
            <w:pPr>
              <w:jc w:val="center"/>
              <w:rPr>
                <w:sz w:val="21"/>
                <w:szCs w:val="21"/>
                <w:highlight w:val="none"/>
              </w:rPr>
            </w:pPr>
            <w:r>
              <w:rPr>
                <w:rFonts w:hint="eastAsia"/>
                <w:sz w:val="21"/>
                <w:szCs w:val="21"/>
                <w:highlight w:val="none"/>
              </w:rPr>
              <w:t>2.20×10</w:t>
            </w:r>
            <w:r>
              <w:rPr>
                <w:rFonts w:hint="eastAsia"/>
                <w:sz w:val="21"/>
                <w:szCs w:val="21"/>
                <w:highlight w:val="none"/>
                <w:vertAlign w:val="superscript"/>
              </w:rPr>
              <w:t>4</w:t>
            </w:r>
          </w:p>
        </w:tc>
        <w:tc>
          <w:tcPr>
            <w:tcW w:w="850" w:type="dxa"/>
            <w:tcBorders>
              <w:tl2br w:val="nil"/>
              <w:tr2bl w:val="nil"/>
            </w:tcBorders>
            <w:shd w:val="clear" w:color="auto" w:fill="auto"/>
            <w:vAlign w:val="center"/>
          </w:tcPr>
          <w:p>
            <w:pPr>
              <w:jc w:val="center"/>
              <w:rPr>
                <w:sz w:val="21"/>
                <w:szCs w:val="21"/>
                <w:highlight w:val="none"/>
              </w:rPr>
            </w:pPr>
            <w:r>
              <w:rPr>
                <w:rFonts w:hint="eastAsia"/>
                <w:sz w:val="21"/>
                <w:szCs w:val="21"/>
                <w:highlight w:val="none"/>
              </w:rPr>
              <w:t>0.14</w:t>
            </w:r>
          </w:p>
        </w:tc>
        <w:tc>
          <w:tcPr>
            <w:tcW w:w="624" w:type="dxa"/>
            <w:tcBorders>
              <w:tl2br w:val="nil"/>
              <w:tr2bl w:val="nil"/>
            </w:tcBorders>
            <w:shd w:val="clear" w:color="auto" w:fill="auto"/>
            <w:vAlign w:val="center"/>
          </w:tcPr>
          <w:p>
            <w:pPr>
              <w:jc w:val="center"/>
              <w:rPr>
                <w:rFonts w:hint="eastAsia"/>
                <w:sz w:val="21"/>
                <w:szCs w:val="21"/>
                <w:highlight w:val="none"/>
              </w:rPr>
            </w:pPr>
            <w:r>
              <w:rPr>
                <w:rFonts w:hint="eastAsia"/>
                <w:sz w:val="21"/>
                <w:szCs w:val="21"/>
              </w:rPr>
              <w:t>4.5</w:t>
            </w:r>
          </w:p>
        </w:tc>
        <w:tc>
          <w:tcPr>
            <w:tcW w:w="624" w:type="dxa"/>
            <w:tcBorders>
              <w:tl2br w:val="nil"/>
              <w:tr2bl w:val="nil"/>
            </w:tcBorders>
            <w:shd w:val="clear" w:color="auto" w:fill="auto"/>
            <w:vAlign w:val="center"/>
          </w:tcPr>
          <w:p>
            <w:pPr>
              <w:jc w:val="center"/>
              <w:rPr>
                <w:rFonts w:hint="eastAsia"/>
                <w:sz w:val="21"/>
                <w:szCs w:val="21"/>
                <w:highlight w:val="none"/>
              </w:rPr>
            </w:pPr>
            <w:r>
              <w:rPr>
                <w:rFonts w:hint="eastAsia"/>
                <w:sz w:val="21"/>
                <w:szCs w:val="21"/>
              </w:rPr>
              <w:t>3.8</w:t>
            </w:r>
          </w:p>
        </w:tc>
        <w:tc>
          <w:tcPr>
            <w:tcW w:w="624" w:type="dxa"/>
            <w:tcBorders>
              <w:tl2br w:val="nil"/>
              <w:tr2bl w:val="nil"/>
            </w:tcBorders>
            <w:shd w:val="clear" w:color="auto" w:fill="auto"/>
            <w:vAlign w:val="center"/>
          </w:tcPr>
          <w:p>
            <w:pPr>
              <w:jc w:val="center"/>
              <w:rPr>
                <w:rFonts w:hint="eastAsia"/>
                <w:sz w:val="21"/>
                <w:szCs w:val="21"/>
                <w:highlight w:val="none"/>
              </w:rPr>
            </w:pPr>
            <w:r>
              <w:rPr>
                <w:rFonts w:hint="eastAsia"/>
                <w:sz w:val="21"/>
                <w:szCs w:val="21"/>
              </w:rPr>
              <w:t>3.1</w:t>
            </w:r>
          </w:p>
        </w:tc>
      </w:tr>
    </w:tbl>
    <w:p>
      <w:pPr>
        <w:spacing w:line="312" w:lineRule="auto"/>
        <w:rPr>
          <w:rFonts w:hint="eastAsia" w:ascii="楷体" w:hAnsi="楷体" w:eastAsia="楷体" w:cs="楷体"/>
          <w:sz w:val="24"/>
          <w:szCs w:val="24"/>
          <w:highlight w:val="none"/>
          <w:u w:val="single"/>
        </w:rPr>
      </w:pPr>
      <w:bookmarkStart w:id="379" w:name="_Toc28159"/>
      <w:bookmarkStart w:id="380" w:name="_Toc54255551"/>
      <w:bookmarkStart w:id="381" w:name="_Toc63348924"/>
      <w:bookmarkStart w:id="382" w:name="_Toc54256646"/>
      <w:bookmarkStart w:id="383" w:name="_Toc70169819"/>
      <w:bookmarkStart w:id="384" w:name="_Toc63348848"/>
      <w:bookmarkStart w:id="385" w:name="_Toc67330592"/>
      <w:bookmarkStart w:id="386" w:name="_Toc38358402"/>
      <w:bookmarkStart w:id="387" w:name="_Toc48138888"/>
      <w:bookmarkStart w:id="388" w:name="_Toc32220307"/>
      <w:bookmarkStart w:id="389" w:name="_Toc32220242"/>
      <w:bookmarkStart w:id="390" w:name="_Toc31981913"/>
      <w:bookmarkStart w:id="391" w:name="_Toc48210133"/>
      <w:bookmarkStart w:id="392" w:name="_Toc52264496"/>
      <w:bookmarkStart w:id="393" w:name="_Toc48210024"/>
      <w:bookmarkStart w:id="394" w:name="_Toc38352776"/>
      <w:bookmarkStart w:id="395" w:name="_Toc48210356"/>
      <w:bookmarkStart w:id="396" w:name="_Toc48138966"/>
      <w:r>
        <w:rPr>
          <w:rFonts w:hint="eastAsia" w:ascii="楷体" w:hAnsi="楷体" w:eastAsia="楷体" w:cs="楷体"/>
          <w:b w:val="0"/>
          <w:bCs/>
          <w:sz w:val="24"/>
          <w:szCs w:val="24"/>
          <w:highlight w:val="none"/>
          <w:u w:val="single"/>
        </w:rPr>
        <w:t>【条文说明】</w:t>
      </w:r>
      <w:r>
        <w:rPr>
          <w:rFonts w:hint="eastAsia" w:ascii="楷体" w:hAnsi="楷体" w:eastAsia="楷体" w:cs="楷体"/>
          <w:sz w:val="24"/>
          <w:szCs w:val="24"/>
          <w:highlight w:val="none"/>
          <w:u w:val="single"/>
        </w:rPr>
        <w:t>本条给出了高延性混凝土的材料性能计算指标。</w:t>
      </w:r>
    </w:p>
    <w:p>
      <w:pPr>
        <w:spacing w:line="312" w:lineRule="auto"/>
        <w:ind w:firstLine="482" w:firstLineChars="200"/>
        <w:rPr>
          <w:rFonts w:hint="eastAsia" w:ascii="楷体" w:hAnsi="楷体" w:eastAsia="楷体" w:cs="楷体"/>
          <w:sz w:val="24"/>
          <w:szCs w:val="24"/>
          <w:highlight w:val="none"/>
          <w:u w:val="single"/>
        </w:rPr>
      </w:pPr>
      <w:r>
        <w:rPr>
          <w:rFonts w:hint="eastAsia" w:ascii="楷体" w:hAnsi="楷体" w:eastAsia="楷体" w:cs="楷体"/>
          <w:b/>
          <w:bCs/>
          <w:sz w:val="24"/>
          <w:szCs w:val="24"/>
          <w:highlight w:val="none"/>
          <w:u w:val="single"/>
        </w:rPr>
        <w:t>1</w:t>
      </w:r>
      <w:r>
        <w:rPr>
          <w:rFonts w:hint="eastAsia" w:ascii="楷体" w:hAnsi="楷体" w:eastAsia="楷体" w:cs="楷体"/>
          <w:sz w:val="24"/>
          <w:szCs w:val="24"/>
          <w:highlight w:val="none"/>
          <w:u w:val="single"/>
        </w:rPr>
        <w:t xml:space="preserve">  高延性混凝土轴心抗压强度标准值按下式计算：</w:t>
      </w:r>
    </w:p>
    <w:p>
      <w:pPr>
        <w:spacing w:line="312" w:lineRule="auto"/>
        <w:jc w:val="right"/>
        <w:rPr>
          <w:rFonts w:hint="eastAsia" w:ascii="楷体" w:hAnsi="楷体" w:eastAsia="楷体" w:cs="楷体"/>
          <w:sz w:val="24"/>
          <w:szCs w:val="24"/>
          <w:highlight w:val="none"/>
          <w:u w:val="single"/>
        </w:rPr>
      </w:pPr>
      <w:r>
        <w:rPr>
          <w:rFonts w:hint="eastAsia" w:ascii="楷体" w:hAnsi="楷体" w:eastAsia="楷体" w:cs="楷体"/>
          <w:sz w:val="24"/>
          <w:szCs w:val="24"/>
          <w:highlight w:val="none"/>
          <w:u w:val="single"/>
        </w:rPr>
        <w:object>
          <v:shape id="_x0000_i1046" o:spt="75" type="#_x0000_t75" style="height:14.15pt;width:72.45pt;" o:ole="t" filled="f" o:preferrelative="t" stroked="f" coordsize="21600,21600">
            <v:path/>
            <v:fill on="f" focussize="0,0"/>
            <v:stroke on="f"/>
            <v:imagedata r:id="rId53" o:title=""/>
            <o:lock v:ext="edit" aspectratio="t"/>
            <w10:wrap type="none"/>
            <w10:anchorlock/>
          </v:shape>
          <o:OLEObject Type="Embed" ProgID="Equation.DSMT4" ShapeID="_x0000_i1046" DrawAspect="Content" ObjectID="_1468075745" r:id="rId52">
            <o:LockedField>false</o:LockedField>
          </o:OLEObject>
        </w:object>
      </w:r>
      <w:r>
        <w:rPr>
          <w:rFonts w:hint="eastAsia" w:ascii="楷体" w:hAnsi="楷体" w:eastAsia="楷体" w:cs="楷体"/>
          <w:sz w:val="24"/>
          <w:szCs w:val="24"/>
          <w:highlight w:val="none"/>
          <w:u w:val="single"/>
        </w:rPr>
        <w:t xml:space="preserve">   </w:t>
      </w:r>
      <w:r>
        <w:rPr>
          <w:rFonts w:hint="eastAsia" w:ascii="楷体" w:hAnsi="楷体" w:eastAsia="楷体" w:cs="楷体"/>
          <w:sz w:val="24"/>
          <w:szCs w:val="24"/>
          <w:highlight w:val="none"/>
          <w:u w:val="single"/>
          <w:lang w:val="en-US" w:eastAsia="zh-CN"/>
        </w:rPr>
        <w:t xml:space="preserve">                   </w:t>
      </w:r>
      <w:r>
        <w:rPr>
          <w:rFonts w:hint="eastAsia" w:ascii="楷体" w:hAnsi="楷体" w:eastAsia="楷体" w:cs="楷体"/>
          <w:sz w:val="24"/>
          <w:szCs w:val="24"/>
          <w:highlight w:val="none"/>
          <w:u w:val="single"/>
        </w:rPr>
        <w:t xml:space="preserve">            （1）</w:t>
      </w:r>
      <w:r>
        <w:rPr>
          <w:rFonts w:hint="eastAsia" w:ascii="楷体" w:hAnsi="楷体" w:eastAsia="楷体" w:cs="楷体"/>
          <w:sz w:val="24"/>
          <w:szCs w:val="24"/>
          <w:highlight w:val="none"/>
          <w:u w:val="single"/>
        </w:rPr>
        <w:fldChar w:fldCharType="begin"/>
      </w:r>
      <w:r>
        <w:rPr>
          <w:rFonts w:hint="eastAsia" w:ascii="楷体" w:hAnsi="楷体" w:eastAsia="楷体" w:cs="楷体"/>
          <w:sz w:val="24"/>
          <w:szCs w:val="24"/>
          <w:highlight w:val="none"/>
          <w:u w:val="single"/>
        </w:rPr>
        <w:instrText xml:space="preserve"> QUOTE </w:instrText>
      </w:r>
      <m:oMath>
        <m:r>
          <m:rPr>
            <m:sty m:val="p"/>
          </m:rPr>
          <w:rPr>
            <w:rFonts w:hint="eastAsia" w:ascii="Cambria Math" w:hAnsi="Cambria Math" w:eastAsia="楷体" w:cs="楷体"/>
            <w:sz w:val="24"/>
            <w:szCs w:val="24"/>
            <w:highlight w:val="none"/>
            <w:u w:val="single"/>
          </w:rPr>
          <w:object>
            <v:shape id="_x0000_i1047" o:spt="75" type="#_x0000_t75" style="height:22.55pt;width:94.55pt;" o:ole="t" filled="f" o:preferrelative="t" stroked="f" coordsize="21600,21600">
              <v:path/>
              <v:fill on="f" focussize="0,0"/>
              <v:stroke on="f"/>
              <v:imagedata r:id="rId55" o:title=""/>
              <o:lock v:ext="edit" aspectratio="t"/>
              <w10:wrap type="none"/>
              <w10:anchorlock/>
            </v:shape>
            <o:OLEObject Type="Embed" ProgID="Equation.DSMT4" ShapeID="_x0000_i1047" DrawAspect="Content" ObjectID="_1468075746" r:id="rId54">
              <o:LockedField>false</o:LockedField>
            </o:OLEObject>
          </w:object>
        </m:r>
      </m:oMath>
      <w:r>
        <w:rPr>
          <w:rFonts w:hint="eastAsia" w:ascii="楷体" w:hAnsi="楷体" w:eastAsia="楷体" w:cs="楷体"/>
          <w:sz w:val="24"/>
          <w:szCs w:val="24"/>
          <w:highlight w:val="none"/>
          <w:u w:val="single"/>
        </w:rPr>
        <w:instrText xml:space="preserve"> </w:instrText>
      </w:r>
      <w:r>
        <w:rPr>
          <w:rFonts w:hint="eastAsia" w:ascii="楷体" w:hAnsi="楷体" w:eastAsia="楷体" w:cs="楷体"/>
          <w:sz w:val="24"/>
          <w:szCs w:val="24"/>
          <w:highlight w:val="none"/>
          <w:u w:val="single"/>
        </w:rPr>
        <w:fldChar w:fldCharType="end"/>
      </w:r>
    </w:p>
    <w:tbl>
      <w:tblPr>
        <w:tblStyle w:val="23"/>
        <w:tblW w:w="0" w:type="auto"/>
        <w:tblInd w:w="0" w:type="dxa"/>
        <w:tblLayout w:type="fixed"/>
        <w:tblCellMar>
          <w:top w:w="0" w:type="dxa"/>
          <w:left w:w="108" w:type="dxa"/>
          <w:bottom w:w="0" w:type="dxa"/>
          <w:right w:w="108" w:type="dxa"/>
        </w:tblCellMar>
      </w:tblPr>
      <w:tblGrid>
        <w:gridCol w:w="1526"/>
        <w:gridCol w:w="8317"/>
      </w:tblGrid>
      <w:tr>
        <w:tblPrEx>
          <w:tblCellMar>
            <w:top w:w="0" w:type="dxa"/>
            <w:left w:w="108" w:type="dxa"/>
            <w:bottom w:w="0" w:type="dxa"/>
            <w:right w:w="108" w:type="dxa"/>
          </w:tblCellMar>
        </w:tblPrEx>
        <w:tc>
          <w:tcPr>
            <w:tcW w:w="1526" w:type="dxa"/>
          </w:tcPr>
          <w:p>
            <w:pPr>
              <w:spacing w:line="312" w:lineRule="auto"/>
              <w:jc w:val="both"/>
              <w:rPr>
                <w:rFonts w:hint="eastAsia" w:ascii="楷体" w:hAnsi="楷体" w:eastAsia="楷体" w:cs="楷体"/>
                <w:sz w:val="24"/>
                <w:szCs w:val="24"/>
                <w:highlight w:val="none"/>
                <w:u w:val="single"/>
              </w:rPr>
            </w:pPr>
            <w:r>
              <w:rPr>
                <w:rFonts w:hint="eastAsia" w:ascii="楷体" w:hAnsi="楷体" w:eastAsia="楷体" w:cs="楷体"/>
                <w:sz w:val="24"/>
                <w:szCs w:val="24"/>
                <w:highlight w:val="none"/>
                <w:u w:val="single"/>
              </w:rPr>
              <w:t>式中：</w:t>
            </w:r>
          </w:p>
          <w:p>
            <w:pPr>
              <w:spacing w:line="312" w:lineRule="auto"/>
              <w:jc w:val="right"/>
              <w:rPr>
                <w:rFonts w:hint="eastAsia" w:ascii="楷体" w:hAnsi="楷体" w:eastAsia="楷体" w:cs="楷体"/>
                <w:sz w:val="24"/>
                <w:szCs w:val="24"/>
                <w:highlight w:val="none"/>
                <w:u w:val="single"/>
              </w:rPr>
            </w:pPr>
            <w:r>
              <w:rPr>
                <w:rFonts w:hint="eastAsia" w:ascii="楷体" w:hAnsi="楷体" w:eastAsia="楷体" w:cs="楷体"/>
                <w:sz w:val="24"/>
                <w:szCs w:val="24"/>
                <w:highlight w:val="none"/>
                <w:u w:val="single"/>
              </w:rPr>
              <w:t>0.88——</w:t>
            </w:r>
          </w:p>
        </w:tc>
        <w:tc>
          <w:tcPr>
            <w:tcW w:w="8317" w:type="dxa"/>
            <w:tcMar>
              <w:left w:w="28" w:type="dxa"/>
            </w:tcMar>
            <w:vAlign w:val="center"/>
          </w:tcPr>
          <w:p>
            <w:pPr>
              <w:spacing w:line="312" w:lineRule="auto"/>
              <w:rPr>
                <w:rFonts w:hint="eastAsia" w:ascii="楷体" w:hAnsi="楷体" w:eastAsia="楷体" w:cs="楷体"/>
                <w:sz w:val="24"/>
                <w:szCs w:val="24"/>
                <w:highlight w:val="none"/>
                <w:u w:val="single"/>
              </w:rPr>
            </w:pPr>
          </w:p>
          <w:p>
            <w:pPr>
              <w:spacing w:line="312" w:lineRule="auto"/>
              <w:rPr>
                <w:rFonts w:hint="eastAsia" w:ascii="楷体" w:hAnsi="楷体" w:eastAsia="楷体" w:cs="楷体"/>
                <w:sz w:val="24"/>
                <w:szCs w:val="24"/>
                <w:highlight w:val="none"/>
                <w:u w:val="single"/>
              </w:rPr>
            </w:pPr>
            <w:r>
              <w:rPr>
                <w:rFonts w:hint="eastAsia" w:ascii="楷体" w:hAnsi="楷体" w:eastAsia="楷体" w:cs="楷体"/>
                <w:sz w:val="24"/>
                <w:szCs w:val="24"/>
                <w:highlight w:val="none"/>
                <w:u w:val="single"/>
              </w:rPr>
              <w:t>考虑到结构中混凝土强度与试件混凝土强度之间的差异而采取的修正系数；</w:t>
            </w:r>
          </w:p>
        </w:tc>
      </w:tr>
      <w:tr>
        <w:tblPrEx>
          <w:tblCellMar>
            <w:top w:w="0" w:type="dxa"/>
            <w:left w:w="108" w:type="dxa"/>
            <w:bottom w:w="0" w:type="dxa"/>
            <w:right w:w="108" w:type="dxa"/>
          </w:tblCellMar>
        </w:tblPrEx>
        <w:tc>
          <w:tcPr>
            <w:tcW w:w="1526" w:type="dxa"/>
          </w:tcPr>
          <w:p>
            <w:pPr>
              <w:spacing w:line="312" w:lineRule="auto"/>
              <w:jc w:val="right"/>
              <w:rPr>
                <w:rFonts w:hint="eastAsia" w:ascii="楷体" w:hAnsi="楷体" w:eastAsia="楷体" w:cs="楷体"/>
                <w:sz w:val="24"/>
                <w:szCs w:val="24"/>
                <w:highlight w:val="none"/>
                <w:u w:val="single"/>
              </w:rPr>
            </w:pPr>
            <w:r>
              <w:rPr>
                <w:rFonts w:hint="eastAsia" w:ascii="楷体" w:hAnsi="楷体" w:eastAsia="楷体" w:cs="楷体"/>
                <w:sz w:val="24"/>
                <w:szCs w:val="24"/>
                <w:highlight w:val="none"/>
                <w:u w:val="single"/>
              </w:rPr>
              <w:object>
                <v:shape id="_x0000_i1048" o:spt="75" type="#_x0000_t75" style="height:11.35pt;width:11.35pt;" o:ole="t" filled="f" o:preferrelative="t" stroked="f" coordsize="21600,21600">
                  <v:path/>
                  <v:fill on="f" focussize="0,0"/>
                  <v:stroke on="f"/>
                  <v:imagedata r:id="rId57" o:title=""/>
                  <o:lock v:ext="edit" aspectratio="t"/>
                  <w10:wrap type="none"/>
                  <w10:anchorlock/>
                </v:shape>
                <o:OLEObject Type="Embed" ProgID="Equation.DSMT4" ShapeID="_x0000_i1048" DrawAspect="Content" ObjectID="_1468075747" r:id="rId56">
                  <o:LockedField>false</o:LockedField>
                </o:OLEObject>
              </w:object>
            </w:r>
            <w:r>
              <w:rPr>
                <w:rFonts w:hint="eastAsia" w:ascii="楷体" w:hAnsi="楷体" w:eastAsia="楷体" w:cs="楷体"/>
                <w:sz w:val="24"/>
                <w:szCs w:val="24"/>
                <w:highlight w:val="none"/>
                <w:u w:val="single"/>
              </w:rPr>
              <w:t>——</w:t>
            </w:r>
          </w:p>
        </w:tc>
        <w:tc>
          <w:tcPr>
            <w:tcW w:w="8317" w:type="dxa"/>
            <w:tcMar>
              <w:left w:w="28" w:type="dxa"/>
            </w:tcMar>
            <w:vAlign w:val="center"/>
          </w:tcPr>
          <w:p>
            <w:pPr>
              <w:spacing w:line="312" w:lineRule="auto"/>
              <w:rPr>
                <w:rFonts w:hint="eastAsia" w:ascii="楷体" w:hAnsi="楷体" w:eastAsia="楷体" w:cs="楷体"/>
                <w:sz w:val="24"/>
                <w:szCs w:val="24"/>
                <w:highlight w:val="none"/>
                <w:u w:val="single"/>
              </w:rPr>
            </w:pPr>
            <w:r>
              <w:rPr>
                <w:rFonts w:hint="eastAsia" w:ascii="楷体" w:hAnsi="楷体" w:eastAsia="楷体" w:cs="楷体"/>
                <w:sz w:val="24"/>
                <w:szCs w:val="24"/>
                <w:highlight w:val="none"/>
                <w:u w:val="single"/>
              </w:rPr>
              <w:t>棱柱体抗压强度与立方体抗压强度的比值，可取0.88；</w:t>
            </w:r>
          </w:p>
        </w:tc>
      </w:tr>
      <w:tr>
        <w:tblPrEx>
          <w:tblCellMar>
            <w:top w:w="0" w:type="dxa"/>
            <w:left w:w="108" w:type="dxa"/>
            <w:bottom w:w="0" w:type="dxa"/>
            <w:right w:w="108" w:type="dxa"/>
          </w:tblCellMar>
        </w:tblPrEx>
        <w:tc>
          <w:tcPr>
            <w:tcW w:w="1526" w:type="dxa"/>
          </w:tcPr>
          <w:p>
            <w:pPr>
              <w:spacing w:line="312" w:lineRule="auto"/>
              <w:jc w:val="right"/>
              <w:rPr>
                <w:rFonts w:hint="eastAsia" w:ascii="楷体" w:hAnsi="楷体" w:eastAsia="楷体" w:cs="楷体"/>
                <w:sz w:val="24"/>
                <w:szCs w:val="24"/>
                <w:highlight w:val="none"/>
                <w:u w:val="single"/>
              </w:rPr>
            </w:pPr>
            <w:r>
              <w:rPr>
                <w:rFonts w:hint="eastAsia" w:ascii="楷体" w:hAnsi="楷体" w:eastAsia="楷体" w:cs="楷体"/>
                <w:sz w:val="24"/>
                <w:szCs w:val="24"/>
                <w:highlight w:val="none"/>
                <w:u w:val="single"/>
              </w:rPr>
              <w:object>
                <v:shape id="_x0000_i1049" o:spt="75" type="#_x0000_t75" style="height:11.35pt;width:13.2pt;" o:ole="t" filled="f" o:preferrelative="t" stroked="f" coordsize="21600,21600">
                  <v:path/>
                  <v:fill on="f" focussize="0,0"/>
                  <v:stroke on="f"/>
                  <v:imagedata r:id="rId59" o:title=""/>
                  <o:lock v:ext="edit" aspectratio="t"/>
                  <w10:wrap type="none"/>
                  <w10:anchorlock/>
                </v:shape>
                <o:OLEObject Type="Embed" ProgID="Equation.DSMT4" ShapeID="_x0000_i1049" DrawAspect="Content" ObjectID="_1468075748" r:id="rId58">
                  <o:LockedField>false</o:LockedField>
                </o:OLEObject>
              </w:object>
            </w:r>
            <w:r>
              <w:rPr>
                <w:rFonts w:hint="eastAsia" w:ascii="楷体" w:hAnsi="楷体" w:eastAsia="楷体" w:cs="楷体"/>
                <w:sz w:val="24"/>
                <w:szCs w:val="24"/>
                <w:highlight w:val="none"/>
                <w:u w:val="single"/>
              </w:rPr>
              <w:t>——</w:t>
            </w:r>
          </w:p>
        </w:tc>
        <w:tc>
          <w:tcPr>
            <w:tcW w:w="8317" w:type="dxa"/>
            <w:tcMar>
              <w:left w:w="28" w:type="dxa"/>
            </w:tcMar>
            <w:vAlign w:val="center"/>
          </w:tcPr>
          <w:p>
            <w:pPr>
              <w:spacing w:line="312" w:lineRule="auto"/>
              <w:rPr>
                <w:rFonts w:hint="eastAsia" w:ascii="楷体" w:hAnsi="楷体" w:eastAsia="楷体" w:cs="楷体"/>
                <w:sz w:val="24"/>
                <w:szCs w:val="24"/>
                <w:highlight w:val="none"/>
                <w:u w:val="single"/>
              </w:rPr>
            </w:pPr>
            <w:r>
              <w:rPr>
                <w:rFonts w:hint="eastAsia" w:ascii="楷体" w:hAnsi="楷体" w:eastAsia="楷体" w:cs="楷体"/>
                <w:sz w:val="24"/>
                <w:szCs w:val="24"/>
                <w:highlight w:val="none"/>
                <w:u w:val="single"/>
              </w:rPr>
              <w:t>高延性混凝土立方体抗压强度标准值，Cd50的高延性混凝土</w:t>
            </w:r>
            <w:r>
              <w:rPr>
                <w:rFonts w:hint="eastAsia" w:ascii="楷体" w:hAnsi="楷体" w:eastAsia="楷体" w:cs="楷体"/>
                <w:sz w:val="24"/>
                <w:szCs w:val="24"/>
                <w:highlight w:val="none"/>
                <w:u w:val="single"/>
              </w:rPr>
              <w:object>
                <v:shape id="_x0000_i1050" o:spt="75" type="#_x0000_t75" style="height:11.35pt;width:13.25pt;" o:ole="t" filled="f" o:preferrelative="t" stroked="f" coordsize="21600,21600">
                  <v:path/>
                  <v:fill on="f" focussize="0,0"/>
                  <v:stroke on="f"/>
                  <v:imagedata r:id="rId59" o:title=""/>
                  <o:lock v:ext="edit" aspectratio="t"/>
                  <w10:wrap type="none"/>
                  <w10:anchorlock/>
                </v:shape>
                <o:OLEObject Type="Embed" ProgID="Equation.DSMT4" ShapeID="_x0000_i1050" DrawAspect="Content" ObjectID="_1468075749" r:id="rId60">
                  <o:LockedField>false</o:LockedField>
                </o:OLEObject>
              </w:object>
            </w:r>
            <w:r>
              <w:rPr>
                <w:rFonts w:hint="eastAsia" w:ascii="楷体" w:hAnsi="楷体" w:eastAsia="楷体" w:cs="楷体"/>
                <w:sz w:val="24"/>
                <w:szCs w:val="24"/>
                <w:highlight w:val="none"/>
                <w:u w:val="single"/>
              </w:rPr>
              <w:t>=50N/mm</w:t>
            </w:r>
            <w:r>
              <w:rPr>
                <w:rFonts w:hint="eastAsia" w:ascii="楷体" w:hAnsi="楷体" w:eastAsia="楷体" w:cs="楷体"/>
                <w:sz w:val="24"/>
                <w:szCs w:val="24"/>
                <w:highlight w:val="none"/>
                <w:u w:val="single"/>
                <w:vertAlign w:val="superscript"/>
              </w:rPr>
              <w:t>2</w:t>
            </w:r>
            <w:r>
              <w:rPr>
                <w:rFonts w:hint="eastAsia" w:ascii="楷体" w:hAnsi="楷体" w:eastAsia="楷体" w:cs="楷体"/>
                <w:sz w:val="24"/>
                <w:szCs w:val="24"/>
                <w:highlight w:val="none"/>
                <w:u w:val="single"/>
              </w:rPr>
              <w:t>。</w:t>
            </w:r>
          </w:p>
        </w:tc>
      </w:tr>
    </w:tbl>
    <w:p>
      <w:pPr>
        <w:spacing w:line="312" w:lineRule="auto"/>
        <w:rPr>
          <w:rFonts w:hint="eastAsia" w:ascii="楷体" w:hAnsi="楷体" w:eastAsia="楷体" w:cs="楷体"/>
          <w:sz w:val="24"/>
          <w:szCs w:val="24"/>
          <w:highlight w:val="none"/>
          <w:u w:val="single"/>
        </w:rPr>
      </w:pPr>
      <w:r>
        <w:rPr>
          <w:rFonts w:hint="eastAsia" w:ascii="楷体" w:hAnsi="楷体" w:eastAsia="楷体" w:cs="楷体"/>
          <w:sz w:val="24"/>
          <w:szCs w:val="24"/>
          <w:highlight w:val="none"/>
          <w:u w:val="single"/>
        </w:rPr>
        <w:t>上式（1）参考了现行国家标准《混凝土结构设计规范》GB 50010对混凝土轴心抗压强度标准值的取值依据。由于高延性混凝土轴心受压破坏时表现出良好的抗压韧性和耐损伤能力，与传统混凝土的脆性破坏有明显区别，因此不再考虑高延性混凝土的脆性折减系数。且大量研究表明，由于纤维桥联作用对高延性混凝土单轴受压提供的横向约束作用，使高延性混凝土的轴心抗压强度明显高于相同强度等级的普通混凝土。根据大量试验数据分析结果，高延性混凝土棱柱体抗压强度与立方体抗压强度的比值</w:t>
      </w:r>
      <w:r>
        <w:rPr>
          <w:rFonts w:hint="eastAsia" w:ascii="楷体" w:hAnsi="楷体" w:eastAsia="楷体" w:cs="楷体"/>
          <w:sz w:val="24"/>
          <w:szCs w:val="24"/>
          <w:highlight w:val="none"/>
          <w:u w:val="single"/>
        </w:rPr>
        <w:object>
          <v:shape id="_x0000_i1051" o:spt="75" type="#_x0000_t75" style="height:11.35pt;width:11.35pt;" o:ole="t" filled="f" o:preferrelative="t" stroked="f" coordsize="21600,21600">
            <v:path/>
            <v:fill on="f" focussize="0,0"/>
            <v:stroke on="f"/>
            <v:imagedata r:id="rId62" o:title=""/>
            <o:lock v:ext="edit" aspectratio="t"/>
            <w10:wrap type="none"/>
            <w10:anchorlock/>
          </v:shape>
          <o:OLEObject Type="Embed" ProgID="Equation.DSMT4" ShapeID="_x0000_i1051" DrawAspect="Content" ObjectID="_1468075750" r:id="rId61">
            <o:LockedField>false</o:LockedField>
          </o:OLEObject>
        </w:object>
      </w:r>
      <w:r>
        <w:rPr>
          <w:rFonts w:hint="eastAsia" w:ascii="楷体" w:hAnsi="楷体" w:eastAsia="楷体" w:cs="楷体"/>
          <w:sz w:val="24"/>
          <w:szCs w:val="24"/>
          <w:highlight w:val="none"/>
          <w:u w:val="single"/>
        </w:rPr>
        <w:t>为0.88~0.95，可偏于安全取0.88。因此，其棱柱体抗压强度标准值</w:t>
      </w:r>
      <w:r>
        <w:rPr>
          <w:rFonts w:hint="eastAsia" w:ascii="楷体" w:hAnsi="楷体" w:eastAsia="楷体" w:cs="楷体"/>
          <w:sz w:val="24"/>
          <w:szCs w:val="24"/>
          <w:highlight w:val="none"/>
          <w:u w:val="single"/>
        </w:rPr>
        <w:object>
          <v:shape id="_x0000_i1052" o:spt="75" type="#_x0000_t75" style="height:11.35pt;width:85.95pt;" o:ole="t" filled="f" o:preferrelative="t" stroked="f" coordsize="21600,21600">
            <v:path/>
            <v:fill on="f" focussize="0,0"/>
            <v:stroke on="f"/>
            <v:imagedata r:id="rId64" o:title=""/>
            <o:lock v:ext="edit" aspectratio="t"/>
            <w10:wrap type="none"/>
            <w10:anchorlock/>
          </v:shape>
          <o:OLEObject Type="Embed" ProgID="Equation.DSMT4" ShapeID="_x0000_i1052" DrawAspect="Content" ObjectID="_1468075751" r:id="rId63">
            <o:LockedField>false</o:LockedField>
          </o:OLEObject>
        </w:object>
      </w:r>
      <w:r>
        <w:rPr>
          <w:rFonts w:hint="eastAsia" w:ascii="楷体" w:hAnsi="楷体" w:eastAsia="楷体" w:cs="楷体"/>
          <w:sz w:val="24"/>
          <w:szCs w:val="24"/>
          <w:highlight w:val="none"/>
          <w:u w:val="single"/>
        </w:rPr>
        <w:t>N/mm</w:t>
      </w:r>
      <w:r>
        <w:rPr>
          <w:rFonts w:hint="eastAsia" w:ascii="楷体" w:hAnsi="楷体" w:eastAsia="楷体" w:cs="楷体"/>
          <w:sz w:val="24"/>
          <w:szCs w:val="24"/>
          <w:highlight w:val="none"/>
          <w:u w:val="single"/>
          <w:vertAlign w:val="superscript"/>
        </w:rPr>
        <w:t>2</w:t>
      </w:r>
      <w:r>
        <w:rPr>
          <w:rFonts w:hint="eastAsia" w:ascii="楷体" w:hAnsi="楷体" w:eastAsia="楷体" w:cs="楷体"/>
          <w:sz w:val="24"/>
          <w:szCs w:val="24"/>
          <w:highlight w:val="none"/>
          <w:u w:val="single"/>
        </w:rPr>
        <w:t>。</w:t>
      </w:r>
    </w:p>
    <w:p>
      <w:pPr>
        <w:spacing w:line="312" w:lineRule="auto"/>
        <w:ind w:firstLine="480" w:firstLineChars="200"/>
        <w:rPr>
          <w:rFonts w:hint="eastAsia" w:ascii="楷体" w:hAnsi="楷体" w:eastAsia="楷体" w:cs="楷体"/>
          <w:sz w:val="24"/>
          <w:szCs w:val="24"/>
          <w:highlight w:val="none"/>
          <w:u w:val="single"/>
        </w:rPr>
      </w:pPr>
      <w:r>
        <w:rPr>
          <w:rFonts w:hint="eastAsia" w:ascii="楷体" w:hAnsi="楷体" w:eastAsia="楷体" w:cs="楷体"/>
          <w:sz w:val="24"/>
          <w:szCs w:val="24"/>
          <w:highlight w:val="none"/>
          <w:u w:val="single"/>
        </w:rPr>
        <w:t>根据高延性混凝土轴心抗压强度标准值，并参照现行国家标准《混凝土结构设计规范》GB 50010中混凝土的抗压强度设计值计算方法，确</w:t>
      </w:r>
      <w:r>
        <w:rPr>
          <w:rFonts w:hint="eastAsia" w:ascii="楷体" w:hAnsi="楷体" w:eastAsia="楷体" w:cs="楷体"/>
          <w:sz w:val="24"/>
          <w:szCs w:val="24"/>
          <w:highlight w:val="none"/>
          <w:u w:val="single"/>
          <w:lang w:val="en-US" w:eastAsia="zh-CN"/>
        </w:rPr>
        <w:t>定</w:t>
      </w:r>
      <w:r>
        <w:rPr>
          <w:rFonts w:hint="eastAsia" w:ascii="楷体" w:hAnsi="楷体" w:eastAsia="楷体" w:cs="楷体"/>
          <w:sz w:val="24"/>
          <w:szCs w:val="24"/>
          <w:highlight w:val="none"/>
          <w:u w:val="single"/>
        </w:rPr>
        <w:t>高延性混凝土轴心抗压强度设计值</w:t>
      </w:r>
      <w:r>
        <w:rPr>
          <w:rFonts w:hint="eastAsia" w:ascii="楷体" w:hAnsi="楷体" w:eastAsia="楷体" w:cs="楷体"/>
          <w:sz w:val="24"/>
          <w:szCs w:val="24"/>
          <w:highlight w:val="none"/>
          <w:u w:val="single"/>
        </w:rPr>
        <w:object>
          <v:shape id="_x0000_i1053" o:spt="75" type="#_x0000_t75" style="height:11.35pt;width:65.65pt;" o:ole="t" filled="f" o:preferrelative="t" stroked="f" coordsize="21600,21600">
            <v:path/>
            <v:fill on="f" focussize="0,0"/>
            <v:stroke on="f"/>
            <v:imagedata r:id="rId66" o:title=""/>
            <o:lock v:ext="edit" aspectratio="t"/>
            <w10:wrap type="none"/>
            <w10:anchorlock/>
          </v:shape>
          <o:OLEObject Type="Embed" ProgID="Equation.DSMT4" ShapeID="_x0000_i1053" DrawAspect="Content" ObjectID="_1468075752" r:id="rId65">
            <o:LockedField>false</o:LockedField>
          </o:OLEObject>
        </w:object>
      </w:r>
      <w:r>
        <w:rPr>
          <w:rFonts w:hint="eastAsia" w:ascii="楷体" w:hAnsi="楷体" w:eastAsia="楷体" w:cs="楷体"/>
          <w:sz w:val="24"/>
          <w:szCs w:val="24"/>
          <w:highlight w:val="none"/>
          <w:u w:val="single"/>
        </w:rPr>
        <w:t>N/mm</w:t>
      </w:r>
      <w:r>
        <w:rPr>
          <w:rFonts w:hint="eastAsia" w:ascii="楷体" w:hAnsi="楷体" w:eastAsia="楷体" w:cs="楷体"/>
          <w:sz w:val="24"/>
          <w:szCs w:val="24"/>
          <w:highlight w:val="none"/>
          <w:u w:val="single"/>
          <w:vertAlign w:val="superscript"/>
        </w:rPr>
        <w:t>2</w:t>
      </w:r>
      <w:r>
        <w:rPr>
          <w:rFonts w:hint="eastAsia" w:ascii="楷体" w:hAnsi="楷体" w:eastAsia="楷体" w:cs="楷体"/>
          <w:sz w:val="24"/>
          <w:szCs w:val="24"/>
          <w:highlight w:val="none"/>
          <w:u w:val="single"/>
        </w:rPr>
        <w:t>；</w:t>
      </w:r>
    </w:p>
    <w:p>
      <w:pPr>
        <w:spacing w:line="312" w:lineRule="auto"/>
        <w:ind w:firstLine="480" w:firstLineChars="200"/>
        <w:rPr>
          <w:rFonts w:hint="eastAsia" w:ascii="楷体" w:hAnsi="楷体" w:eastAsia="楷体" w:cs="楷体"/>
          <w:position w:val="-12"/>
          <w:sz w:val="32"/>
          <w:szCs w:val="36"/>
          <w:u w:val="single"/>
          <w:lang w:val="en-US" w:eastAsia="zh-CN"/>
        </w:rPr>
      </w:pPr>
      <w:r>
        <w:rPr>
          <w:rFonts w:hint="eastAsia" w:ascii="楷体" w:hAnsi="楷体" w:eastAsia="楷体" w:cs="楷体"/>
          <w:sz w:val="24"/>
          <w:szCs w:val="24"/>
          <w:highlight w:val="none"/>
          <w:u w:val="single"/>
          <w:lang w:val="en-US" w:eastAsia="zh-CN"/>
        </w:rPr>
        <w:t>因高延性混凝土变形能力显著高于砌体结构，根据本构关系，高延性混凝土稳定开裂前处于弹性阶段，为保证弹性设计阶段的高延性混凝土面层与砌体结构的变形协调，取稳定开裂应力</w:t>
      </w:r>
      <w:r>
        <w:rPr>
          <w:rFonts w:hint="eastAsia" w:ascii="楷体" w:hAnsi="楷体" w:eastAsia="楷体" w:cs="楷体"/>
          <w:i/>
          <w:iCs/>
          <w:sz w:val="24"/>
          <w:szCs w:val="24"/>
          <w:highlight w:val="none"/>
          <w:u w:val="single"/>
          <w:lang w:val="en-US" w:eastAsia="zh-CN"/>
        </w:rPr>
        <w:t>σ</w:t>
      </w:r>
      <w:r>
        <w:rPr>
          <w:rFonts w:hint="eastAsia" w:ascii="楷体" w:hAnsi="楷体" w:eastAsia="楷体" w:cs="楷体"/>
          <w:sz w:val="24"/>
          <w:szCs w:val="24"/>
          <w:highlight w:val="none"/>
          <w:u w:val="single"/>
          <w:vertAlign w:val="subscript"/>
          <w:lang w:val="en-US" w:eastAsia="zh-CN"/>
        </w:rPr>
        <w:t>ss</w:t>
      </w:r>
      <w:r>
        <w:rPr>
          <w:rFonts w:hint="eastAsia" w:ascii="楷体" w:hAnsi="楷体" w:eastAsia="楷体" w:cs="楷体"/>
          <w:sz w:val="24"/>
          <w:szCs w:val="24"/>
          <w:highlight w:val="none"/>
          <w:u w:val="single"/>
          <w:lang w:val="en-US" w:eastAsia="zh-CN"/>
        </w:rPr>
        <w:t>做为高延性混凝土的抗拉屈服强度值。根据课题组试验研究的统计结果以及对稳定开裂应力</w:t>
      </w:r>
      <w:r>
        <w:rPr>
          <w:rFonts w:hint="eastAsia" w:ascii="楷体" w:hAnsi="楷体" w:eastAsia="楷体" w:cs="楷体"/>
          <w:i/>
          <w:iCs/>
          <w:sz w:val="24"/>
          <w:szCs w:val="24"/>
          <w:highlight w:val="none"/>
          <w:u w:val="single"/>
          <w:lang w:val="en-US" w:eastAsia="zh-CN"/>
        </w:rPr>
        <w:t>σ</w:t>
      </w:r>
      <w:r>
        <w:rPr>
          <w:rFonts w:hint="eastAsia" w:ascii="楷体" w:hAnsi="楷体" w:eastAsia="楷体" w:cs="楷体"/>
          <w:sz w:val="24"/>
          <w:szCs w:val="24"/>
          <w:highlight w:val="none"/>
          <w:u w:val="single"/>
          <w:vertAlign w:val="subscript"/>
          <w:lang w:val="en-US" w:eastAsia="zh-CN"/>
        </w:rPr>
        <w:t>ss</w:t>
      </w:r>
      <w:r>
        <w:rPr>
          <w:rFonts w:hint="eastAsia" w:ascii="楷体" w:hAnsi="楷体" w:eastAsia="楷体" w:cs="楷体"/>
          <w:sz w:val="24"/>
          <w:szCs w:val="24"/>
          <w:highlight w:val="none"/>
          <w:u w:val="single"/>
          <w:lang w:val="en-US" w:eastAsia="zh-CN"/>
        </w:rPr>
        <w:t>与极限抗拉强度</w:t>
      </w:r>
      <w:r>
        <w:rPr>
          <w:rFonts w:hint="eastAsia" w:ascii="楷体" w:hAnsi="楷体" w:eastAsia="楷体" w:cs="楷体"/>
          <w:i/>
          <w:iCs/>
          <w:sz w:val="24"/>
          <w:szCs w:val="24"/>
          <w:highlight w:val="none"/>
          <w:u w:val="single"/>
          <w:lang w:val="en-US" w:eastAsia="zh-CN"/>
        </w:rPr>
        <w:t>σ</w:t>
      </w:r>
      <w:r>
        <w:rPr>
          <w:rFonts w:hint="eastAsia" w:ascii="楷体" w:hAnsi="楷体" w:eastAsia="楷体" w:cs="楷体"/>
          <w:sz w:val="24"/>
          <w:szCs w:val="24"/>
          <w:highlight w:val="none"/>
          <w:u w:val="single"/>
          <w:vertAlign w:val="subscript"/>
          <w:lang w:val="en-US" w:eastAsia="zh-CN"/>
        </w:rPr>
        <w:t>tu</w:t>
      </w:r>
      <w:r>
        <w:rPr>
          <w:rFonts w:hint="eastAsia" w:ascii="楷体" w:hAnsi="楷体" w:eastAsia="楷体" w:cs="楷体"/>
          <w:sz w:val="24"/>
          <w:szCs w:val="24"/>
          <w:highlight w:val="none"/>
          <w:u w:val="single"/>
          <w:lang w:val="en-US" w:eastAsia="zh-CN"/>
        </w:rPr>
        <w:t>进行大量试验，线性回归分析后得到：</w:t>
      </w:r>
      <w:r>
        <w:rPr>
          <w:rFonts w:hint="eastAsia" w:ascii="楷体" w:hAnsi="楷体" w:eastAsia="楷体" w:cs="楷体"/>
          <w:position w:val="-12"/>
          <w:sz w:val="32"/>
          <w:szCs w:val="36"/>
          <w:u w:val="single"/>
          <w:lang w:val="en-US" w:eastAsia="zh-CN"/>
        </w:rPr>
        <w:object>
          <v:shape id="_x0000_i1054" o:spt="75" type="#_x0000_t75" style="height:13.6pt;width:51.35pt;" o:ole="t" filled="f" o:preferrelative="t" stroked="f" coordsize="21600,21600">
            <v:path/>
            <v:fill on="f" focussize="0,0"/>
            <v:stroke on="f"/>
            <v:imagedata r:id="rId68" o:title=""/>
            <o:lock v:ext="edit" aspectratio="t"/>
            <w10:wrap type="none"/>
            <w10:anchorlock/>
          </v:shape>
          <o:OLEObject Type="Embed" ProgID="Equation.KSEE3" ShapeID="_x0000_i1054" DrawAspect="Content" ObjectID="_1468075753" r:id="rId67">
            <o:LockedField>false</o:LockedField>
          </o:OLEObject>
        </w:object>
      </w:r>
      <w:r>
        <w:rPr>
          <w:rFonts w:hint="eastAsia" w:ascii="楷体" w:hAnsi="楷体" w:eastAsia="楷体" w:cs="楷体"/>
          <w:position w:val="-12"/>
          <w:sz w:val="32"/>
          <w:szCs w:val="36"/>
          <w:u w:val="single"/>
          <w:lang w:val="en-US" w:eastAsia="zh-CN"/>
        </w:rPr>
        <w:t>。</w:t>
      </w:r>
    </w:p>
    <w:p>
      <w:pPr>
        <w:spacing w:line="312" w:lineRule="auto"/>
        <w:ind w:firstLine="480" w:firstLineChars="200"/>
        <w:rPr>
          <w:rFonts w:hint="eastAsia" w:ascii="楷体" w:hAnsi="楷体" w:eastAsia="楷体" w:cs="楷体"/>
          <w:sz w:val="24"/>
          <w:szCs w:val="24"/>
          <w:highlight w:val="none"/>
          <w:u w:val="single"/>
          <w:lang w:val="en-US" w:eastAsia="zh-CN"/>
        </w:rPr>
      </w:pPr>
      <w:r>
        <w:rPr>
          <w:rFonts w:hint="eastAsia" w:ascii="楷体" w:hAnsi="楷体" w:eastAsia="楷体" w:cs="楷体"/>
          <w:sz w:val="24"/>
          <w:szCs w:val="24"/>
          <w:highlight w:val="none"/>
          <w:u w:val="single"/>
          <w:lang w:val="en-US" w:eastAsia="zh-CN"/>
        </w:rPr>
        <w:t>图2是理论模型与实测应力-应变曲线的比较，可见试验曲线与拟合曲线总体上吻合较好，说明此本构关系的合理性。</w:t>
      </w:r>
    </w:p>
    <w:p>
      <w:pPr>
        <w:pStyle w:val="2"/>
        <w:jc w:val="center"/>
        <w:rPr>
          <w:rFonts w:hint="eastAsia" w:ascii="楷体" w:hAnsi="楷体" w:eastAsia="楷体" w:cs="楷体"/>
          <w:sz w:val="40"/>
          <w:szCs w:val="40"/>
          <w:u w:val="none"/>
          <w:lang w:val="en-US" w:eastAsia="zh-CN"/>
        </w:rPr>
      </w:pPr>
      <w:r>
        <w:rPr>
          <w:rFonts w:hint="eastAsia" w:ascii="楷体" w:hAnsi="楷体" w:eastAsia="楷体" w:cs="楷体"/>
          <w:sz w:val="40"/>
          <w:szCs w:val="40"/>
          <w:u w:val="none"/>
          <w:lang w:val="en-US" w:eastAsia="zh-CN"/>
        </w:rPr>
        <w:drawing>
          <wp:inline distT="0" distB="0" distL="114300" distR="114300">
            <wp:extent cx="3663315" cy="2851150"/>
            <wp:effectExtent l="0" t="0" r="9525" b="13970"/>
            <wp:docPr id="30" name="图片 30" descr="1713238320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713238320396"/>
                    <pic:cNvPicPr>
                      <a:picLocks noChangeAspect="1"/>
                    </pic:cNvPicPr>
                  </pic:nvPicPr>
                  <pic:blipFill>
                    <a:blip r:embed="rId69"/>
                    <a:stretch>
                      <a:fillRect/>
                    </a:stretch>
                  </pic:blipFill>
                  <pic:spPr>
                    <a:xfrm>
                      <a:off x="0" y="0"/>
                      <a:ext cx="3663315" cy="2851150"/>
                    </a:xfrm>
                    <a:prstGeom prst="rect">
                      <a:avLst/>
                    </a:prstGeom>
                  </pic:spPr>
                </pic:pic>
              </a:graphicData>
            </a:graphic>
          </wp:inline>
        </w:drawing>
      </w:r>
    </w:p>
    <w:p>
      <w:pPr>
        <w:spacing w:line="312" w:lineRule="auto"/>
        <w:jc w:val="center"/>
        <w:rPr>
          <w:rFonts w:hint="eastAsia" w:ascii="楷体" w:hAnsi="楷体" w:eastAsia="楷体" w:cs="楷体"/>
          <w:sz w:val="24"/>
          <w:szCs w:val="24"/>
          <w:highlight w:val="none"/>
          <w:u w:val="none"/>
          <w:lang w:val="en-US" w:eastAsia="zh-CN"/>
        </w:rPr>
      </w:pPr>
      <w:r>
        <w:rPr>
          <w:rFonts w:hint="eastAsia" w:ascii="楷体" w:hAnsi="楷体" w:eastAsia="楷体" w:cs="楷体"/>
          <w:sz w:val="24"/>
          <w:szCs w:val="24"/>
          <w:highlight w:val="none"/>
          <w:u w:val="none"/>
          <w:lang w:val="en-US" w:eastAsia="zh-CN"/>
        </w:rPr>
        <w:t>图2 实测应力-应变曲线与本构模型比较示例</w:t>
      </w:r>
    </w:p>
    <w:p>
      <w:pPr>
        <w:spacing w:line="312" w:lineRule="auto"/>
        <w:ind w:firstLine="480" w:firstLineChars="200"/>
        <w:rPr>
          <w:rFonts w:hint="eastAsia" w:ascii="楷体" w:hAnsi="楷体" w:eastAsia="楷体" w:cs="楷体"/>
          <w:sz w:val="24"/>
          <w:szCs w:val="24"/>
          <w:highlight w:val="none"/>
          <w:u w:val="single"/>
          <w:lang w:val="en-US" w:eastAsia="zh-CN"/>
        </w:rPr>
      </w:pPr>
      <w:r>
        <w:rPr>
          <w:rFonts w:hint="eastAsia" w:ascii="楷体" w:hAnsi="楷体" w:eastAsia="楷体" w:cs="楷体"/>
          <w:sz w:val="24"/>
          <w:szCs w:val="24"/>
          <w:highlight w:val="none"/>
          <w:u w:val="single"/>
          <w:lang w:val="en-US" w:eastAsia="zh-CN"/>
        </w:rPr>
        <w:t>且课题组经过大量试验与计算验证，综合考虑高延性混凝土的各类使用工况与安全性，最终确定标准值与设计值之比值，即高延性混凝土的材料分项系数取1.3。</w:t>
      </w:r>
    </w:p>
    <w:p>
      <w:pPr>
        <w:spacing w:line="312" w:lineRule="auto"/>
        <w:ind w:firstLine="480" w:firstLineChars="200"/>
        <w:rPr>
          <w:rFonts w:hint="eastAsia" w:ascii="楷体" w:hAnsi="楷体" w:eastAsia="楷体" w:cs="楷体"/>
          <w:sz w:val="24"/>
          <w:szCs w:val="24"/>
          <w:highlight w:val="none"/>
          <w:u w:val="single"/>
          <w:lang w:val="en-US" w:eastAsia="zh-CN"/>
        </w:rPr>
      </w:pPr>
      <w:r>
        <w:rPr>
          <w:rFonts w:hint="eastAsia" w:ascii="楷体" w:hAnsi="楷体" w:eastAsia="楷体" w:cs="楷体"/>
          <w:sz w:val="24"/>
          <w:szCs w:val="24"/>
          <w:highlight w:val="none"/>
          <w:u w:val="single"/>
          <w:lang w:val="en-US" w:eastAsia="zh-CN"/>
        </w:rPr>
        <w:t>所以轴心抗拉强度设计值为：</w:t>
      </w:r>
      <w:r>
        <w:rPr>
          <w:rFonts w:hint="eastAsia" w:ascii="楷体" w:hAnsi="楷体" w:eastAsia="楷体" w:cs="楷体"/>
          <w:sz w:val="24"/>
          <w:szCs w:val="24"/>
          <w:highlight w:val="none"/>
          <w:u w:val="single"/>
          <w:lang w:val="en-US" w:eastAsia="zh-CN"/>
        </w:rPr>
        <w:object>
          <v:shape id="_x0000_i1055" o:spt="75" type="#_x0000_t75" style="height:23.8pt;width:55pt;" o:ole="t" filled="f" o:preferrelative="t" stroked="f" coordsize="21600,21600">
            <v:path/>
            <v:fill on="f" focussize="0,0"/>
            <v:stroke on="f"/>
            <v:imagedata r:id="rId71" o:title=""/>
            <o:lock v:ext="edit" aspectratio="t"/>
            <w10:wrap type="none"/>
            <w10:anchorlock/>
          </v:shape>
          <o:OLEObject Type="Embed" ProgID="Equation.KSEE3" ShapeID="_x0000_i1055" DrawAspect="Content" ObjectID="_1468075754" r:id="rId70">
            <o:LockedField>false</o:LockedField>
          </o:OLEObject>
        </w:object>
      </w:r>
    </w:p>
    <w:p>
      <w:pPr>
        <w:spacing w:line="312" w:lineRule="auto"/>
        <w:ind w:firstLine="482" w:firstLineChars="200"/>
        <w:rPr>
          <w:rFonts w:hint="eastAsia" w:ascii="楷体" w:hAnsi="楷体" w:eastAsia="楷体" w:cs="楷体"/>
          <w:sz w:val="24"/>
          <w:szCs w:val="24"/>
          <w:highlight w:val="none"/>
          <w:u w:val="single"/>
        </w:rPr>
      </w:pPr>
      <w:r>
        <w:rPr>
          <w:rFonts w:hint="eastAsia" w:ascii="楷体" w:hAnsi="楷体" w:eastAsia="楷体" w:cs="楷体"/>
          <w:b/>
          <w:bCs/>
          <w:sz w:val="24"/>
          <w:szCs w:val="24"/>
          <w:highlight w:val="none"/>
          <w:u w:val="single"/>
        </w:rPr>
        <w:t>2</w:t>
      </w:r>
      <w:r>
        <w:rPr>
          <w:rFonts w:hint="eastAsia" w:ascii="楷体" w:hAnsi="楷体" w:eastAsia="楷体" w:cs="楷体"/>
          <w:sz w:val="24"/>
          <w:szCs w:val="24"/>
          <w:highlight w:val="none"/>
          <w:u w:val="single"/>
        </w:rPr>
        <w:t xml:space="preserve">  高延性混凝土的受压和受拉弹性模量与其立方体抗压强度有关，但由于高延性混凝土基体内不含粗骨料，其弹性模量取值与普通混凝土明显不同，本条根据西安建筑科技大学、东南大学、浙江大学等</w:t>
      </w:r>
      <w:r>
        <w:rPr>
          <w:rFonts w:hint="eastAsia" w:ascii="楷体" w:hAnsi="楷体" w:eastAsia="楷体" w:cs="楷体"/>
          <w:sz w:val="24"/>
          <w:szCs w:val="24"/>
          <w:highlight w:val="none"/>
          <w:u w:val="single"/>
          <w:lang w:val="en-US" w:eastAsia="zh-CN"/>
        </w:rPr>
        <w:t>高等院校</w:t>
      </w:r>
      <w:r>
        <w:rPr>
          <w:rFonts w:hint="eastAsia" w:ascii="楷体" w:hAnsi="楷体" w:eastAsia="楷体" w:cs="楷体"/>
          <w:sz w:val="24"/>
          <w:szCs w:val="24"/>
          <w:highlight w:val="none"/>
          <w:u w:val="single"/>
        </w:rPr>
        <w:t>大量试验结果以及国家建筑工程质量监督检验中心的检验结果，高延性混凝土的弹性模量</w:t>
      </w:r>
      <w:r>
        <w:rPr>
          <w:rFonts w:hint="eastAsia" w:ascii="楷体" w:hAnsi="楷体" w:eastAsia="楷体" w:cs="楷体"/>
          <w:sz w:val="24"/>
          <w:szCs w:val="24"/>
          <w:highlight w:val="none"/>
          <w:u w:val="single"/>
        </w:rPr>
        <w:drawing>
          <wp:inline distT="0" distB="0" distL="114300" distR="114300">
            <wp:extent cx="136525" cy="144145"/>
            <wp:effectExtent l="0" t="0" r="635" b="9525"/>
            <wp:docPr id="4"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90"/>
                    <pic:cNvPicPr>
                      <a:picLocks noChangeAspect="1"/>
                    </pic:cNvPicPr>
                  </pic:nvPicPr>
                  <pic:blipFill>
                    <a:blip r:embed="rId72"/>
                    <a:stretch>
                      <a:fillRect/>
                    </a:stretch>
                  </pic:blipFill>
                  <pic:spPr>
                    <a:xfrm>
                      <a:off x="0" y="0"/>
                      <a:ext cx="136525" cy="144145"/>
                    </a:xfrm>
                    <a:prstGeom prst="rect">
                      <a:avLst/>
                    </a:prstGeom>
                    <a:noFill/>
                    <a:ln>
                      <a:noFill/>
                    </a:ln>
                  </pic:spPr>
                </pic:pic>
              </a:graphicData>
            </a:graphic>
          </wp:inline>
        </w:drawing>
      </w:r>
      <w:r>
        <w:rPr>
          <w:rFonts w:hint="eastAsia" w:ascii="楷体" w:hAnsi="楷体" w:eastAsia="楷体" w:cs="楷体"/>
          <w:sz w:val="24"/>
          <w:szCs w:val="24"/>
          <w:highlight w:val="none"/>
          <w:u w:val="single"/>
        </w:rPr>
        <w:t>相当于同等强度普通混凝土的2/3左右，本条给出高延性混凝土的弹性模量</w:t>
      </w:r>
      <w:r>
        <w:rPr>
          <w:rFonts w:hint="eastAsia" w:ascii="楷体" w:hAnsi="楷体" w:eastAsia="楷体" w:cs="楷体"/>
          <w:sz w:val="24"/>
          <w:szCs w:val="24"/>
          <w:highlight w:val="none"/>
          <w:u w:val="single"/>
        </w:rPr>
        <w:drawing>
          <wp:inline distT="0" distB="0" distL="114300" distR="114300">
            <wp:extent cx="136525" cy="144145"/>
            <wp:effectExtent l="0" t="0" r="635" b="9525"/>
            <wp:docPr id="2"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91"/>
                    <pic:cNvPicPr>
                      <a:picLocks noChangeAspect="1"/>
                    </pic:cNvPicPr>
                  </pic:nvPicPr>
                  <pic:blipFill>
                    <a:blip r:embed="rId72"/>
                    <a:stretch>
                      <a:fillRect/>
                    </a:stretch>
                  </pic:blipFill>
                  <pic:spPr>
                    <a:xfrm>
                      <a:off x="0" y="0"/>
                      <a:ext cx="136525" cy="144145"/>
                    </a:xfrm>
                    <a:prstGeom prst="rect">
                      <a:avLst/>
                    </a:prstGeom>
                    <a:noFill/>
                    <a:ln>
                      <a:noFill/>
                    </a:ln>
                  </pic:spPr>
                </pic:pic>
              </a:graphicData>
            </a:graphic>
          </wp:inline>
        </w:drawing>
      </w:r>
      <w:r>
        <w:rPr>
          <w:rFonts w:hint="eastAsia" w:ascii="楷体" w:hAnsi="楷体" w:eastAsia="楷体" w:cs="楷体"/>
          <w:sz w:val="24"/>
          <w:szCs w:val="24"/>
          <w:highlight w:val="none"/>
          <w:u w:val="single"/>
        </w:rPr>
        <w:t>=2.20×10</w:t>
      </w:r>
      <w:r>
        <w:rPr>
          <w:rFonts w:hint="eastAsia" w:ascii="楷体" w:hAnsi="楷体" w:eastAsia="楷体" w:cs="楷体"/>
          <w:sz w:val="24"/>
          <w:szCs w:val="24"/>
          <w:highlight w:val="none"/>
          <w:u w:val="single"/>
          <w:vertAlign w:val="superscript"/>
        </w:rPr>
        <w:t>4</w:t>
      </w:r>
      <w:r>
        <w:rPr>
          <w:rFonts w:hint="eastAsia" w:ascii="楷体" w:hAnsi="楷体" w:eastAsia="楷体" w:cs="楷体"/>
          <w:sz w:val="24"/>
          <w:szCs w:val="24"/>
          <w:highlight w:val="none"/>
          <w:u w:val="single"/>
        </w:rPr>
        <w:t xml:space="preserve"> N/mm</w:t>
      </w:r>
      <w:r>
        <w:rPr>
          <w:rFonts w:hint="eastAsia" w:ascii="楷体" w:hAnsi="楷体" w:eastAsia="楷体" w:cs="楷体"/>
          <w:sz w:val="24"/>
          <w:szCs w:val="24"/>
          <w:highlight w:val="none"/>
          <w:u w:val="single"/>
          <w:vertAlign w:val="superscript"/>
        </w:rPr>
        <w:t>2</w:t>
      </w:r>
      <w:r>
        <w:rPr>
          <w:rFonts w:hint="eastAsia" w:ascii="楷体" w:hAnsi="楷体" w:eastAsia="楷体" w:cs="楷体"/>
          <w:sz w:val="24"/>
          <w:szCs w:val="24"/>
          <w:highlight w:val="none"/>
          <w:u w:val="single"/>
        </w:rPr>
        <w:t>。当有可靠试验依据时，弹性模量可根据实测数据确定。</w:t>
      </w:r>
    </w:p>
    <w:p>
      <w:pPr>
        <w:spacing w:line="312" w:lineRule="auto"/>
        <w:ind w:firstLine="482" w:firstLineChars="200"/>
        <w:rPr>
          <w:rFonts w:hint="eastAsia" w:ascii="楷体" w:hAnsi="楷体" w:eastAsia="楷体" w:cs="楷体"/>
          <w:sz w:val="24"/>
          <w:szCs w:val="24"/>
          <w:highlight w:val="none"/>
          <w:u w:val="single"/>
        </w:rPr>
      </w:pPr>
      <w:r>
        <w:rPr>
          <w:rFonts w:hint="eastAsia" w:ascii="楷体" w:hAnsi="楷体" w:eastAsia="楷体" w:cs="楷体"/>
          <w:b/>
          <w:bCs/>
          <w:sz w:val="24"/>
          <w:szCs w:val="24"/>
          <w:highlight w:val="none"/>
          <w:u w:val="single"/>
        </w:rPr>
        <w:t>3</w:t>
      </w:r>
      <w:r>
        <w:rPr>
          <w:rFonts w:hint="eastAsia" w:ascii="楷体" w:hAnsi="楷体" w:eastAsia="楷体" w:cs="楷体"/>
          <w:sz w:val="24"/>
          <w:szCs w:val="24"/>
          <w:highlight w:val="none"/>
          <w:u w:val="single"/>
        </w:rPr>
        <w:t xml:space="preserve">  高延性混凝土纵向受压时，其横向变形受到纤维桥联应力的约束，使其横向变形减小。因此，高延性混凝土泊松比明显小于普通混凝土，由于泊松比与纤维掺量和材料韧性指标均有一定关系，本条强调在必要时可根据试验确定。</w:t>
      </w:r>
    </w:p>
    <w:p>
      <w:pPr>
        <w:spacing w:before="120" w:beforeLines="50" w:line="360" w:lineRule="auto"/>
        <w:jc w:val="center"/>
        <w:outlineLvl w:val="1"/>
        <w:rPr>
          <w:rFonts w:eastAsia="黑体"/>
          <w:b/>
          <w:sz w:val="24"/>
          <w:szCs w:val="28"/>
          <w:highlight w:val="none"/>
        </w:rPr>
      </w:pPr>
      <w:bookmarkStart w:id="397" w:name="_Toc4245"/>
      <w:bookmarkStart w:id="398" w:name="_Toc8504"/>
      <w:r>
        <w:rPr>
          <w:rFonts w:eastAsia="黑体"/>
          <w:b/>
          <w:sz w:val="24"/>
          <w:szCs w:val="28"/>
          <w:highlight w:val="none"/>
        </w:rPr>
        <w:t xml:space="preserve">4.4  </w:t>
      </w:r>
      <w:r>
        <w:rPr>
          <w:rFonts w:eastAsia="黑体"/>
          <w:bCs/>
          <w:sz w:val="24"/>
          <w:szCs w:val="28"/>
          <w:highlight w:val="none"/>
        </w:rPr>
        <w:t>耐久性能</w:t>
      </w:r>
      <w:bookmarkEnd w:id="379"/>
      <w:bookmarkEnd w:id="380"/>
      <w:bookmarkEnd w:id="381"/>
      <w:bookmarkEnd w:id="382"/>
      <w:bookmarkEnd w:id="383"/>
      <w:bookmarkEnd w:id="384"/>
      <w:bookmarkEnd w:id="385"/>
      <w:bookmarkEnd w:id="397"/>
      <w:bookmarkEnd w:id="398"/>
    </w:p>
    <w:p>
      <w:pPr>
        <w:spacing w:line="312" w:lineRule="auto"/>
        <w:jc w:val="left"/>
        <w:rPr>
          <w:sz w:val="24"/>
          <w:szCs w:val="28"/>
          <w:highlight w:val="none"/>
        </w:rPr>
      </w:pPr>
      <w:r>
        <w:rPr>
          <w:b/>
          <w:sz w:val="24"/>
          <w:szCs w:val="28"/>
          <w:highlight w:val="none"/>
        </w:rPr>
        <w:t>4.4.1</w:t>
      </w:r>
      <w:r>
        <w:rPr>
          <w:sz w:val="24"/>
          <w:szCs w:val="28"/>
          <w:highlight w:val="none"/>
        </w:rPr>
        <w:t xml:space="preserve">  设计应根据加固部位及其所处环境确定高延性混凝土的耐久性要求，相应的耐久性能</w:t>
      </w:r>
      <w:r>
        <w:rPr>
          <w:rFonts w:hint="eastAsia"/>
          <w:sz w:val="24"/>
          <w:szCs w:val="28"/>
          <w:highlight w:val="none"/>
        </w:rPr>
        <w:t>指标应符合</w:t>
      </w:r>
      <w:r>
        <w:rPr>
          <w:sz w:val="24"/>
          <w:szCs w:val="28"/>
          <w:highlight w:val="none"/>
        </w:rPr>
        <w:t>表4.4.1的规定</w:t>
      </w:r>
      <w:r>
        <w:rPr>
          <w:rFonts w:hint="eastAsia"/>
          <w:sz w:val="24"/>
          <w:szCs w:val="28"/>
          <w:highlight w:val="none"/>
        </w:rPr>
        <w:t>，并应满足设计要求</w:t>
      </w:r>
      <w:r>
        <w:rPr>
          <w:sz w:val="24"/>
          <w:szCs w:val="28"/>
          <w:highlight w:val="none"/>
        </w:rPr>
        <w:t>。</w:t>
      </w:r>
    </w:p>
    <w:p>
      <w:pPr>
        <w:snapToGrid w:val="0"/>
        <w:spacing w:before="120" w:beforeLines="50" w:line="312" w:lineRule="auto"/>
        <w:jc w:val="center"/>
        <w:rPr>
          <w:rFonts w:eastAsia="黑体"/>
          <w:sz w:val="21"/>
          <w:szCs w:val="28"/>
          <w:highlight w:val="none"/>
        </w:rPr>
      </w:pPr>
      <w:r>
        <w:rPr>
          <w:rFonts w:eastAsia="黑体"/>
          <w:sz w:val="21"/>
          <w:szCs w:val="28"/>
          <w:highlight w:val="none"/>
        </w:rPr>
        <w:t>表4.4.1  高延性混凝土的主要耐久性能指标</w:t>
      </w:r>
    </w:p>
    <w:tbl>
      <w:tblPr>
        <w:tblStyle w:val="23"/>
        <w:tblW w:w="0" w:type="auto"/>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5058"/>
        <w:gridCol w:w="1920"/>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blHeader/>
          <w:jc w:val="center"/>
        </w:trPr>
        <w:tc>
          <w:tcPr>
            <w:tcW w:w="5058"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sz w:val="21"/>
                <w:szCs w:val="21"/>
                <w:highlight w:val="none"/>
              </w:rPr>
            </w:pPr>
            <w:r>
              <w:rPr>
                <w:sz w:val="21"/>
                <w:szCs w:val="21"/>
                <w:highlight w:val="none"/>
              </w:rPr>
              <w:t>指标类别</w:t>
            </w:r>
          </w:p>
        </w:tc>
        <w:tc>
          <w:tcPr>
            <w:tcW w:w="1920"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sz w:val="21"/>
                <w:szCs w:val="21"/>
                <w:highlight w:val="none"/>
              </w:rPr>
            </w:pPr>
            <w:r>
              <w:rPr>
                <w:rFonts w:hint="eastAsia"/>
                <w:sz w:val="21"/>
                <w:szCs w:val="21"/>
                <w:highlight w:val="none"/>
              </w:rPr>
              <w:t>指标要求</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5058"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sz w:val="21"/>
                <w:szCs w:val="21"/>
                <w:highlight w:val="none"/>
              </w:rPr>
            </w:pPr>
            <w:r>
              <w:rPr>
                <w:sz w:val="21"/>
                <w:szCs w:val="21"/>
                <w:highlight w:val="none"/>
              </w:rPr>
              <w:t>抗冻</w:t>
            </w:r>
            <w:r>
              <w:rPr>
                <w:rFonts w:hint="eastAsia"/>
                <w:sz w:val="21"/>
                <w:szCs w:val="21"/>
                <w:highlight w:val="none"/>
              </w:rPr>
              <w:t>性能</w:t>
            </w:r>
            <w:r>
              <w:rPr>
                <w:sz w:val="21"/>
                <w:szCs w:val="21"/>
                <w:highlight w:val="none"/>
              </w:rPr>
              <w:t>（快冻法）</w:t>
            </w:r>
          </w:p>
        </w:tc>
        <w:tc>
          <w:tcPr>
            <w:tcW w:w="1920"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sz w:val="21"/>
                <w:szCs w:val="21"/>
                <w:highlight w:val="none"/>
              </w:rPr>
            </w:pPr>
            <w:r>
              <w:rPr>
                <w:rFonts w:hint="eastAsia"/>
                <w:sz w:val="21"/>
                <w:szCs w:val="21"/>
                <w:highlight w:val="none"/>
              </w:rPr>
              <w:t>≥</w:t>
            </w:r>
            <w:r>
              <w:rPr>
                <w:sz w:val="21"/>
                <w:szCs w:val="21"/>
                <w:highlight w:val="none"/>
              </w:rPr>
              <w:t>F300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5058"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sz w:val="21"/>
                <w:szCs w:val="21"/>
                <w:highlight w:val="none"/>
              </w:rPr>
            </w:pPr>
            <w:r>
              <w:rPr>
                <w:sz w:val="21"/>
                <w:szCs w:val="21"/>
                <w:highlight w:val="none"/>
              </w:rPr>
              <w:t>抗水渗透</w:t>
            </w:r>
            <w:r>
              <w:rPr>
                <w:rFonts w:hint="eastAsia"/>
                <w:sz w:val="21"/>
                <w:szCs w:val="21"/>
                <w:highlight w:val="none"/>
              </w:rPr>
              <w:t>性能</w:t>
            </w:r>
            <w:r>
              <w:rPr>
                <w:sz w:val="21"/>
                <w:szCs w:val="21"/>
                <w:highlight w:val="none"/>
              </w:rPr>
              <w:t>（逐级加压法）</w:t>
            </w:r>
          </w:p>
        </w:tc>
        <w:tc>
          <w:tcPr>
            <w:tcW w:w="1920"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sz w:val="21"/>
                <w:szCs w:val="21"/>
                <w:highlight w:val="none"/>
              </w:rPr>
            </w:pPr>
            <w:r>
              <w:rPr>
                <w:rFonts w:hint="eastAsia"/>
                <w:sz w:val="21"/>
                <w:szCs w:val="21"/>
                <w:highlight w:val="none"/>
              </w:rPr>
              <w:t>≥</w:t>
            </w:r>
            <w:r>
              <w:rPr>
                <w:sz w:val="21"/>
                <w:szCs w:val="21"/>
                <w:highlight w:val="none"/>
              </w:rPr>
              <w:t>P12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5058"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sz w:val="21"/>
                <w:szCs w:val="21"/>
                <w:highlight w:val="none"/>
              </w:rPr>
            </w:pPr>
            <w:r>
              <w:rPr>
                <w:sz w:val="21"/>
                <w:szCs w:val="21"/>
                <w:highlight w:val="none"/>
              </w:rPr>
              <w:t>抗氯离子渗透</w:t>
            </w:r>
            <w:r>
              <w:rPr>
                <w:rFonts w:hint="eastAsia"/>
                <w:sz w:val="21"/>
                <w:szCs w:val="21"/>
                <w:highlight w:val="none"/>
              </w:rPr>
              <w:t>性能-氯离子迁移系数</w:t>
            </w:r>
            <w:r>
              <w:rPr>
                <w:rFonts w:hint="eastAsia"/>
                <w:i/>
                <w:sz w:val="21"/>
                <w:szCs w:val="21"/>
                <w:highlight w:val="none"/>
              </w:rPr>
              <w:t>D</w:t>
            </w:r>
            <w:r>
              <w:rPr>
                <w:sz w:val="21"/>
                <w:szCs w:val="21"/>
                <w:highlight w:val="none"/>
                <w:vertAlign w:val="subscript"/>
              </w:rPr>
              <w:t>RCM</w:t>
            </w:r>
            <w:r>
              <w:rPr>
                <w:sz w:val="21"/>
                <w:szCs w:val="21"/>
                <w:highlight w:val="none"/>
              </w:rPr>
              <w:t>（</w:t>
            </w:r>
            <w:r>
              <w:rPr>
                <w:rFonts w:hint="eastAsia"/>
                <w:sz w:val="21"/>
                <w:szCs w:val="21"/>
                <w:highlight w:val="none"/>
              </w:rPr>
              <w:t>/10</w:t>
            </w:r>
            <w:r>
              <w:rPr>
                <w:rFonts w:hint="eastAsia"/>
                <w:sz w:val="21"/>
                <w:szCs w:val="21"/>
                <w:highlight w:val="none"/>
                <w:vertAlign w:val="superscript"/>
              </w:rPr>
              <w:t>-12</w:t>
            </w:r>
            <w:r>
              <w:rPr>
                <w:rFonts w:hint="eastAsia"/>
                <w:sz w:val="21"/>
                <w:szCs w:val="21"/>
                <w:highlight w:val="none"/>
              </w:rPr>
              <w:t>m</w:t>
            </w:r>
            <w:r>
              <w:rPr>
                <w:rFonts w:hint="eastAsia"/>
                <w:sz w:val="21"/>
                <w:szCs w:val="21"/>
                <w:highlight w:val="none"/>
                <w:vertAlign w:val="superscript"/>
              </w:rPr>
              <w:t>2</w:t>
            </w:r>
            <w:r>
              <w:rPr>
                <w:rFonts w:hint="eastAsia"/>
                <w:sz w:val="21"/>
                <w:szCs w:val="21"/>
                <w:highlight w:val="none"/>
              </w:rPr>
              <w:t>/s</w:t>
            </w:r>
            <w:r>
              <w:rPr>
                <w:sz w:val="21"/>
                <w:szCs w:val="21"/>
                <w:highlight w:val="none"/>
              </w:rPr>
              <w:t>）</w:t>
            </w:r>
          </w:p>
        </w:tc>
        <w:tc>
          <w:tcPr>
            <w:tcW w:w="1920"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sz w:val="21"/>
                <w:szCs w:val="21"/>
                <w:highlight w:val="none"/>
              </w:rPr>
            </w:pPr>
            <w:r>
              <w:rPr>
                <w:rFonts w:hint="eastAsia"/>
                <w:i/>
                <w:sz w:val="21"/>
                <w:szCs w:val="21"/>
                <w:highlight w:val="none"/>
              </w:rPr>
              <w:t>D</w:t>
            </w:r>
            <w:r>
              <w:rPr>
                <w:sz w:val="21"/>
                <w:szCs w:val="21"/>
                <w:highlight w:val="none"/>
                <w:vertAlign w:val="subscript"/>
              </w:rPr>
              <w:t>RCM</w:t>
            </w:r>
            <w:r>
              <w:rPr>
                <w:rFonts w:hint="eastAsia"/>
                <w:sz w:val="21"/>
                <w:szCs w:val="21"/>
                <w:highlight w:val="none"/>
              </w:rPr>
              <w:t>＜2.5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5058"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sz w:val="21"/>
                <w:szCs w:val="21"/>
                <w:highlight w:val="none"/>
              </w:rPr>
            </w:pPr>
            <w:r>
              <w:rPr>
                <w:sz w:val="21"/>
                <w:szCs w:val="21"/>
                <w:highlight w:val="none"/>
              </w:rPr>
              <w:t>抗硫酸盐侵蚀</w:t>
            </w:r>
            <w:r>
              <w:rPr>
                <w:rFonts w:hint="eastAsia"/>
                <w:sz w:val="21"/>
                <w:szCs w:val="21"/>
                <w:highlight w:val="none"/>
              </w:rPr>
              <w:t>性能</w:t>
            </w:r>
          </w:p>
        </w:tc>
        <w:tc>
          <w:tcPr>
            <w:tcW w:w="1920"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sz w:val="21"/>
                <w:szCs w:val="21"/>
                <w:highlight w:val="none"/>
              </w:rPr>
            </w:pPr>
            <w:r>
              <w:rPr>
                <w:rFonts w:hint="eastAsia"/>
                <w:sz w:val="21"/>
                <w:szCs w:val="21"/>
                <w:highlight w:val="none"/>
              </w:rPr>
              <w:t>≥</w:t>
            </w:r>
            <w:r>
              <w:rPr>
                <w:sz w:val="21"/>
                <w:szCs w:val="21"/>
                <w:highlight w:val="none"/>
              </w:rPr>
              <w:t>KS90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5058"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sz w:val="21"/>
                <w:szCs w:val="21"/>
                <w:highlight w:val="none"/>
              </w:rPr>
            </w:pPr>
            <w:r>
              <w:rPr>
                <w:sz w:val="21"/>
                <w:szCs w:val="21"/>
                <w:highlight w:val="none"/>
              </w:rPr>
              <w:t>抗碳化性能</w:t>
            </w:r>
            <w:r>
              <w:rPr>
                <w:rFonts w:hint="eastAsia"/>
                <w:sz w:val="21"/>
                <w:szCs w:val="21"/>
                <w:highlight w:val="none"/>
              </w:rPr>
              <w:t>-碳化深度</w:t>
            </w:r>
            <w:r>
              <w:rPr>
                <w:rFonts w:hint="eastAsia"/>
                <w:i/>
                <w:sz w:val="21"/>
                <w:szCs w:val="21"/>
                <w:highlight w:val="none"/>
              </w:rPr>
              <w:t>d</w:t>
            </w:r>
            <w:r>
              <w:rPr>
                <w:rFonts w:hint="eastAsia"/>
                <w:sz w:val="21"/>
                <w:szCs w:val="21"/>
                <w:highlight w:val="none"/>
              </w:rPr>
              <w:t>（mm）</w:t>
            </w:r>
          </w:p>
        </w:tc>
        <w:tc>
          <w:tcPr>
            <w:tcW w:w="1920"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sz w:val="21"/>
                <w:szCs w:val="21"/>
                <w:highlight w:val="none"/>
              </w:rPr>
            </w:pPr>
            <w:r>
              <w:rPr>
                <w:rFonts w:hint="eastAsia"/>
                <w:i/>
                <w:sz w:val="21"/>
                <w:szCs w:val="21"/>
                <w:highlight w:val="none"/>
              </w:rPr>
              <w:t>d</w:t>
            </w:r>
            <w:r>
              <w:rPr>
                <w:rFonts w:hint="eastAsia"/>
                <w:sz w:val="21"/>
                <w:szCs w:val="21"/>
                <w:highlight w:val="none"/>
              </w:rPr>
              <w:t>≤2.0</w:t>
            </w:r>
          </w:p>
        </w:tc>
      </w:tr>
    </w:tbl>
    <w:p>
      <w:pPr>
        <w:keepNext w:val="0"/>
        <w:keepLines w:val="0"/>
        <w:pageBreakBefore w:val="0"/>
        <w:widowControl w:val="0"/>
        <w:kinsoku/>
        <w:wordWrap/>
        <w:overflowPunct/>
        <w:topLinePunct w:val="0"/>
        <w:autoSpaceDE/>
        <w:autoSpaceDN/>
        <w:bidi w:val="0"/>
        <w:adjustRightInd/>
        <w:snapToGrid/>
        <w:spacing w:before="157" w:beforeLines="50" w:line="312" w:lineRule="auto"/>
        <w:textAlignment w:val="auto"/>
        <w:rPr>
          <w:rFonts w:hint="eastAsia" w:ascii="楷体" w:hAnsi="楷体" w:eastAsia="楷体" w:cs="楷体"/>
          <w:sz w:val="24"/>
          <w:szCs w:val="24"/>
          <w:highlight w:val="none"/>
          <w:u w:val="single"/>
        </w:rPr>
      </w:pPr>
      <w:r>
        <w:rPr>
          <w:rFonts w:hint="eastAsia" w:ascii="楷体" w:hAnsi="楷体" w:eastAsia="楷体" w:cs="楷体"/>
          <w:b/>
          <w:sz w:val="24"/>
          <w:szCs w:val="24"/>
          <w:highlight w:val="none"/>
          <w:u w:val="single"/>
        </w:rPr>
        <w:t>【条文说明】</w:t>
      </w:r>
      <w:r>
        <w:rPr>
          <w:rFonts w:hint="eastAsia" w:ascii="楷体" w:hAnsi="楷体" w:eastAsia="楷体" w:cs="楷体"/>
          <w:b w:val="0"/>
          <w:bCs/>
          <w:sz w:val="24"/>
          <w:szCs w:val="24"/>
          <w:highlight w:val="none"/>
          <w:u w:val="single"/>
        </w:rPr>
        <w:t>4.4.1</w:t>
      </w:r>
      <w:r>
        <w:rPr>
          <w:rFonts w:hint="eastAsia" w:ascii="楷体" w:hAnsi="楷体" w:eastAsia="楷体" w:cs="楷体"/>
          <w:sz w:val="24"/>
          <w:szCs w:val="24"/>
          <w:highlight w:val="none"/>
          <w:u w:val="single"/>
        </w:rPr>
        <w:t xml:space="preserve">  高延性混凝土的耐久性能明显高于普通混凝土，本条规定了其主要的耐久性能指标要求，对于I类、II类、III类高延性混凝土均应满足本条规定。当设计中对其耐久性能有要求时，可参照本条规定其具体耐久性指标，设计中相应的耐久性指标要求不应低于本条的规定。高延性混凝土抗碳化性能对于被加固结构的耐久性有重要意义，本条对于其抗碳化性能给出的规定为碳化深度</w:t>
      </w:r>
      <w:r>
        <w:rPr>
          <w:rFonts w:hint="eastAsia" w:ascii="楷体" w:hAnsi="楷体" w:eastAsia="楷体" w:cs="楷体"/>
          <w:i/>
          <w:sz w:val="24"/>
          <w:szCs w:val="24"/>
          <w:highlight w:val="none"/>
          <w:u w:val="single"/>
        </w:rPr>
        <w:t>d</w:t>
      </w:r>
      <w:r>
        <w:rPr>
          <w:rFonts w:hint="eastAsia" w:ascii="楷体" w:hAnsi="楷体" w:eastAsia="楷体" w:cs="楷体"/>
          <w:sz w:val="24"/>
          <w:szCs w:val="24"/>
          <w:highlight w:val="none"/>
          <w:u w:val="single"/>
        </w:rPr>
        <w:t>不大于2.0mm，对应碳化等级不低于T-IV，且略严于该等级的0.1mm≤</w:t>
      </w:r>
      <w:r>
        <w:rPr>
          <w:rFonts w:hint="eastAsia" w:ascii="楷体" w:hAnsi="楷体" w:eastAsia="楷体" w:cs="楷体"/>
          <w:i/>
          <w:sz w:val="24"/>
          <w:szCs w:val="24"/>
          <w:highlight w:val="none"/>
          <w:u w:val="single"/>
        </w:rPr>
        <w:t>d</w:t>
      </w:r>
      <w:r>
        <w:rPr>
          <w:rFonts w:hint="eastAsia" w:ascii="楷体" w:hAnsi="楷体" w:eastAsia="楷体" w:cs="楷体"/>
          <w:sz w:val="24"/>
          <w:szCs w:val="24"/>
          <w:highlight w:val="none"/>
          <w:u w:val="single"/>
        </w:rPr>
        <w:t>＜10mm的碳化深度范围要求。抗氯离子渗透性能也给出了氯离子迁移系数</w:t>
      </w:r>
      <w:r>
        <w:rPr>
          <w:rFonts w:hint="eastAsia" w:ascii="楷体" w:hAnsi="楷体" w:eastAsia="楷体" w:cs="楷体"/>
          <w:i/>
          <w:sz w:val="24"/>
          <w:szCs w:val="24"/>
          <w:highlight w:val="none"/>
          <w:u w:val="single"/>
        </w:rPr>
        <w:t>D</w:t>
      </w:r>
      <w:r>
        <w:rPr>
          <w:rFonts w:hint="eastAsia" w:ascii="楷体" w:hAnsi="楷体" w:eastAsia="楷体" w:cs="楷体"/>
          <w:sz w:val="24"/>
          <w:szCs w:val="24"/>
          <w:highlight w:val="none"/>
          <w:u w:val="single"/>
          <w:vertAlign w:val="subscript"/>
        </w:rPr>
        <w:t>RCM</w:t>
      </w:r>
      <w:r>
        <w:rPr>
          <w:rFonts w:hint="eastAsia" w:ascii="楷体" w:hAnsi="楷体" w:eastAsia="楷体" w:cs="楷体"/>
          <w:sz w:val="24"/>
          <w:szCs w:val="24"/>
          <w:highlight w:val="none"/>
          <w:u w:val="single"/>
        </w:rPr>
        <w:t>＜2.5的要求，即等级不低于RCM- IV。</w:t>
      </w:r>
    </w:p>
    <w:p>
      <w:pPr>
        <w:spacing w:line="312" w:lineRule="auto"/>
        <w:rPr>
          <w:sz w:val="24"/>
          <w:szCs w:val="28"/>
          <w:highlight w:val="none"/>
        </w:rPr>
      </w:pPr>
      <w:r>
        <w:rPr>
          <w:b/>
          <w:sz w:val="24"/>
          <w:szCs w:val="28"/>
          <w:highlight w:val="none"/>
        </w:rPr>
        <w:t>4.4.2</w:t>
      </w:r>
      <w:r>
        <w:rPr>
          <w:sz w:val="24"/>
          <w:szCs w:val="28"/>
          <w:highlight w:val="none"/>
        </w:rPr>
        <w:t xml:space="preserve">  高延性混凝土的耐久性能，应按现行国家标准《普通混凝土长期性能和耐久性能试验方法标准》GB/T 50082的有关规定进行试件制作、养护及性能测试。并按现行行业标准《混凝土耐久性检验评定标准》JGJ/T 193的有关规定进行等级评定。</w:t>
      </w:r>
    </w:p>
    <w:bookmarkEnd w:id="386"/>
    <w:bookmarkEnd w:id="387"/>
    <w:bookmarkEnd w:id="388"/>
    <w:bookmarkEnd w:id="389"/>
    <w:bookmarkEnd w:id="390"/>
    <w:bookmarkEnd w:id="391"/>
    <w:bookmarkEnd w:id="392"/>
    <w:bookmarkEnd w:id="393"/>
    <w:bookmarkEnd w:id="394"/>
    <w:bookmarkEnd w:id="395"/>
    <w:bookmarkEnd w:id="396"/>
    <w:p>
      <w:pPr>
        <w:spacing w:before="72" w:beforeLines="30" w:after="72" w:afterLines="30"/>
        <w:jc w:val="center"/>
        <w:outlineLvl w:val="0"/>
        <w:rPr>
          <w:rFonts w:eastAsia="黑体"/>
          <w:sz w:val="28"/>
          <w:szCs w:val="28"/>
          <w:highlight w:val="none"/>
        </w:rPr>
      </w:pPr>
      <w:r>
        <w:rPr>
          <w:rFonts w:eastAsia="黑体"/>
          <w:highlight w:val="none"/>
        </w:rPr>
        <w:br w:type="page"/>
      </w:r>
      <w:bookmarkEnd w:id="314"/>
      <w:bookmarkEnd w:id="338"/>
      <w:bookmarkEnd w:id="339"/>
      <w:bookmarkEnd w:id="340"/>
      <w:bookmarkEnd w:id="341"/>
      <w:bookmarkEnd w:id="342"/>
      <w:bookmarkEnd w:id="343"/>
      <w:bookmarkEnd w:id="344"/>
      <w:bookmarkEnd w:id="345"/>
      <w:bookmarkEnd w:id="346"/>
      <w:bookmarkStart w:id="399" w:name="_Toc48210025"/>
      <w:bookmarkStart w:id="400" w:name="_Toc63348926"/>
      <w:bookmarkStart w:id="401" w:name="_Toc519684083"/>
      <w:bookmarkStart w:id="402" w:name="_Toc38352777"/>
      <w:bookmarkStart w:id="403" w:name="_Toc32828381"/>
      <w:bookmarkStart w:id="404" w:name="_Toc445666225"/>
      <w:bookmarkStart w:id="405" w:name="_Toc48138967"/>
      <w:bookmarkStart w:id="406" w:name="_Toc32865084"/>
      <w:bookmarkStart w:id="407" w:name="_Toc54256648"/>
      <w:bookmarkStart w:id="408" w:name="_Toc48210357"/>
      <w:bookmarkStart w:id="409" w:name="_Toc32848241"/>
      <w:bookmarkStart w:id="410" w:name="_Toc48210134"/>
      <w:bookmarkStart w:id="411" w:name="_Toc63348850"/>
      <w:bookmarkStart w:id="412" w:name="_Toc535338391"/>
      <w:bookmarkStart w:id="413" w:name="_Toc32848342"/>
      <w:bookmarkStart w:id="414" w:name="_Toc32848341"/>
      <w:bookmarkStart w:id="415" w:name="_Toc535475943"/>
      <w:bookmarkStart w:id="416" w:name="_Toc67330594"/>
      <w:bookmarkStart w:id="417" w:name="_Toc54255553"/>
      <w:bookmarkStart w:id="418" w:name="_Toc25070644"/>
      <w:bookmarkStart w:id="419" w:name="_Toc19545226"/>
      <w:bookmarkStart w:id="420" w:name="_Toc52264497"/>
      <w:bookmarkStart w:id="421" w:name="_Toc38358403"/>
      <w:bookmarkStart w:id="422" w:name="_Toc32865004"/>
      <w:bookmarkStart w:id="423" w:name="_Toc48138889"/>
      <w:bookmarkStart w:id="424" w:name="_Toc25690873"/>
      <w:bookmarkStart w:id="425" w:name="_Toc32865083"/>
      <w:bookmarkStart w:id="426" w:name="_Toc532464301"/>
      <w:bookmarkStart w:id="427" w:name="_Toc445664205"/>
      <w:bookmarkStart w:id="428" w:name="_Toc15157"/>
      <w:bookmarkStart w:id="429" w:name="_Toc8106"/>
      <w:bookmarkStart w:id="430" w:name="_Toc5383"/>
      <w:bookmarkStart w:id="431" w:name="_Toc70169820"/>
      <w:r>
        <w:rPr>
          <w:rFonts w:eastAsia="黑体"/>
          <w:b/>
          <w:sz w:val="28"/>
          <w:szCs w:val="28"/>
          <w:highlight w:val="none"/>
        </w:rPr>
        <w:t>5</w:t>
      </w:r>
      <w:r>
        <w:rPr>
          <w:rFonts w:eastAsia="黑体"/>
          <w:sz w:val="28"/>
          <w:szCs w:val="28"/>
          <w:highlight w:val="none"/>
        </w:rPr>
        <w:t xml:space="preserve">  砌体结构</w:t>
      </w:r>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r>
        <w:rPr>
          <w:rFonts w:eastAsia="黑体"/>
          <w:sz w:val="28"/>
          <w:szCs w:val="28"/>
          <w:highlight w:val="none"/>
        </w:rPr>
        <w:t>加固</w:t>
      </w:r>
      <w:r>
        <w:rPr>
          <w:rFonts w:hint="eastAsia" w:eastAsia="黑体"/>
          <w:sz w:val="28"/>
          <w:szCs w:val="28"/>
          <w:highlight w:val="none"/>
        </w:rPr>
        <w:t>设计</w:t>
      </w:r>
      <w:bookmarkEnd w:id="428"/>
      <w:bookmarkEnd w:id="429"/>
      <w:bookmarkEnd w:id="430"/>
      <w:bookmarkEnd w:id="431"/>
    </w:p>
    <w:p>
      <w:pPr>
        <w:spacing w:line="360" w:lineRule="auto"/>
        <w:jc w:val="center"/>
        <w:outlineLvl w:val="1"/>
        <w:rPr>
          <w:rFonts w:eastAsia="黑体"/>
          <w:sz w:val="24"/>
          <w:szCs w:val="28"/>
          <w:highlight w:val="none"/>
        </w:rPr>
      </w:pPr>
      <w:bookmarkStart w:id="432" w:name="_Toc48210358"/>
      <w:bookmarkStart w:id="433" w:name="_Toc70169821"/>
      <w:bookmarkStart w:id="434" w:name="_Toc18441"/>
      <w:bookmarkStart w:id="435" w:name="_Toc67330595"/>
      <w:bookmarkStart w:id="436" w:name="_Toc21564"/>
      <w:bookmarkStart w:id="437" w:name="_Toc19489"/>
      <w:bookmarkStart w:id="438" w:name="_Toc52264498"/>
      <w:bookmarkStart w:id="439" w:name="_Toc25690874"/>
      <w:bookmarkStart w:id="440" w:name="_Toc54255554"/>
      <w:bookmarkStart w:id="441" w:name="_Toc532464302"/>
      <w:bookmarkStart w:id="442" w:name="_Toc38358404"/>
      <w:bookmarkStart w:id="443" w:name="_Toc32865085"/>
      <w:bookmarkStart w:id="444" w:name="_Toc445666226"/>
      <w:bookmarkStart w:id="445" w:name="_Toc48210135"/>
      <w:bookmarkStart w:id="446" w:name="_Toc54256649"/>
      <w:bookmarkStart w:id="447" w:name="_Toc535475944"/>
      <w:bookmarkStart w:id="448" w:name="_Toc32848343"/>
      <w:bookmarkStart w:id="449" w:name="_Toc519684084"/>
      <w:bookmarkStart w:id="450" w:name="_Toc38352778"/>
      <w:bookmarkStart w:id="451" w:name="_Toc48210026"/>
      <w:bookmarkStart w:id="452" w:name="_Toc535338392"/>
      <w:bookmarkStart w:id="453" w:name="_Toc63348927"/>
      <w:bookmarkStart w:id="454" w:name="_Toc19545227"/>
      <w:bookmarkStart w:id="455" w:name="_Toc63348851"/>
      <w:bookmarkStart w:id="456" w:name="_Toc48138890"/>
      <w:bookmarkStart w:id="457" w:name="_Toc445664206"/>
      <w:bookmarkStart w:id="458" w:name="_Toc48138968"/>
      <w:bookmarkStart w:id="459" w:name="_Toc25070645"/>
      <w:r>
        <w:rPr>
          <w:rFonts w:eastAsia="黑体"/>
          <w:b/>
          <w:sz w:val="24"/>
          <w:szCs w:val="28"/>
          <w:highlight w:val="none"/>
        </w:rPr>
        <w:t>5.1</w:t>
      </w:r>
      <w:r>
        <w:rPr>
          <w:rFonts w:eastAsia="黑体"/>
          <w:sz w:val="24"/>
          <w:szCs w:val="28"/>
          <w:highlight w:val="none"/>
        </w:rPr>
        <w:t xml:space="preserve">  一般规定</w:t>
      </w:r>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p>
    <w:p>
      <w:pPr>
        <w:spacing w:line="312" w:lineRule="auto"/>
        <w:rPr>
          <w:rFonts w:hint="eastAsia" w:eastAsia="宋体"/>
          <w:sz w:val="24"/>
          <w:szCs w:val="28"/>
          <w:highlight w:val="none"/>
          <w:lang w:eastAsia="zh-CN"/>
        </w:rPr>
      </w:pPr>
      <w:r>
        <w:rPr>
          <w:rFonts w:hint="eastAsia"/>
          <w:b/>
          <w:sz w:val="24"/>
          <w:szCs w:val="28"/>
          <w:highlight w:val="none"/>
        </w:rPr>
        <w:t>5.1.1</w:t>
      </w:r>
      <w:r>
        <w:rPr>
          <w:sz w:val="24"/>
          <w:szCs w:val="28"/>
          <w:highlight w:val="none"/>
        </w:rPr>
        <w:t xml:space="preserve">  高延性混凝土加固砌体结构的设计计算原则</w:t>
      </w:r>
      <w:r>
        <w:rPr>
          <w:rFonts w:hint="eastAsia"/>
          <w:sz w:val="24"/>
          <w:szCs w:val="28"/>
          <w:highlight w:val="none"/>
        </w:rPr>
        <w:t>应</w:t>
      </w:r>
      <w:r>
        <w:rPr>
          <w:rFonts w:hint="eastAsia"/>
          <w:sz w:val="24"/>
          <w:szCs w:val="28"/>
          <w:highlight w:val="none"/>
          <w:lang w:val="en-US" w:eastAsia="zh-CN"/>
        </w:rPr>
        <w:t>遵循</w:t>
      </w:r>
      <w:r>
        <w:rPr>
          <w:rFonts w:hint="eastAsia"/>
          <w:sz w:val="24"/>
          <w:szCs w:val="28"/>
          <w:highlight w:val="none"/>
        </w:rPr>
        <w:t>本规程的规定，并应符合《既有建筑鉴定与加固通用规范》GB 55021</w:t>
      </w:r>
      <w:r>
        <w:rPr>
          <w:rFonts w:hint="eastAsia"/>
          <w:sz w:val="24"/>
          <w:szCs w:val="28"/>
          <w:highlight w:val="none"/>
          <w:lang w:eastAsia="zh-CN"/>
        </w:rPr>
        <w:t>、</w:t>
      </w:r>
      <w:r>
        <w:rPr>
          <w:rFonts w:hint="eastAsia"/>
          <w:sz w:val="24"/>
          <w:szCs w:val="28"/>
          <w:highlight w:val="none"/>
        </w:rPr>
        <w:t>《砌体结构加固设计规范》GB 50702等国家现行有关标准的规定</w:t>
      </w:r>
      <w:r>
        <w:rPr>
          <w:rFonts w:hint="eastAsia"/>
          <w:sz w:val="24"/>
          <w:szCs w:val="28"/>
          <w:highlight w:val="none"/>
          <w:lang w:eastAsia="zh-CN"/>
        </w:rPr>
        <w:t>。</w:t>
      </w:r>
    </w:p>
    <w:p>
      <w:pPr>
        <w:pStyle w:val="2"/>
        <w:keepNext w:val="0"/>
        <w:keepLines w:val="0"/>
        <w:pageBreakBefore w:val="0"/>
        <w:widowControl w:val="0"/>
        <w:kinsoku/>
        <w:wordWrap/>
        <w:overflowPunct/>
        <w:topLinePunct w:val="0"/>
        <w:autoSpaceDE/>
        <w:autoSpaceDN/>
        <w:bidi w:val="0"/>
        <w:adjustRightInd/>
        <w:snapToGrid/>
        <w:spacing w:before="157" w:beforeLines="50" w:after="0" w:line="312" w:lineRule="auto"/>
        <w:textAlignment w:val="auto"/>
        <w:rPr>
          <w:rFonts w:hint="eastAsia" w:ascii="楷体" w:hAnsi="楷体" w:eastAsia="楷体" w:cs="楷体"/>
          <w:kern w:val="2"/>
          <w:sz w:val="24"/>
          <w:szCs w:val="24"/>
          <w:highlight w:val="none"/>
          <w:u w:val="single"/>
          <w:lang w:val="en-US" w:eastAsia="zh-CN" w:bidi="ar-SA"/>
        </w:rPr>
      </w:pPr>
      <w:r>
        <w:rPr>
          <w:rFonts w:hint="eastAsia" w:ascii="楷体" w:hAnsi="楷体" w:eastAsia="楷体" w:cs="楷体"/>
          <w:b w:val="0"/>
          <w:bCs/>
          <w:sz w:val="24"/>
          <w:szCs w:val="24"/>
          <w:highlight w:val="none"/>
          <w:u w:val="single"/>
        </w:rPr>
        <w:t>【条文说明】</w:t>
      </w:r>
      <w:r>
        <w:rPr>
          <w:rFonts w:hint="eastAsia" w:ascii="楷体" w:hAnsi="楷体" w:eastAsia="楷体" w:cs="楷体"/>
          <w:kern w:val="2"/>
          <w:sz w:val="24"/>
          <w:szCs w:val="24"/>
          <w:highlight w:val="none"/>
          <w:u w:val="single"/>
          <w:lang w:val="en-US" w:eastAsia="zh-CN" w:bidi="ar-SA"/>
        </w:rPr>
        <w:t xml:space="preserve"> 高延性混凝土加固砖砌体结构及构件是通过面层的约束作用和优良的材料性能来达到加固目的，其设计计算原则与现行国家标准《砌体结构加固设计规范》GB 50702的有关规定相一致，并应符合《既有建筑鉴定与加固通用规范》GB 55021、《建筑抗震加固技术规程》JGJ 116等国家现行有关标准的规定，这样在规程应用过程中保持了和其他相关标准、规范的协调统一。</w:t>
      </w:r>
    </w:p>
    <w:p>
      <w:pPr>
        <w:spacing w:line="312" w:lineRule="auto"/>
        <w:rPr>
          <w:b/>
          <w:sz w:val="24"/>
          <w:szCs w:val="28"/>
          <w:highlight w:val="none"/>
        </w:rPr>
      </w:pPr>
      <w:r>
        <w:rPr>
          <w:b/>
          <w:sz w:val="24"/>
          <w:szCs w:val="28"/>
          <w:highlight w:val="none"/>
        </w:rPr>
        <w:t>5.1.</w:t>
      </w:r>
      <w:r>
        <w:rPr>
          <w:rFonts w:hint="eastAsia"/>
          <w:b/>
          <w:sz w:val="24"/>
          <w:szCs w:val="28"/>
          <w:highlight w:val="none"/>
        </w:rPr>
        <w:t>2</w:t>
      </w:r>
      <w:r>
        <w:rPr>
          <w:b/>
          <w:sz w:val="24"/>
          <w:szCs w:val="28"/>
          <w:highlight w:val="none"/>
        </w:rPr>
        <w:t xml:space="preserve">  </w:t>
      </w:r>
      <w:r>
        <w:rPr>
          <w:rFonts w:hint="eastAsia"/>
          <w:bCs/>
          <w:sz w:val="24"/>
          <w:szCs w:val="28"/>
          <w:highlight w:val="none"/>
        </w:rPr>
        <w:t>砌体结构房屋加固时，高延性混凝土力学性能指标的选用应符合表5.1.2的规定。</w:t>
      </w:r>
    </w:p>
    <w:p>
      <w:pPr>
        <w:snapToGrid w:val="0"/>
        <w:spacing w:before="120" w:beforeLines="50" w:line="312" w:lineRule="auto"/>
        <w:jc w:val="center"/>
        <w:rPr>
          <w:rFonts w:eastAsia="黑体"/>
          <w:sz w:val="21"/>
          <w:szCs w:val="28"/>
          <w:highlight w:val="none"/>
        </w:rPr>
      </w:pPr>
      <w:r>
        <w:rPr>
          <w:rFonts w:eastAsia="黑体"/>
          <w:sz w:val="21"/>
          <w:szCs w:val="28"/>
          <w:highlight w:val="none"/>
        </w:rPr>
        <w:t>表</w:t>
      </w:r>
      <w:r>
        <w:rPr>
          <w:rFonts w:hint="eastAsia" w:eastAsia="黑体"/>
          <w:sz w:val="21"/>
          <w:szCs w:val="28"/>
          <w:highlight w:val="none"/>
        </w:rPr>
        <w:t>5.1.2</w:t>
      </w:r>
      <w:r>
        <w:rPr>
          <w:rFonts w:eastAsia="黑体"/>
          <w:sz w:val="21"/>
          <w:szCs w:val="28"/>
          <w:highlight w:val="none"/>
        </w:rPr>
        <w:t xml:space="preserve">  高延性混凝土</w:t>
      </w:r>
      <w:r>
        <w:rPr>
          <w:rFonts w:hint="eastAsia" w:eastAsia="黑体"/>
          <w:sz w:val="21"/>
          <w:szCs w:val="28"/>
          <w:highlight w:val="none"/>
        </w:rPr>
        <w:t>力学性能指标选用表</w:t>
      </w:r>
    </w:p>
    <w:tbl>
      <w:tblPr>
        <w:tblStyle w:val="23"/>
        <w:tblW w:w="0" w:type="auto"/>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4755"/>
        <w:gridCol w:w="2411"/>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blHeader/>
          <w:jc w:val="center"/>
        </w:trPr>
        <w:tc>
          <w:tcPr>
            <w:tcW w:w="4755"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sz w:val="21"/>
                <w:szCs w:val="21"/>
                <w:highlight w:val="none"/>
              </w:rPr>
            </w:pPr>
            <w:r>
              <w:rPr>
                <w:rFonts w:hint="eastAsia"/>
                <w:sz w:val="21"/>
                <w:szCs w:val="21"/>
                <w:highlight w:val="none"/>
              </w:rPr>
              <w:t>适用条件</w:t>
            </w:r>
          </w:p>
        </w:tc>
        <w:tc>
          <w:tcPr>
            <w:tcW w:w="2411"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sz w:val="21"/>
                <w:szCs w:val="21"/>
                <w:highlight w:val="none"/>
              </w:rPr>
            </w:pPr>
            <w:r>
              <w:rPr>
                <w:rFonts w:hint="eastAsia"/>
                <w:sz w:val="21"/>
                <w:szCs w:val="21"/>
                <w:highlight w:val="none"/>
              </w:rPr>
              <w:t>高延性混凝土力学性能</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4755" w:type="dxa"/>
            <w:vAlign w:val="center"/>
          </w:tcPr>
          <w:p>
            <w:pPr>
              <w:keepNext w:val="0"/>
              <w:keepLines w:val="0"/>
              <w:pageBreakBefore w:val="0"/>
              <w:widowControl w:val="0"/>
              <w:kinsoku/>
              <w:wordWrap/>
              <w:overflowPunct/>
              <w:topLinePunct w:val="0"/>
              <w:autoSpaceDE/>
              <w:autoSpaceDN/>
              <w:bidi w:val="0"/>
              <w:adjustRightInd/>
              <w:snapToGrid/>
              <w:spacing w:line="440" w:lineRule="exact"/>
              <w:ind w:left="425" w:hanging="495" w:hangingChars="236"/>
              <w:jc w:val="left"/>
              <w:textAlignment w:val="auto"/>
              <w:rPr>
                <w:sz w:val="21"/>
                <w:szCs w:val="21"/>
                <w:highlight w:val="none"/>
              </w:rPr>
            </w:pPr>
            <w:r>
              <w:rPr>
                <w:rFonts w:hint="eastAsia"/>
                <w:sz w:val="21"/>
                <w:szCs w:val="21"/>
                <w:highlight w:val="none"/>
              </w:rPr>
              <w:t>（1）抗震设防类别为重点设防类时，抗震设防烈度为8度</w:t>
            </w:r>
            <w:r>
              <w:rPr>
                <w:rFonts w:hint="eastAsia"/>
                <w:sz w:val="21"/>
                <w:szCs w:val="21"/>
                <w:highlight w:val="none"/>
                <w:lang w:val="en-US" w:eastAsia="zh-CN"/>
              </w:rPr>
              <w:t>及以上或</w:t>
            </w:r>
            <w:r>
              <w:rPr>
                <w:rFonts w:hint="eastAsia"/>
                <w:sz w:val="21"/>
                <w:szCs w:val="21"/>
                <w:highlight w:val="none"/>
              </w:rPr>
              <w:t>层数为三层及三层以上的砌体结构。</w:t>
            </w:r>
          </w:p>
        </w:tc>
        <w:tc>
          <w:tcPr>
            <w:tcW w:w="2411"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sz w:val="21"/>
                <w:szCs w:val="21"/>
                <w:highlight w:val="none"/>
              </w:rPr>
            </w:pPr>
            <w:r>
              <w:rPr>
                <w:rFonts w:hint="eastAsia"/>
                <w:sz w:val="21"/>
                <w:szCs w:val="21"/>
                <w:highlight w:val="none"/>
              </w:rPr>
              <w:t>I类</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4755" w:type="dxa"/>
            <w:vAlign w:val="center"/>
          </w:tcPr>
          <w:p>
            <w:pPr>
              <w:keepNext w:val="0"/>
              <w:keepLines w:val="0"/>
              <w:pageBreakBefore w:val="0"/>
              <w:widowControl w:val="0"/>
              <w:kinsoku/>
              <w:wordWrap/>
              <w:overflowPunct/>
              <w:topLinePunct w:val="0"/>
              <w:autoSpaceDE/>
              <w:autoSpaceDN/>
              <w:bidi w:val="0"/>
              <w:adjustRightInd/>
              <w:snapToGrid/>
              <w:spacing w:line="440" w:lineRule="exact"/>
              <w:ind w:left="425" w:hanging="495" w:hangingChars="236"/>
              <w:jc w:val="left"/>
              <w:textAlignment w:val="auto"/>
              <w:rPr>
                <w:sz w:val="21"/>
                <w:szCs w:val="21"/>
                <w:highlight w:val="none"/>
              </w:rPr>
            </w:pPr>
            <w:r>
              <w:rPr>
                <w:rFonts w:hint="eastAsia"/>
                <w:sz w:val="21"/>
                <w:szCs w:val="21"/>
                <w:highlight w:val="none"/>
              </w:rPr>
              <w:t>（2）抗震设防类别为重点设防类或标准设防类时，除第（1）条规定情况之外的砌体结构。</w:t>
            </w:r>
          </w:p>
        </w:tc>
        <w:tc>
          <w:tcPr>
            <w:tcW w:w="2411"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sz w:val="21"/>
                <w:szCs w:val="21"/>
                <w:highlight w:val="none"/>
              </w:rPr>
            </w:pPr>
            <w:r>
              <w:rPr>
                <w:rFonts w:hint="eastAsia"/>
                <w:sz w:val="21"/>
                <w:szCs w:val="21"/>
                <w:highlight w:val="none"/>
              </w:rPr>
              <w:t>不低于II类</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4755" w:type="dxa"/>
            <w:vAlign w:val="center"/>
          </w:tcPr>
          <w:p>
            <w:pPr>
              <w:keepNext w:val="0"/>
              <w:keepLines w:val="0"/>
              <w:pageBreakBefore w:val="0"/>
              <w:widowControl w:val="0"/>
              <w:kinsoku/>
              <w:wordWrap/>
              <w:overflowPunct/>
              <w:topLinePunct w:val="0"/>
              <w:autoSpaceDE/>
              <w:autoSpaceDN/>
              <w:bidi w:val="0"/>
              <w:adjustRightInd/>
              <w:snapToGrid/>
              <w:spacing w:line="440" w:lineRule="exact"/>
              <w:ind w:left="425" w:hanging="495" w:hangingChars="236"/>
              <w:jc w:val="left"/>
              <w:textAlignment w:val="auto"/>
              <w:rPr>
                <w:sz w:val="21"/>
                <w:szCs w:val="21"/>
                <w:highlight w:val="none"/>
              </w:rPr>
            </w:pPr>
            <w:r>
              <w:rPr>
                <w:rFonts w:hint="eastAsia"/>
                <w:sz w:val="21"/>
                <w:szCs w:val="21"/>
                <w:highlight w:val="none"/>
              </w:rPr>
              <w:t>（3）抗震设防类别为适度设防类的砌体结构。</w:t>
            </w:r>
          </w:p>
        </w:tc>
        <w:tc>
          <w:tcPr>
            <w:tcW w:w="2411"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sz w:val="21"/>
                <w:szCs w:val="21"/>
                <w:highlight w:val="none"/>
              </w:rPr>
            </w:pPr>
            <w:r>
              <w:rPr>
                <w:rFonts w:hint="eastAsia"/>
                <w:sz w:val="21"/>
                <w:szCs w:val="21"/>
                <w:highlight w:val="none"/>
              </w:rPr>
              <w:t>不低于</w:t>
            </w:r>
            <w:r>
              <w:rPr>
                <w:sz w:val="21"/>
                <w:szCs w:val="21"/>
                <w:highlight w:val="none"/>
              </w:rPr>
              <w:fldChar w:fldCharType="begin"/>
            </w:r>
            <w:r>
              <w:rPr>
                <w:sz w:val="21"/>
                <w:szCs w:val="21"/>
                <w:highlight w:val="none"/>
              </w:rPr>
              <w:instrText xml:space="preserve"> </w:instrText>
            </w:r>
            <w:r>
              <w:rPr>
                <w:rFonts w:hint="eastAsia"/>
                <w:sz w:val="21"/>
                <w:szCs w:val="21"/>
                <w:highlight w:val="none"/>
              </w:rPr>
              <w:instrText xml:space="preserve">= 3 \* ROMAN</w:instrText>
            </w:r>
            <w:r>
              <w:rPr>
                <w:sz w:val="21"/>
                <w:szCs w:val="21"/>
                <w:highlight w:val="none"/>
              </w:rPr>
              <w:instrText xml:space="preserve"> </w:instrText>
            </w:r>
            <w:r>
              <w:rPr>
                <w:sz w:val="21"/>
                <w:szCs w:val="21"/>
                <w:highlight w:val="none"/>
              </w:rPr>
              <w:fldChar w:fldCharType="separate"/>
            </w:r>
            <w:r>
              <w:rPr>
                <w:sz w:val="21"/>
                <w:szCs w:val="21"/>
                <w:highlight w:val="none"/>
              </w:rPr>
              <w:t>III</w:t>
            </w:r>
            <w:r>
              <w:rPr>
                <w:sz w:val="21"/>
                <w:szCs w:val="21"/>
                <w:highlight w:val="none"/>
              </w:rPr>
              <w:fldChar w:fldCharType="end"/>
            </w:r>
            <w:r>
              <w:rPr>
                <w:rFonts w:hint="eastAsia"/>
                <w:sz w:val="21"/>
                <w:szCs w:val="21"/>
                <w:highlight w:val="none"/>
              </w:rPr>
              <w:t>类</w:t>
            </w:r>
          </w:p>
        </w:tc>
      </w:tr>
    </w:tbl>
    <w:p>
      <w:pPr>
        <w:keepNext w:val="0"/>
        <w:keepLines w:val="0"/>
        <w:pageBreakBefore w:val="0"/>
        <w:widowControl w:val="0"/>
        <w:kinsoku/>
        <w:wordWrap/>
        <w:overflowPunct/>
        <w:topLinePunct w:val="0"/>
        <w:autoSpaceDE/>
        <w:autoSpaceDN/>
        <w:bidi w:val="0"/>
        <w:adjustRightInd/>
        <w:snapToGrid/>
        <w:spacing w:before="120" w:beforeLines="50" w:line="312" w:lineRule="auto"/>
        <w:jc w:val="both"/>
        <w:textAlignment w:val="auto"/>
        <w:outlineLvl w:val="1"/>
        <w:rPr>
          <w:rFonts w:hint="eastAsia" w:ascii="楷体" w:hAnsi="楷体" w:eastAsia="楷体" w:cs="楷体"/>
          <w:kern w:val="2"/>
          <w:sz w:val="24"/>
          <w:szCs w:val="24"/>
          <w:highlight w:val="none"/>
          <w:u w:val="single"/>
          <w:lang w:val="en-US" w:eastAsia="zh-CN" w:bidi="ar-SA"/>
        </w:rPr>
      </w:pPr>
      <w:bookmarkStart w:id="460" w:name="_Toc12771"/>
      <w:bookmarkStart w:id="461" w:name="_Toc8521"/>
      <w:bookmarkStart w:id="462" w:name="_Toc3175"/>
      <w:bookmarkStart w:id="463" w:name="_Toc63348852"/>
      <w:bookmarkStart w:id="464" w:name="_Toc67330596"/>
      <w:bookmarkStart w:id="465" w:name="_Toc25070646"/>
      <w:bookmarkStart w:id="466" w:name="_Toc48210359"/>
      <w:bookmarkStart w:id="467" w:name="_Toc19545228"/>
      <w:bookmarkStart w:id="468" w:name="_Toc38352779"/>
      <w:bookmarkStart w:id="469" w:name="_Toc52264499"/>
      <w:bookmarkStart w:id="470" w:name="_Toc535475945"/>
      <w:bookmarkStart w:id="471" w:name="_Toc519684085"/>
      <w:bookmarkStart w:id="472" w:name="_Toc63348928"/>
      <w:bookmarkStart w:id="473" w:name="_Toc532464303"/>
      <w:bookmarkStart w:id="474" w:name="_Toc48138891"/>
      <w:bookmarkStart w:id="475" w:name="_Toc32865086"/>
      <w:bookmarkStart w:id="476" w:name="_Toc25690875"/>
      <w:bookmarkStart w:id="477" w:name="_Toc535338393"/>
      <w:bookmarkStart w:id="478" w:name="_Toc32848344"/>
      <w:bookmarkStart w:id="479" w:name="_Toc48210027"/>
      <w:bookmarkStart w:id="480" w:name="_Toc48138969"/>
      <w:bookmarkStart w:id="481" w:name="_Toc38358405"/>
      <w:bookmarkStart w:id="482" w:name="_Toc48210136"/>
      <w:bookmarkStart w:id="483" w:name="_Toc70169822"/>
      <w:bookmarkStart w:id="484" w:name="_Toc54255555"/>
      <w:bookmarkStart w:id="485" w:name="_Toc54256650"/>
      <w:bookmarkStart w:id="486" w:name="_Toc445664207"/>
      <w:bookmarkStart w:id="487" w:name="_Toc445666227"/>
      <w:r>
        <w:rPr>
          <w:rFonts w:hint="eastAsia" w:ascii="楷体" w:hAnsi="楷体" w:eastAsia="楷体" w:cs="楷体"/>
          <w:b w:val="0"/>
          <w:bCs/>
          <w:sz w:val="24"/>
          <w:szCs w:val="24"/>
          <w:highlight w:val="none"/>
          <w:u w:val="single"/>
        </w:rPr>
        <w:t>【条文说明】</w:t>
      </w:r>
      <w:r>
        <w:rPr>
          <w:rFonts w:hint="eastAsia" w:ascii="楷体" w:hAnsi="楷体" w:eastAsia="楷体" w:cs="楷体"/>
          <w:kern w:val="2"/>
          <w:sz w:val="24"/>
          <w:szCs w:val="24"/>
          <w:highlight w:val="none"/>
          <w:u w:val="single"/>
          <w:lang w:val="en-US" w:eastAsia="zh-CN" w:bidi="ar-SA"/>
        </w:rPr>
        <w:t>高延性混凝土的分类主要是从构造和抗震耗能的角度考虑，根据等效弯曲韧性和等效弯曲强度的不同来划分，对不同的抗震要求的砖砌体结构，采用不同类型的高延性混凝土，在保证结构构件承载力和耗能能力的前提下可以取得较好的经济效果。</w:t>
      </w:r>
      <w:bookmarkEnd w:id="460"/>
      <w:bookmarkEnd w:id="461"/>
    </w:p>
    <w:p>
      <w:pPr>
        <w:spacing w:before="120" w:beforeLines="50" w:line="360" w:lineRule="auto"/>
        <w:jc w:val="center"/>
        <w:outlineLvl w:val="1"/>
        <w:rPr>
          <w:rFonts w:eastAsia="黑体"/>
          <w:sz w:val="24"/>
          <w:szCs w:val="28"/>
          <w:highlight w:val="none"/>
        </w:rPr>
      </w:pPr>
      <w:bookmarkStart w:id="488" w:name="_Toc1127"/>
      <w:bookmarkStart w:id="489" w:name="_Toc23641"/>
      <w:r>
        <w:rPr>
          <w:rFonts w:eastAsia="黑体"/>
          <w:b/>
          <w:sz w:val="24"/>
          <w:szCs w:val="28"/>
          <w:highlight w:val="none"/>
        </w:rPr>
        <w:t>5.2</w:t>
      </w:r>
      <w:r>
        <w:rPr>
          <w:rFonts w:eastAsia="黑体"/>
          <w:sz w:val="24"/>
          <w:szCs w:val="28"/>
          <w:highlight w:val="none"/>
        </w:rPr>
        <w:t xml:space="preserve">  砌体抗压加固</w:t>
      </w:r>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8"/>
      <w:bookmarkEnd w:id="489"/>
    </w:p>
    <w:p>
      <w:pPr>
        <w:spacing w:line="312" w:lineRule="auto"/>
        <w:rPr>
          <w:sz w:val="24"/>
          <w:szCs w:val="28"/>
          <w:highlight w:val="none"/>
        </w:rPr>
      </w:pPr>
      <w:bookmarkStart w:id="490" w:name="_Toc515087735"/>
      <w:bookmarkStart w:id="491" w:name="_Toc504569996"/>
      <w:r>
        <w:rPr>
          <w:b/>
          <w:sz w:val="24"/>
          <w:szCs w:val="28"/>
          <w:highlight w:val="none"/>
        </w:rPr>
        <w:t xml:space="preserve">5.2.1 </w:t>
      </w:r>
      <w:r>
        <w:rPr>
          <w:sz w:val="24"/>
          <w:szCs w:val="28"/>
          <w:highlight w:val="none"/>
        </w:rPr>
        <w:t xml:space="preserve"> 采用高延性混凝土面层或配筋高延性混凝土面层加固轴心受压的砌体构件时，其正截面受压承载力应按下式验算：</w:t>
      </w:r>
      <w:bookmarkEnd w:id="490"/>
      <w:bookmarkEnd w:id="491"/>
    </w:p>
    <w:p>
      <w:pPr>
        <w:spacing w:line="312" w:lineRule="auto"/>
        <w:jc w:val="right"/>
        <w:rPr>
          <w:sz w:val="24"/>
          <w:szCs w:val="28"/>
          <w:highlight w:val="none"/>
        </w:rPr>
      </w:pPr>
      <w:r>
        <w:rPr>
          <w:rFonts w:ascii="Times New Roman" w:hAnsi="Times New Roman"/>
          <w:color w:val="auto"/>
          <w:position w:val="-14"/>
          <w:sz w:val="24"/>
          <w:szCs w:val="28"/>
          <w:highlight w:val="none"/>
        </w:rPr>
        <w:object>
          <v:shape id="_x0000_i1056" o:spt="75" type="#_x0000_t75" style="height:18.9pt;width:180.45pt;" o:ole="t" filled="f" o:preferrelative="t" stroked="f" coordsize="21600,21600">
            <v:path/>
            <v:fill on="f" focussize="0,0"/>
            <v:stroke on="f"/>
            <v:imagedata r:id="rId74" o:title=""/>
            <o:lock v:ext="edit" aspectratio="t"/>
            <w10:wrap type="none"/>
            <w10:anchorlock/>
          </v:shape>
          <o:OLEObject Type="Embed" ProgID="Equation.DSMT4" ShapeID="_x0000_i1056" DrawAspect="Content" ObjectID="_1468075755" r:id="rId73">
            <o:LockedField>false</o:LockedField>
          </o:OLEObject>
        </w:object>
      </w:r>
      <w:r>
        <w:rPr>
          <w:sz w:val="24"/>
          <w:szCs w:val="28"/>
          <w:highlight w:val="none"/>
        </w:rPr>
        <w:t xml:space="preserve">  </w:t>
      </w:r>
      <w:r>
        <w:rPr>
          <w:rFonts w:hint="eastAsia"/>
          <w:sz w:val="24"/>
          <w:szCs w:val="28"/>
          <w:highlight w:val="none"/>
          <w:lang w:val="en-US" w:eastAsia="zh-CN"/>
        </w:rPr>
        <w:t xml:space="preserve">                  </w:t>
      </w:r>
      <w:r>
        <w:rPr>
          <w:rFonts w:hint="eastAsia"/>
          <w:sz w:val="24"/>
          <w:szCs w:val="28"/>
          <w:highlight w:val="none"/>
        </w:rPr>
        <w:t xml:space="preserve"> </w:t>
      </w:r>
      <w:r>
        <w:rPr>
          <w:sz w:val="24"/>
          <w:szCs w:val="28"/>
          <w:highlight w:val="none"/>
        </w:rPr>
        <w:t>（5.2.1）</w:t>
      </w:r>
    </w:p>
    <w:tbl>
      <w:tblPr>
        <w:tblStyle w:val="23"/>
        <w:tblW w:w="0" w:type="auto"/>
        <w:tblInd w:w="0" w:type="dxa"/>
        <w:tblLayout w:type="fixed"/>
        <w:tblCellMar>
          <w:top w:w="0" w:type="dxa"/>
          <w:left w:w="108" w:type="dxa"/>
          <w:bottom w:w="0" w:type="dxa"/>
          <w:right w:w="108" w:type="dxa"/>
        </w:tblCellMar>
      </w:tblPr>
      <w:tblGrid>
        <w:gridCol w:w="1384"/>
        <w:gridCol w:w="8474"/>
      </w:tblGrid>
      <w:tr>
        <w:tblPrEx>
          <w:tblCellMar>
            <w:top w:w="0" w:type="dxa"/>
            <w:left w:w="108" w:type="dxa"/>
            <w:bottom w:w="0" w:type="dxa"/>
            <w:right w:w="108" w:type="dxa"/>
          </w:tblCellMar>
        </w:tblPrEx>
        <w:tc>
          <w:tcPr>
            <w:tcW w:w="1384" w:type="dxa"/>
          </w:tcPr>
          <w:p>
            <w:pPr>
              <w:tabs>
                <w:tab w:val="left" w:pos="2565"/>
              </w:tabs>
              <w:adjustRightInd w:val="0"/>
              <w:snapToGrid w:val="0"/>
              <w:spacing w:line="360" w:lineRule="auto"/>
              <w:ind w:right="-105" w:rightChars="-50"/>
              <w:jc w:val="right"/>
              <w:rPr>
                <w:kern w:val="0"/>
                <w:sz w:val="24"/>
                <w:szCs w:val="28"/>
                <w:highlight w:val="none"/>
              </w:rPr>
            </w:pPr>
            <w:bookmarkStart w:id="492" w:name="_Toc10207161"/>
            <w:bookmarkStart w:id="493" w:name="_Toc532464304"/>
            <w:bookmarkStart w:id="494" w:name="_Toc534633680"/>
            <w:bookmarkStart w:id="495" w:name="_Toc515893940"/>
            <w:bookmarkStart w:id="496" w:name="_Toc532461027"/>
            <w:bookmarkStart w:id="497" w:name="_Toc7976080"/>
            <w:bookmarkStart w:id="498" w:name="_Toc504569997"/>
            <w:bookmarkStart w:id="499" w:name="_Toc9927646"/>
            <w:bookmarkStart w:id="500" w:name="_Toc519683903"/>
            <w:bookmarkStart w:id="501" w:name="_Toc515087736"/>
            <w:bookmarkStart w:id="502" w:name="_Toc535475946"/>
            <w:bookmarkStart w:id="503" w:name="_Toc519684086"/>
            <w:bookmarkStart w:id="504" w:name="_Toc535338394"/>
            <w:r>
              <w:rPr>
                <w:sz w:val="24"/>
                <w:szCs w:val="28"/>
                <w:highlight w:val="none"/>
              </w:rPr>
              <w:t>式中：</w:t>
            </w:r>
            <w:bookmarkEnd w:id="492"/>
            <w:bookmarkEnd w:id="493"/>
            <w:bookmarkEnd w:id="494"/>
            <w:bookmarkEnd w:id="495"/>
            <w:bookmarkEnd w:id="496"/>
            <w:bookmarkEnd w:id="497"/>
            <w:bookmarkEnd w:id="498"/>
            <w:bookmarkEnd w:id="499"/>
            <w:bookmarkEnd w:id="500"/>
            <w:bookmarkEnd w:id="501"/>
            <w:bookmarkEnd w:id="502"/>
            <w:bookmarkEnd w:id="503"/>
            <w:bookmarkEnd w:id="504"/>
            <w:r>
              <w:rPr>
                <w:i/>
                <w:kern w:val="0"/>
                <w:sz w:val="24"/>
                <w:szCs w:val="28"/>
                <w:highlight w:val="none"/>
              </w:rPr>
              <w:t>N</w:t>
            </w:r>
            <w:r>
              <w:rPr>
                <w:kern w:val="0"/>
                <w:sz w:val="24"/>
                <w:szCs w:val="28"/>
                <w:highlight w:val="none"/>
              </w:rPr>
              <w:t>——</w:t>
            </w:r>
          </w:p>
        </w:tc>
        <w:tc>
          <w:tcPr>
            <w:tcW w:w="8474" w:type="dxa"/>
            <w:vAlign w:val="center"/>
          </w:tcPr>
          <w:p>
            <w:pPr>
              <w:tabs>
                <w:tab w:val="left" w:pos="2565"/>
              </w:tabs>
              <w:adjustRightInd w:val="0"/>
              <w:snapToGrid w:val="0"/>
              <w:spacing w:line="360" w:lineRule="auto"/>
              <w:rPr>
                <w:kern w:val="0"/>
                <w:sz w:val="24"/>
                <w:szCs w:val="28"/>
                <w:highlight w:val="none"/>
              </w:rPr>
            </w:pPr>
            <w:r>
              <w:rPr>
                <w:kern w:val="0"/>
                <w:sz w:val="24"/>
                <w:szCs w:val="28"/>
                <w:highlight w:val="none"/>
              </w:rPr>
              <w:t>构件</w:t>
            </w:r>
            <w:r>
              <w:rPr>
                <w:rFonts w:hint="eastAsia"/>
                <w:kern w:val="0"/>
                <w:sz w:val="24"/>
                <w:szCs w:val="28"/>
                <w:highlight w:val="none"/>
                <w:lang w:val="en-US" w:eastAsia="zh-CN"/>
              </w:rPr>
              <w:t>加固后的轴心</w:t>
            </w:r>
            <w:r>
              <w:rPr>
                <w:kern w:val="0"/>
                <w:sz w:val="24"/>
                <w:szCs w:val="28"/>
                <w:highlight w:val="none"/>
              </w:rPr>
              <w:t>压力设计值</w:t>
            </w:r>
            <w:r>
              <w:rPr>
                <w:rFonts w:hint="eastAsia"/>
                <w:kern w:val="0"/>
                <w:sz w:val="24"/>
                <w:szCs w:val="28"/>
                <w:highlight w:val="none"/>
              </w:rPr>
              <w:t>（kN）</w:t>
            </w:r>
            <w:r>
              <w:rPr>
                <w:kern w:val="0"/>
                <w:sz w:val="24"/>
                <w:szCs w:val="28"/>
                <w:highlight w:val="none"/>
              </w:rPr>
              <w:t>；</w:t>
            </w:r>
          </w:p>
        </w:tc>
      </w:tr>
      <w:tr>
        <w:tblPrEx>
          <w:tblCellMar>
            <w:top w:w="0" w:type="dxa"/>
            <w:left w:w="108" w:type="dxa"/>
            <w:bottom w:w="0" w:type="dxa"/>
            <w:right w:w="108" w:type="dxa"/>
          </w:tblCellMar>
        </w:tblPrEx>
        <w:tc>
          <w:tcPr>
            <w:tcW w:w="1384" w:type="dxa"/>
          </w:tcPr>
          <w:p>
            <w:pPr>
              <w:tabs>
                <w:tab w:val="left" w:pos="2565"/>
              </w:tabs>
              <w:adjustRightInd w:val="0"/>
              <w:snapToGrid w:val="0"/>
              <w:spacing w:line="360" w:lineRule="auto"/>
              <w:ind w:right="-105" w:rightChars="-50"/>
              <w:jc w:val="right"/>
              <w:rPr>
                <w:kern w:val="0"/>
                <w:sz w:val="24"/>
                <w:szCs w:val="28"/>
                <w:highlight w:val="none"/>
              </w:rPr>
            </w:pPr>
            <w:r>
              <w:rPr>
                <w:position w:val="-10"/>
                <w:sz w:val="24"/>
                <w:szCs w:val="28"/>
                <w:highlight w:val="none"/>
              </w:rPr>
              <w:object>
                <v:shape id="_x0000_i1057" o:spt="75" type="#_x0000_t75" style="height:15pt;width:22.45pt;" o:ole="t" filled="f" o:preferrelative="t" stroked="f" coordsize="21600,21600">
                  <v:path/>
                  <v:fill on="f" focussize="0,0"/>
                  <v:stroke on="f" joinstyle="miter"/>
                  <v:imagedata r:id="rId76" o:title=""/>
                  <o:lock v:ext="edit" aspectratio="t"/>
                  <w10:wrap type="none"/>
                  <w10:anchorlock/>
                </v:shape>
                <o:OLEObject Type="Embed" ProgID="Equation.DSMT4" ShapeID="_x0000_i1057" DrawAspect="Content" ObjectID="_1468075756" r:id="rId75">
                  <o:LockedField>false</o:LockedField>
                </o:OLEObject>
              </w:object>
            </w:r>
            <w:r>
              <w:rPr>
                <w:kern w:val="0"/>
                <w:sz w:val="24"/>
                <w:szCs w:val="28"/>
                <w:highlight w:val="none"/>
              </w:rPr>
              <w:t>——</w:t>
            </w:r>
          </w:p>
        </w:tc>
        <w:tc>
          <w:tcPr>
            <w:tcW w:w="8474" w:type="dxa"/>
            <w:vAlign w:val="center"/>
          </w:tcPr>
          <w:p>
            <w:pPr>
              <w:adjustRightInd w:val="0"/>
              <w:snapToGrid w:val="0"/>
              <w:spacing w:line="360" w:lineRule="auto"/>
              <w:rPr>
                <w:kern w:val="0"/>
                <w:sz w:val="24"/>
                <w:szCs w:val="28"/>
                <w:highlight w:val="none"/>
              </w:rPr>
            </w:pPr>
            <w:bookmarkStart w:id="505" w:name="_Toc504569998"/>
            <w:bookmarkStart w:id="506" w:name="_Toc532464305"/>
            <w:bookmarkStart w:id="507" w:name="_Toc519683904"/>
            <w:bookmarkStart w:id="508" w:name="_Toc519684087"/>
            <w:bookmarkStart w:id="509" w:name="_Toc535475947"/>
            <w:bookmarkStart w:id="510" w:name="_Toc535338395"/>
            <w:bookmarkStart w:id="511" w:name="_Toc515893941"/>
            <w:bookmarkStart w:id="512" w:name="_Toc532461028"/>
            <w:bookmarkStart w:id="513" w:name="_Toc534633681"/>
            <w:bookmarkStart w:id="514" w:name="_Toc515087737"/>
            <w:bookmarkStart w:id="515" w:name="_Toc7976081"/>
            <w:bookmarkStart w:id="516" w:name="_Toc19545229"/>
            <w:bookmarkStart w:id="517" w:name="_Toc25690876"/>
            <w:bookmarkStart w:id="518" w:name="_Toc10207162"/>
            <w:bookmarkStart w:id="519" w:name="_Toc25690605"/>
            <w:bookmarkStart w:id="520" w:name="_Toc19545499"/>
            <w:bookmarkStart w:id="521" w:name="_Toc25070345"/>
            <w:bookmarkStart w:id="522" w:name="_Toc25070647"/>
            <w:bookmarkStart w:id="523" w:name="_Toc9927647"/>
            <w:r>
              <w:rPr>
                <w:kern w:val="0"/>
                <w:sz w:val="24"/>
                <w:szCs w:val="28"/>
                <w:highlight w:val="none"/>
              </w:rPr>
              <w:t>轴心受压构件的稳定系数，可根据加固后截面的高厚比及配筋率，按现行国家标准《砌体结构设计规范》GB 50</w:t>
            </w:r>
            <w:r>
              <w:rPr>
                <w:rFonts w:hint="eastAsia"/>
                <w:kern w:val="0"/>
                <w:sz w:val="24"/>
                <w:szCs w:val="28"/>
                <w:highlight w:val="none"/>
              </w:rPr>
              <w:t>003</w:t>
            </w:r>
            <w:r>
              <w:rPr>
                <w:rFonts w:ascii="Times New Roman" w:hAnsi="Times New Roman"/>
                <w:kern w:val="0"/>
                <w:sz w:val="24"/>
                <w:szCs w:val="24"/>
                <w:highlight w:val="none"/>
              </w:rPr>
              <w:t>表8.2.3</w:t>
            </w:r>
            <w:r>
              <w:rPr>
                <w:kern w:val="0"/>
                <w:sz w:val="24"/>
                <w:szCs w:val="28"/>
                <w:highlight w:val="none"/>
              </w:rPr>
              <w:t>的规定取值</w:t>
            </w:r>
            <w:bookmarkEnd w:id="505"/>
            <w:bookmarkEnd w:id="506"/>
            <w:bookmarkEnd w:id="507"/>
            <w:bookmarkEnd w:id="508"/>
            <w:bookmarkEnd w:id="509"/>
            <w:bookmarkEnd w:id="510"/>
            <w:bookmarkEnd w:id="511"/>
            <w:bookmarkEnd w:id="512"/>
            <w:bookmarkEnd w:id="513"/>
            <w:bookmarkEnd w:id="514"/>
            <w:r>
              <w:rPr>
                <w:kern w:val="0"/>
                <w:sz w:val="24"/>
                <w:szCs w:val="28"/>
                <w:highlight w:val="none"/>
              </w:rPr>
              <w:t>；</w:t>
            </w:r>
            <w:bookmarkEnd w:id="515"/>
            <w:bookmarkEnd w:id="516"/>
            <w:bookmarkEnd w:id="517"/>
            <w:bookmarkEnd w:id="518"/>
            <w:bookmarkEnd w:id="519"/>
            <w:bookmarkEnd w:id="520"/>
            <w:bookmarkEnd w:id="521"/>
            <w:bookmarkEnd w:id="522"/>
            <w:bookmarkEnd w:id="523"/>
          </w:p>
        </w:tc>
      </w:tr>
      <w:tr>
        <w:tblPrEx>
          <w:tblCellMar>
            <w:top w:w="0" w:type="dxa"/>
            <w:left w:w="108" w:type="dxa"/>
            <w:bottom w:w="0" w:type="dxa"/>
            <w:right w:w="108" w:type="dxa"/>
          </w:tblCellMar>
        </w:tblPrEx>
        <w:tc>
          <w:tcPr>
            <w:tcW w:w="1384" w:type="dxa"/>
          </w:tcPr>
          <w:p>
            <w:pPr>
              <w:tabs>
                <w:tab w:val="left" w:pos="2565"/>
              </w:tabs>
              <w:adjustRightInd w:val="0"/>
              <w:snapToGrid w:val="0"/>
              <w:spacing w:line="360" w:lineRule="auto"/>
              <w:ind w:right="-105" w:rightChars="-50"/>
              <w:jc w:val="right"/>
              <w:rPr>
                <w:kern w:val="0"/>
                <w:sz w:val="24"/>
                <w:szCs w:val="28"/>
                <w:highlight w:val="none"/>
              </w:rPr>
            </w:pPr>
            <w:r>
              <w:rPr>
                <w:position w:val="-10"/>
                <w:sz w:val="24"/>
                <w:szCs w:val="28"/>
                <w:highlight w:val="none"/>
              </w:rPr>
              <w:object>
                <v:shape id="_x0000_i1058" o:spt="75" type="#_x0000_t75" style="height:15pt;width:19.15pt;" o:ole="t" filled="f" o:preferrelative="t" stroked="f" coordsize="21600,21600">
                  <v:path/>
                  <v:fill on="f" focussize="0,0"/>
                  <v:stroke on="f" joinstyle="miter"/>
                  <v:imagedata r:id="rId78" o:title=""/>
                  <o:lock v:ext="edit" aspectratio="t"/>
                  <w10:wrap type="none"/>
                  <w10:anchorlock/>
                </v:shape>
                <o:OLEObject Type="Embed" ProgID="Equation.DSMT4" ShapeID="_x0000_i1058" DrawAspect="Content" ObjectID="_1468075757" r:id="rId77">
                  <o:LockedField>false</o:LockedField>
                </o:OLEObject>
              </w:object>
            </w:r>
            <w:r>
              <w:rPr>
                <w:kern w:val="0"/>
                <w:sz w:val="24"/>
                <w:szCs w:val="28"/>
                <w:highlight w:val="none"/>
              </w:rPr>
              <w:t>——</w:t>
            </w:r>
          </w:p>
        </w:tc>
        <w:tc>
          <w:tcPr>
            <w:tcW w:w="8474" w:type="dxa"/>
            <w:vAlign w:val="center"/>
          </w:tcPr>
          <w:p>
            <w:pPr>
              <w:tabs>
                <w:tab w:val="left" w:pos="2565"/>
              </w:tabs>
              <w:adjustRightInd w:val="0"/>
              <w:snapToGrid w:val="0"/>
              <w:spacing w:line="360" w:lineRule="auto"/>
              <w:rPr>
                <w:kern w:val="0"/>
                <w:sz w:val="24"/>
                <w:szCs w:val="28"/>
                <w:highlight w:val="none"/>
              </w:rPr>
            </w:pPr>
            <w:r>
              <w:rPr>
                <w:kern w:val="0"/>
                <w:sz w:val="24"/>
                <w:szCs w:val="28"/>
                <w:highlight w:val="none"/>
              </w:rPr>
              <w:t>原构件砌体抗压强度设计值；</w:t>
            </w:r>
          </w:p>
        </w:tc>
      </w:tr>
      <w:tr>
        <w:tblPrEx>
          <w:tblCellMar>
            <w:top w:w="0" w:type="dxa"/>
            <w:left w:w="108" w:type="dxa"/>
            <w:bottom w:w="0" w:type="dxa"/>
            <w:right w:w="108" w:type="dxa"/>
          </w:tblCellMar>
        </w:tblPrEx>
        <w:tc>
          <w:tcPr>
            <w:tcW w:w="1384" w:type="dxa"/>
          </w:tcPr>
          <w:p>
            <w:pPr>
              <w:tabs>
                <w:tab w:val="left" w:pos="2565"/>
              </w:tabs>
              <w:adjustRightInd w:val="0"/>
              <w:snapToGrid w:val="0"/>
              <w:spacing w:line="360" w:lineRule="auto"/>
              <w:ind w:right="-105" w:rightChars="-50"/>
              <w:jc w:val="right"/>
              <w:rPr>
                <w:kern w:val="0"/>
                <w:sz w:val="24"/>
                <w:szCs w:val="28"/>
                <w:highlight w:val="none"/>
              </w:rPr>
            </w:pPr>
            <w:r>
              <w:rPr>
                <w:position w:val="-10"/>
                <w:sz w:val="24"/>
                <w:szCs w:val="28"/>
                <w:highlight w:val="none"/>
              </w:rPr>
              <w:object>
                <v:shape id="_x0000_i1059" o:spt="75" type="#_x0000_t75" style="height:15pt;width:22.45pt;" o:ole="t" filled="f" o:preferrelative="t" stroked="f" coordsize="21600,21600">
                  <v:path/>
                  <v:fill on="f" focussize="0,0"/>
                  <v:stroke on="f" joinstyle="miter"/>
                  <v:imagedata r:id="rId44" o:title=""/>
                  <o:lock v:ext="edit" aspectratio="t"/>
                  <w10:wrap type="none"/>
                  <w10:anchorlock/>
                </v:shape>
                <o:OLEObject Type="Embed" ProgID="Equation.DSMT4" ShapeID="_x0000_i1059" DrawAspect="Content" ObjectID="_1468075758" r:id="rId79">
                  <o:LockedField>false</o:LockedField>
                </o:OLEObject>
              </w:object>
            </w:r>
            <w:r>
              <w:rPr>
                <w:kern w:val="0"/>
                <w:sz w:val="24"/>
                <w:szCs w:val="28"/>
                <w:highlight w:val="none"/>
              </w:rPr>
              <w:t>——</w:t>
            </w:r>
          </w:p>
        </w:tc>
        <w:tc>
          <w:tcPr>
            <w:tcW w:w="8474" w:type="dxa"/>
            <w:vAlign w:val="center"/>
          </w:tcPr>
          <w:p>
            <w:pPr>
              <w:adjustRightInd w:val="0"/>
              <w:snapToGrid w:val="0"/>
              <w:spacing w:line="360" w:lineRule="auto"/>
              <w:rPr>
                <w:kern w:val="0"/>
                <w:sz w:val="24"/>
                <w:szCs w:val="28"/>
                <w:highlight w:val="none"/>
              </w:rPr>
            </w:pPr>
            <w:bookmarkStart w:id="524" w:name="_Toc7976082"/>
            <w:bookmarkStart w:id="525" w:name="_Toc504569999"/>
            <w:bookmarkStart w:id="526" w:name="_Toc535338396"/>
            <w:bookmarkStart w:id="527" w:name="_Toc532461030"/>
            <w:bookmarkStart w:id="528" w:name="_Toc519684089"/>
            <w:bookmarkStart w:id="529" w:name="_Toc19545230"/>
            <w:bookmarkStart w:id="530" w:name="_Toc25690606"/>
            <w:bookmarkStart w:id="531" w:name="_Toc25070648"/>
            <w:bookmarkStart w:id="532" w:name="_Toc532464307"/>
            <w:bookmarkStart w:id="533" w:name="_Toc534633682"/>
            <w:bookmarkStart w:id="534" w:name="_Toc515893942"/>
            <w:bookmarkStart w:id="535" w:name="_Toc519683906"/>
            <w:bookmarkStart w:id="536" w:name="_Toc9927648"/>
            <w:bookmarkStart w:id="537" w:name="_Toc25070346"/>
            <w:bookmarkStart w:id="538" w:name="_Toc515087738"/>
            <w:bookmarkStart w:id="539" w:name="_Toc535475948"/>
            <w:bookmarkStart w:id="540" w:name="_Toc10207163"/>
            <w:bookmarkStart w:id="541" w:name="_Toc19545500"/>
            <w:bookmarkStart w:id="542" w:name="_Toc25690877"/>
            <w:r>
              <w:rPr>
                <w:kern w:val="0"/>
                <w:sz w:val="24"/>
                <w:szCs w:val="28"/>
                <w:highlight w:val="none"/>
              </w:rPr>
              <w:t>原构件截面面积；</w:t>
            </w:r>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r>
              <w:rPr>
                <w:rFonts w:hint="eastAsia"/>
                <w:kern w:val="0"/>
                <w:sz w:val="24"/>
                <w:szCs w:val="28"/>
                <w:highlight w:val="none"/>
              </w:rPr>
              <w:t>对空斗墙砌体构件，应取其净截面面积进行计算；</w:t>
            </w:r>
          </w:p>
        </w:tc>
      </w:tr>
      <w:tr>
        <w:tblPrEx>
          <w:tblCellMar>
            <w:top w:w="0" w:type="dxa"/>
            <w:left w:w="108" w:type="dxa"/>
            <w:bottom w:w="0" w:type="dxa"/>
            <w:right w:w="108" w:type="dxa"/>
          </w:tblCellMar>
        </w:tblPrEx>
        <w:tc>
          <w:tcPr>
            <w:tcW w:w="1384" w:type="dxa"/>
          </w:tcPr>
          <w:p>
            <w:pPr>
              <w:tabs>
                <w:tab w:val="left" w:pos="2565"/>
              </w:tabs>
              <w:adjustRightInd w:val="0"/>
              <w:snapToGrid w:val="0"/>
              <w:spacing w:line="360" w:lineRule="auto"/>
              <w:ind w:right="-105" w:rightChars="-50"/>
              <w:jc w:val="right"/>
              <w:rPr>
                <w:kern w:val="0"/>
                <w:sz w:val="24"/>
                <w:szCs w:val="28"/>
                <w:highlight w:val="none"/>
              </w:rPr>
            </w:pPr>
            <w:r>
              <w:rPr>
                <w:position w:val="-10"/>
                <w:sz w:val="24"/>
                <w:szCs w:val="28"/>
                <w:highlight w:val="none"/>
              </w:rPr>
              <w:object>
                <v:shape id="_x0000_i1060" o:spt="75" type="#_x0000_t75" style="height:15pt;width:15pt;" o:ole="t" filled="f" o:preferrelative="t" stroked="f" coordsize="21600,21600">
                  <v:path/>
                  <v:fill on="f" focussize="0,0"/>
                  <v:stroke on="f" joinstyle="miter"/>
                  <v:imagedata r:id="rId81" o:title=""/>
                  <o:lock v:ext="edit" aspectratio="t"/>
                  <w10:wrap type="none"/>
                  <w10:anchorlock/>
                </v:shape>
                <o:OLEObject Type="Embed" ProgID="Equation.DSMT4" ShapeID="_x0000_i1060" DrawAspect="Content" ObjectID="_1468075759" r:id="rId80">
                  <o:LockedField>false</o:LockedField>
                </o:OLEObject>
              </w:object>
            </w:r>
            <w:r>
              <w:rPr>
                <w:kern w:val="0"/>
                <w:sz w:val="24"/>
                <w:szCs w:val="28"/>
                <w:highlight w:val="none"/>
              </w:rPr>
              <w:t>——</w:t>
            </w:r>
          </w:p>
        </w:tc>
        <w:tc>
          <w:tcPr>
            <w:tcW w:w="8474" w:type="dxa"/>
            <w:vAlign w:val="center"/>
          </w:tcPr>
          <w:p>
            <w:pPr>
              <w:adjustRightInd w:val="0"/>
              <w:snapToGrid w:val="0"/>
              <w:spacing w:line="360" w:lineRule="auto"/>
              <w:rPr>
                <w:kern w:val="0"/>
                <w:sz w:val="24"/>
                <w:szCs w:val="28"/>
                <w:highlight w:val="none"/>
              </w:rPr>
            </w:pPr>
            <w:bookmarkStart w:id="543" w:name="_Toc504570000"/>
            <w:bookmarkStart w:id="544" w:name="_Toc519684090"/>
            <w:bookmarkStart w:id="545" w:name="_Toc515893943"/>
            <w:bookmarkStart w:id="546" w:name="_Toc519683907"/>
            <w:bookmarkStart w:id="547" w:name="_Toc515087739"/>
            <w:bookmarkStart w:id="548" w:name="_Toc9927649"/>
            <w:bookmarkStart w:id="549" w:name="_Toc25690607"/>
            <w:bookmarkStart w:id="550" w:name="_Toc25690878"/>
            <w:bookmarkStart w:id="551" w:name="_Toc535338397"/>
            <w:bookmarkStart w:id="552" w:name="_Toc25070347"/>
            <w:bookmarkStart w:id="553" w:name="_Toc532464308"/>
            <w:bookmarkStart w:id="554" w:name="_Toc532461031"/>
            <w:bookmarkStart w:id="555" w:name="_Toc25070649"/>
            <w:bookmarkStart w:id="556" w:name="_Toc534633683"/>
            <w:bookmarkStart w:id="557" w:name="_Toc10207164"/>
            <w:bookmarkStart w:id="558" w:name="_Toc7976083"/>
            <w:bookmarkStart w:id="559" w:name="_Toc535475949"/>
            <w:bookmarkStart w:id="560" w:name="_Toc19545501"/>
            <w:bookmarkStart w:id="561" w:name="_Toc19545231"/>
            <w:r>
              <w:rPr>
                <w:kern w:val="0"/>
                <w:sz w:val="24"/>
                <w:szCs w:val="28"/>
                <w:highlight w:val="none"/>
              </w:rPr>
              <w:t>高延性混凝土强度利用系数，</w:t>
            </w:r>
            <w:bookmarkEnd w:id="543"/>
            <w:bookmarkEnd w:id="544"/>
            <w:bookmarkEnd w:id="545"/>
            <w:bookmarkEnd w:id="546"/>
            <w:bookmarkEnd w:id="547"/>
            <w:r>
              <w:rPr>
                <w:sz w:val="24"/>
                <w:szCs w:val="28"/>
                <w:highlight w:val="none"/>
              </w:rPr>
              <w:t>取</w:t>
            </w:r>
            <w:r>
              <w:rPr>
                <w:position w:val="-10"/>
                <w:sz w:val="24"/>
                <w:szCs w:val="28"/>
                <w:highlight w:val="none"/>
              </w:rPr>
              <w:object>
                <v:shape id="_x0000_i1061" o:spt="75" type="#_x0000_t75" style="height:15.8pt;width:24.15pt;" o:ole="t" filled="f" o:preferrelative="t" stroked="f" coordsize="21600,21600">
                  <v:path/>
                  <v:fill on="f" focussize="0,0"/>
                  <v:stroke on="f" joinstyle="miter"/>
                  <v:imagedata r:id="rId83" o:title=""/>
                  <o:lock v:ext="edit" aspectratio="t"/>
                  <w10:wrap type="none"/>
                  <w10:anchorlock/>
                </v:shape>
                <o:OLEObject Type="Embed" ProgID="Equation.DSMT4" ShapeID="_x0000_i1061" DrawAspect="Content" ObjectID="_1468075760" r:id="rId82">
                  <o:LockedField>false</o:LockedField>
                </o:OLEObject>
              </w:object>
            </w:r>
            <w:r>
              <w:rPr>
                <w:sz w:val="24"/>
                <w:szCs w:val="28"/>
                <w:highlight w:val="none"/>
              </w:rPr>
              <w:t>0.15；</w:t>
            </w:r>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r>
              <w:rPr>
                <w:kern w:val="0"/>
                <w:sz w:val="24"/>
                <w:szCs w:val="28"/>
                <w:highlight w:val="none"/>
              </w:rPr>
              <w:t xml:space="preserve"> </w:t>
            </w:r>
          </w:p>
        </w:tc>
      </w:tr>
      <w:tr>
        <w:tblPrEx>
          <w:tblCellMar>
            <w:top w:w="0" w:type="dxa"/>
            <w:left w:w="108" w:type="dxa"/>
            <w:bottom w:w="0" w:type="dxa"/>
            <w:right w:w="108" w:type="dxa"/>
          </w:tblCellMar>
        </w:tblPrEx>
        <w:tc>
          <w:tcPr>
            <w:tcW w:w="1384" w:type="dxa"/>
          </w:tcPr>
          <w:p>
            <w:pPr>
              <w:tabs>
                <w:tab w:val="left" w:pos="2565"/>
              </w:tabs>
              <w:adjustRightInd w:val="0"/>
              <w:snapToGrid w:val="0"/>
              <w:spacing w:line="360" w:lineRule="auto"/>
              <w:ind w:right="-105" w:rightChars="-50"/>
              <w:jc w:val="right"/>
              <w:rPr>
                <w:kern w:val="0"/>
                <w:sz w:val="24"/>
                <w:szCs w:val="28"/>
                <w:highlight w:val="none"/>
              </w:rPr>
            </w:pPr>
            <w:r>
              <w:rPr>
                <w:position w:val="-10"/>
                <w:sz w:val="24"/>
                <w:szCs w:val="28"/>
                <w:highlight w:val="none"/>
              </w:rPr>
              <w:object>
                <v:shape id="_x0000_i1062" o:spt="75" type="#_x0000_t75" style="height:15pt;width:15pt;" o:ole="t" filled="f" o:preferrelative="t" stroked="f" coordsize="21600,21600">
                  <v:path/>
                  <v:fill on="f" focussize="0,0"/>
                  <v:stroke on="f" joinstyle="miter"/>
                  <v:imagedata r:id="rId85" o:title=""/>
                  <o:lock v:ext="edit" aspectratio="t"/>
                  <w10:wrap type="none"/>
                  <w10:anchorlock/>
                </v:shape>
                <o:OLEObject Type="Embed" ProgID="Equation.DSMT4" ShapeID="_x0000_i1062" DrawAspect="Content" ObjectID="_1468075761" r:id="rId84">
                  <o:LockedField>false</o:LockedField>
                </o:OLEObject>
              </w:object>
            </w:r>
            <w:r>
              <w:rPr>
                <w:kern w:val="0"/>
                <w:sz w:val="24"/>
                <w:szCs w:val="28"/>
                <w:highlight w:val="none"/>
              </w:rPr>
              <w:t>——</w:t>
            </w:r>
          </w:p>
        </w:tc>
        <w:tc>
          <w:tcPr>
            <w:tcW w:w="8474" w:type="dxa"/>
            <w:vAlign w:val="center"/>
          </w:tcPr>
          <w:p>
            <w:pPr>
              <w:adjustRightInd w:val="0"/>
              <w:snapToGrid w:val="0"/>
              <w:spacing w:line="360" w:lineRule="auto"/>
              <w:rPr>
                <w:kern w:val="0"/>
                <w:sz w:val="24"/>
                <w:szCs w:val="28"/>
                <w:highlight w:val="none"/>
              </w:rPr>
            </w:pPr>
            <w:bookmarkStart w:id="562" w:name="_Toc519684092"/>
            <w:bookmarkStart w:id="563" w:name="_Toc532461032"/>
            <w:bookmarkStart w:id="564" w:name="_Toc25690879"/>
            <w:bookmarkStart w:id="565" w:name="_Toc19545502"/>
            <w:bookmarkStart w:id="566" w:name="_Toc519683909"/>
            <w:bookmarkStart w:id="567" w:name="_Toc535338398"/>
            <w:bookmarkStart w:id="568" w:name="_Toc25690608"/>
            <w:bookmarkStart w:id="569" w:name="_Toc9927650"/>
            <w:bookmarkStart w:id="570" w:name="_Toc534633684"/>
            <w:bookmarkStart w:id="571" w:name="_Toc504570001"/>
            <w:bookmarkStart w:id="572" w:name="_Toc535475950"/>
            <w:bookmarkStart w:id="573" w:name="_Toc515893944"/>
            <w:bookmarkStart w:id="574" w:name="_Toc515087740"/>
            <w:bookmarkStart w:id="575" w:name="_Toc25070348"/>
            <w:bookmarkStart w:id="576" w:name="_Toc25070650"/>
            <w:bookmarkStart w:id="577" w:name="_Toc10207165"/>
            <w:bookmarkStart w:id="578" w:name="_Toc19545232"/>
            <w:bookmarkStart w:id="579" w:name="_Toc7976084"/>
            <w:bookmarkStart w:id="580" w:name="_Toc532464309"/>
            <w:r>
              <w:rPr>
                <w:kern w:val="0"/>
                <w:sz w:val="24"/>
                <w:szCs w:val="28"/>
                <w:highlight w:val="none"/>
              </w:rPr>
              <w:t>高延性混凝土轴心抗压强度设计值；</w:t>
            </w:r>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p>
        </w:tc>
      </w:tr>
      <w:tr>
        <w:tblPrEx>
          <w:tblCellMar>
            <w:top w:w="0" w:type="dxa"/>
            <w:left w:w="108" w:type="dxa"/>
            <w:bottom w:w="0" w:type="dxa"/>
            <w:right w:w="108" w:type="dxa"/>
          </w:tblCellMar>
        </w:tblPrEx>
        <w:tc>
          <w:tcPr>
            <w:tcW w:w="1384" w:type="dxa"/>
          </w:tcPr>
          <w:p>
            <w:pPr>
              <w:tabs>
                <w:tab w:val="left" w:pos="2565"/>
              </w:tabs>
              <w:adjustRightInd w:val="0"/>
              <w:snapToGrid w:val="0"/>
              <w:spacing w:line="360" w:lineRule="auto"/>
              <w:ind w:right="-105" w:rightChars="-50"/>
              <w:jc w:val="right"/>
              <w:rPr>
                <w:kern w:val="0"/>
                <w:sz w:val="24"/>
                <w:szCs w:val="28"/>
                <w:highlight w:val="none"/>
              </w:rPr>
            </w:pPr>
            <w:r>
              <w:rPr>
                <w:position w:val="-10"/>
                <w:sz w:val="24"/>
                <w:szCs w:val="28"/>
                <w:highlight w:val="none"/>
              </w:rPr>
              <w:object>
                <v:shape id="_x0000_i1063" o:spt="75" type="#_x0000_t75" style="height:15pt;width:15pt;" o:ole="t" filled="f" o:preferrelative="t" stroked="f" coordsize="21600,21600">
                  <v:path/>
                  <v:fill on="f" focussize="0,0"/>
                  <v:stroke on="f" joinstyle="miter"/>
                  <v:imagedata r:id="rId46" o:title=""/>
                  <o:lock v:ext="edit" aspectratio="t"/>
                  <w10:wrap type="none"/>
                  <w10:anchorlock/>
                </v:shape>
                <o:OLEObject Type="Embed" ProgID="Equation.DSMT4" ShapeID="_x0000_i1063" DrawAspect="Content" ObjectID="_1468075762" r:id="rId86">
                  <o:LockedField>false</o:LockedField>
                </o:OLEObject>
              </w:object>
            </w:r>
            <w:r>
              <w:rPr>
                <w:kern w:val="0"/>
                <w:sz w:val="24"/>
                <w:szCs w:val="28"/>
                <w:highlight w:val="none"/>
              </w:rPr>
              <w:t>——</w:t>
            </w:r>
          </w:p>
        </w:tc>
        <w:tc>
          <w:tcPr>
            <w:tcW w:w="8474" w:type="dxa"/>
            <w:vAlign w:val="center"/>
          </w:tcPr>
          <w:p>
            <w:pPr>
              <w:tabs>
                <w:tab w:val="left" w:pos="2565"/>
              </w:tabs>
              <w:adjustRightInd w:val="0"/>
              <w:snapToGrid w:val="0"/>
              <w:spacing w:line="360" w:lineRule="auto"/>
              <w:rPr>
                <w:kern w:val="0"/>
                <w:sz w:val="24"/>
                <w:szCs w:val="28"/>
                <w:highlight w:val="none"/>
              </w:rPr>
            </w:pPr>
            <w:r>
              <w:rPr>
                <w:kern w:val="0"/>
                <w:sz w:val="24"/>
                <w:szCs w:val="28"/>
                <w:highlight w:val="none"/>
              </w:rPr>
              <w:t>新增高延性混凝土面层的截面面积；</w:t>
            </w:r>
          </w:p>
        </w:tc>
      </w:tr>
      <w:tr>
        <w:tblPrEx>
          <w:tblCellMar>
            <w:top w:w="0" w:type="dxa"/>
            <w:left w:w="108" w:type="dxa"/>
            <w:bottom w:w="0" w:type="dxa"/>
            <w:right w:w="108" w:type="dxa"/>
          </w:tblCellMar>
        </w:tblPrEx>
        <w:tc>
          <w:tcPr>
            <w:tcW w:w="1384" w:type="dxa"/>
          </w:tcPr>
          <w:p>
            <w:pPr>
              <w:tabs>
                <w:tab w:val="left" w:pos="2565"/>
              </w:tabs>
              <w:adjustRightInd w:val="0"/>
              <w:snapToGrid w:val="0"/>
              <w:spacing w:line="360" w:lineRule="auto"/>
              <w:ind w:right="-105" w:rightChars="-50"/>
              <w:jc w:val="right"/>
              <w:rPr>
                <w:kern w:val="0"/>
                <w:sz w:val="24"/>
                <w:szCs w:val="28"/>
                <w:highlight w:val="none"/>
              </w:rPr>
            </w:pPr>
            <m:oMath>
              <m:sSub>
                <m:sSubPr>
                  <m:ctrlPr>
                    <w:rPr>
                      <w:rFonts w:ascii="Cambria Math" w:hAnsi="Cambria Math"/>
                      <w:iCs/>
                      <w:sz w:val="24"/>
                      <w:szCs w:val="28"/>
                      <w:highlight w:val="none"/>
                    </w:rPr>
                  </m:ctrlPr>
                </m:sSubPr>
                <m:e>
                  <m:r>
                    <m:rPr>
                      <m:nor/>
                    </m:rPr>
                    <w:rPr>
                      <w:rFonts w:ascii="Cambria Math" w:hAnsi="Cambria Math"/>
                      <w:i/>
                      <w:sz w:val="24"/>
                      <w:szCs w:val="28"/>
                      <w:highlight w:val="none"/>
                    </w:rPr>
                    <m:t>α</m:t>
                  </m:r>
                  <m:ctrlPr>
                    <w:rPr>
                      <w:rFonts w:ascii="Cambria Math" w:hAnsi="Cambria Math"/>
                      <w:iCs/>
                      <w:sz w:val="24"/>
                      <w:szCs w:val="28"/>
                      <w:highlight w:val="none"/>
                    </w:rPr>
                  </m:ctrlPr>
                </m:e>
                <m:sub>
                  <m:r>
                    <m:rPr>
                      <m:nor/>
                      <m:sty m:val="p"/>
                    </m:rPr>
                    <w:rPr>
                      <w:rFonts w:ascii="Cambria Math" w:hAnsi="Cambria Math"/>
                      <w:b w:val="0"/>
                      <w:i w:val="0"/>
                      <w:iCs/>
                      <w:sz w:val="24"/>
                      <w:szCs w:val="28"/>
                      <w:highlight w:val="none"/>
                    </w:rPr>
                    <m:t>sv</m:t>
                  </m:r>
                  <m:ctrlPr>
                    <w:rPr>
                      <w:rFonts w:ascii="Cambria Math" w:hAnsi="Cambria Math"/>
                      <w:iCs/>
                      <w:sz w:val="24"/>
                      <w:szCs w:val="28"/>
                      <w:highlight w:val="none"/>
                    </w:rPr>
                  </m:ctrlPr>
                </m:sub>
              </m:sSub>
            </m:oMath>
            <w:r>
              <w:rPr>
                <w:kern w:val="0"/>
                <w:sz w:val="24"/>
                <w:szCs w:val="28"/>
                <w:highlight w:val="none"/>
              </w:rPr>
              <w:t>——</w:t>
            </w:r>
          </w:p>
        </w:tc>
        <w:tc>
          <w:tcPr>
            <w:tcW w:w="8474" w:type="dxa"/>
            <w:vAlign w:val="center"/>
          </w:tcPr>
          <w:p>
            <w:pPr>
              <w:adjustRightInd w:val="0"/>
              <w:snapToGrid w:val="0"/>
              <w:spacing w:line="360" w:lineRule="auto"/>
              <w:rPr>
                <w:kern w:val="0"/>
                <w:sz w:val="24"/>
                <w:szCs w:val="28"/>
                <w:highlight w:val="none"/>
              </w:rPr>
            </w:pPr>
            <w:bookmarkStart w:id="581" w:name="_Toc515893945"/>
            <w:bookmarkStart w:id="582" w:name="_Toc504570002"/>
            <w:bookmarkStart w:id="583" w:name="_Toc535338399"/>
            <w:bookmarkStart w:id="584" w:name="_Toc515087741"/>
            <w:bookmarkStart w:id="585" w:name="_Toc532461033"/>
            <w:bookmarkStart w:id="586" w:name="_Toc7976085"/>
            <w:bookmarkStart w:id="587" w:name="_Toc9927651"/>
            <w:bookmarkStart w:id="588" w:name="_Toc532464310"/>
            <w:bookmarkStart w:id="589" w:name="_Toc534633685"/>
            <w:bookmarkStart w:id="590" w:name="_Toc519683910"/>
            <w:bookmarkStart w:id="591" w:name="_Toc519684093"/>
            <w:bookmarkStart w:id="592" w:name="_Toc535475951"/>
            <w:bookmarkStart w:id="593" w:name="_Toc25690880"/>
            <w:bookmarkStart w:id="594" w:name="_Toc19545233"/>
            <w:bookmarkStart w:id="595" w:name="_Toc19545503"/>
            <w:bookmarkStart w:id="596" w:name="_Toc25070349"/>
            <w:bookmarkStart w:id="597" w:name="_Toc25690609"/>
            <w:bookmarkStart w:id="598" w:name="_Toc25070651"/>
            <w:r>
              <w:rPr>
                <w:kern w:val="0"/>
                <w:sz w:val="24"/>
                <w:szCs w:val="28"/>
                <w:highlight w:val="none"/>
              </w:rPr>
              <w:t>竖向钢筋强度利用系数，对砖砌体，取</w:t>
            </w:r>
            <m:oMath>
              <m:sSub>
                <m:sSubPr>
                  <m:ctrlPr>
                    <w:rPr>
                      <w:rFonts w:ascii="Cambria Math" w:hAnsi="Cambria Math"/>
                      <w:iCs/>
                      <w:sz w:val="24"/>
                      <w:szCs w:val="28"/>
                      <w:highlight w:val="none"/>
                    </w:rPr>
                  </m:ctrlPr>
                </m:sSubPr>
                <m:e>
                  <m:r>
                    <m:rPr>
                      <m:nor/>
                    </m:rPr>
                    <w:rPr>
                      <w:rFonts w:ascii="Cambria Math" w:hAnsi="Cambria Math"/>
                      <w:i/>
                      <w:sz w:val="24"/>
                      <w:szCs w:val="28"/>
                      <w:highlight w:val="none"/>
                    </w:rPr>
                    <m:t>α</m:t>
                  </m:r>
                  <m:ctrlPr>
                    <w:rPr>
                      <w:rFonts w:ascii="Cambria Math" w:hAnsi="Cambria Math"/>
                      <w:iCs/>
                      <w:sz w:val="24"/>
                      <w:szCs w:val="28"/>
                      <w:highlight w:val="none"/>
                    </w:rPr>
                  </m:ctrlPr>
                </m:e>
                <m:sub>
                  <m:r>
                    <m:rPr>
                      <m:nor/>
                      <m:sty m:val="p"/>
                    </m:rPr>
                    <w:rPr>
                      <w:rFonts w:ascii="Cambria Math" w:hAnsi="Cambria Math"/>
                      <w:b w:val="0"/>
                      <w:i w:val="0"/>
                      <w:iCs/>
                      <w:sz w:val="24"/>
                      <w:szCs w:val="28"/>
                      <w:highlight w:val="none"/>
                    </w:rPr>
                    <m:t>sv</m:t>
                  </m:r>
                  <w:bookmarkEnd w:id="581"/>
                  <w:bookmarkEnd w:id="582"/>
                  <w:bookmarkEnd w:id="583"/>
                  <w:bookmarkEnd w:id="584"/>
                  <w:bookmarkEnd w:id="585"/>
                  <w:bookmarkEnd w:id="586"/>
                  <w:bookmarkEnd w:id="587"/>
                  <w:bookmarkEnd w:id="588"/>
                  <w:bookmarkEnd w:id="589"/>
                  <w:bookmarkEnd w:id="590"/>
                  <w:bookmarkEnd w:id="591"/>
                  <w:bookmarkEnd w:id="592"/>
                  <m:ctrlPr>
                    <w:rPr>
                      <w:rFonts w:ascii="Cambria Math" w:hAnsi="Cambria Math"/>
                      <w:iCs/>
                      <w:sz w:val="24"/>
                      <w:szCs w:val="28"/>
                      <w:highlight w:val="none"/>
                    </w:rPr>
                  </m:ctrlPr>
                </m:sub>
              </m:sSub>
            </m:oMath>
            <w:r>
              <w:rPr>
                <w:rFonts w:hint="eastAsia"/>
                <w:kern w:val="0"/>
                <w:sz w:val="24"/>
                <w:szCs w:val="28"/>
                <w:highlight w:val="none"/>
              </w:rPr>
              <w:t>=</w:t>
            </w:r>
            <w:r>
              <w:rPr>
                <w:kern w:val="0"/>
                <w:sz w:val="24"/>
                <w:szCs w:val="28"/>
                <w:highlight w:val="none"/>
              </w:rPr>
              <w:t>0.80</w:t>
            </w:r>
            <w:r>
              <w:rPr>
                <w:rFonts w:hint="eastAsia"/>
                <w:kern w:val="0"/>
                <w:sz w:val="24"/>
                <w:szCs w:val="28"/>
                <w:highlight w:val="none"/>
              </w:rPr>
              <w:t>；</w:t>
            </w:r>
            <w:r>
              <w:rPr>
                <w:kern w:val="0"/>
                <w:sz w:val="24"/>
                <w:szCs w:val="28"/>
                <w:highlight w:val="none"/>
              </w:rPr>
              <w:t>对混凝土小型空心砌块砌体，取</w:t>
            </w:r>
            <m:oMath>
              <m:sSub>
                <m:sSubPr>
                  <m:ctrlPr>
                    <w:rPr>
                      <w:rFonts w:ascii="Cambria Math" w:hAnsi="Cambria Math"/>
                      <w:iCs/>
                      <w:sz w:val="24"/>
                      <w:szCs w:val="28"/>
                      <w:highlight w:val="none"/>
                    </w:rPr>
                  </m:ctrlPr>
                </m:sSubPr>
                <m:e>
                  <m:r>
                    <m:rPr>
                      <m:nor/>
                    </m:rPr>
                    <w:rPr>
                      <w:rFonts w:ascii="Cambria Math" w:hAnsi="Cambria Math"/>
                      <w:i/>
                      <w:sz w:val="24"/>
                      <w:szCs w:val="28"/>
                      <w:highlight w:val="none"/>
                    </w:rPr>
                    <m:t>α</m:t>
                  </m:r>
                  <m:ctrlPr>
                    <w:rPr>
                      <w:rFonts w:ascii="Cambria Math" w:hAnsi="Cambria Math"/>
                      <w:iCs/>
                      <w:sz w:val="24"/>
                      <w:szCs w:val="28"/>
                      <w:highlight w:val="none"/>
                    </w:rPr>
                  </m:ctrlPr>
                </m:e>
                <m:sub>
                  <m:r>
                    <m:rPr>
                      <m:nor/>
                      <m:sty m:val="p"/>
                    </m:rPr>
                    <w:rPr>
                      <w:rFonts w:ascii="Cambria Math" w:hAnsi="Cambria Math"/>
                      <w:b w:val="0"/>
                      <w:i w:val="0"/>
                      <w:iCs/>
                      <w:sz w:val="24"/>
                      <w:szCs w:val="28"/>
                      <w:highlight w:val="none"/>
                    </w:rPr>
                    <m:t>sv</m:t>
                  </m:r>
                  <m:ctrlPr>
                    <w:rPr>
                      <w:rFonts w:ascii="Cambria Math" w:hAnsi="Cambria Math"/>
                      <w:iCs/>
                      <w:sz w:val="24"/>
                      <w:szCs w:val="28"/>
                      <w:highlight w:val="none"/>
                    </w:rPr>
                  </m:ctrlPr>
                </m:sub>
              </m:sSub>
            </m:oMath>
            <w:r>
              <w:rPr>
                <w:rFonts w:hint="eastAsia"/>
                <w:kern w:val="0"/>
                <w:sz w:val="24"/>
                <w:szCs w:val="28"/>
                <w:highlight w:val="none"/>
              </w:rPr>
              <w:t>=</w:t>
            </w:r>
            <w:r>
              <w:rPr>
                <w:kern w:val="0"/>
                <w:sz w:val="24"/>
                <w:szCs w:val="28"/>
                <w:highlight w:val="none"/>
              </w:rPr>
              <w:t>0.70</w:t>
            </w:r>
            <w:r>
              <w:rPr>
                <w:sz w:val="24"/>
                <w:szCs w:val="28"/>
                <w:highlight w:val="none"/>
              </w:rPr>
              <w:t>；</w:t>
            </w:r>
            <w:bookmarkEnd w:id="593"/>
            <w:bookmarkEnd w:id="594"/>
            <w:bookmarkEnd w:id="595"/>
            <w:bookmarkEnd w:id="596"/>
            <w:bookmarkEnd w:id="597"/>
            <w:bookmarkEnd w:id="598"/>
          </w:p>
        </w:tc>
      </w:tr>
      <w:tr>
        <w:tblPrEx>
          <w:tblCellMar>
            <w:top w:w="0" w:type="dxa"/>
            <w:left w:w="108" w:type="dxa"/>
            <w:bottom w:w="0" w:type="dxa"/>
            <w:right w:w="108" w:type="dxa"/>
          </w:tblCellMar>
        </w:tblPrEx>
        <w:tc>
          <w:tcPr>
            <w:tcW w:w="1384" w:type="dxa"/>
          </w:tcPr>
          <w:p>
            <w:pPr>
              <w:tabs>
                <w:tab w:val="left" w:pos="2565"/>
              </w:tabs>
              <w:adjustRightInd w:val="0"/>
              <w:snapToGrid w:val="0"/>
              <w:spacing w:line="360" w:lineRule="auto"/>
              <w:ind w:right="-105" w:rightChars="-50"/>
              <w:jc w:val="right"/>
              <w:rPr>
                <w:kern w:val="0"/>
                <w:position w:val="-10"/>
                <w:sz w:val="24"/>
                <w:szCs w:val="28"/>
                <w:highlight w:val="none"/>
              </w:rPr>
            </w:pPr>
            <w:r>
              <w:rPr>
                <w:position w:val="-14"/>
                <w:sz w:val="24"/>
                <w:szCs w:val="28"/>
                <w:highlight w:val="none"/>
              </w:rPr>
              <w:object>
                <v:shape id="_x0000_i1064" o:spt="75" type="#_x0000_t75" style="height:19pt;width:15.05pt;" o:ole="t" filled="f" o:preferrelative="t" stroked="f" coordsize="21600,21600">
                  <v:path/>
                  <v:fill on="f" focussize="0,0"/>
                  <v:stroke on="f" joinstyle="miter"/>
                  <v:imagedata r:id="rId88" o:title=""/>
                  <o:lock v:ext="edit" aspectratio="t"/>
                  <w10:wrap type="none"/>
                  <w10:anchorlock/>
                </v:shape>
                <o:OLEObject Type="Embed" ProgID="Equation.DSMT4" ShapeID="_x0000_i1064" DrawAspect="Content" ObjectID="_1468075763" r:id="rId87">
                  <o:LockedField>false</o:LockedField>
                </o:OLEObject>
              </w:object>
            </w:r>
            <w:r>
              <w:rPr>
                <w:kern w:val="0"/>
                <w:sz w:val="24"/>
                <w:szCs w:val="28"/>
                <w:highlight w:val="none"/>
              </w:rPr>
              <w:t>——</w:t>
            </w:r>
          </w:p>
        </w:tc>
        <w:tc>
          <w:tcPr>
            <w:tcW w:w="8474" w:type="dxa"/>
            <w:vAlign w:val="center"/>
          </w:tcPr>
          <w:p>
            <w:pPr>
              <w:adjustRightInd w:val="0"/>
              <w:snapToGrid w:val="0"/>
              <w:spacing w:line="360" w:lineRule="auto"/>
              <w:rPr>
                <w:kern w:val="0"/>
                <w:sz w:val="24"/>
                <w:szCs w:val="28"/>
                <w:highlight w:val="none"/>
              </w:rPr>
            </w:pPr>
            <w:bookmarkStart w:id="599" w:name="_Toc519684094"/>
            <w:bookmarkStart w:id="600" w:name="_Toc25070350"/>
            <w:bookmarkStart w:id="601" w:name="_Toc9927652"/>
            <w:bookmarkStart w:id="602" w:name="_Toc515087742"/>
            <w:bookmarkStart w:id="603" w:name="_Toc532464311"/>
            <w:bookmarkStart w:id="604" w:name="_Toc25070652"/>
            <w:bookmarkStart w:id="605" w:name="_Toc532461034"/>
            <w:bookmarkStart w:id="606" w:name="_Toc25690610"/>
            <w:bookmarkStart w:id="607" w:name="_Toc25690881"/>
            <w:bookmarkStart w:id="608" w:name="_Toc519683911"/>
            <w:bookmarkStart w:id="609" w:name="_Toc10207167"/>
            <w:bookmarkStart w:id="610" w:name="_Toc535475952"/>
            <w:bookmarkStart w:id="611" w:name="_Toc534633686"/>
            <w:bookmarkStart w:id="612" w:name="_Toc19545234"/>
            <w:bookmarkStart w:id="613" w:name="_Toc19545504"/>
            <w:bookmarkStart w:id="614" w:name="_Toc535338400"/>
            <w:bookmarkStart w:id="615" w:name="_Toc515893946"/>
            <w:bookmarkStart w:id="616" w:name="_Toc504570003"/>
            <w:bookmarkStart w:id="617" w:name="_Toc7976086"/>
            <w:r>
              <w:rPr>
                <w:kern w:val="0"/>
                <w:sz w:val="24"/>
                <w:szCs w:val="28"/>
                <w:highlight w:val="none"/>
              </w:rPr>
              <w:t>新增竖向钢筋抗压强度设计值；</w:t>
            </w:r>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p>
        </w:tc>
      </w:tr>
      <w:tr>
        <w:tblPrEx>
          <w:tblCellMar>
            <w:top w:w="0" w:type="dxa"/>
            <w:left w:w="108" w:type="dxa"/>
            <w:bottom w:w="0" w:type="dxa"/>
            <w:right w:w="108" w:type="dxa"/>
          </w:tblCellMar>
        </w:tblPrEx>
        <w:tc>
          <w:tcPr>
            <w:tcW w:w="1384" w:type="dxa"/>
          </w:tcPr>
          <w:p>
            <w:pPr>
              <w:tabs>
                <w:tab w:val="left" w:pos="2565"/>
              </w:tabs>
              <w:adjustRightInd w:val="0"/>
              <w:snapToGrid w:val="0"/>
              <w:spacing w:line="360" w:lineRule="auto"/>
              <w:ind w:right="-105" w:rightChars="-50"/>
              <w:jc w:val="right"/>
              <w:rPr>
                <w:kern w:val="0"/>
                <w:position w:val="-10"/>
                <w:sz w:val="24"/>
                <w:szCs w:val="28"/>
                <w:highlight w:val="none"/>
              </w:rPr>
            </w:pPr>
            <w:r>
              <w:rPr>
                <w:position w:val="-10"/>
                <w:sz w:val="24"/>
                <w:szCs w:val="28"/>
                <w:highlight w:val="none"/>
              </w:rPr>
              <w:object>
                <v:shape id="_x0000_i1065" o:spt="75" type="#_x0000_t75" style="height:15.05pt;width:15.05pt;" o:ole="t" filled="f" o:preferrelative="t" stroked="f" coordsize="21600,21600">
                  <v:path/>
                  <v:fill on="f" focussize="0,0"/>
                  <v:stroke on="f" joinstyle="miter"/>
                  <v:imagedata r:id="rId90" o:title=""/>
                  <o:lock v:ext="edit" aspectratio="t"/>
                  <w10:wrap type="none"/>
                  <w10:anchorlock/>
                </v:shape>
                <o:OLEObject Type="Embed" ProgID="Equation.DSMT4" ShapeID="_x0000_i1065" DrawAspect="Content" ObjectID="_1468075764" r:id="rId89">
                  <o:LockedField>false</o:LockedField>
                </o:OLEObject>
              </w:object>
            </w:r>
            <w:r>
              <w:rPr>
                <w:kern w:val="0"/>
                <w:sz w:val="24"/>
                <w:szCs w:val="28"/>
                <w:highlight w:val="none"/>
              </w:rPr>
              <w:t>——</w:t>
            </w:r>
          </w:p>
        </w:tc>
        <w:tc>
          <w:tcPr>
            <w:tcW w:w="8474" w:type="dxa"/>
            <w:vAlign w:val="center"/>
          </w:tcPr>
          <w:p>
            <w:pPr>
              <w:adjustRightInd w:val="0"/>
              <w:snapToGrid w:val="0"/>
              <w:spacing w:line="360" w:lineRule="auto"/>
              <w:rPr>
                <w:kern w:val="0"/>
                <w:sz w:val="24"/>
                <w:szCs w:val="28"/>
                <w:highlight w:val="none"/>
              </w:rPr>
            </w:pPr>
            <w:bookmarkStart w:id="618" w:name="_Toc535338401"/>
            <w:bookmarkStart w:id="619" w:name="_Toc25070351"/>
            <w:bookmarkStart w:id="620" w:name="_Toc504570004"/>
            <w:bookmarkStart w:id="621" w:name="_Toc519684095"/>
            <w:bookmarkStart w:id="622" w:name="_Toc535475953"/>
            <w:bookmarkStart w:id="623" w:name="_Toc19545235"/>
            <w:bookmarkStart w:id="624" w:name="_Toc532461035"/>
            <w:bookmarkStart w:id="625" w:name="_Toc515087743"/>
            <w:bookmarkStart w:id="626" w:name="_Toc9927653"/>
            <w:bookmarkStart w:id="627" w:name="_Toc519683912"/>
            <w:bookmarkStart w:id="628" w:name="_Toc7976087"/>
            <w:bookmarkStart w:id="629" w:name="_Toc25690611"/>
            <w:bookmarkStart w:id="630" w:name="_Toc532464312"/>
            <w:bookmarkStart w:id="631" w:name="_Toc515893947"/>
            <w:bookmarkStart w:id="632" w:name="_Toc10207168"/>
            <w:bookmarkStart w:id="633" w:name="_Toc25070653"/>
            <w:bookmarkStart w:id="634" w:name="_Toc19545505"/>
            <w:bookmarkStart w:id="635" w:name="_Toc534633687"/>
            <w:bookmarkStart w:id="636" w:name="_Toc25690882"/>
            <w:r>
              <w:rPr>
                <w:kern w:val="0"/>
                <w:sz w:val="24"/>
                <w:szCs w:val="28"/>
                <w:highlight w:val="none"/>
              </w:rPr>
              <w:t>新增受压区竖向钢筋截面面积。</w:t>
            </w:r>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p>
        </w:tc>
      </w:tr>
    </w:tbl>
    <w:p>
      <w:pPr>
        <w:spacing w:line="360" w:lineRule="auto"/>
        <w:jc w:val="left"/>
        <w:rPr>
          <w:sz w:val="24"/>
          <w:szCs w:val="28"/>
          <w:highlight w:val="none"/>
        </w:rPr>
      </w:pPr>
      <w:bookmarkStart w:id="637" w:name="_Toc535475954"/>
      <w:bookmarkStart w:id="638" w:name="_Toc7976088"/>
      <w:bookmarkStart w:id="639" w:name="_Toc9927654"/>
      <w:bookmarkStart w:id="640" w:name="_Toc19545236"/>
      <w:bookmarkStart w:id="641" w:name="_Toc532464313"/>
      <w:bookmarkStart w:id="642" w:name="_Toc19545506"/>
      <w:bookmarkStart w:id="643" w:name="_Toc25070352"/>
      <w:bookmarkStart w:id="644" w:name="_Toc519683923"/>
      <w:bookmarkStart w:id="645" w:name="_Toc515893948"/>
      <w:bookmarkStart w:id="646" w:name="_Toc534633688"/>
      <w:bookmarkStart w:id="647" w:name="_Toc25690883"/>
      <w:bookmarkStart w:id="648" w:name="_Toc532461036"/>
      <w:bookmarkStart w:id="649" w:name="_Toc515087744"/>
      <w:bookmarkStart w:id="650" w:name="_Toc25690612"/>
      <w:bookmarkStart w:id="651" w:name="_Toc504570005"/>
      <w:bookmarkStart w:id="652" w:name="_Toc535338402"/>
      <w:bookmarkStart w:id="653" w:name="_Toc25070654"/>
      <w:bookmarkStart w:id="654" w:name="_Toc10207169"/>
      <w:bookmarkStart w:id="655" w:name="_Toc519684106"/>
      <w:r>
        <w:rPr>
          <w:rFonts w:eastAsia="黑体"/>
          <w:b/>
          <w:sz w:val="24"/>
          <w:szCs w:val="28"/>
          <w:highlight w:val="none"/>
        </w:rPr>
        <w:t>5.2.2</w:t>
      </w:r>
      <w:r>
        <w:rPr>
          <w:rFonts w:eastAsia="黑体"/>
          <w:sz w:val="24"/>
          <w:szCs w:val="28"/>
          <w:highlight w:val="none"/>
        </w:rPr>
        <w:t xml:space="preserve">  </w:t>
      </w:r>
      <w:r>
        <w:rPr>
          <w:sz w:val="24"/>
          <w:szCs w:val="28"/>
          <w:highlight w:val="none"/>
        </w:rPr>
        <w:t>采用高延性混凝土面层或配筋高延性混凝土面层加固偏心受压的砌体构件（图5.2.2）时，其正截面受压承载力应按下列公式验算：</w:t>
      </w:r>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p>
    <w:p>
      <w:pPr>
        <w:wordWrap w:val="0"/>
        <w:spacing w:line="312" w:lineRule="auto"/>
        <w:ind w:right="90"/>
        <w:jc w:val="right"/>
        <w:rPr>
          <w:sz w:val="24"/>
          <w:szCs w:val="28"/>
          <w:highlight w:val="none"/>
        </w:rPr>
      </w:pPr>
      <w:bookmarkStart w:id="656" w:name="_Toc515893949"/>
      <w:bookmarkStart w:id="657" w:name="_Toc519684107"/>
      <w:bookmarkStart w:id="658" w:name="_Toc19545237"/>
      <w:bookmarkStart w:id="659" w:name="_Toc7976089"/>
      <w:bookmarkStart w:id="660" w:name="_Toc25070655"/>
      <w:bookmarkStart w:id="661" w:name="_Toc504570006"/>
      <w:bookmarkStart w:id="662" w:name="_Toc519683924"/>
      <w:bookmarkStart w:id="663" w:name="_Toc10207170"/>
      <w:bookmarkStart w:id="664" w:name="_Toc535475955"/>
      <w:bookmarkStart w:id="665" w:name="_Toc25070353"/>
      <w:bookmarkStart w:id="666" w:name="_Toc25690884"/>
      <w:bookmarkStart w:id="667" w:name="_Toc19545507"/>
      <w:bookmarkStart w:id="668" w:name="_Toc535338403"/>
      <w:bookmarkStart w:id="669" w:name="_Toc9927655"/>
      <w:bookmarkStart w:id="670" w:name="_Toc515087745"/>
      <w:bookmarkStart w:id="671" w:name="_Toc532464314"/>
      <w:bookmarkStart w:id="672" w:name="_Toc25690613"/>
      <w:bookmarkStart w:id="673" w:name="_Toc532461037"/>
      <w:bookmarkStart w:id="674" w:name="_Toc534633689"/>
      <w:r>
        <w:rPr>
          <w:sz w:val="24"/>
          <w:szCs w:val="28"/>
          <w:highlight w:val="none"/>
        </w:rPr>
        <w:object>
          <v:shape id="_x0000_i1066" o:spt="75" type="#_x0000_t75" style="height:15.45pt;width:185pt;" o:ole="t" filled="f" o:preferrelative="t" stroked="f" coordsize="21600,21600">
            <v:path/>
            <v:fill on="f" focussize="0,0"/>
            <v:stroke on="f"/>
            <v:imagedata r:id="rId92" cropbottom="12245f" o:title=""/>
            <o:lock v:ext="edit" aspectratio="f"/>
            <w10:wrap type="none"/>
            <w10:anchorlock/>
          </v:shape>
          <o:OLEObject Type="Embed" ProgID="" ShapeID="_x0000_i1066" DrawAspect="Content" ObjectID="_1468075765" r:id="rId91">
            <o:LockedField>false</o:LockedField>
          </o:OLEObject>
        </w:object>
      </w:r>
      <w:r>
        <w:rPr>
          <w:sz w:val="24"/>
          <w:szCs w:val="28"/>
          <w:highlight w:val="none"/>
        </w:rPr>
        <w:t xml:space="preserve"> </w:t>
      </w:r>
      <w:r>
        <w:rPr>
          <w:rFonts w:hint="eastAsia"/>
          <w:sz w:val="24"/>
          <w:szCs w:val="28"/>
          <w:highlight w:val="none"/>
          <w:lang w:val="en-US" w:eastAsia="zh-CN"/>
        </w:rPr>
        <w:t xml:space="preserve">             </w:t>
      </w:r>
      <w:r>
        <w:rPr>
          <w:sz w:val="24"/>
          <w:szCs w:val="28"/>
          <w:highlight w:val="none"/>
        </w:rPr>
        <w:t xml:space="preserve"> （5.2.2-1）</w:t>
      </w:r>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p>
    <w:p>
      <w:pPr>
        <w:spacing w:line="312" w:lineRule="auto"/>
        <w:ind w:right="90"/>
        <w:jc w:val="right"/>
        <w:rPr>
          <w:sz w:val="24"/>
          <w:szCs w:val="28"/>
          <w:highlight w:val="none"/>
        </w:rPr>
      </w:pPr>
      <w:bookmarkStart w:id="675" w:name="_Toc25070354"/>
      <w:bookmarkStart w:id="676" w:name="_Toc25070656"/>
      <w:bookmarkStart w:id="677" w:name="_Toc534633690"/>
      <w:bookmarkStart w:id="678" w:name="_Toc515087746"/>
      <w:bookmarkStart w:id="679" w:name="_Toc504570007"/>
      <w:bookmarkStart w:id="680" w:name="_Toc25690885"/>
      <w:bookmarkStart w:id="681" w:name="_Toc7976090"/>
      <w:bookmarkStart w:id="682" w:name="_Toc25690614"/>
      <w:bookmarkStart w:id="683" w:name="_Toc532464315"/>
      <w:bookmarkStart w:id="684" w:name="_Toc535338404"/>
      <w:bookmarkStart w:id="685" w:name="_Toc532461038"/>
      <w:bookmarkStart w:id="686" w:name="_Toc10207171"/>
      <w:bookmarkStart w:id="687" w:name="_Toc19545508"/>
      <w:bookmarkStart w:id="688" w:name="_Toc519684108"/>
      <w:bookmarkStart w:id="689" w:name="_Toc9927656"/>
      <w:bookmarkStart w:id="690" w:name="_Toc19545238"/>
      <w:bookmarkStart w:id="691" w:name="_Toc519683925"/>
      <w:bookmarkStart w:id="692" w:name="_Toc535475956"/>
      <w:bookmarkStart w:id="693" w:name="_Toc515893950"/>
      <w:r>
        <w:rPr>
          <w:rFonts w:hint="eastAsia"/>
          <w:position w:val="-14"/>
          <w:sz w:val="24"/>
          <w:szCs w:val="28"/>
          <w:highlight w:val="none"/>
        </w:rPr>
        <w:object>
          <v:shape id="_x0000_i1067" o:spt="75" type="#_x0000_t75" style="height:19pt;width:210.85pt;" o:ole="t" filled="f" o:preferrelative="t" stroked="f" coordsize="21600,21600">
            <v:path/>
            <v:fill on="f" focussize="0,0"/>
            <v:stroke on="f" joinstyle="miter"/>
            <v:imagedata r:id="rId94" o:title=""/>
            <o:lock v:ext="edit" aspectratio="t"/>
            <w10:wrap type="none"/>
            <w10:anchorlock/>
          </v:shape>
          <o:OLEObject Type="Embed" ProgID="Equation.KSEE3" ShapeID="_x0000_i1067" DrawAspect="Content" ObjectID="_1468075766" r:id="rId93">
            <o:LockedField>false</o:LockedField>
          </o:OLEObject>
        </w:object>
      </w:r>
      <w:r>
        <w:rPr>
          <w:sz w:val="24"/>
          <w:szCs w:val="28"/>
          <w:highlight w:val="none"/>
        </w:rPr>
        <w:t xml:space="preserve">  </w:t>
      </w:r>
      <w:r>
        <w:rPr>
          <w:rFonts w:hint="eastAsia"/>
          <w:sz w:val="24"/>
          <w:szCs w:val="28"/>
          <w:highlight w:val="none"/>
          <w:lang w:val="en-US" w:eastAsia="zh-CN"/>
        </w:rPr>
        <w:t xml:space="preserve">           </w:t>
      </w:r>
      <w:r>
        <w:rPr>
          <w:sz w:val="24"/>
          <w:szCs w:val="28"/>
          <w:highlight w:val="none"/>
        </w:rPr>
        <w:t>（5.2.2-2）</w:t>
      </w:r>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p>
    <w:p>
      <w:pPr>
        <w:spacing w:line="312" w:lineRule="auto"/>
        <w:ind w:firstLine="480" w:firstLineChars="200"/>
        <w:jc w:val="left"/>
        <w:rPr>
          <w:sz w:val="24"/>
          <w:szCs w:val="28"/>
          <w:highlight w:val="none"/>
        </w:rPr>
      </w:pPr>
      <w:bookmarkStart w:id="694" w:name="_Toc9927657"/>
      <w:bookmarkStart w:id="695" w:name="_Toc25690615"/>
      <w:bookmarkStart w:id="696" w:name="_Toc535338405"/>
      <w:bookmarkStart w:id="697" w:name="_Toc25070657"/>
      <w:bookmarkStart w:id="698" w:name="_Toc10207172"/>
      <w:bookmarkStart w:id="699" w:name="_Toc519684109"/>
      <w:bookmarkStart w:id="700" w:name="_Toc7976091"/>
      <w:bookmarkStart w:id="701" w:name="_Toc535475957"/>
      <w:bookmarkStart w:id="702" w:name="_Toc515087747"/>
      <w:bookmarkStart w:id="703" w:name="_Toc519683926"/>
      <w:bookmarkStart w:id="704" w:name="_Toc25690886"/>
      <w:bookmarkStart w:id="705" w:name="_Toc19545509"/>
      <w:bookmarkStart w:id="706" w:name="_Toc534633691"/>
      <w:bookmarkStart w:id="707" w:name="_Toc504570008"/>
      <w:bookmarkStart w:id="708" w:name="_Toc25070355"/>
      <w:bookmarkStart w:id="709" w:name="_Toc532464316"/>
      <w:bookmarkStart w:id="710" w:name="_Toc515893951"/>
      <w:bookmarkStart w:id="711" w:name="_Toc532461039"/>
      <w:bookmarkStart w:id="712" w:name="_Toc19545239"/>
      <w:r>
        <w:rPr>
          <w:sz w:val="24"/>
          <w:szCs w:val="28"/>
          <w:highlight w:val="none"/>
        </w:rPr>
        <w:t>此时，钢筋的应力</w:t>
      </w:r>
      <w:r>
        <w:rPr>
          <w:position w:val="-10"/>
          <w:sz w:val="24"/>
          <w:szCs w:val="28"/>
          <w:highlight w:val="none"/>
        </w:rPr>
        <w:object>
          <v:shape id="_x0000_i1068" o:spt="75" type="#_x0000_t75" style="height:15.8pt;width:13.05pt;" o:ole="t" filled="f" o:preferrelative="t" stroked="f" coordsize="21600,21600">
            <v:path/>
            <v:fill on="f" focussize="0,0"/>
            <v:stroke on="f" joinstyle="miter"/>
            <v:imagedata r:id="rId96" o:title=""/>
            <o:lock v:ext="edit" aspectratio="t"/>
            <w10:wrap type="none"/>
            <w10:anchorlock/>
          </v:shape>
          <o:OLEObject Type="Embed" ProgID="Equation.DSMT4" ShapeID="_x0000_i1068" DrawAspect="Content" ObjectID="_1468075767" r:id="rId95">
            <o:LockedField>false</o:LockedField>
          </o:OLEObject>
        </w:object>
      </w:r>
      <w:r>
        <w:rPr>
          <w:sz w:val="24"/>
          <w:szCs w:val="28"/>
          <w:highlight w:val="none"/>
        </w:rPr>
        <w:t>（单位为MPa，</w:t>
      </w:r>
      <w:r>
        <w:rPr>
          <w:rFonts w:hint="eastAsia"/>
          <w:sz w:val="24"/>
          <w:szCs w:val="28"/>
          <w:highlight w:val="none"/>
        </w:rPr>
        <w:t>拉应力为正值，压应力为负值</w:t>
      </w:r>
      <w:r>
        <w:rPr>
          <w:sz w:val="24"/>
          <w:szCs w:val="28"/>
          <w:highlight w:val="none"/>
        </w:rPr>
        <w:t>），应根据截面受压区相对高度</w:t>
      </w:r>
      <w:r>
        <w:rPr>
          <w:position w:val="-10"/>
          <w:sz w:val="24"/>
          <w:szCs w:val="28"/>
          <w:highlight w:val="none"/>
        </w:rPr>
        <w:object>
          <v:shape id="_x0000_i1069" o:spt="75" type="#_x0000_t75" style="height:15.05pt;width:11.45pt;" o:ole="t" filled="f" o:preferrelative="t" stroked="f" coordsize="21600,21600">
            <v:path/>
            <v:fill on="f" focussize="0,0"/>
            <v:stroke on="f" joinstyle="miter"/>
            <v:imagedata r:id="rId98" o:title=""/>
            <o:lock v:ext="edit" aspectratio="t"/>
            <w10:wrap type="none"/>
            <w10:anchorlock/>
          </v:shape>
          <o:OLEObject Type="Embed" ProgID="Equation.DSMT4" ShapeID="_x0000_i1069" DrawAspect="Content" ObjectID="_1468075768" r:id="rId97">
            <o:LockedField>false</o:LockedField>
          </o:OLEObject>
        </w:object>
      </w:r>
      <w:r>
        <w:rPr>
          <w:sz w:val="24"/>
          <w:szCs w:val="28"/>
          <w:highlight w:val="none"/>
        </w:rPr>
        <w:t>，按下列规定确定：</w:t>
      </w:r>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p>
    <w:p>
      <w:pPr>
        <w:spacing w:line="312" w:lineRule="auto"/>
        <w:ind w:firstLine="480" w:firstLineChars="200"/>
        <w:jc w:val="left"/>
        <w:rPr>
          <w:sz w:val="24"/>
          <w:szCs w:val="28"/>
          <w:highlight w:val="none"/>
        </w:rPr>
      </w:pPr>
      <w:bookmarkStart w:id="713" w:name="_Toc7976092"/>
      <w:bookmarkStart w:id="714" w:name="_Toc25690616"/>
      <w:bookmarkStart w:id="715" w:name="_Toc19545240"/>
      <w:bookmarkStart w:id="716" w:name="_Toc519683927"/>
      <w:bookmarkStart w:id="717" w:name="_Toc19545510"/>
      <w:bookmarkStart w:id="718" w:name="_Toc532464317"/>
      <w:bookmarkStart w:id="719" w:name="_Toc519684110"/>
      <w:bookmarkStart w:id="720" w:name="_Toc535338406"/>
      <w:bookmarkStart w:id="721" w:name="_Toc532461040"/>
      <w:bookmarkStart w:id="722" w:name="_Toc515087748"/>
      <w:bookmarkStart w:id="723" w:name="_Toc535475958"/>
      <w:bookmarkStart w:id="724" w:name="_Toc25690887"/>
      <w:bookmarkStart w:id="725" w:name="_Toc515893952"/>
      <w:bookmarkStart w:id="726" w:name="_Toc9927658"/>
      <w:bookmarkStart w:id="727" w:name="_Toc25070658"/>
      <w:bookmarkStart w:id="728" w:name="_Toc25070356"/>
      <w:bookmarkStart w:id="729" w:name="_Toc10207173"/>
      <w:bookmarkStart w:id="730" w:name="_Toc504570009"/>
      <w:bookmarkStart w:id="731" w:name="_Toc534633692"/>
      <w:r>
        <w:rPr>
          <w:sz w:val="24"/>
          <w:szCs w:val="28"/>
          <w:highlight w:val="none"/>
        </w:rPr>
        <w:t>当</w:t>
      </w:r>
      <w:r>
        <w:rPr>
          <w:sz w:val="24"/>
          <w:szCs w:val="28"/>
          <w:highlight w:val="none"/>
        </w:rPr>
        <w:fldChar w:fldCharType="begin"/>
      </w:r>
      <w:r>
        <w:rPr>
          <w:sz w:val="24"/>
          <w:szCs w:val="28"/>
          <w:highlight w:val="none"/>
        </w:rPr>
        <w:instrText xml:space="preserve"> QUOTE </w:instrText>
      </w:r>
      <m:oMath>
        <m:r>
          <m:rPr>
            <m:sty m:val="p"/>
          </m:rPr>
          <w:rPr>
            <w:rFonts w:ascii="Cambria Math" w:hAnsi="Cambria Math"/>
            <w:sz w:val="24"/>
            <w:szCs w:val="28"/>
            <w:highlight w:val="none"/>
          </w:rPr>
          <m:t xml:space="preserve">ξ&gt;</m:t>
        </m:r>
        <m:sSub>
          <m:sSubPr>
            <m:ctrlPr>
              <w:rPr>
                <w:rFonts w:ascii="Cambria Math" w:hAnsi="Cambria Math"/>
                <w:sz w:val="24"/>
                <w:szCs w:val="28"/>
                <w:highlight w:val="none"/>
              </w:rPr>
            </m:ctrlPr>
          </m:sSubPr>
          <m:e>
            <m:r>
              <m:rPr>
                <m:sty m:val="p"/>
              </m:rPr>
              <w:rPr>
                <w:rFonts w:ascii="Cambria Math" w:hAnsi="Cambria Math"/>
                <w:sz w:val="24"/>
                <w:szCs w:val="28"/>
                <w:highlight w:val="none"/>
              </w:rPr>
              <m:t xml:space="preserve">ξ</m:t>
            </m:r>
            <m:ctrlPr>
              <w:rPr>
                <w:rFonts w:ascii="Cambria Math" w:hAnsi="Cambria Math"/>
                <w:sz w:val="24"/>
                <w:szCs w:val="28"/>
                <w:highlight w:val="none"/>
              </w:rPr>
            </m:ctrlPr>
          </m:e>
          <m:sub>
            <m:r>
              <m:rPr>
                <m:sty m:val="p"/>
              </m:rPr>
              <w:rPr>
                <w:rFonts w:ascii="Cambria Math" w:hAnsi="Cambria Math"/>
                <w:sz w:val="24"/>
                <w:szCs w:val="28"/>
                <w:highlight w:val="none"/>
              </w:rPr>
              <m:t xml:space="preserve">b</m:t>
            </m:r>
            <m:ctrlPr>
              <w:rPr>
                <w:rFonts w:ascii="Cambria Math" w:hAnsi="Cambria Math"/>
                <w:sz w:val="24"/>
                <w:szCs w:val="28"/>
                <w:highlight w:val="none"/>
              </w:rPr>
            </m:ctrlPr>
          </m:sub>
        </m:sSub>
      </m:oMath>
      <w:r>
        <w:rPr>
          <w:sz w:val="24"/>
          <w:szCs w:val="28"/>
          <w:highlight w:val="none"/>
        </w:rPr>
        <w:instrText xml:space="preserve"> </w:instrText>
      </w:r>
      <w:r>
        <w:rPr>
          <w:sz w:val="24"/>
          <w:szCs w:val="28"/>
          <w:highlight w:val="none"/>
        </w:rPr>
        <w:fldChar w:fldCharType="separate"/>
      </w:r>
      <w:r>
        <w:rPr>
          <w:sz w:val="24"/>
          <w:szCs w:val="28"/>
          <w:highlight w:val="none"/>
        </w:rPr>
        <w:fldChar w:fldCharType="end"/>
      </w:r>
      <w:r>
        <w:rPr>
          <w:position w:val="-10"/>
          <w:sz w:val="24"/>
          <w:szCs w:val="28"/>
          <w:highlight w:val="none"/>
        </w:rPr>
        <w:object>
          <v:shape id="_x0000_i1070" o:spt="75" type="#_x0000_t75" style="height:15.8pt;width:29.25pt;" o:ole="t" filled="f" o:preferrelative="t" stroked="f" coordsize="21600,21600">
            <v:path/>
            <v:fill on="f" focussize="0,0"/>
            <v:stroke on="f" joinstyle="miter"/>
            <v:imagedata r:id="rId100" o:title=""/>
            <o:lock v:ext="edit" aspectratio="t"/>
            <w10:wrap type="none"/>
            <w10:anchorlock/>
          </v:shape>
          <o:OLEObject Type="Embed" ProgID="Equation.DSMT4" ShapeID="_x0000_i1070" DrawAspect="Content" ObjectID="_1468075769" r:id="rId99">
            <o:LockedField>false</o:LockedField>
          </o:OLEObject>
        </w:object>
      </w:r>
      <w:r>
        <w:rPr>
          <w:sz w:val="24"/>
          <w:szCs w:val="28"/>
          <w:highlight w:val="none"/>
        </w:rPr>
        <w:t>（即小偏心受压）时</w:t>
      </w:r>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p>
    <w:p>
      <w:pPr>
        <w:spacing w:line="312" w:lineRule="auto"/>
        <w:jc w:val="right"/>
        <w:rPr>
          <w:position w:val="-14"/>
          <w:sz w:val="24"/>
          <w:szCs w:val="28"/>
          <w:highlight w:val="none"/>
        </w:rPr>
      </w:pPr>
      <w:bookmarkStart w:id="732" w:name="_Toc515087749"/>
      <w:bookmarkEnd w:id="732"/>
      <w:bookmarkStart w:id="733" w:name="_Toc504570010"/>
      <w:bookmarkEnd w:id="733"/>
      <w:bookmarkStart w:id="734" w:name="_Toc515893953"/>
      <w:bookmarkEnd w:id="734"/>
      <w:bookmarkStart w:id="735" w:name="_Toc532461041"/>
      <w:bookmarkStart w:id="736" w:name="_Toc535338407"/>
      <w:bookmarkStart w:id="737" w:name="_Toc519683928"/>
      <w:bookmarkStart w:id="738" w:name="_Toc19545511"/>
      <w:bookmarkStart w:id="739" w:name="_Toc9927659"/>
      <w:bookmarkStart w:id="740" w:name="_Toc534633693"/>
      <w:bookmarkStart w:id="741" w:name="_Toc532464318"/>
      <w:bookmarkStart w:id="742" w:name="_Toc25070357"/>
      <w:bookmarkStart w:id="743" w:name="_Toc7976093"/>
      <w:bookmarkStart w:id="744" w:name="_Toc519684111"/>
      <w:bookmarkStart w:id="745" w:name="_Toc25690888"/>
      <w:bookmarkStart w:id="746" w:name="_Toc25690617"/>
      <w:bookmarkStart w:id="747" w:name="_Toc535475959"/>
      <w:bookmarkStart w:id="748" w:name="_Toc25070659"/>
      <w:bookmarkStart w:id="749" w:name="_Toc10207174"/>
      <w:bookmarkStart w:id="750" w:name="_Toc19545241"/>
      <w:r>
        <w:rPr>
          <w:position w:val="-10"/>
          <w:sz w:val="24"/>
          <w:szCs w:val="28"/>
          <w:highlight w:val="none"/>
        </w:rPr>
        <w:object>
          <v:shape id="_x0000_i1071" o:spt="75" type="#_x0000_t75" style="height:15.05pt;width:72pt;" o:ole="t" filled="f" o:preferrelative="t" stroked="f" coordsize="21600,21600">
            <v:path/>
            <v:fill on="f" focussize="0,0"/>
            <v:stroke on="f" joinstyle="miter"/>
            <v:imagedata r:id="rId102" o:title=""/>
            <o:lock v:ext="edit" aspectratio="t"/>
            <w10:wrap type="none"/>
            <w10:anchorlock/>
          </v:shape>
          <o:OLEObject Type="Embed" ProgID="Equation.DSMT4" ShapeID="_x0000_i1071" DrawAspect="Content" ObjectID="_1468075770" r:id="rId101">
            <o:LockedField>false</o:LockedField>
          </o:OLEObject>
        </w:object>
      </w:r>
      <w:r>
        <w:rPr>
          <w:sz w:val="24"/>
          <w:szCs w:val="28"/>
          <w:highlight w:val="none"/>
        </w:rPr>
        <w:t xml:space="preserve">      </w:t>
      </w:r>
      <w:r>
        <w:rPr>
          <w:rFonts w:hint="eastAsia"/>
          <w:sz w:val="24"/>
          <w:szCs w:val="28"/>
          <w:highlight w:val="none"/>
          <w:lang w:val="en-US" w:eastAsia="zh-CN"/>
        </w:rPr>
        <w:t xml:space="preserve">              </w:t>
      </w:r>
      <w:r>
        <w:rPr>
          <w:sz w:val="24"/>
          <w:szCs w:val="28"/>
          <w:highlight w:val="none"/>
        </w:rPr>
        <w:t xml:space="preserve">     （5.2.2-3）</w:t>
      </w:r>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p>
    <w:p>
      <w:pPr>
        <w:spacing w:line="312" w:lineRule="auto"/>
        <w:jc w:val="right"/>
        <w:rPr>
          <w:sz w:val="24"/>
          <w:szCs w:val="28"/>
          <w:highlight w:val="none"/>
        </w:rPr>
      </w:pPr>
      <w:bookmarkStart w:id="751" w:name="_Toc504570011"/>
      <w:bookmarkEnd w:id="751"/>
      <w:bookmarkStart w:id="752" w:name="_Toc535475960"/>
      <w:bookmarkStart w:id="753" w:name="_Toc19545242"/>
      <w:bookmarkStart w:id="754" w:name="_Toc535338408"/>
      <w:bookmarkStart w:id="755" w:name="_Toc25690889"/>
      <w:bookmarkStart w:id="756" w:name="_Toc534633694"/>
      <w:bookmarkStart w:id="757" w:name="_Toc25070358"/>
      <w:bookmarkStart w:id="758" w:name="_Toc532461042"/>
      <w:bookmarkStart w:id="759" w:name="_Toc9927660"/>
      <w:bookmarkStart w:id="760" w:name="_Toc25690618"/>
      <w:bookmarkStart w:id="761" w:name="_Toc532464319"/>
      <w:bookmarkStart w:id="762" w:name="_Toc19545512"/>
      <w:bookmarkStart w:id="763" w:name="_Toc7976094"/>
      <w:bookmarkStart w:id="764" w:name="_Toc519683929"/>
      <w:bookmarkStart w:id="765" w:name="_Toc25070660"/>
      <w:bookmarkStart w:id="766" w:name="_Toc519684112"/>
      <w:bookmarkStart w:id="767" w:name="_Toc10207175"/>
      <w:r>
        <w:rPr>
          <w:position w:val="-14"/>
          <w:sz w:val="24"/>
          <w:szCs w:val="28"/>
          <w:highlight w:val="none"/>
        </w:rPr>
        <w:object>
          <v:shape id="_x0000_i1072" o:spt="75" type="#_x0000_t75" style="height:17.8pt;width:68.05pt;" o:ole="t" filled="f" o:preferrelative="t" stroked="f" coordsize="21600,21600">
            <v:path/>
            <v:fill on="f" focussize="0,0"/>
            <v:stroke on="f" joinstyle="miter"/>
            <v:imagedata r:id="rId104" o:title=""/>
            <o:lock v:ext="edit" aspectratio="t"/>
            <w10:wrap type="none"/>
            <w10:anchorlock/>
          </v:shape>
          <o:OLEObject Type="Embed" ProgID="Equation.DSMT4" ShapeID="_x0000_i1072" DrawAspect="Content" ObjectID="_1468075771" r:id="rId103">
            <o:LockedField>false</o:LockedField>
          </o:OLEObject>
        </w:object>
      </w:r>
      <w:r>
        <w:rPr>
          <w:sz w:val="24"/>
          <w:szCs w:val="28"/>
          <w:highlight w:val="none"/>
        </w:rPr>
        <w:t xml:space="preserve">        </w:t>
      </w:r>
      <w:r>
        <w:rPr>
          <w:rFonts w:hint="eastAsia"/>
          <w:sz w:val="24"/>
          <w:szCs w:val="28"/>
          <w:highlight w:val="none"/>
          <w:lang w:val="en-US" w:eastAsia="zh-CN"/>
        </w:rPr>
        <w:t xml:space="preserve">              </w:t>
      </w:r>
      <w:r>
        <w:rPr>
          <w:sz w:val="24"/>
          <w:szCs w:val="28"/>
          <w:highlight w:val="none"/>
        </w:rPr>
        <w:t xml:space="preserve">    （5.2.2-4）</w:t>
      </w:r>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p>
    <w:p>
      <w:pPr>
        <w:spacing w:line="312" w:lineRule="auto"/>
        <w:ind w:firstLine="480" w:firstLineChars="200"/>
        <w:jc w:val="left"/>
        <w:rPr>
          <w:sz w:val="24"/>
          <w:szCs w:val="28"/>
          <w:highlight w:val="none"/>
        </w:rPr>
      </w:pPr>
      <w:bookmarkStart w:id="768" w:name="_Toc519683930"/>
      <w:bookmarkStart w:id="769" w:name="_Toc504570012"/>
      <w:bookmarkStart w:id="770" w:name="_Toc534633695"/>
      <w:bookmarkStart w:id="771" w:name="_Toc25070359"/>
      <w:bookmarkStart w:id="772" w:name="_Toc10207176"/>
      <w:bookmarkStart w:id="773" w:name="_Toc25690890"/>
      <w:bookmarkStart w:id="774" w:name="_Toc515087751"/>
      <w:bookmarkStart w:id="775" w:name="_Toc535338409"/>
      <w:bookmarkStart w:id="776" w:name="_Toc532464320"/>
      <w:bookmarkStart w:id="777" w:name="_Toc535475961"/>
      <w:bookmarkStart w:id="778" w:name="_Toc25690619"/>
      <w:bookmarkStart w:id="779" w:name="_Toc9927661"/>
      <w:bookmarkStart w:id="780" w:name="_Toc519684113"/>
      <w:bookmarkStart w:id="781" w:name="_Toc7976095"/>
      <w:bookmarkStart w:id="782" w:name="_Toc515893955"/>
      <w:bookmarkStart w:id="783" w:name="_Toc19545243"/>
      <w:bookmarkStart w:id="784" w:name="_Toc532461043"/>
      <w:bookmarkStart w:id="785" w:name="_Toc25070661"/>
      <w:bookmarkStart w:id="786" w:name="_Toc19545513"/>
      <w:r>
        <w:rPr>
          <w:sz w:val="24"/>
          <w:szCs w:val="28"/>
          <w:highlight w:val="none"/>
        </w:rPr>
        <w:t>当</w:t>
      </w:r>
      <w:r>
        <w:rPr>
          <w:sz w:val="24"/>
          <w:szCs w:val="28"/>
          <w:highlight w:val="none"/>
        </w:rPr>
        <w:fldChar w:fldCharType="begin"/>
      </w:r>
      <w:r>
        <w:rPr>
          <w:sz w:val="24"/>
          <w:szCs w:val="28"/>
          <w:highlight w:val="none"/>
        </w:rPr>
        <w:instrText xml:space="preserve"> QUOTE </w:instrText>
      </w:r>
      <m:oMath>
        <m:r>
          <m:rPr>
            <m:sty m:val="p"/>
          </m:rPr>
          <w:rPr>
            <w:rFonts w:ascii="Cambria Math" w:hAnsi="Cambria Math"/>
            <w:sz w:val="24"/>
            <w:szCs w:val="28"/>
            <w:highlight w:val="none"/>
          </w:rPr>
          <m:t xml:space="preserve">ξ&lt;</m:t>
        </m:r>
        <m:sSub>
          <m:sSubPr>
            <m:ctrlPr>
              <w:rPr>
                <w:rFonts w:ascii="Cambria Math" w:hAnsi="Cambria Math"/>
                <w:sz w:val="24"/>
                <w:szCs w:val="28"/>
                <w:highlight w:val="none"/>
              </w:rPr>
            </m:ctrlPr>
          </m:sSubPr>
          <m:e>
            <m:r>
              <m:rPr>
                <m:sty m:val="p"/>
              </m:rPr>
              <w:rPr>
                <w:rFonts w:ascii="Cambria Math" w:hAnsi="Cambria Math"/>
                <w:sz w:val="24"/>
                <w:szCs w:val="28"/>
                <w:highlight w:val="none"/>
              </w:rPr>
              <m:t xml:space="preserve">ξ</m:t>
            </m:r>
            <m:ctrlPr>
              <w:rPr>
                <w:rFonts w:ascii="Cambria Math" w:hAnsi="Cambria Math"/>
                <w:sz w:val="24"/>
                <w:szCs w:val="28"/>
                <w:highlight w:val="none"/>
              </w:rPr>
            </m:ctrlPr>
          </m:e>
          <m:sub>
            <m:r>
              <m:rPr>
                <m:sty m:val="p"/>
              </m:rPr>
              <w:rPr>
                <w:rFonts w:ascii="Cambria Math" w:hAnsi="Cambria Math"/>
                <w:sz w:val="24"/>
                <w:szCs w:val="28"/>
                <w:highlight w:val="none"/>
              </w:rPr>
              <m:t xml:space="preserve">b</m:t>
            </m:r>
            <m:ctrlPr>
              <w:rPr>
                <w:rFonts w:ascii="Cambria Math" w:hAnsi="Cambria Math"/>
                <w:sz w:val="24"/>
                <w:szCs w:val="28"/>
                <w:highlight w:val="none"/>
              </w:rPr>
            </m:ctrlPr>
          </m:sub>
        </m:sSub>
      </m:oMath>
      <w:r>
        <w:rPr>
          <w:sz w:val="24"/>
          <w:szCs w:val="28"/>
          <w:highlight w:val="none"/>
        </w:rPr>
        <w:instrText xml:space="preserve"> </w:instrText>
      </w:r>
      <w:r>
        <w:rPr>
          <w:sz w:val="24"/>
          <w:szCs w:val="28"/>
          <w:highlight w:val="none"/>
        </w:rPr>
        <w:fldChar w:fldCharType="separate"/>
      </w:r>
      <w:r>
        <w:rPr>
          <w:position w:val="-10"/>
          <w:sz w:val="24"/>
          <w:szCs w:val="28"/>
          <w:highlight w:val="none"/>
        </w:rPr>
        <w:object>
          <v:shape id="_x0000_i1073" o:spt="75" type="#_x0000_t75" style="height:14.65pt;width:32.45pt;" o:ole="t" filled="f" o:preferrelative="t" stroked="f" coordsize="21600,21600">
            <v:path/>
            <v:fill on="f" focussize="0,0"/>
            <v:stroke on="f" joinstyle="miter"/>
            <v:imagedata r:id="rId106" o:title=""/>
            <o:lock v:ext="edit" aspectratio="t"/>
            <w10:wrap type="none"/>
            <w10:anchorlock/>
          </v:shape>
          <o:OLEObject Type="Embed" ProgID="Equation.DSMT4" ShapeID="_x0000_i1073" DrawAspect="Content" ObjectID="_1468075772" r:id="rId105">
            <o:LockedField>false</o:LockedField>
          </o:OLEObject>
        </w:object>
      </w:r>
      <w:r>
        <w:rPr>
          <w:sz w:val="24"/>
          <w:szCs w:val="28"/>
          <w:highlight w:val="none"/>
        </w:rPr>
        <w:fldChar w:fldCharType="end"/>
      </w:r>
      <w:r>
        <w:rPr>
          <w:sz w:val="24"/>
          <w:szCs w:val="28"/>
          <w:highlight w:val="none"/>
        </w:rPr>
        <w:t>（即大偏心受压时</w:t>
      </w:r>
    </w:p>
    <w:p>
      <w:pPr>
        <w:spacing w:line="312" w:lineRule="auto"/>
        <w:ind w:firstLine="480" w:firstLineChars="200"/>
        <w:jc w:val="left"/>
        <w:rPr>
          <w:sz w:val="24"/>
          <w:szCs w:val="28"/>
          <w:highlight w:val="none"/>
        </w:rPr>
      </w:pPr>
      <w:r>
        <w:rPr>
          <w:sz w:val="24"/>
          <w:szCs w:val="28"/>
          <w:highlight w:val="none"/>
        </w:rPr>
        <w:t>）</w:t>
      </w:r>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p>
    <w:p>
      <w:pPr>
        <w:spacing w:line="312" w:lineRule="auto"/>
        <w:jc w:val="right"/>
        <w:rPr>
          <w:sz w:val="24"/>
          <w:szCs w:val="28"/>
          <w:highlight w:val="none"/>
        </w:rPr>
      </w:pPr>
      <w:bookmarkStart w:id="787" w:name="_Toc515893956"/>
      <w:bookmarkEnd w:id="787"/>
      <w:bookmarkStart w:id="788" w:name="_Toc515087752"/>
      <w:bookmarkEnd w:id="788"/>
      <w:bookmarkStart w:id="789" w:name="_Toc504570013"/>
      <w:bookmarkEnd w:id="789"/>
      <w:bookmarkStart w:id="790" w:name="_Toc10207177"/>
      <w:bookmarkStart w:id="791" w:name="_Toc19545514"/>
      <w:bookmarkStart w:id="792" w:name="_Toc25690620"/>
      <w:bookmarkStart w:id="793" w:name="_Toc519683931"/>
      <w:bookmarkStart w:id="794" w:name="_Toc9927662"/>
      <w:bookmarkStart w:id="795" w:name="_Toc19545244"/>
      <w:bookmarkStart w:id="796" w:name="_Toc532464321"/>
      <w:bookmarkStart w:id="797" w:name="_Toc519684114"/>
      <w:bookmarkStart w:id="798" w:name="_Toc535338410"/>
      <w:bookmarkStart w:id="799" w:name="_Toc534633696"/>
      <w:bookmarkStart w:id="800" w:name="_Toc532461044"/>
      <w:bookmarkStart w:id="801" w:name="_Toc25070662"/>
      <w:bookmarkStart w:id="802" w:name="_Toc535475962"/>
      <w:bookmarkStart w:id="803" w:name="_Toc25070360"/>
      <w:bookmarkStart w:id="804" w:name="_Toc7976096"/>
      <w:bookmarkStart w:id="805" w:name="_Toc25690891"/>
      <w:r>
        <w:rPr>
          <w:position w:val="-14"/>
          <w:sz w:val="24"/>
          <w:szCs w:val="28"/>
          <w:highlight w:val="none"/>
        </w:rPr>
        <w:object>
          <v:shape id="_x0000_i1074" o:spt="75" type="#_x0000_t75" style="height:19pt;width:30.05pt;" o:ole="t" filled="f" o:preferrelative="t" stroked="f" coordsize="21600,21600">
            <v:path/>
            <v:fill on="f" focussize="0,0"/>
            <v:stroke on="f" joinstyle="miter"/>
            <v:imagedata r:id="rId108" o:title=""/>
            <o:lock v:ext="edit" aspectratio="t"/>
            <w10:wrap type="none"/>
            <w10:anchorlock/>
          </v:shape>
          <o:OLEObject Type="Embed" ProgID="Equation.DSMT4" ShapeID="_x0000_i1074" DrawAspect="Content" ObjectID="_1468075773" r:id="rId107">
            <o:LockedField>false</o:LockedField>
          </o:OLEObject>
        </w:object>
      </w:r>
      <w:r>
        <w:rPr>
          <w:sz w:val="24"/>
          <w:szCs w:val="28"/>
          <w:highlight w:val="none"/>
        </w:rPr>
        <w:t xml:space="preserve">            </w:t>
      </w:r>
      <w:r>
        <w:rPr>
          <w:rFonts w:hint="eastAsia"/>
          <w:sz w:val="24"/>
          <w:szCs w:val="28"/>
          <w:highlight w:val="none"/>
          <w:lang w:val="en-US" w:eastAsia="zh-CN"/>
        </w:rPr>
        <w:t xml:space="preserve">            </w:t>
      </w:r>
      <w:r>
        <w:rPr>
          <w:sz w:val="24"/>
          <w:szCs w:val="28"/>
          <w:highlight w:val="none"/>
        </w:rPr>
        <w:t xml:space="preserve">     （5.2.2-5）</w:t>
      </w:r>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p>
    <w:p>
      <w:pPr>
        <w:spacing w:line="312" w:lineRule="auto"/>
        <w:jc w:val="right"/>
        <w:rPr>
          <w:sz w:val="24"/>
          <w:szCs w:val="28"/>
          <w:highlight w:val="none"/>
        </w:rPr>
      </w:pPr>
      <w:bookmarkStart w:id="806" w:name="_Toc504570014"/>
      <w:bookmarkEnd w:id="806"/>
      <w:bookmarkStart w:id="807" w:name="_Toc515893957"/>
      <w:bookmarkEnd w:id="807"/>
      <w:bookmarkStart w:id="808" w:name="_Toc515087753"/>
      <w:bookmarkEnd w:id="808"/>
      <w:bookmarkStart w:id="809" w:name="_Toc25690892"/>
      <w:bookmarkStart w:id="810" w:name="_Toc519684115"/>
      <w:bookmarkStart w:id="811" w:name="_Toc25070361"/>
      <w:bookmarkStart w:id="812" w:name="_Toc532464322"/>
      <w:bookmarkStart w:id="813" w:name="_Toc10207178"/>
      <w:bookmarkStart w:id="814" w:name="_Toc535475963"/>
      <w:bookmarkStart w:id="815" w:name="_Toc25690621"/>
      <w:bookmarkStart w:id="816" w:name="_Toc19545515"/>
      <w:bookmarkStart w:id="817" w:name="_Toc535338411"/>
      <w:bookmarkStart w:id="818" w:name="_Toc534633697"/>
      <w:bookmarkStart w:id="819" w:name="_Toc9927663"/>
      <w:bookmarkStart w:id="820" w:name="_Toc519683932"/>
      <w:bookmarkStart w:id="821" w:name="_Toc19545245"/>
      <w:bookmarkStart w:id="822" w:name="_Toc532461045"/>
      <w:bookmarkStart w:id="823" w:name="_Toc25070663"/>
      <w:bookmarkStart w:id="824" w:name="_Toc7976097"/>
      <w:r>
        <w:rPr>
          <w:position w:val="-10"/>
          <w:sz w:val="24"/>
          <w:szCs w:val="28"/>
          <w:highlight w:val="none"/>
        </w:rPr>
        <w:object>
          <v:shape id="_x0000_i1075" o:spt="75" type="#_x0000_t75" style="height:15.05pt;width:41.95pt;" o:ole="t" filled="f" o:preferrelative="t" stroked="f" coordsize="21600,21600">
            <v:path/>
            <v:fill on="f" focussize="0,0"/>
            <v:stroke on="f" joinstyle="miter"/>
            <v:imagedata r:id="rId110" o:title=""/>
            <o:lock v:ext="edit" aspectratio="t"/>
            <w10:wrap type="none"/>
            <w10:anchorlock/>
          </v:shape>
          <o:OLEObject Type="Embed" ProgID="Equation.DSMT4" ShapeID="_x0000_i1075" DrawAspect="Content" ObjectID="_1468075774" r:id="rId109">
            <o:LockedField>false</o:LockedField>
          </o:OLEObject>
        </w:object>
      </w:r>
      <w:r>
        <w:rPr>
          <w:sz w:val="24"/>
          <w:szCs w:val="28"/>
          <w:highlight w:val="none"/>
        </w:rPr>
        <w:t xml:space="preserve">          </w:t>
      </w:r>
      <w:r>
        <w:rPr>
          <w:rFonts w:hint="eastAsia"/>
          <w:sz w:val="24"/>
          <w:szCs w:val="28"/>
          <w:highlight w:val="none"/>
          <w:lang w:val="en-US" w:eastAsia="zh-CN"/>
        </w:rPr>
        <w:t xml:space="preserve">            </w:t>
      </w:r>
      <w:r>
        <w:rPr>
          <w:sz w:val="24"/>
          <w:szCs w:val="28"/>
          <w:highlight w:val="none"/>
        </w:rPr>
        <w:t xml:space="preserve">      （5.2.2-6）</w:t>
      </w:r>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p>
    <w:p>
      <w:pPr>
        <w:spacing w:line="312" w:lineRule="auto"/>
        <w:ind w:firstLine="480" w:firstLineChars="200"/>
        <w:jc w:val="left"/>
        <w:rPr>
          <w:sz w:val="24"/>
          <w:szCs w:val="28"/>
          <w:highlight w:val="none"/>
        </w:rPr>
      </w:pPr>
      <w:bookmarkStart w:id="825" w:name="_Toc7976098"/>
      <w:bookmarkStart w:id="826" w:name="_Toc25070362"/>
      <w:bookmarkStart w:id="827" w:name="_Toc515893958"/>
      <w:bookmarkStart w:id="828" w:name="_Toc535475964"/>
      <w:bookmarkStart w:id="829" w:name="_Toc25690622"/>
      <w:bookmarkStart w:id="830" w:name="_Toc10207179"/>
      <w:bookmarkStart w:id="831" w:name="_Toc532461046"/>
      <w:bookmarkStart w:id="832" w:name="_Toc25070664"/>
      <w:bookmarkStart w:id="833" w:name="_Toc519683933"/>
      <w:bookmarkStart w:id="834" w:name="_Toc9927664"/>
      <w:bookmarkStart w:id="835" w:name="_Toc534633698"/>
      <w:bookmarkStart w:id="836" w:name="_Toc19545246"/>
      <w:bookmarkStart w:id="837" w:name="_Toc515087754"/>
      <w:bookmarkStart w:id="838" w:name="_Toc25690893"/>
      <w:bookmarkStart w:id="839" w:name="_Toc504570015"/>
      <w:bookmarkStart w:id="840" w:name="_Toc519684116"/>
      <w:bookmarkStart w:id="841" w:name="_Toc532464323"/>
      <w:bookmarkStart w:id="842" w:name="_Toc19545516"/>
      <w:bookmarkStart w:id="843" w:name="_Toc535338412"/>
      <w:r>
        <w:rPr>
          <w:sz w:val="24"/>
          <w:szCs w:val="28"/>
          <w:highlight w:val="none"/>
        </w:rPr>
        <w:t>其中截面受压区高度</w:t>
      </w:r>
      <w:r>
        <w:rPr>
          <w:position w:val="-6"/>
          <w:sz w:val="24"/>
          <w:szCs w:val="28"/>
          <w:highlight w:val="none"/>
        </w:rPr>
        <w:object>
          <v:shape id="_x0000_i1076" o:spt="75" type="#_x0000_t75" style="height:9.9pt;width:8.7pt;" o:ole="t" filled="f" o:preferrelative="t" stroked="f" coordsize="21600,21600">
            <v:path/>
            <v:fill on="f" focussize="0,0"/>
            <v:stroke on="f" joinstyle="miter"/>
            <v:imagedata r:id="rId112" o:title=""/>
            <o:lock v:ext="edit" aspectratio="t"/>
            <w10:wrap type="none"/>
            <w10:anchorlock/>
          </v:shape>
          <o:OLEObject Type="Embed" ProgID="Equation.DSMT4" ShapeID="_x0000_i1076" DrawAspect="Content" ObjectID="_1468075775" r:id="rId111">
            <o:LockedField>false</o:LockedField>
          </o:OLEObject>
        </w:object>
      </w:r>
      <w:r>
        <w:rPr>
          <w:sz w:val="24"/>
          <w:szCs w:val="28"/>
          <w:highlight w:val="none"/>
        </w:rPr>
        <w:t>，可由下式确定：</w:t>
      </w:r>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p>
    <w:p>
      <w:pPr>
        <w:spacing w:line="312" w:lineRule="auto"/>
        <w:jc w:val="right"/>
        <w:rPr>
          <w:position w:val="-14"/>
          <w:sz w:val="24"/>
          <w:szCs w:val="28"/>
          <w:highlight w:val="none"/>
        </w:rPr>
      </w:pPr>
      <w:bookmarkStart w:id="844" w:name="_Toc515087755"/>
      <w:bookmarkEnd w:id="844"/>
      <w:bookmarkStart w:id="845" w:name="_Toc504570016"/>
      <w:bookmarkEnd w:id="845"/>
      <w:bookmarkStart w:id="846" w:name="_Toc515893959"/>
      <w:bookmarkEnd w:id="846"/>
      <w:bookmarkStart w:id="847" w:name="_Toc10207180"/>
      <w:bookmarkStart w:id="848" w:name="_Toc25070665"/>
      <w:bookmarkStart w:id="849" w:name="_Toc7976099"/>
      <w:bookmarkStart w:id="850" w:name="_Toc25690623"/>
      <w:bookmarkStart w:id="851" w:name="_Toc519684117"/>
      <w:bookmarkStart w:id="852" w:name="_Toc25070363"/>
      <w:bookmarkStart w:id="853" w:name="_Toc19545247"/>
      <w:bookmarkStart w:id="854" w:name="_Toc519683934"/>
      <w:bookmarkStart w:id="855" w:name="_Toc535475965"/>
      <w:bookmarkStart w:id="856" w:name="_Toc532464324"/>
      <w:bookmarkStart w:id="857" w:name="_Toc535338413"/>
      <w:bookmarkStart w:id="858" w:name="_Toc9927665"/>
      <w:bookmarkStart w:id="859" w:name="_Toc25690894"/>
      <w:bookmarkStart w:id="860" w:name="_Toc534633699"/>
      <w:bookmarkStart w:id="861" w:name="_Toc532461047"/>
      <w:bookmarkStart w:id="862" w:name="_Toc19545517"/>
      <w:r>
        <w:rPr>
          <w:position w:val="-14"/>
          <w:sz w:val="24"/>
          <w:szCs w:val="28"/>
          <w:highlight w:val="none"/>
        </w:rPr>
        <w:object>
          <v:shape id="_x0000_i1077" o:spt="75" type="#_x0000_t75" style="height:17pt;width:188.7pt;" o:ole="t" filled="f" o:preferrelative="t" stroked="f" coordsize="21600,21600">
            <v:path/>
            <v:fill on="f" focussize="0,0"/>
            <v:stroke on="f" joinstyle="miter"/>
            <v:imagedata r:id="rId114" o:title=""/>
            <o:lock v:ext="edit" aspectratio="t"/>
            <w10:wrap type="none"/>
            <w10:anchorlock/>
          </v:shape>
          <o:OLEObject Type="Embed" ProgID="Equation.KSEE3" ShapeID="_x0000_i1077" DrawAspect="Content" ObjectID="_1468075776" r:id="rId113">
            <o:LockedField>false</o:LockedField>
          </o:OLEObject>
        </w:object>
      </w:r>
      <w:r>
        <w:rPr>
          <w:rFonts w:hint="eastAsia"/>
          <w:position w:val="-14"/>
          <w:sz w:val="24"/>
          <w:szCs w:val="28"/>
          <w:highlight w:val="none"/>
          <w:lang w:val="en-US" w:eastAsia="zh-CN"/>
        </w:rPr>
        <w:t xml:space="preserve">           </w:t>
      </w:r>
      <w:r>
        <w:rPr>
          <w:sz w:val="24"/>
          <w:szCs w:val="28"/>
          <w:highlight w:val="none"/>
        </w:rPr>
        <w:t xml:space="preserve"> （5.2.2-7）</w:t>
      </w:r>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p>
    <w:p>
      <w:pPr>
        <w:spacing w:line="312" w:lineRule="auto"/>
        <w:jc w:val="right"/>
        <w:rPr>
          <w:i/>
          <w:position w:val="-14"/>
          <w:sz w:val="24"/>
          <w:szCs w:val="28"/>
          <w:highlight w:val="none"/>
        </w:rPr>
      </w:pPr>
      <w:bookmarkStart w:id="863" w:name="_Toc515893960"/>
      <w:bookmarkEnd w:id="863"/>
      <w:bookmarkStart w:id="864" w:name="_Toc515087756"/>
      <w:bookmarkEnd w:id="864"/>
      <w:bookmarkStart w:id="865" w:name="_Toc504570017"/>
      <w:bookmarkEnd w:id="865"/>
      <w:bookmarkStart w:id="866" w:name="_Toc534633700"/>
      <w:bookmarkStart w:id="867" w:name="_Toc532461048"/>
      <w:bookmarkStart w:id="868" w:name="_Toc19545248"/>
      <w:bookmarkStart w:id="869" w:name="_Toc25690624"/>
      <w:bookmarkStart w:id="870" w:name="_Toc532464325"/>
      <w:bookmarkStart w:id="871" w:name="_Toc535475966"/>
      <w:bookmarkStart w:id="872" w:name="_Toc9927666"/>
      <w:bookmarkStart w:id="873" w:name="_Toc25070364"/>
      <w:bookmarkStart w:id="874" w:name="_Toc25690895"/>
      <w:bookmarkStart w:id="875" w:name="_Toc10207181"/>
      <w:bookmarkStart w:id="876" w:name="_Toc519684118"/>
      <w:bookmarkStart w:id="877" w:name="_Toc535338414"/>
      <w:bookmarkStart w:id="878" w:name="_Toc519683935"/>
      <w:bookmarkStart w:id="879" w:name="_Toc25070666"/>
      <w:bookmarkStart w:id="880" w:name="_Toc7976100"/>
      <w:bookmarkStart w:id="881" w:name="_Toc19545518"/>
      <w:r>
        <w:rPr>
          <w:i/>
          <w:position w:val="-10"/>
          <w:sz w:val="24"/>
          <w:szCs w:val="28"/>
          <w:highlight w:val="none"/>
        </w:rPr>
        <w:object>
          <v:shape id="_x0000_i1078" o:spt="75" type="#_x0000_t75" style="height:15.05pt;width:105.65pt;" o:ole="t" filled="f" o:preferrelative="t" stroked="f" coordsize="21600,21600">
            <v:path/>
            <v:fill on="f" focussize="0,0"/>
            <v:stroke on="f" joinstyle="miter"/>
            <v:imagedata r:id="rId116" o:title=""/>
            <o:lock v:ext="edit" aspectratio="t"/>
            <w10:wrap type="none"/>
            <w10:anchorlock/>
          </v:shape>
          <o:OLEObject Type="Embed" ProgID="Equation.DSMT4" ShapeID="_x0000_i1078" DrawAspect="Content" ObjectID="_1468075777" r:id="rId115">
            <o:LockedField>false</o:LockedField>
          </o:OLEObject>
        </w:object>
      </w:r>
      <w:r>
        <w:rPr>
          <w:sz w:val="24"/>
          <w:szCs w:val="28"/>
          <w:highlight w:val="none"/>
        </w:rPr>
        <w:t xml:space="preserve">       </w:t>
      </w:r>
      <w:r>
        <w:rPr>
          <w:rFonts w:hint="eastAsia"/>
          <w:sz w:val="24"/>
          <w:szCs w:val="28"/>
          <w:highlight w:val="none"/>
          <w:lang w:val="en-US" w:eastAsia="zh-CN"/>
        </w:rPr>
        <w:t xml:space="preserve">           </w:t>
      </w:r>
      <w:r>
        <w:rPr>
          <w:sz w:val="24"/>
          <w:szCs w:val="28"/>
          <w:highlight w:val="none"/>
        </w:rPr>
        <w:t xml:space="preserve">   （5.2.2-8）</w:t>
      </w:r>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p>
    <w:p>
      <w:pPr>
        <w:spacing w:line="312" w:lineRule="auto"/>
        <w:jc w:val="right"/>
        <w:rPr>
          <w:i/>
          <w:position w:val="-14"/>
          <w:sz w:val="24"/>
          <w:szCs w:val="28"/>
          <w:highlight w:val="none"/>
        </w:rPr>
      </w:pPr>
      <w:bookmarkStart w:id="882" w:name="_Toc515893961"/>
      <w:bookmarkEnd w:id="882"/>
      <w:bookmarkStart w:id="883" w:name="_Toc504570018"/>
      <w:bookmarkEnd w:id="883"/>
      <w:bookmarkStart w:id="884" w:name="_Toc515087757"/>
      <w:bookmarkEnd w:id="884"/>
      <w:bookmarkStart w:id="885" w:name="_Toc7976101"/>
      <w:bookmarkStart w:id="886" w:name="_Toc19545249"/>
      <w:bookmarkStart w:id="887" w:name="_Toc519684119"/>
      <w:bookmarkStart w:id="888" w:name="_Toc534633701"/>
      <w:bookmarkStart w:id="889" w:name="_Toc25070667"/>
      <w:bookmarkStart w:id="890" w:name="_Toc535475967"/>
      <w:bookmarkStart w:id="891" w:name="_Toc519683936"/>
      <w:bookmarkStart w:id="892" w:name="_Toc532461049"/>
      <w:bookmarkStart w:id="893" w:name="_Toc25690896"/>
      <w:bookmarkStart w:id="894" w:name="_Toc532464326"/>
      <w:bookmarkStart w:id="895" w:name="_Toc19545519"/>
      <w:bookmarkStart w:id="896" w:name="_Toc535338415"/>
      <w:bookmarkStart w:id="897" w:name="_Toc9927667"/>
      <w:bookmarkStart w:id="898" w:name="_Toc25070365"/>
      <w:bookmarkStart w:id="899" w:name="_Toc25690625"/>
      <w:bookmarkStart w:id="900" w:name="_Toc10207182"/>
      <w:r>
        <w:rPr>
          <w:i/>
          <w:position w:val="-10"/>
          <w:sz w:val="24"/>
          <w:szCs w:val="28"/>
          <w:highlight w:val="none"/>
        </w:rPr>
        <w:object>
          <v:shape id="_x0000_i1079" o:spt="75" type="#_x0000_t75" style="height:15.05pt;width:110.35pt;" o:ole="t" filled="f" o:preferrelative="t" stroked="f" coordsize="21600,21600">
            <v:path/>
            <v:fill on="f" focussize="0,0"/>
            <v:stroke on="f" joinstyle="miter"/>
            <v:imagedata r:id="rId118" o:title=""/>
            <o:lock v:ext="edit" aspectratio="t"/>
            <w10:wrap type="none"/>
            <w10:anchorlock/>
          </v:shape>
          <o:OLEObject Type="Embed" ProgID="Equation.DSMT4" ShapeID="_x0000_i1079" DrawAspect="Content" ObjectID="_1468075778" r:id="rId117">
            <o:LockedField>false</o:LockedField>
          </o:OLEObject>
        </w:object>
      </w:r>
      <w:r>
        <w:rPr>
          <w:sz w:val="24"/>
          <w:szCs w:val="28"/>
          <w:highlight w:val="none"/>
        </w:rPr>
        <w:t xml:space="preserve">    </w:t>
      </w:r>
      <w:r>
        <w:rPr>
          <w:rFonts w:hint="eastAsia"/>
          <w:sz w:val="24"/>
          <w:szCs w:val="28"/>
          <w:highlight w:val="none"/>
          <w:lang w:val="en-US" w:eastAsia="zh-CN"/>
        </w:rPr>
        <w:t xml:space="preserve">            </w:t>
      </w:r>
      <w:r>
        <w:rPr>
          <w:sz w:val="24"/>
          <w:szCs w:val="28"/>
          <w:highlight w:val="none"/>
        </w:rPr>
        <w:t xml:space="preserve">     （5.2.2-9）</w:t>
      </w:r>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p>
    <w:p>
      <w:pPr>
        <w:spacing w:line="312" w:lineRule="auto"/>
        <w:jc w:val="right"/>
        <w:rPr>
          <w:i/>
          <w:sz w:val="24"/>
          <w:szCs w:val="28"/>
          <w:highlight w:val="none"/>
        </w:rPr>
      </w:pPr>
      <w:bookmarkStart w:id="901" w:name="_Toc504570019"/>
      <w:bookmarkEnd w:id="901"/>
      <w:bookmarkStart w:id="902" w:name="_Toc515893962"/>
      <w:bookmarkEnd w:id="902"/>
      <w:bookmarkStart w:id="903" w:name="_Toc515087758"/>
      <w:bookmarkEnd w:id="903"/>
      <w:bookmarkStart w:id="904" w:name="_Toc532461050"/>
      <w:bookmarkStart w:id="905" w:name="_Toc534633702"/>
      <w:bookmarkStart w:id="906" w:name="_Toc19545250"/>
      <w:bookmarkStart w:id="907" w:name="_Toc519683937"/>
      <w:bookmarkStart w:id="908" w:name="_Toc19545520"/>
      <w:bookmarkStart w:id="909" w:name="_Toc532464327"/>
      <w:bookmarkStart w:id="910" w:name="_Toc25070366"/>
      <w:bookmarkStart w:id="911" w:name="_Toc25690626"/>
      <w:bookmarkStart w:id="912" w:name="_Toc7976102"/>
      <w:bookmarkStart w:id="913" w:name="_Toc535338416"/>
      <w:bookmarkStart w:id="914" w:name="_Toc519684120"/>
      <w:bookmarkStart w:id="915" w:name="_Toc535475968"/>
      <w:bookmarkStart w:id="916" w:name="_Toc25690897"/>
      <w:bookmarkStart w:id="917" w:name="_Toc9927668"/>
      <w:bookmarkStart w:id="918" w:name="_Toc10207183"/>
      <w:bookmarkStart w:id="919" w:name="_Toc25070668"/>
      <w:r>
        <w:rPr>
          <w:i/>
          <w:position w:val="-22"/>
          <w:sz w:val="24"/>
          <w:szCs w:val="28"/>
          <w:highlight w:val="none"/>
        </w:rPr>
        <w:object>
          <v:shape id="_x0000_i1080" o:spt="75" type="#_x0000_t75" style="height:30.05pt;width:102.05pt;" o:ole="t" filled="f" o:preferrelative="t" stroked="f" coordsize="21600,21600">
            <v:path/>
            <v:fill on="f" focussize="0,0"/>
            <v:stroke on="f" joinstyle="miter"/>
            <v:imagedata r:id="rId120" o:title=""/>
            <o:lock v:ext="edit" aspectratio="t"/>
            <w10:wrap type="none"/>
            <w10:anchorlock/>
          </v:shape>
          <o:OLEObject Type="Embed" ProgID="Equation.DSMT4" ShapeID="_x0000_i1080" DrawAspect="Content" ObjectID="_1468075779" r:id="rId119">
            <o:LockedField>false</o:LockedField>
          </o:OLEObject>
        </w:object>
      </w:r>
      <w:r>
        <w:rPr>
          <w:sz w:val="24"/>
          <w:szCs w:val="28"/>
          <w:highlight w:val="none"/>
        </w:rPr>
        <w:t xml:space="preserve">     </w:t>
      </w:r>
      <w:r>
        <w:rPr>
          <w:rFonts w:hint="eastAsia"/>
          <w:sz w:val="24"/>
          <w:szCs w:val="28"/>
          <w:highlight w:val="none"/>
          <w:lang w:val="en-US" w:eastAsia="zh-CN"/>
        </w:rPr>
        <w:t xml:space="preserve">            </w:t>
      </w:r>
      <w:r>
        <w:rPr>
          <w:sz w:val="24"/>
          <w:szCs w:val="28"/>
          <w:highlight w:val="none"/>
        </w:rPr>
        <w:t xml:space="preserve">    （5.2.2-10）</w:t>
      </w:r>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p>
    <w:tbl>
      <w:tblPr>
        <w:tblStyle w:val="23"/>
        <w:tblW w:w="0" w:type="auto"/>
        <w:tblInd w:w="0" w:type="dxa"/>
        <w:tblLayout w:type="fixed"/>
        <w:tblCellMar>
          <w:top w:w="0" w:type="dxa"/>
          <w:left w:w="108" w:type="dxa"/>
          <w:bottom w:w="0" w:type="dxa"/>
          <w:right w:w="108" w:type="dxa"/>
        </w:tblCellMar>
      </w:tblPr>
      <w:tblGrid>
        <w:gridCol w:w="1384"/>
        <w:gridCol w:w="8459"/>
      </w:tblGrid>
      <w:tr>
        <w:tblPrEx>
          <w:tblCellMar>
            <w:top w:w="0" w:type="dxa"/>
            <w:left w:w="108" w:type="dxa"/>
            <w:bottom w:w="0" w:type="dxa"/>
            <w:right w:w="108" w:type="dxa"/>
          </w:tblCellMar>
        </w:tblPrEx>
        <w:tc>
          <w:tcPr>
            <w:tcW w:w="1384" w:type="dxa"/>
          </w:tcPr>
          <w:p>
            <w:pPr>
              <w:tabs>
                <w:tab w:val="left" w:pos="2565"/>
              </w:tabs>
              <w:adjustRightInd w:val="0"/>
              <w:snapToGrid w:val="0"/>
              <w:spacing w:line="360" w:lineRule="auto"/>
              <w:ind w:right="-105" w:rightChars="-50"/>
              <w:jc w:val="left"/>
              <w:rPr>
                <w:kern w:val="0"/>
                <w:sz w:val="24"/>
                <w:szCs w:val="28"/>
                <w:highlight w:val="none"/>
              </w:rPr>
            </w:pPr>
            <w:bookmarkStart w:id="920" w:name="_Toc535475970"/>
            <w:bookmarkStart w:id="921" w:name="_Toc534633704"/>
            <w:bookmarkStart w:id="922" w:name="_Toc515087760"/>
            <w:bookmarkStart w:id="923" w:name="_Toc532461052"/>
            <w:bookmarkStart w:id="924" w:name="_Toc532464329"/>
            <w:bookmarkStart w:id="925" w:name="_Toc504570021"/>
            <w:bookmarkStart w:id="926" w:name="_Toc535338418"/>
            <w:bookmarkStart w:id="927" w:name="_Toc9927670"/>
            <w:bookmarkStart w:id="928" w:name="_Toc519683939"/>
            <w:bookmarkStart w:id="929" w:name="_Toc10207185"/>
            <w:bookmarkStart w:id="930" w:name="_Toc519684122"/>
            <w:bookmarkStart w:id="931" w:name="_Toc7976104"/>
            <w:bookmarkStart w:id="932" w:name="_Toc515893964"/>
            <w:r>
              <w:rPr>
                <w:kern w:val="0"/>
                <w:sz w:val="24"/>
                <w:szCs w:val="28"/>
                <w:highlight w:val="none"/>
              </w:rPr>
              <w:t>式中：</w:t>
            </w:r>
            <w:bookmarkEnd w:id="920"/>
            <w:bookmarkEnd w:id="921"/>
            <w:bookmarkEnd w:id="922"/>
            <w:bookmarkEnd w:id="923"/>
            <w:bookmarkEnd w:id="924"/>
            <w:bookmarkEnd w:id="925"/>
            <w:bookmarkEnd w:id="926"/>
            <w:bookmarkEnd w:id="927"/>
            <w:bookmarkEnd w:id="928"/>
            <w:bookmarkEnd w:id="929"/>
            <w:bookmarkEnd w:id="930"/>
            <w:bookmarkEnd w:id="931"/>
            <w:bookmarkEnd w:id="932"/>
            <w:r>
              <w:rPr>
                <w:position w:val="-14"/>
                <w:sz w:val="24"/>
                <w:szCs w:val="28"/>
                <w:highlight w:val="none"/>
              </w:rPr>
              <w:object>
                <v:shape id="_x0000_i1081" o:spt="75" type="#_x0000_t75" style="height:19pt;width:19pt;" o:ole="t" filled="f" o:preferrelative="t" stroked="f" coordsize="21600,21600">
                  <v:path/>
                  <v:fill on="f" focussize="0,0"/>
                  <v:stroke on="f" joinstyle="miter"/>
                  <v:imagedata r:id="rId122" o:title=""/>
                  <o:lock v:ext="edit" aspectratio="t"/>
                  <w10:wrap type="none"/>
                  <w10:anchorlock/>
                </v:shape>
                <o:OLEObject Type="Embed" ProgID="Equation.DSMT4" ShapeID="_x0000_i1081" DrawAspect="Content" ObjectID="_1468075780" r:id="rId121">
                  <o:LockedField>false</o:LockedField>
                </o:OLEObject>
              </w:object>
            </w:r>
            <w:r>
              <w:rPr>
                <w:kern w:val="0"/>
                <w:sz w:val="24"/>
                <w:szCs w:val="28"/>
                <w:highlight w:val="none"/>
              </w:rPr>
              <w:t>—</w:t>
            </w:r>
          </w:p>
        </w:tc>
        <w:tc>
          <w:tcPr>
            <w:tcW w:w="8459" w:type="dxa"/>
          </w:tcPr>
          <w:p>
            <w:pPr>
              <w:tabs>
                <w:tab w:val="left" w:pos="2565"/>
              </w:tabs>
              <w:adjustRightInd w:val="0"/>
              <w:snapToGrid w:val="0"/>
              <w:spacing w:line="360" w:lineRule="auto"/>
              <w:rPr>
                <w:kern w:val="0"/>
                <w:sz w:val="24"/>
                <w:szCs w:val="28"/>
                <w:highlight w:val="none"/>
              </w:rPr>
            </w:pPr>
            <w:r>
              <w:rPr>
                <w:rFonts w:hint="eastAsia"/>
                <w:kern w:val="0"/>
                <w:sz w:val="24"/>
                <w:szCs w:val="28"/>
                <w:highlight w:val="none"/>
              </w:rPr>
              <w:t>原构件</w:t>
            </w:r>
            <w:r>
              <w:rPr>
                <w:kern w:val="0"/>
                <w:sz w:val="24"/>
                <w:szCs w:val="28"/>
                <w:highlight w:val="none"/>
              </w:rPr>
              <w:t>砌体受压区的截面面积；</w:t>
            </w:r>
          </w:p>
        </w:tc>
      </w:tr>
      <w:tr>
        <w:tblPrEx>
          <w:tblCellMar>
            <w:top w:w="0" w:type="dxa"/>
            <w:left w:w="108" w:type="dxa"/>
            <w:bottom w:w="0" w:type="dxa"/>
            <w:right w:w="108" w:type="dxa"/>
          </w:tblCellMar>
        </w:tblPrEx>
        <w:tc>
          <w:tcPr>
            <w:tcW w:w="1384" w:type="dxa"/>
            <w:vAlign w:val="center"/>
          </w:tcPr>
          <w:p>
            <w:pPr>
              <w:tabs>
                <w:tab w:val="left" w:pos="2565"/>
              </w:tabs>
              <w:adjustRightInd w:val="0"/>
              <w:snapToGrid w:val="0"/>
              <w:spacing w:line="360" w:lineRule="auto"/>
              <w:ind w:right="-105" w:rightChars="-50"/>
              <w:jc w:val="right"/>
              <w:rPr>
                <w:kern w:val="0"/>
                <w:sz w:val="24"/>
                <w:szCs w:val="28"/>
                <w:highlight w:val="none"/>
              </w:rPr>
            </w:pPr>
            <w:r>
              <w:rPr>
                <w:position w:val="-10"/>
                <w:sz w:val="24"/>
                <w:szCs w:val="28"/>
                <w:highlight w:val="none"/>
              </w:rPr>
              <w:object>
                <v:shape id="_x0000_i1082" o:spt="75" type="#_x0000_t75" style="height:15.05pt;width:15.05pt;" o:ole="t" filled="f" o:preferrelative="t" stroked="f" coordsize="21600,21600">
                  <v:path/>
                  <v:fill on="f" focussize="0,0"/>
                  <v:stroke on="f" joinstyle="miter"/>
                  <v:imagedata r:id="rId124" o:title=""/>
                  <o:lock v:ext="edit" aspectratio="t"/>
                  <w10:wrap type="none"/>
                  <w10:anchorlock/>
                </v:shape>
                <o:OLEObject Type="Embed" ProgID="Equation.DSMT4" ShapeID="_x0000_i1082" DrawAspect="Content" ObjectID="_1468075781" r:id="rId123">
                  <o:LockedField>false</o:LockedField>
                </o:OLEObject>
              </w:object>
            </w:r>
            <w:r>
              <w:rPr>
                <w:kern w:val="0"/>
                <w:sz w:val="24"/>
                <w:szCs w:val="28"/>
                <w:highlight w:val="none"/>
              </w:rPr>
              <w:t>——</w:t>
            </w:r>
          </w:p>
        </w:tc>
        <w:tc>
          <w:tcPr>
            <w:tcW w:w="8459" w:type="dxa"/>
            <w:vAlign w:val="center"/>
          </w:tcPr>
          <w:p>
            <w:pPr>
              <w:adjustRightInd w:val="0"/>
              <w:snapToGrid w:val="0"/>
              <w:spacing w:line="360" w:lineRule="auto"/>
              <w:rPr>
                <w:kern w:val="0"/>
                <w:sz w:val="24"/>
                <w:szCs w:val="28"/>
                <w:highlight w:val="none"/>
              </w:rPr>
            </w:pPr>
            <w:bookmarkStart w:id="933" w:name="_Toc515087761"/>
            <w:bookmarkStart w:id="934" w:name="_Toc535475971"/>
            <w:bookmarkStart w:id="935" w:name="_Toc504570022"/>
            <w:bookmarkStart w:id="936" w:name="_Toc515893965"/>
            <w:bookmarkStart w:id="937" w:name="_Toc532461053"/>
            <w:bookmarkStart w:id="938" w:name="_Toc9927671"/>
            <w:bookmarkStart w:id="939" w:name="_Toc535338419"/>
            <w:bookmarkStart w:id="940" w:name="_Toc532464330"/>
            <w:bookmarkStart w:id="941" w:name="_Toc7976105"/>
            <w:bookmarkStart w:id="942" w:name="_Toc534633705"/>
            <w:bookmarkStart w:id="943" w:name="_Toc519684123"/>
            <w:bookmarkStart w:id="944" w:name="_Toc519683940"/>
            <w:bookmarkStart w:id="945" w:name="_Toc10207186"/>
            <w:bookmarkStart w:id="946" w:name="_Toc19545522"/>
            <w:bookmarkStart w:id="947" w:name="_Toc25690628"/>
            <w:bookmarkStart w:id="948" w:name="_Toc25690899"/>
            <w:bookmarkStart w:id="949" w:name="_Toc19545252"/>
            <w:bookmarkStart w:id="950" w:name="_Toc25070670"/>
            <w:bookmarkStart w:id="951" w:name="_Toc25070368"/>
            <w:r>
              <w:rPr>
                <w:kern w:val="0"/>
                <w:sz w:val="24"/>
                <w:szCs w:val="28"/>
                <w:highlight w:val="none"/>
              </w:rPr>
              <w:t>高延性混凝土强度利用系数，</w:t>
            </w:r>
            <w:bookmarkEnd w:id="933"/>
            <w:bookmarkEnd w:id="934"/>
            <w:bookmarkEnd w:id="935"/>
            <w:bookmarkEnd w:id="936"/>
            <w:bookmarkEnd w:id="937"/>
            <w:bookmarkEnd w:id="938"/>
            <w:bookmarkEnd w:id="939"/>
            <w:bookmarkEnd w:id="940"/>
            <w:bookmarkEnd w:id="941"/>
            <w:bookmarkEnd w:id="942"/>
            <w:bookmarkEnd w:id="943"/>
            <w:bookmarkEnd w:id="944"/>
            <w:bookmarkEnd w:id="945"/>
            <w:r>
              <w:rPr>
                <w:sz w:val="24"/>
                <w:szCs w:val="28"/>
                <w:highlight w:val="none"/>
              </w:rPr>
              <w:t>取</w:t>
            </w:r>
            <w:r>
              <w:rPr>
                <w:position w:val="-10"/>
                <w:sz w:val="24"/>
                <w:szCs w:val="28"/>
                <w:highlight w:val="none"/>
              </w:rPr>
              <w:object>
                <v:shape id="_x0000_i1083" o:spt="75" type="#_x0000_t75" style="height:15.8pt;width:23.75pt;" o:ole="t" filled="f" o:preferrelative="t" stroked="f" coordsize="21600,21600">
                  <v:path/>
                  <v:fill on="f" focussize="0,0"/>
                  <v:stroke on="f" joinstyle="miter"/>
                  <v:imagedata r:id="rId83" o:title=""/>
                  <o:lock v:ext="edit" aspectratio="t"/>
                  <w10:wrap type="none"/>
                  <w10:anchorlock/>
                </v:shape>
                <o:OLEObject Type="Embed" ProgID="Equation.DSMT4" ShapeID="_x0000_i1083" DrawAspect="Content" ObjectID="_1468075782" r:id="rId125">
                  <o:LockedField>false</o:LockedField>
                </o:OLEObject>
              </w:object>
            </w:r>
            <w:r>
              <w:rPr>
                <w:sz w:val="24"/>
                <w:szCs w:val="28"/>
                <w:highlight w:val="none"/>
              </w:rPr>
              <w:t>0.15；</w:t>
            </w:r>
            <w:bookmarkEnd w:id="946"/>
            <w:bookmarkEnd w:id="947"/>
            <w:bookmarkEnd w:id="948"/>
            <w:bookmarkEnd w:id="949"/>
            <w:bookmarkEnd w:id="950"/>
            <w:bookmarkEnd w:id="951"/>
          </w:p>
        </w:tc>
      </w:tr>
      <w:tr>
        <w:tblPrEx>
          <w:tblCellMar>
            <w:top w:w="0" w:type="dxa"/>
            <w:left w:w="108" w:type="dxa"/>
            <w:bottom w:w="0" w:type="dxa"/>
            <w:right w:w="108" w:type="dxa"/>
          </w:tblCellMar>
        </w:tblPrEx>
        <w:tc>
          <w:tcPr>
            <w:tcW w:w="1384" w:type="dxa"/>
          </w:tcPr>
          <w:p>
            <w:pPr>
              <w:tabs>
                <w:tab w:val="left" w:pos="2565"/>
              </w:tabs>
              <w:adjustRightInd w:val="0"/>
              <w:snapToGrid w:val="0"/>
              <w:spacing w:line="360" w:lineRule="auto"/>
              <w:ind w:right="-105" w:rightChars="-50"/>
              <w:jc w:val="right"/>
              <w:rPr>
                <w:kern w:val="0"/>
                <w:sz w:val="24"/>
                <w:szCs w:val="28"/>
                <w:highlight w:val="none"/>
              </w:rPr>
            </w:pPr>
            <w:r>
              <w:rPr>
                <w:position w:val="-14"/>
                <w:sz w:val="24"/>
                <w:szCs w:val="28"/>
                <w:highlight w:val="none"/>
              </w:rPr>
              <w:object>
                <v:shape id="_x0000_i1084" o:spt="75" type="#_x0000_t75" style="height:19pt;width:19pt;" o:ole="t" filled="f" o:preferrelative="t" stroked="f" coordsize="21600,21600">
                  <v:path/>
                  <v:fill on="f" focussize="0,0"/>
                  <v:stroke on="f" joinstyle="miter"/>
                  <v:imagedata r:id="rId127" o:title=""/>
                  <o:lock v:ext="edit" aspectratio="t"/>
                  <w10:wrap type="none"/>
                  <w10:anchorlock/>
                </v:shape>
                <o:OLEObject Type="Embed" ProgID="Equation.DSMT4" ShapeID="_x0000_i1084" DrawAspect="Content" ObjectID="_1468075783" r:id="rId126">
                  <o:LockedField>false</o:LockedField>
                </o:OLEObject>
              </w:object>
            </w:r>
            <w:r>
              <w:rPr>
                <w:kern w:val="0"/>
                <w:sz w:val="24"/>
                <w:szCs w:val="28"/>
                <w:highlight w:val="none"/>
              </w:rPr>
              <w:t>——</w:t>
            </w:r>
          </w:p>
        </w:tc>
        <w:tc>
          <w:tcPr>
            <w:tcW w:w="8459" w:type="dxa"/>
          </w:tcPr>
          <w:p>
            <w:pPr>
              <w:tabs>
                <w:tab w:val="left" w:pos="2565"/>
              </w:tabs>
              <w:adjustRightInd w:val="0"/>
              <w:snapToGrid w:val="0"/>
              <w:spacing w:line="360" w:lineRule="auto"/>
              <w:rPr>
                <w:kern w:val="0"/>
                <w:sz w:val="24"/>
                <w:szCs w:val="28"/>
                <w:highlight w:val="none"/>
              </w:rPr>
            </w:pPr>
            <w:r>
              <w:rPr>
                <w:kern w:val="0"/>
                <w:sz w:val="24"/>
                <w:szCs w:val="28"/>
                <w:highlight w:val="none"/>
              </w:rPr>
              <w:t>高延性混凝土面层受压区的截面面积；</w:t>
            </w:r>
          </w:p>
        </w:tc>
      </w:tr>
      <w:tr>
        <w:tblPrEx>
          <w:tblCellMar>
            <w:top w:w="0" w:type="dxa"/>
            <w:left w:w="108" w:type="dxa"/>
            <w:bottom w:w="0" w:type="dxa"/>
            <w:right w:w="108" w:type="dxa"/>
          </w:tblCellMar>
        </w:tblPrEx>
        <w:tc>
          <w:tcPr>
            <w:tcW w:w="1384" w:type="dxa"/>
          </w:tcPr>
          <w:p>
            <w:pPr>
              <w:tabs>
                <w:tab w:val="left" w:pos="2565"/>
              </w:tabs>
              <w:adjustRightInd w:val="0"/>
              <w:snapToGrid w:val="0"/>
              <w:spacing w:line="360" w:lineRule="auto"/>
              <w:ind w:right="-105" w:rightChars="-50"/>
              <w:jc w:val="right"/>
              <w:rPr>
                <w:kern w:val="0"/>
                <w:sz w:val="24"/>
                <w:szCs w:val="28"/>
                <w:highlight w:val="none"/>
              </w:rPr>
            </w:pPr>
            <m:oMath>
              <m:sSub>
                <m:sSubPr>
                  <m:ctrlPr>
                    <w:rPr>
                      <w:rFonts w:ascii="Cambria Math" w:hAnsi="Cambria Math"/>
                      <w:iCs/>
                      <w:sz w:val="24"/>
                      <w:szCs w:val="28"/>
                      <w:highlight w:val="none"/>
                    </w:rPr>
                  </m:ctrlPr>
                </m:sSubPr>
                <m:e>
                  <m:r>
                    <m:rPr>
                      <m:nor/>
                    </m:rPr>
                    <w:rPr>
                      <w:rFonts w:ascii="Cambria Math" w:hAnsi="Cambria Math"/>
                      <w:i/>
                      <w:sz w:val="24"/>
                      <w:szCs w:val="28"/>
                      <w:highlight w:val="none"/>
                    </w:rPr>
                    <m:t>α</m:t>
                  </m:r>
                  <m:ctrlPr>
                    <w:rPr>
                      <w:rFonts w:ascii="Cambria Math" w:hAnsi="Cambria Math"/>
                      <w:iCs/>
                      <w:sz w:val="24"/>
                      <w:szCs w:val="28"/>
                      <w:highlight w:val="none"/>
                    </w:rPr>
                  </m:ctrlPr>
                </m:e>
                <m:sub>
                  <m:r>
                    <m:rPr>
                      <m:nor/>
                      <m:sty m:val="p"/>
                    </m:rPr>
                    <w:rPr>
                      <w:rFonts w:ascii="Cambria Math" w:hAnsi="Cambria Math"/>
                      <w:b w:val="0"/>
                      <w:i w:val="0"/>
                      <w:iCs/>
                      <w:sz w:val="24"/>
                      <w:szCs w:val="28"/>
                      <w:highlight w:val="none"/>
                    </w:rPr>
                    <m:t>s</m:t>
                  </m:r>
                  <m:r>
                    <m:rPr>
                      <m:nor/>
                      <m:sty m:val="p"/>
                    </m:rPr>
                    <w:rPr>
                      <w:rFonts w:hint="eastAsia" w:ascii="Cambria Math" w:hAnsi="Cambria Math"/>
                      <w:b w:val="0"/>
                      <w:i w:val="0"/>
                      <w:iCs/>
                      <w:sz w:val="24"/>
                      <w:szCs w:val="28"/>
                      <w:highlight w:val="none"/>
                    </w:rPr>
                    <m:t>h</m:t>
                  </m:r>
                  <m:ctrlPr>
                    <w:rPr>
                      <w:rFonts w:ascii="Cambria Math" w:hAnsi="Cambria Math"/>
                      <w:iCs/>
                      <w:sz w:val="24"/>
                      <w:szCs w:val="28"/>
                      <w:highlight w:val="none"/>
                    </w:rPr>
                  </m:ctrlPr>
                </m:sub>
              </m:sSub>
            </m:oMath>
            <w:r>
              <w:rPr>
                <w:kern w:val="0"/>
                <w:sz w:val="24"/>
                <w:szCs w:val="28"/>
                <w:highlight w:val="none"/>
              </w:rPr>
              <w:t>——</w:t>
            </w:r>
          </w:p>
        </w:tc>
        <w:tc>
          <w:tcPr>
            <w:tcW w:w="8459" w:type="dxa"/>
          </w:tcPr>
          <w:p>
            <w:pPr>
              <w:adjustRightInd w:val="0"/>
              <w:snapToGrid w:val="0"/>
              <w:spacing w:line="360" w:lineRule="auto"/>
              <w:rPr>
                <w:kern w:val="0"/>
                <w:sz w:val="24"/>
                <w:szCs w:val="28"/>
                <w:highlight w:val="none"/>
              </w:rPr>
            </w:pPr>
            <w:bookmarkStart w:id="952" w:name="_Toc9927673"/>
            <w:bookmarkStart w:id="953" w:name="_Toc19545254"/>
            <w:bookmarkStart w:id="954" w:name="_Toc7976107"/>
            <w:bookmarkStart w:id="955" w:name="_Toc519684125"/>
            <w:bookmarkStart w:id="956" w:name="_Toc535338421"/>
            <w:bookmarkStart w:id="957" w:name="_Toc25070370"/>
            <w:bookmarkStart w:id="958" w:name="_Toc515893967"/>
            <w:bookmarkStart w:id="959" w:name="_Toc515087763"/>
            <w:bookmarkStart w:id="960" w:name="_Toc519683942"/>
            <w:bookmarkStart w:id="961" w:name="_Toc532464332"/>
            <w:bookmarkStart w:id="962" w:name="_Toc535475973"/>
            <w:bookmarkStart w:id="963" w:name="_Toc534633707"/>
            <w:bookmarkStart w:id="964" w:name="_Toc10207188"/>
            <w:bookmarkStart w:id="965" w:name="_Toc504570024"/>
            <w:bookmarkStart w:id="966" w:name="_Toc532461055"/>
            <w:bookmarkStart w:id="967" w:name="_Toc19545524"/>
            <w:bookmarkStart w:id="968" w:name="_Toc25690630"/>
            <w:bookmarkStart w:id="969" w:name="_Toc25690901"/>
            <w:bookmarkStart w:id="970" w:name="_Toc25070672"/>
            <w:r>
              <w:rPr>
                <w:kern w:val="0"/>
                <w:sz w:val="24"/>
                <w:szCs w:val="28"/>
                <w:highlight w:val="none"/>
              </w:rPr>
              <w:t>偏心受压构件竖向钢筋强度利用系数，对砖砌体，取</w:t>
            </w:r>
            <m:oMath>
              <m:sSub>
                <m:sSubPr>
                  <m:ctrlPr>
                    <w:rPr>
                      <w:rFonts w:ascii="Cambria Math" w:hAnsi="Cambria Math"/>
                      <w:iCs/>
                      <w:sz w:val="24"/>
                      <w:szCs w:val="28"/>
                      <w:highlight w:val="none"/>
                    </w:rPr>
                  </m:ctrlPr>
                </m:sSubPr>
                <m:e>
                  <m:r>
                    <m:rPr>
                      <m:nor/>
                    </m:rPr>
                    <w:rPr>
                      <w:rFonts w:ascii="Cambria Math" w:hAnsi="Cambria Math"/>
                      <w:i/>
                      <w:sz w:val="24"/>
                      <w:szCs w:val="28"/>
                      <w:highlight w:val="none"/>
                    </w:rPr>
                    <m:t>α</m:t>
                  </m:r>
                  <m:ctrlPr>
                    <w:rPr>
                      <w:rFonts w:ascii="Cambria Math" w:hAnsi="Cambria Math"/>
                      <w:iCs/>
                      <w:sz w:val="24"/>
                      <w:szCs w:val="28"/>
                      <w:highlight w:val="none"/>
                    </w:rPr>
                  </m:ctrlPr>
                </m:e>
                <m:sub>
                  <m:r>
                    <m:rPr>
                      <m:nor/>
                      <m:sty m:val="p"/>
                    </m:rPr>
                    <w:rPr>
                      <w:rFonts w:ascii="Cambria Math" w:hAnsi="Cambria Math"/>
                      <w:b w:val="0"/>
                      <w:i w:val="0"/>
                      <w:iCs/>
                      <w:sz w:val="24"/>
                      <w:szCs w:val="28"/>
                      <w:highlight w:val="none"/>
                    </w:rPr>
                    <m:t>sh</m:t>
                  </m:r>
                  <m:ctrlPr>
                    <w:rPr>
                      <w:rFonts w:ascii="Cambria Math" w:hAnsi="Cambria Math"/>
                      <w:iCs/>
                      <w:sz w:val="24"/>
                      <w:szCs w:val="28"/>
                      <w:highlight w:val="none"/>
                    </w:rPr>
                  </m:ctrlPr>
                </m:sub>
              </m:sSub>
            </m:oMath>
            <w:r>
              <w:rPr>
                <w:rFonts w:hint="eastAsia"/>
                <w:kern w:val="0"/>
                <w:sz w:val="24"/>
                <w:szCs w:val="28"/>
                <w:highlight w:val="none"/>
              </w:rPr>
              <w:t>=</w:t>
            </w:r>
            <w:r>
              <w:rPr>
                <w:kern w:val="0"/>
                <w:sz w:val="24"/>
                <w:szCs w:val="28"/>
                <w:highlight w:val="none"/>
              </w:rPr>
              <w:t>0.90</w:t>
            </w:r>
            <w:r>
              <w:rPr>
                <w:rFonts w:hint="eastAsia"/>
                <w:kern w:val="0"/>
                <w:sz w:val="24"/>
                <w:szCs w:val="28"/>
                <w:highlight w:val="none"/>
              </w:rPr>
              <w:t>；</w:t>
            </w:r>
            <w:r>
              <w:rPr>
                <w:kern w:val="0"/>
                <w:sz w:val="24"/>
                <w:szCs w:val="28"/>
                <w:highlight w:val="none"/>
              </w:rPr>
              <w:t>对混凝土小型空心砌块砌体，取</w:t>
            </w:r>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m:oMath>
              <m:sSub>
                <m:sSubPr>
                  <m:ctrlPr>
                    <w:rPr>
                      <w:rFonts w:ascii="Cambria Math" w:hAnsi="Cambria Math"/>
                      <w:iCs/>
                      <w:sz w:val="24"/>
                      <w:szCs w:val="28"/>
                      <w:highlight w:val="none"/>
                    </w:rPr>
                  </m:ctrlPr>
                </m:sSubPr>
                <m:e>
                  <m:r>
                    <m:rPr>
                      <m:nor/>
                    </m:rPr>
                    <w:rPr>
                      <w:rFonts w:ascii="Cambria Math" w:hAnsi="Cambria Math"/>
                      <w:i/>
                      <w:sz w:val="24"/>
                      <w:szCs w:val="28"/>
                      <w:highlight w:val="none"/>
                    </w:rPr>
                    <m:t>α</m:t>
                  </m:r>
                  <m:ctrlPr>
                    <w:rPr>
                      <w:rFonts w:ascii="Cambria Math" w:hAnsi="Cambria Math"/>
                      <w:iCs/>
                      <w:sz w:val="24"/>
                      <w:szCs w:val="28"/>
                      <w:highlight w:val="none"/>
                    </w:rPr>
                  </m:ctrlPr>
                </m:e>
                <m:sub>
                  <m:r>
                    <m:rPr>
                      <m:nor/>
                      <m:sty m:val="p"/>
                    </m:rPr>
                    <w:rPr>
                      <w:rFonts w:ascii="Cambria Math" w:hAnsi="Cambria Math"/>
                      <w:b w:val="0"/>
                      <w:i w:val="0"/>
                      <w:iCs/>
                      <w:sz w:val="24"/>
                      <w:szCs w:val="28"/>
                      <w:highlight w:val="none"/>
                    </w:rPr>
                    <m:t>sh</m:t>
                  </m:r>
                  <m:ctrlPr>
                    <w:rPr>
                      <w:rFonts w:ascii="Cambria Math" w:hAnsi="Cambria Math"/>
                      <w:iCs/>
                      <w:sz w:val="24"/>
                      <w:szCs w:val="28"/>
                      <w:highlight w:val="none"/>
                    </w:rPr>
                  </m:ctrlPr>
                </m:sub>
              </m:sSub>
            </m:oMath>
            <w:r>
              <w:rPr>
                <w:rFonts w:hint="eastAsia"/>
                <w:kern w:val="0"/>
                <w:sz w:val="24"/>
                <w:szCs w:val="28"/>
                <w:highlight w:val="none"/>
              </w:rPr>
              <w:t>=</w:t>
            </w:r>
            <w:r>
              <w:rPr>
                <w:kern w:val="0"/>
                <w:sz w:val="24"/>
                <w:szCs w:val="28"/>
                <w:highlight w:val="none"/>
              </w:rPr>
              <w:t>0.80</w:t>
            </w:r>
            <w:r>
              <w:rPr>
                <w:rFonts w:hint="eastAsia"/>
                <w:kern w:val="0"/>
                <w:sz w:val="24"/>
                <w:szCs w:val="28"/>
                <w:highlight w:val="none"/>
              </w:rPr>
              <w:t>；</w:t>
            </w:r>
          </w:p>
        </w:tc>
      </w:tr>
      <w:tr>
        <w:tblPrEx>
          <w:tblCellMar>
            <w:top w:w="0" w:type="dxa"/>
            <w:left w:w="108" w:type="dxa"/>
            <w:bottom w:w="0" w:type="dxa"/>
            <w:right w:w="108" w:type="dxa"/>
          </w:tblCellMar>
        </w:tblPrEx>
        <w:tc>
          <w:tcPr>
            <w:tcW w:w="1384" w:type="dxa"/>
          </w:tcPr>
          <w:p>
            <w:pPr>
              <w:tabs>
                <w:tab w:val="left" w:pos="2565"/>
              </w:tabs>
              <w:adjustRightInd w:val="0"/>
              <w:snapToGrid w:val="0"/>
              <w:spacing w:line="360" w:lineRule="auto"/>
              <w:ind w:right="-105" w:rightChars="-50"/>
              <w:jc w:val="right"/>
              <w:rPr>
                <w:kern w:val="0"/>
                <w:sz w:val="24"/>
                <w:szCs w:val="28"/>
                <w:highlight w:val="none"/>
              </w:rPr>
            </w:pPr>
            <w:r>
              <w:rPr>
                <w:position w:val="-10"/>
                <w:sz w:val="24"/>
                <w:szCs w:val="28"/>
                <w:highlight w:val="none"/>
              </w:rPr>
              <w:object>
                <v:shape id="_x0000_i1085" o:spt="75" type="#_x0000_t75" style="height:15.05pt;width:15.05pt;" o:ole="t" filled="f" o:preferrelative="t" stroked="f" coordsize="21600,21600">
                  <v:path/>
                  <v:fill on="f" focussize="0,0"/>
                  <v:stroke on="f" joinstyle="miter"/>
                  <v:imagedata r:id="rId129" o:title=""/>
                  <o:lock v:ext="edit" aspectratio="t"/>
                  <w10:wrap type="none"/>
                  <w10:anchorlock/>
                </v:shape>
                <o:OLEObject Type="Embed" ProgID="Equation.DSMT4" ShapeID="_x0000_i1085" DrawAspect="Content" ObjectID="_1468075784" r:id="rId128">
                  <o:LockedField>false</o:LockedField>
                </o:OLEObject>
              </w:object>
            </w:r>
            <w:r>
              <w:rPr>
                <w:kern w:val="0"/>
                <w:sz w:val="24"/>
                <w:szCs w:val="28"/>
                <w:highlight w:val="none"/>
              </w:rPr>
              <w:t>——</w:t>
            </w:r>
          </w:p>
        </w:tc>
        <w:tc>
          <w:tcPr>
            <w:tcW w:w="8459" w:type="dxa"/>
          </w:tcPr>
          <w:p>
            <w:pPr>
              <w:adjustRightInd w:val="0"/>
              <w:snapToGrid w:val="0"/>
              <w:spacing w:line="360" w:lineRule="auto"/>
              <w:rPr>
                <w:kern w:val="0"/>
                <w:sz w:val="24"/>
                <w:szCs w:val="28"/>
                <w:highlight w:val="none"/>
              </w:rPr>
            </w:pPr>
            <w:bookmarkStart w:id="971" w:name="_Toc515893968"/>
            <w:bookmarkStart w:id="972" w:name="_Toc9927674"/>
            <w:bookmarkStart w:id="973" w:name="_Toc7976108"/>
            <w:bookmarkStart w:id="974" w:name="_Toc19545525"/>
            <w:bookmarkStart w:id="975" w:name="_Toc519683943"/>
            <w:bookmarkStart w:id="976" w:name="_Toc25690902"/>
            <w:bookmarkStart w:id="977" w:name="_Toc532464333"/>
            <w:bookmarkStart w:id="978" w:name="_Toc25070673"/>
            <w:bookmarkStart w:id="979" w:name="_Toc534633708"/>
            <w:bookmarkStart w:id="980" w:name="_Toc25070371"/>
            <w:bookmarkStart w:id="981" w:name="_Toc532461056"/>
            <w:bookmarkStart w:id="982" w:name="_Toc515087764"/>
            <w:bookmarkStart w:id="983" w:name="_Toc535475974"/>
            <w:bookmarkStart w:id="984" w:name="_Toc10207189"/>
            <w:bookmarkStart w:id="985" w:name="_Toc535338422"/>
            <w:bookmarkStart w:id="986" w:name="_Toc519684126"/>
            <w:bookmarkStart w:id="987" w:name="_Toc25690631"/>
            <w:bookmarkStart w:id="988" w:name="_Toc19545255"/>
            <w:bookmarkStart w:id="989" w:name="_Toc504570025"/>
            <w:r>
              <w:rPr>
                <w:kern w:val="0"/>
                <w:sz w:val="24"/>
                <w:szCs w:val="28"/>
                <w:highlight w:val="none"/>
              </w:rPr>
              <w:t>离轴向力</w:t>
            </w:r>
            <w:r>
              <w:rPr>
                <w:i/>
                <w:kern w:val="0"/>
                <w:sz w:val="24"/>
                <w:szCs w:val="28"/>
                <w:highlight w:val="none"/>
              </w:rPr>
              <w:t>N</w:t>
            </w:r>
            <w:r>
              <w:rPr>
                <w:kern w:val="0"/>
                <w:sz w:val="24"/>
                <w:szCs w:val="28"/>
                <w:highlight w:val="none"/>
              </w:rPr>
              <w:t>作用点较远一侧钢筋的合力点至轴向力</w:t>
            </w:r>
            <w:r>
              <w:rPr>
                <w:i/>
                <w:kern w:val="0"/>
                <w:sz w:val="24"/>
                <w:szCs w:val="28"/>
                <w:highlight w:val="none"/>
              </w:rPr>
              <w:t>N</w:t>
            </w:r>
            <w:r>
              <w:rPr>
                <w:kern w:val="0"/>
                <w:sz w:val="24"/>
                <w:szCs w:val="28"/>
                <w:highlight w:val="none"/>
              </w:rPr>
              <w:t>作用点的距离；</w:t>
            </w:r>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p>
        </w:tc>
      </w:tr>
      <w:tr>
        <w:tblPrEx>
          <w:tblCellMar>
            <w:top w:w="0" w:type="dxa"/>
            <w:left w:w="108" w:type="dxa"/>
            <w:bottom w:w="0" w:type="dxa"/>
            <w:right w:w="108" w:type="dxa"/>
          </w:tblCellMar>
        </w:tblPrEx>
        <w:tc>
          <w:tcPr>
            <w:tcW w:w="1384" w:type="dxa"/>
          </w:tcPr>
          <w:p>
            <w:pPr>
              <w:tabs>
                <w:tab w:val="left" w:pos="2565"/>
              </w:tabs>
              <w:adjustRightInd w:val="0"/>
              <w:snapToGrid w:val="0"/>
              <w:spacing w:line="360" w:lineRule="auto"/>
              <w:ind w:right="-105" w:rightChars="-50"/>
              <w:jc w:val="right"/>
              <w:rPr>
                <w:kern w:val="0"/>
                <w:sz w:val="24"/>
                <w:szCs w:val="28"/>
                <w:highlight w:val="none"/>
              </w:rPr>
            </w:pPr>
            <w:r>
              <w:rPr>
                <w:position w:val="-10"/>
                <w:sz w:val="24"/>
                <w:szCs w:val="28"/>
                <w:highlight w:val="none"/>
              </w:rPr>
              <w:object>
                <v:shape id="_x0000_i1086" o:spt="75" type="#_x0000_t75" style="height:15.05pt;width:19pt;" o:ole="t" filled="f" o:preferrelative="t" stroked="f" coordsize="21600,21600">
                  <v:path/>
                  <v:fill on="f" focussize="0,0"/>
                  <v:stroke on="f" joinstyle="miter"/>
                  <v:imagedata r:id="rId131" o:title=""/>
                  <o:lock v:ext="edit" aspectratio="t"/>
                  <w10:wrap type="none"/>
                  <w10:anchorlock/>
                </v:shape>
                <o:OLEObject Type="Embed" ProgID="Equation.DSMT4" ShapeID="_x0000_i1086" DrawAspect="Content" ObjectID="_1468075785" r:id="rId130">
                  <o:LockedField>false</o:LockedField>
                </o:OLEObject>
              </w:object>
            </w:r>
            <w:r>
              <w:rPr>
                <w:kern w:val="0"/>
                <w:sz w:val="24"/>
                <w:szCs w:val="28"/>
                <w:highlight w:val="none"/>
              </w:rPr>
              <w:t>——</w:t>
            </w:r>
          </w:p>
        </w:tc>
        <w:tc>
          <w:tcPr>
            <w:tcW w:w="8459" w:type="dxa"/>
          </w:tcPr>
          <w:p>
            <w:pPr>
              <w:tabs>
                <w:tab w:val="left" w:pos="2565"/>
              </w:tabs>
              <w:adjustRightInd w:val="0"/>
              <w:snapToGrid w:val="0"/>
              <w:spacing w:line="360" w:lineRule="auto"/>
              <w:rPr>
                <w:kern w:val="0"/>
                <w:sz w:val="24"/>
                <w:szCs w:val="28"/>
                <w:highlight w:val="none"/>
              </w:rPr>
            </w:pPr>
            <w:r>
              <w:rPr>
                <w:rFonts w:hint="eastAsia"/>
                <w:kern w:val="0"/>
                <w:sz w:val="24"/>
                <w:szCs w:val="28"/>
                <w:highlight w:val="none"/>
              </w:rPr>
              <w:t>原构件</w:t>
            </w:r>
            <w:r>
              <w:rPr>
                <w:kern w:val="0"/>
                <w:sz w:val="24"/>
                <w:szCs w:val="28"/>
                <w:highlight w:val="none"/>
              </w:rPr>
              <w:t>砌体受压区的截面面积对钢筋</w:t>
            </w:r>
            <w:r>
              <w:rPr>
                <w:position w:val="-10"/>
                <w:sz w:val="24"/>
                <w:szCs w:val="28"/>
                <w:highlight w:val="none"/>
              </w:rPr>
              <w:object>
                <v:shape id="_x0000_i1087" o:spt="75" type="#_x0000_t75" style="height:15.05pt;width:15.05pt;" o:ole="t" filled="f" o:preferrelative="t" stroked="f" coordsize="21600,21600">
                  <v:path/>
                  <v:fill on="f" focussize="0,0"/>
                  <v:stroke on="f" joinstyle="miter"/>
                  <v:imagedata r:id="rId133" o:title=""/>
                  <o:lock v:ext="edit" aspectratio="t"/>
                  <w10:wrap type="none"/>
                  <w10:anchorlock/>
                </v:shape>
                <o:OLEObject Type="Embed" ProgID="Equation.DSMT4" ShapeID="_x0000_i1087" DrawAspect="Content" ObjectID="_1468075786" r:id="rId132">
                  <o:LockedField>false</o:LockedField>
                </o:OLEObject>
              </w:object>
            </w:r>
            <w:r>
              <w:rPr>
                <w:kern w:val="0"/>
                <w:sz w:val="24"/>
                <w:szCs w:val="28"/>
                <w:highlight w:val="none"/>
              </w:rPr>
              <w:t>重心的面积矩；</w:t>
            </w:r>
          </w:p>
        </w:tc>
      </w:tr>
      <w:tr>
        <w:tblPrEx>
          <w:tblCellMar>
            <w:top w:w="0" w:type="dxa"/>
            <w:left w:w="108" w:type="dxa"/>
            <w:bottom w:w="0" w:type="dxa"/>
            <w:right w:w="108" w:type="dxa"/>
          </w:tblCellMar>
        </w:tblPrEx>
        <w:tc>
          <w:tcPr>
            <w:tcW w:w="1384" w:type="dxa"/>
          </w:tcPr>
          <w:p>
            <w:pPr>
              <w:tabs>
                <w:tab w:val="left" w:pos="2565"/>
              </w:tabs>
              <w:adjustRightInd w:val="0"/>
              <w:snapToGrid w:val="0"/>
              <w:spacing w:line="360" w:lineRule="auto"/>
              <w:ind w:right="-105" w:rightChars="-50"/>
              <w:jc w:val="right"/>
              <w:rPr>
                <w:kern w:val="0"/>
                <w:sz w:val="24"/>
                <w:szCs w:val="28"/>
                <w:highlight w:val="none"/>
              </w:rPr>
            </w:pPr>
            <w:r>
              <w:rPr>
                <w:position w:val="-10"/>
                <w:sz w:val="24"/>
                <w:szCs w:val="28"/>
                <w:highlight w:val="none"/>
              </w:rPr>
              <w:object>
                <v:shape id="_x0000_i1088" o:spt="75" type="#_x0000_t75" style="height:15.05pt;width:19pt;" o:ole="t" filled="f" o:preferrelative="t" stroked="f" coordsize="21600,21600">
                  <v:path/>
                  <v:fill on="f" focussize="0,0"/>
                  <v:stroke on="f" joinstyle="miter"/>
                  <v:imagedata r:id="rId135" o:title=""/>
                  <o:lock v:ext="edit" aspectratio="t"/>
                  <w10:wrap type="none"/>
                  <w10:anchorlock/>
                </v:shape>
                <o:OLEObject Type="Embed" ProgID="Equation.DSMT4" ShapeID="_x0000_i1088" DrawAspect="Content" ObjectID="_1468075787" r:id="rId134">
                  <o:LockedField>false</o:LockedField>
                </o:OLEObject>
              </w:object>
            </w:r>
            <w:r>
              <w:rPr>
                <w:kern w:val="0"/>
                <w:sz w:val="24"/>
                <w:szCs w:val="28"/>
                <w:highlight w:val="none"/>
              </w:rPr>
              <w:t>——</w:t>
            </w:r>
          </w:p>
        </w:tc>
        <w:tc>
          <w:tcPr>
            <w:tcW w:w="8459" w:type="dxa"/>
          </w:tcPr>
          <w:p>
            <w:pPr>
              <w:tabs>
                <w:tab w:val="left" w:pos="2565"/>
              </w:tabs>
              <w:adjustRightInd w:val="0"/>
              <w:snapToGrid w:val="0"/>
              <w:spacing w:line="360" w:lineRule="auto"/>
              <w:rPr>
                <w:kern w:val="0"/>
                <w:sz w:val="24"/>
                <w:szCs w:val="28"/>
                <w:highlight w:val="none"/>
              </w:rPr>
            </w:pPr>
            <w:r>
              <w:rPr>
                <w:kern w:val="0"/>
                <w:sz w:val="24"/>
                <w:szCs w:val="28"/>
                <w:highlight w:val="none"/>
              </w:rPr>
              <w:t>高延性混凝土面层受压区的截面面积对钢筋</w:t>
            </w:r>
            <w:r>
              <w:rPr>
                <w:position w:val="-10"/>
                <w:sz w:val="24"/>
                <w:szCs w:val="28"/>
                <w:highlight w:val="none"/>
              </w:rPr>
              <w:object>
                <v:shape id="_x0000_i1089" o:spt="75" type="#_x0000_t75" style="height:15.05pt;width:15.05pt;" o:ole="t" filled="f" o:preferrelative="t" stroked="f" coordsize="21600,21600">
                  <v:path/>
                  <v:fill on="f" focussize="0,0"/>
                  <v:stroke on="f" joinstyle="miter"/>
                  <v:imagedata r:id="rId133" o:title=""/>
                  <o:lock v:ext="edit" aspectratio="t"/>
                  <w10:wrap type="none"/>
                  <w10:anchorlock/>
                </v:shape>
                <o:OLEObject Type="Embed" ProgID="Equation.DSMT4" ShapeID="_x0000_i1089" DrawAspect="Content" ObjectID="_1468075788" r:id="rId136">
                  <o:LockedField>false</o:LockedField>
                </o:OLEObject>
              </w:object>
            </w:r>
            <w:r>
              <w:rPr>
                <w:kern w:val="0"/>
                <w:sz w:val="24"/>
                <w:szCs w:val="28"/>
                <w:highlight w:val="none"/>
              </w:rPr>
              <w:t>重心的面积矩；</w:t>
            </w:r>
          </w:p>
        </w:tc>
      </w:tr>
      <w:tr>
        <w:tblPrEx>
          <w:tblCellMar>
            <w:top w:w="0" w:type="dxa"/>
            <w:left w:w="108" w:type="dxa"/>
            <w:bottom w:w="0" w:type="dxa"/>
            <w:right w:w="108" w:type="dxa"/>
          </w:tblCellMar>
        </w:tblPrEx>
        <w:tc>
          <w:tcPr>
            <w:tcW w:w="1384" w:type="dxa"/>
          </w:tcPr>
          <w:p>
            <w:pPr>
              <w:tabs>
                <w:tab w:val="left" w:pos="2565"/>
              </w:tabs>
              <w:adjustRightInd w:val="0"/>
              <w:snapToGrid w:val="0"/>
              <w:spacing w:line="360" w:lineRule="auto"/>
              <w:ind w:right="-105" w:rightChars="-50"/>
              <w:jc w:val="right"/>
              <w:rPr>
                <w:kern w:val="0"/>
                <w:position w:val="-10"/>
                <w:sz w:val="24"/>
                <w:szCs w:val="28"/>
                <w:highlight w:val="none"/>
              </w:rPr>
            </w:pPr>
            <w:r>
              <w:rPr>
                <w:position w:val="-10"/>
                <w:sz w:val="24"/>
                <w:szCs w:val="28"/>
                <w:highlight w:val="none"/>
              </w:rPr>
              <w:object>
                <v:shape id="_x0000_i1090" o:spt="75" type="#_x0000_t75" style="height:15.05pt;width:15.05pt;" o:ole="t" filled="f" o:preferrelative="t" stroked="f" coordsize="21600,21600">
                  <v:path/>
                  <v:fill on="f" focussize="0,0"/>
                  <v:stroke on="f" joinstyle="miter"/>
                  <v:imagedata r:id="rId138" o:title=""/>
                  <o:lock v:ext="edit" aspectratio="t"/>
                  <w10:wrap type="none"/>
                  <w10:anchorlock/>
                </v:shape>
                <o:OLEObject Type="Embed" ProgID="Equation.DSMT4" ShapeID="_x0000_i1090" DrawAspect="Content" ObjectID="_1468075789" r:id="rId137">
                  <o:LockedField>false</o:LockedField>
                </o:OLEObject>
              </w:object>
            </w:r>
            <w:r>
              <w:rPr>
                <w:kern w:val="0"/>
                <w:sz w:val="24"/>
                <w:szCs w:val="28"/>
                <w:highlight w:val="none"/>
              </w:rPr>
              <w:t>——</w:t>
            </w:r>
          </w:p>
        </w:tc>
        <w:tc>
          <w:tcPr>
            <w:tcW w:w="8459" w:type="dxa"/>
          </w:tcPr>
          <w:p>
            <w:pPr>
              <w:adjustRightInd w:val="0"/>
              <w:snapToGrid w:val="0"/>
              <w:spacing w:line="360" w:lineRule="auto"/>
              <w:rPr>
                <w:kern w:val="0"/>
                <w:sz w:val="24"/>
                <w:szCs w:val="28"/>
                <w:highlight w:val="none"/>
              </w:rPr>
            </w:pPr>
            <w:bookmarkStart w:id="990" w:name="_Toc519684127"/>
            <w:bookmarkStart w:id="991" w:name="_Toc504570026"/>
            <w:bookmarkStart w:id="992" w:name="_Toc515087765"/>
            <w:bookmarkStart w:id="993" w:name="_Toc519683944"/>
            <w:bookmarkStart w:id="994" w:name="_Toc515893969"/>
            <w:bookmarkStart w:id="995" w:name="_Toc532461057"/>
            <w:bookmarkStart w:id="996" w:name="_Toc19545526"/>
            <w:bookmarkStart w:id="997" w:name="_Toc532464334"/>
            <w:bookmarkStart w:id="998" w:name="_Toc534633709"/>
            <w:bookmarkStart w:id="999" w:name="_Toc25070372"/>
            <w:bookmarkStart w:id="1000" w:name="_Toc9927675"/>
            <w:bookmarkStart w:id="1001" w:name="_Toc19545256"/>
            <w:bookmarkStart w:id="1002" w:name="_Toc535475975"/>
            <w:bookmarkStart w:id="1003" w:name="_Toc535338423"/>
            <w:bookmarkStart w:id="1004" w:name="_Toc10207190"/>
            <w:bookmarkStart w:id="1005" w:name="_Toc25690903"/>
            <w:bookmarkStart w:id="1006" w:name="_Toc25690632"/>
            <w:bookmarkStart w:id="1007" w:name="_Toc7976109"/>
            <w:bookmarkStart w:id="1008" w:name="_Toc25070674"/>
            <w:r>
              <w:rPr>
                <w:kern w:val="0"/>
                <w:sz w:val="24"/>
                <w:szCs w:val="28"/>
                <w:highlight w:val="none"/>
              </w:rPr>
              <w:t>加固后截面受压区相对高度的界限值，对HPB300级钢筋，取0.47；</w:t>
            </w:r>
            <w:bookmarkEnd w:id="990"/>
            <w:bookmarkEnd w:id="991"/>
            <w:bookmarkEnd w:id="992"/>
            <w:bookmarkEnd w:id="993"/>
            <w:bookmarkEnd w:id="994"/>
            <w:r>
              <w:rPr>
                <w:kern w:val="0"/>
                <w:sz w:val="24"/>
                <w:szCs w:val="28"/>
                <w:highlight w:val="none"/>
              </w:rPr>
              <w:t>对HRB400级钢筋，取0.36；</w:t>
            </w:r>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p>
        </w:tc>
      </w:tr>
      <w:tr>
        <w:tblPrEx>
          <w:tblCellMar>
            <w:top w:w="0" w:type="dxa"/>
            <w:left w:w="108" w:type="dxa"/>
            <w:bottom w:w="0" w:type="dxa"/>
            <w:right w:w="108" w:type="dxa"/>
          </w:tblCellMar>
        </w:tblPrEx>
        <w:tc>
          <w:tcPr>
            <w:tcW w:w="1384" w:type="dxa"/>
          </w:tcPr>
          <w:p>
            <w:pPr>
              <w:tabs>
                <w:tab w:val="left" w:pos="2565"/>
              </w:tabs>
              <w:adjustRightInd w:val="0"/>
              <w:snapToGrid w:val="0"/>
              <w:spacing w:line="360" w:lineRule="auto"/>
              <w:ind w:right="-105" w:rightChars="-50"/>
              <w:jc w:val="right"/>
              <w:rPr>
                <w:kern w:val="0"/>
                <w:sz w:val="24"/>
                <w:szCs w:val="28"/>
                <w:highlight w:val="none"/>
              </w:rPr>
            </w:pPr>
            <w:r>
              <w:rPr>
                <w:position w:val="-10"/>
                <w:sz w:val="24"/>
                <w:szCs w:val="28"/>
                <w:highlight w:val="none"/>
              </w:rPr>
              <w:object>
                <v:shape id="_x0000_i1091" o:spt="75" type="#_x0000_t75" style="height:15.05pt;width:22.55pt;" o:ole="t" filled="f" o:preferrelative="t" stroked="f" coordsize="21600,21600">
                  <v:path/>
                  <v:fill on="f" focussize="0,0"/>
                  <v:stroke on="f" joinstyle="miter"/>
                  <v:imagedata r:id="rId140" o:title=""/>
                  <o:lock v:ext="edit" aspectratio="t"/>
                  <w10:wrap type="none"/>
                  <w10:anchorlock/>
                </v:shape>
                <o:OLEObject Type="Embed" ProgID="Equation.DSMT4" ShapeID="_x0000_i1091" DrawAspect="Content" ObjectID="_1468075790" r:id="rId139">
                  <o:LockedField>false</o:LockedField>
                </o:OLEObject>
              </w:object>
            </w:r>
            <w:r>
              <w:rPr>
                <w:kern w:val="0"/>
                <w:sz w:val="24"/>
                <w:szCs w:val="28"/>
                <w:highlight w:val="none"/>
              </w:rPr>
              <w:t>——</w:t>
            </w:r>
          </w:p>
        </w:tc>
        <w:tc>
          <w:tcPr>
            <w:tcW w:w="8459" w:type="dxa"/>
          </w:tcPr>
          <w:p>
            <w:pPr>
              <w:tabs>
                <w:tab w:val="left" w:pos="2565"/>
              </w:tabs>
              <w:adjustRightInd w:val="0"/>
              <w:snapToGrid w:val="0"/>
              <w:spacing w:line="360" w:lineRule="auto"/>
              <w:rPr>
                <w:kern w:val="0"/>
                <w:sz w:val="24"/>
                <w:szCs w:val="28"/>
                <w:highlight w:val="none"/>
              </w:rPr>
            </w:pPr>
            <w:r>
              <w:rPr>
                <w:rFonts w:hint="eastAsia"/>
                <w:kern w:val="0"/>
                <w:sz w:val="24"/>
                <w:szCs w:val="28"/>
                <w:highlight w:val="none"/>
              </w:rPr>
              <w:t>原构件</w:t>
            </w:r>
            <w:r>
              <w:rPr>
                <w:kern w:val="0"/>
                <w:sz w:val="24"/>
                <w:szCs w:val="28"/>
                <w:highlight w:val="none"/>
              </w:rPr>
              <w:t>砌体受压区的截面面积对轴向力N作用点的面积矩；</w:t>
            </w:r>
          </w:p>
        </w:tc>
      </w:tr>
      <w:tr>
        <w:tblPrEx>
          <w:tblCellMar>
            <w:top w:w="0" w:type="dxa"/>
            <w:left w:w="108" w:type="dxa"/>
            <w:bottom w:w="0" w:type="dxa"/>
            <w:right w:w="108" w:type="dxa"/>
          </w:tblCellMar>
        </w:tblPrEx>
        <w:tc>
          <w:tcPr>
            <w:tcW w:w="1384" w:type="dxa"/>
          </w:tcPr>
          <w:p>
            <w:pPr>
              <w:tabs>
                <w:tab w:val="left" w:pos="2565"/>
              </w:tabs>
              <w:adjustRightInd w:val="0"/>
              <w:snapToGrid w:val="0"/>
              <w:spacing w:line="360" w:lineRule="auto"/>
              <w:ind w:right="-105" w:rightChars="-50"/>
              <w:jc w:val="right"/>
              <w:rPr>
                <w:kern w:val="0"/>
                <w:sz w:val="24"/>
                <w:szCs w:val="28"/>
                <w:highlight w:val="none"/>
              </w:rPr>
            </w:pPr>
            <w:r>
              <w:rPr>
                <w:position w:val="-10"/>
                <w:sz w:val="24"/>
                <w:szCs w:val="28"/>
                <w:highlight w:val="none"/>
              </w:rPr>
              <w:object>
                <v:shape id="_x0000_i1092" o:spt="75" type="#_x0000_t75" style="height:15.05pt;width:19pt;" o:ole="t" filled="f" o:preferrelative="t" stroked="f" coordsize="21600,21600">
                  <v:path/>
                  <v:fill on="f" focussize="0,0"/>
                  <v:stroke on="f" joinstyle="miter"/>
                  <v:imagedata r:id="rId142" o:title=""/>
                  <o:lock v:ext="edit" aspectratio="t"/>
                  <w10:wrap type="none"/>
                  <w10:anchorlock/>
                </v:shape>
                <o:OLEObject Type="Embed" ProgID="Equation.DSMT4" ShapeID="_x0000_i1092" DrawAspect="Content" ObjectID="_1468075791" r:id="rId141">
                  <o:LockedField>false</o:LockedField>
                </o:OLEObject>
              </w:object>
            </w:r>
            <w:r>
              <w:rPr>
                <w:kern w:val="0"/>
                <w:sz w:val="24"/>
                <w:szCs w:val="28"/>
                <w:highlight w:val="none"/>
              </w:rPr>
              <w:t>——</w:t>
            </w:r>
          </w:p>
        </w:tc>
        <w:tc>
          <w:tcPr>
            <w:tcW w:w="8459" w:type="dxa"/>
          </w:tcPr>
          <w:p>
            <w:pPr>
              <w:tabs>
                <w:tab w:val="left" w:pos="2565"/>
              </w:tabs>
              <w:adjustRightInd w:val="0"/>
              <w:snapToGrid w:val="0"/>
              <w:spacing w:line="360" w:lineRule="auto"/>
              <w:rPr>
                <w:kern w:val="0"/>
                <w:sz w:val="24"/>
                <w:szCs w:val="28"/>
                <w:highlight w:val="none"/>
              </w:rPr>
            </w:pPr>
            <w:r>
              <w:rPr>
                <w:kern w:val="0"/>
                <w:sz w:val="24"/>
                <w:szCs w:val="28"/>
                <w:highlight w:val="none"/>
              </w:rPr>
              <w:t>高延性混凝土面层受压区的截面面积对轴向力N作用点的面积矩；</w:t>
            </w:r>
          </w:p>
        </w:tc>
      </w:tr>
      <w:tr>
        <w:tblPrEx>
          <w:tblCellMar>
            <w:top w:w="0" w:type="dxa"/>
            <w:left w:w="108" w:type="dxa"/>
            <w:bottom w:w="0" w:type="dxa"/>
            <w:right w:w="108" w:type="dxa"/>
          </w:tblCellMar>
        </w:tblPrEx>
        <w:tc>
          <w:tcPr>
            <w:tcW w:w="1384" w:type="dxa"/>
          </w:tcPr>
          <w:p>
            <w:pPr>
              <w:tabs>
                <w:tab w:val="left" w:pos="2565"/>
              </w:tabs>
              <w:adjustRightInd w:val="0"/>
              <w:snapToGrid w:val="0"/>
              <w:spacing w:line="360" w:lineRule="auto"/>
              <w:ind w:right="-105" w:rightChars="-50"/>
              <w:jc w:val="right"/>
              <w:rPr>
                <w:kern w:val="0"/>
                <w:sz w:val="24"/>
                <w:szCs w:val="28"/>
                <w:highlight w:val="none"/>
              </w:rPr>
            </w:pPr>
            <w:r>
              <w:rPr>
                <w:position w:val="-10"/>
                <w:sz w:val="24"/>
                <w:szCs w:val="28"/>
                <w:highlight w:val="none"/>
              </w:rPr>
              <w:object>
                <v:shape id="_x0000_i1093" o:spt="75" type="#_x0000_t75" style="height:15.05pt;width:15.05pt;" o:ole="t" filled="f" o:preferrelative="t" stroked="f" coordsize="21600,21600">
                  <v:path/>
                  <v:fill on="f" focussize="0,0"/>
                  <v:stroke on="f" joinstyle="miter"/>
                  <v:imagedata r:id="rId144" o:title=""/>
                  <o:lock v:ext="edit" aspectratio="t"/>
                  <w10:wrap type="none"/>
                  <w10:anchorlock/>
                </v:shape>
                <o:OLEObject Type="Embed" ProgID="Equation.DSMT4" ShapeID="_x0000_i1093" DrawAspect="Content" ObjectID="_1468075792" r:id="rId143">
                  <o:LockedField>false</o:LockedField>
                </o:OLEObject>
              </w:object>
            </w:r>
            <w:r>
              <w:rPr>
                <w:kern w:val="0"/>
                <w:sz w:val="24"/>
                <w:szCs w:val="28"/>
                <w:highlight w:val="none"/>
              </w:rPr>
              <w:t>——</w:t>
            </w:r>
          </w:p>
        </w:tc>
        <w:tc>
          <w:tcPr>
            <w:tcW w:w="8459" w:type="dxa"/>
          </w:tcPr>
          <w:p>
            <w:pPr>
              <w:adjustRightInd w:val="0"/>
              <w:snapToGrid w:val="0"/>
              <w:spacing w:line="360" w:lineRule="auto"/>
              <w:rPr>
                <w:kern w:val="0"/>
                <w:sz w:val="24"/>
                <w:szCs w:val="28"/>
                <w:highlight w:val="none"/>
              </w:rPr>
            </w:pPr>
            <w:bookmarkStart w:id="1009" w:name="_Toc535338424"/>
            <w:bookmarkStart w:id="1010" w:name="_Toc532464335"/>
            <w:bookmarkStart w:id="1011" w:name="_Toc19545257"/>
            <w:bookmarkStart w:id="1012" w:name="_Toc534633710"/>
            <w:bookmarkStart w:id="1013" w:name="_Toc25690633"/>
            <w:bookmarkStart w:id="1014" w:name="_Toc25070675"/>
            <w:bookmarkStart w:id="1015" w:name="_Toc504570027"/>
            <w:bookmarkStart w:id="1016" w:name="_Toc519684128"/>
            <w:bookmarkStart w:id="1017" w:name="_Toc25070373"/>
            <w:bookmarkStart w:id="1018" w:name="_Toc515893970"/>
            <w:bookmarkStart w:id="1019" w:name="_Toc515087766"/>
            <w:bookmarkStart w:id="1020" w:name="_Toc7976110"/>
            <w:bookmarkStart w:id="1021" w:name="_Toc10207191"/>
            <w:bookmarkStart w:id="1022" w:name="_Toc9927676"/>
            <w:bookmarkStart w:id="1023" w:name="_Toc519683945"/>
            <w:bookmarkStart w:id="1024" w:name="_Toc532461058"/>
            <w:bookmarkStart w:id="1025" w:name="_Toc25690904"/>
            <w:bookmarkStart w:id="1026" w:name="_Toc535475976"/>
            <w:bookmarkStart w:id="1027" w:name="_Toc19545527"/>
            <w:r>
              <w:rPr>
                <w:kern w:val="0"/>
                <w:sz w:val="24"/>
                <w:szCs w:val="28"/>
                <w:highlight w:val="none"/>
              </w:rPr>
              <w:t>离轴向力</w:t>
            </w:r>
            <w:r>
              <w:rPr>
                <w:i/>
                <w:kern w:val="0"/>
                <w:sz w:val="24"/>
                <w:szCs w:val="28"/>
                <w:highlight w:val="none"/>
              </w:rPr>
              <w:t>N</w:t>
            </w:r>
            <w:r>
              <w:rPr>
                <w:kern w:val="0"/>
                <w:sz w:val="24"/>
                <w:szCs w:val="28"/>
                <w:highlight w:val="none"/>
              </w:rPr>
              <w:t>作用点较近一侧钢筋的重心至轴向力</w:t>
            </w:r>
            <w:r>
              <w:rPr>
                <w:i/>
                <w:kern w:val="0"/>
                <w:sz w:val="24"/>
                <w:szCs w:val="28"/>
                <w:highlight w:val="none"/>
              </w:rPr>
              <w:t>N</w:t>
            </w:r>
            <w:r>
              <w:rPr>
                <w:kern w:val="0"/>
                <w:sz w:val="24"/>
                <w:szCs w:val="28"/>
                <w:highlight w:val="none"/>
              </w:rPr>
              <w:t>作用点的距离；</w:t>
            </w:r>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p>
        </w:tc>
      </w:tr>
      <w:tr>
        <w:tblPrEx>
          <w:tblCellMar>
            <w:top w:w="0" w:type="dxa"/>
            <w:left w:w="108" w:type="dxa"/>
            <w:bottom w:w="0" w:type="dxa"/>
            <w:right w:w="108" w:type="dxa"/>
          </w:tblCellMar>
        </w:tblPrEx>
        <w:tc>
          <w:tcPr>
            <w:tcW w:w="1384" w:type="dxa"/>
          </w:tcPr>
          <w:p>
            <w:pPr>
              <w:tabs>
                <w:tab w:val="left" w:pos="2565"/>
              </w:tabs>
              <w:adjustRightInd w:val="0"/>
              <w:snapToGrid w:val="0"/>
              <w:spacing w:line="360" w:lineRule="auto"/>
              <w:ind w:right="-105" w:rightChars="-50"/>
              <w:jc w:val="right"/>
              <w:rPr>
                <w:kern w:val="0"/>
                <w:sz w:val="24"/>
                <w:szCs w:val="28"/>
                <w:highlight w:val="none"/>
              </w:rPr>
            </w:pPr>
            <w:r>
              <w:rPr>
                <w:position w:val="-6"/>
                <w:sz w:val="24"/>
                <w:szCs w:val="28"/>
                <w:highlight w:val="none"/>
              </w:rPr>
              <w:object>
                <v:shape id="_x0000_i1094" o:spt="75" type="#_x0000_t75" style="height:11.45pt;width:11.45pt;" o:ole="t" filled="f" o:preferrelative="t" stroked="f" coordsize="21600,21600">
                  <v:path/>
                  <v:fill on="f" focussize="0,0"/>
                  <v:stroke on="f" joinstyle="miter"/>
                  <v:imagedata r:id="rId146" o:title=""/>
                  <o:lock v:ext="edit" aspectratio="t"/>
                  <w10:wrap type="none"/>
                  <w10:anchorlock/>
                </v:shape>
                <o:OLEObject Type="Embed" ProgID="Equation.DSMT4" ShapeID="_x0000_i1094" DrawAspect="Content" ObjectID="_1468075793" r:id="rId145">
                  <o:LockedField>false</o:LockedField>
                </o:OLEObject>
              </w:object>
            </w:r>
            <w:r>
              <w:rPr>
                <w:kern w:val="0"/>
                <w:sz w:val="24"/>
                <w:szCs w:val="28"/>
                <w:highlight w:val="none"/>
              </w:rPr>
              <w:t>——</w:t>
            </w:r>
          </w:p>
        </w:tc>
        <w:tc>
          <w:tcPr>
            <w:tcW w:w="8459" w:type="dxa"/>
          </w:tcPr>
          <w:p>
            <w:pPr>
              <w:adjustRightInd w:val="0"/>
              <w:snapToGrid w:val="0"/>
              <w:spacing w:line="360" w:lineRule="auto"/>
              <w:rPr>
                <w:kern w:val="0"/>
                <w:sz w:val="24"/>
                <w:szCs w:val="28"/>
                <w:highlight w:val="none"/>
              </w:rPr>
            </w:pPr>
            <w:bookmarkStart w:id="1028" w:name="_Toc19545528"/>
            <w:bookmarkStart w:id="1029" w:name="_Toc9927677"/>
            <w:bookmarkStart w:id="1030" w:name="_Toc25070374"/>
            <w:bookmarkStart w:id="1031" w:name="_Toc25690905"/>
            <w:bookmarkStart w:id="1032" w:name="_Toc19545258"/>
            <w:bookmarkStart w:id="1033" w:name="_Toc7976111"/>
            <w:bookmarkStart w:id="1034" w:name="_Toc25070676"/>
            <w:bookmarkStart w:id="1035" w:name="_Toc10207192"/>
            <w:bookmarkStart w:id="1036" w:name="_Toc25690634"/>
            <w:r>
              <w:rPr>
                <w:kern w:val="0"/>
                <w:sz w:val="24"/>
                <w:szCs w:val="28"/>
                <w:highlight w:val="none"/>
              </w:rPr>
              <w:t>轴向力对加固后截面的初始偏心距，按荷载设计值计算，当</w:t>
            </w:r>
            <w:r>
              <w:rPr>
                <w:position w:val="-6"/>
                <w:sz w:val="24"/>
                <w:szCs w:val="28"/>
                <w:highlight w:val="none"/>
              </w:rPr>
              <w:object>
                <v:shape id="_x0000_i1095" o:spt="75" type="#_x0000_t75" style="height:13.05pt;width:43.9pt;" o:ole="t" filled="f" o:preferrelative="t" stroked="f" coordsize="21600,21600">
                  <v:path/>
                  <v:fill on="f" focussize="0,0"/>
                  <v:stroke on="f" joinstyle="miter"/>
                  <v:imagedata r:id="rId148" o:title=""/>
                  <o:lock v:ext="edit" aspectratio="t"/>
                  <w10:wrap type="none"/>
                  <w10:anchorlock/>
                </v:shape>
                <o:OLEObject Type="Embed" ProgID="Equation.DSMT4" ShapeID="_x0000_i1095" DrawAspect="Content" ObjectID="_1468075794" r:id="rId147">
                  <o:LockedField>false</o:LockedField>
                </o:OLEObject>
              </w:object>
            </w:r>
            <w:r>
              <w:rPr>
                <w:kern w:val="0"/>
                <w:sz w:val="24"/>
                <w:szCs w:val="28"/>
                <w:highlight w:val="none"/>
              </w:rPr>
              <w:t>时，取</w:t>
            </w:r>
            <w:r>
              <w:rPr>
                <w:position w:val="-10"/>
                <w:sz w:val="24"/>
                <w:szCs w:val="28"/>
                <w:highlight w:val="none"/>
              </w:rPr>
              <w:object>
                <v:shape id="_x0000_i1096" o:spt="75" type="#_x0000_t75" style="height:15.05pt;width:45.9pt;" o:ole="t" filled="f" o:preferrelative="t" stroked="f" coordsize="21600,21600">
                  <v:path/>
                  <v:fill on="f" focussize="0,0"/>
                  <v:stroke on="f" joinstyle="miter"/>
                  <v:imagedata r:id="rId150" o:title=""/>
                  <o:lock v:ext="edit" aspectratio="t"/>
                  <w10:wrap type="none"/>
                  <w10:anchorlock/>
                </v:shape>
                <o:OLEObject Type="Embed" ProgID="Equation.DSMT4" ShapeID="_x0000_i1096" DrawAspect="Content" ObjectID="_1468075795" r:id="rId149">
                  <o:LockedField>false</o:LockedField>
                </o:OLEObject>
              </w:object>
            </w:r>
            <w:r>
              <w:rPr>
                <w:kern w:val="0"/>
                <w:sz w:val="24"/>
                <w:szCs w:val="28"/>
                <w:highlight w:val="none"/>
              </w:rPr>
              <w:t>；</w:t>
            </w:r>
            <w:bookmarkEnd w:id="1028"/>
            <w:bookmarkEnd w:id="1029"/>
            <w:bookmarkEnd w:id="1030"/>
            <w:bookmarkEnd w:id="1031"/>
            <w:bookmarkEnd w:id="1032"/>
            <w:bookmarkEnd w:id="1033"/>
            <w:bookmarkEnd w:id="1034"/>
            <w:bookmarkEnd w:id="1035"/>
            <w:bookmarkEnd w:id="1036"/>
          </w:p>
        </w:tc>
      </w:tr>
      <w:tr>
        <w:tblPrEx>
          <w:tblCellMar>
            <w:top w:w="0" w:type="dxa"/>
            <w:left w:w="108" w:type="dxa"/>
            <w:bottom w:w="0" w:type="dxa"/>
            <w:right w:w="108" w:type="dxa"/>
          </w:tblCellMar>
        </w:tblPrEx>
        <w:tc>
          <w:tcPr>
            <w:tcW w:w="1384" w:type="dxa"/>
          </w:tcPr>
          <w:p>
            <w:pPr>
              <w:tabs>
                <w:tab w:val="left" w:pos="2565"/>
              </w:tabs>
              <w:adjustRightInd w:val="0"/>
              <w:snapToGrid w:val="0"/>
              <w:spacing w:line="360" w:lineRule="auto"/>
              <w:ind w:right="-105" w:rightChars="-50"/>
              <w:jc w:val="right"/>
              <w:rPr>
                <w:kern w:val="0"/>
                <w:sz w:val="24"/>
                <w:szCs w:val="28"/>
                <w:highlight w:val="none"/>
              </w:rPr>
            </w:pPr>
            <w:r>
              <w:rPr>
                <w:position w:val="-10"/>
                <w:sz w:val="24"/>
                <w:szCs w:val="28"/>
                <w:highlight w:val="none"/>
              </w:rPr>
              <w:object>
                <v:shape id="_x0000_i1097" o:spt="75" type="#_x0000_t75" style="height:18.6pt;width:15.45pt;" o:ole="t" filled="f" o:preferrelative="t" stroked="f" coordsize="21600,21600">
                  <v:path/>
                  <v:fill on="f" focussize="0,0"/>
                  <v:stroke on="f" joinstyle="miter"/>
                  <v:imagedata r:id="rId152" o:title=""/>
                  <o:lock v:ext="edit" aspectratio="t"/>
                  <w10:wrap type="none"/>
                  <w10:anchorlock/>
                </v:shape>
                <o:OLEObject Type="Embed" ProgID="Equation.DSMT4" ShapeID="_x0000_i1097" DrawAspect="Content" ObjectID="_1468075796" r:id="rId151">
                  <o:LockedField>false</o:LockedField>
                </o:OLEObject>
              </w:object>
            </w:r>
            <w:r>
              <w:rPr>
                <w:kern w:val="0"/>
                <w:sz w:val="24"/>
                <w:szCs w:val="28"/>
                <w:highlight w:val="none"/>
              </w:rPr>
              <w:t>——</w:t>
            </w:r>
          </w:p>
        </w:tc>
        <w:tc>
          <w:tcPr>
            <w:tcW w:w="8459" w:type="dxa"/>
          </w:tcPr>
          <w:p>
            <w:pPr>
              <w:adjustRightInd w:val="0"/>
              <w:snapToGrid w:val="0"/>
              <w:spacing w:line="360" w:lineRule="auto"/>
              <w:rPr>
                <w:kern w:val="0"/>
                <w:sz w:val="24"/>
                <w:szCs w:val="28"/>
                <w:highlight w:val="none"/>
              </w:rPr>
            </w:pPr>
            <w:bookmarkStart w:id="1037" w:name="_Toc25070375"/>
            <w:bookmarkStart w:id="1038" w:name="_Toc7976112"/>
            <w:bookmarkStart w:id="1039" w:name="_Toc10207193"/>
            <w:bookmarkStart w:id="1040" w:name="_Toc19545259"/>
            <w:bookmarkStart w:id="1041" w:name="_Toc25690635"/>
            <w:bookmarkStart w:id="1042" w:name="_Toc9927678"/>
            <w:bookmarkStart w:id="1043" w:name="_Toc25690906"/>
            <w:bookmarkStart w:id="1044" w:name="_Toc25070677"/>
            <w:bookmarkStart w:id="1045" w:name="_Toc19545529"/>
            <w:r>
              <w:rPr>
                <w:kern w:val="0"/>
                <w:sz w:val="24"/>
                <w:szCs w:val="28"/>
                <w:highlight w:val="none"/>
              </w:rPr>
              <w:t>加固后的构件在轴向力作用下的附加偏心距；</w:t>
            </w:r>
            <w:bookmarkEnd w:id="1037"/>
            <w:bookmarkEnd w:id="1038"/>
            <w:bookmarkEnd w:id="1039"/>
            <w:bookmarkEnd w:id="1040"/>
            <w:bookmarkEnd w:id="1041"/>
            <w:bookmarkEnd w:id="1042"/>
            <w:bookmarkEnd w:id="1043"/>
            <w:bookmarkEnd w:id="1044"/>
            <w:bookmarkEnd w:id="1045"/>
          </w:p>
        </w:tc>
      </w:tr>
      <w:tr>
        <w:tblPrEx>
          <w:tblCellMar>
            <w:top w:w="0" w:type="dxa"/>
            <w:left w:w="108" w:type="dxa"/>
            <w:bottom w:w="0" w:type="dxa"/>
            <w:right w:w="108" w:type="dxa"/>
          </w:tblCellMar>
        </w:tblPrEx>
        <w:tc>
          <w:tcPr>
            <w:tcW w:w="1384" w:type="dxa"/>
          </w:tcPr>
          <w:p>
            <w:pPr>
              <w:tabs>
                <w:tab w:val="left" w:pos="2565"/>
              </w:tabs>
              <w:adjustRightInd w:val="0"/>
              <w:snapToGrid w:val="0"/>
              <w:spacing w:line="360" w:lineRule="auto"/>
              <w:ind w:right="-105" w:rightChars="-50"/>
              <w:jc w:val="right"/>
              <w:rPr>
                <w:kern w:val="0"/>
                <w:sz w:val="24"/>
                <w:szCs w:val="28"/>
                <w:highlight w:val="none"/>
              </w:rPr>
            </w:pPr>
            <w:r>
              <w:rPr>
                <w:position w:val="-10"/>
                <w:sz w:val="24"/>
                <w:szCs w:val="28"/>
                <w:highlight w:val="none"/>
              </w:rPr>
              <w:object>
                <v:shape id="_x0000_i1098" o:spt="75" type="#_x0000_t75" style="height:15.05pt;width:15.05pt;" o:ole="t" filled="f" o:preferrelative="t" stroked="f" coordsize="21600,21600">
                  <v:path/>
                  <v:fill on="f" focussize="0,0"/>
                  <v:stroke on="f" joinstyle="miter"/>
                  <v:imagedata r:id="rId154" o:title=""/>
                  <o:lock v:ext="edit" aspectratio="t"/>
                  <w10:wrap type="none"/>
                  <w10:anchorlock/>
                </v:shape>
                <o:OLEObject Type="Embed" ProgID="Equation.DSMT4" ShapeID="_x0000_i1098" DrawAspect="Content" ObjectID="_1468075797" r:id="rId153">
                  <o:LockedField>false</o:LockedField>
                </o:OLEObject>
              </w:object>
            </w:r>
            <w:r>
              <w:rPr>
                <w:kern w:val="0"/>
                <w:sz w:val="24"/>
                <w:szCs w:val="28"/>
                <w:highlight w:val="none"/>
              </w:rPr>
              <w:t>——</w:t>
            </w:r>
          </w:p>
        </w:tc>
        <w:tc>
          <w:tcPr>
            <w:tcW w:w="8459" w:type="dxa"/>
          </w:tcPr>
          <w:p>
            <w:pPr>
              <w:adjustRightInd w:val="0"/>
              <w:snapToGrid w:val="0"/>
              <w:spacing w:line="360" w:lineRule="auto"/>
              <w:rPr>
                <w:kern w:val="0"/>
                <w:sz w:val="24"/>
                <w:szCs w:val="28"/>
                <w:highlight w:val="none"/>
              </w:rPr>
            </w:pPr>
            <w:bookmarkStart w:id="1046" w:name="_Toc532461060"/>
            <w:bookmarkStart w:id="1047" w:name="_Toc9927679"/>
            <w:bookmarkStart w:id="1048" w:name="_Toc532464337"/>
            <w:bookmarkStart w:id="1049" w:name="_Toc7976113"/>
            <w:bookmarkStart w:id="1050" w:name="_Toc25070678"/>
            <w:bookmarkStart w:id="1051" w:name="_Toc19545260"/>
            <w:bookmarkStart w:id="1052" w:name="_Toc515893972"/>
            <w:bookmarkStart w:id="1053" w:name="_Toc25690636"/>
            <w:bookmarkStart w:id="1054" w:name="_Toc25070376"/>
            <w:bookmarkStart w:id="1055" w:name="_Toc25690907"/>
            <w:bookmarkStart w:id="1056" w:name="_Toc535338426"/>
            <w:bookmarkStart w:id="1057" w:name="_Toc515087768"/>
            <w:bookmarkStart w:id="1058" w:name="_Toc519684130"/>
            <w:bookmarkStart w:id="1059" w:name="_Toc534633712"/>
            <w:bookmarkStart w:id="1060" w:name="_Toc519683947"/>
            <w:bookmarkStart w:id="1061" w:name="_Toc504570029"/>
            <w:bookmarkStart w:id="1062" w:name="_Toc535475978"/>
            <w:bookmarkStart w:id="1063" w:name="_Toc10207194"/>
            <w:bookmarkStart w:id="1064" w:name="_Toc19545530"/>
            <w:r>
              <w:rPr>
                <w:kern w:val="0"/>
                <w:sz w:val="24"/>
                <w:szCs w:val="28"/>
                <w:highlight w:val="none"/>
              </w:rPr>
              <w:t>加固后的构件高厚比；</w:t>
            </w:r>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p>
        </w:tc>
      </w:tr>
      <w:tr>
        <w:tblPrEx>
          <w:tblCellMar>
            <w:top w:w="0" w:type="dxa"/>
            <w:left w:w="108" w:type="dxa"/>
            <w:bottom w:w="0" w:type="dxa"/>
            <w:right w:w="108" w:type="dxa"/>
          </w:tblCellMar>
        </w:tblPrEx>
        <w:tc>
          <w:tcPr>
            <w:tcW w:w="1384" w:type="dxa"/>
          </w:tcPr>
          <w:p>
            <w:pPr>
              <w:tabs>
                <w:tab w:val="left" w:pos="2565"/>
              </w:tabs>
              <w:adjustRightInd w:val="0"/>
              <w:snapToGrid w:val="0"/>
              <w:spacing w:line="360" w:lineRule="auto"/>
              <w:ind w:right="-105" w:rightChars="-50"/>
              <w:jc w:val="right"/>
              <w:rPr>
                <w:kern w:val="0"/>
                <w:sz w:val="24"/>
                <w:szCs w:val="28"/>
                <w:highlight w:val="none"/>
              </w:rPr>
            </w:pPr>
            <w:r>
              <w:rPr>
                <w:position w:val="-6"/>
                <w:sz w:val="24"/>
                <w:szCs w:val="28"/>
                <w:highlight w:val="none"/>
              </w:rPr>
              <w:object>
                <v:shape id="_x0000_i1099" o:spt="75" type="#_x0000_t75" style="height:15.05pt;width:11.45pt;" o:ole="t" filled="f" o:preferrelative="t" stroked="f" coordsize="21600,21600">
                  <v:path/>
                  <v:fill on="f" focussize="0,0"/>
                  <v:stroke on="f" joinstyle="miter"/>
                  <v:imagedata r:id="rId156" o:title=""/>
                  <o:lock v:ext="edit" aspectratio="t"/>
                  <w10:wrap type="none"/>
                  <w10:anchorlock/>
                </v:shape>
                <o:OLEObject Type="Embed" ProgID="Equation.DSMT4" ShapeID="_x0000_i1099" DrawAspect="Content" ObjectID="_1468075798" r:id="rId155">
                  <o:LockedField>false</o:LockedField>
                </o:OLEObject>
              </w:object>
            </w:r>
            <w:r>
              <w:rPr>
                <w:kern w:val="0"/>
                <w:sz w:val="24"/>
                <w:szCs w:val="28"/>
                <w:highlight w:val="none"/>
              </w:rPr>
              <w:t>——</w:t>
            </w:r>
          </w:p>
        </w:tc>
        <w:tc>
          <w:tcPr>
            <w:tcW w:w="8459" w:type="dxa"/>
          </w:tcPr>
          <w:p>
            <w:pPr>
              <w:adjustRightInd w:val="0"/>
              <w:snapToGrid w:val="0"/>
              <w:spacing w:line="360" w:lineRule="auto"/>
              <w:rPr>
                <w:kern w:val="0"/>
                <w:sz w:val="24"/>
                <w:szCs w:val="28"/>
                <w:highlight w:val="none"/>
              </w:rPr>
            </w:pPr>
            <w:bookmarkStart w:id="1065" w:name="_Toc519683948"/>
            <w:bookmarkStart w:id="1066" w:name="_Toc25070377"/>
            <w:bookmarkStart w:id="1067" w:name="_Toc10207195"/>
            <w:bookmarkStart w:id="1068" w:name="_Toc532464338"/>
            <w:bookmarkStart w:id="1069" w:name="_Toc515893973"/>
            <w:bookmarkStart w:id="1070" w:name="_Toc25690637"/>
            <w:bookmarkStart w:id="1071" w:name="_Toc25070679"/>
            <w:bookmarkStart w:id="1072" w:name="_Toc19545531"/>
            <w:bookmarkStart w:id="1073" w:name="_Toc25690908"/>
            <w:bookmarkStart w:id="1074" w:name="_Toc535338427"/>
            <w:bookmarkStart w:id="1075" w:name="_Toc9927680"/>
            <w:bookmarkStart w:id="1076" w:name="_Toc519684131"/>
            <w:bookmarkStart w:id="1077" w:name="_Toc19545261"/>
            <w:bookmarkStart w:id="1078" w:name="_Toc515087769"/>
            <w:bookmarkStart w:id="1079" w:name="_Toc534633713"/>
            <w:bookmarkStart w:id="1080" w:name="_Toc535475979"/>
            <w:bookmarkStart w:id="1081" w:name="_Toc7976114"/>
            <w:bookmarkStart w:id="1082" w:name="_Toc532461061"/>
            <w:bookmarkStart w:id="1083" w:name="_Toc504570030"/>
            <w:r>
              <w:rPr>
                <w:kern w:val="0"/>
                <w:sz w:val="24"/>
                <w:szCs w:val="28"/>
                <w:highlight w:val="none"/>
              </w:rPr>
              <w:t>加固后的截面高度；</w:t>
            </w:r>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p>
        </w:tc>
      </w:tr>
      <w:tr>
        <w:tblPrEx>
          <w:tblCellMar>
            <w:top w:w="0" w:type="dxa"/>
            <w:left w:w="108" w:type="dxa"/>
            <w:bottom w:w="0" w:type="dxa"/>
            <w:right w:w="108" w:type="dxa"/>
          </w:tblCellMar>
        </w:tblPrEx>
        <w:tc>
          <w:tcPr>
            <w:tcW w:w="1384" w:type="dxa"/>
          </w:tcPr>
          <w:p>
            <w:pPr>
              <w:tabs>
                <w:tab w:val="left" w:pos="2565"/>
              </w:tabs>
              <w:adjustRightInd w:val="0"/>
              <w:snapToGrid w:val="0"/>
              <w:spacing w:line="360" w:lineRule="auto"/>
              <w:ind w:right="-105" w:rightChars="-50"/>
              <w:jc w:val="right"/>
              <w:rPr>
                <w:kern w:val="0"/>
                <w:sz w:val="24"/>
                <w:szCs w:val="28"/>
                <w:highlight w:val="none"/>
              </w:rPr>
            </w:pPr>
            <w:r>
              <w:rPr>
                <w:position w:val="-10"/>
                <w:sz w:val="24"/>
                <w:szCs w:val="28"/>
                <w:highlight w:val="none"/>
              </w:rPr>
              <w:object>
                <v:shape id="_x0000_i1100" o:spt="75" type="#_x0000_t75" style="height:15.05pt;width:15.05pt;" o:ole="t" filled="f" o:preferrelative="t" stroked="f" coordsize="21600,21600">
                  <v:path/>
                  <v:fill on="f" focussize="0,0"/>
                  <v:stroke on="f" joinstyle="miter"/>
                  <v:imagedata r:id="rId158" o:title=""/>
                  <o:lock v:ext="edit" aspectratio="t"/>
                  <w10:wrap type="none"/>
                  <w10:anchorlock/>
                </v:shape>
                <o:OLEObject Type="Embed" ProgID="Equation.DSMT4" ShapeID="_x0000_i1100" DrawAspect="Content" ObjectID="_1468075799" r:id="rId157">
                  <o:LockedField>false</o:LockedField>
                </o:OLEObject>
              </w:object>
            </w:r>
            <w:r>
              <w:rPr>
                <w:kern w:val="0"/>
                <w:sz w:val="24"/>
                <w:szCs w:val="28"/>
                <w:highlight w:val="none"/>
              </w:rPr>
              <w:t>——</w:t>
            </w:r>
          </w:p>
        </w:tc>
        <w:tc>
          <w:tcPr>
            <w:tcW w:w="8459" w:type="dxa"/>
          </w:tcPr>
          <w:p>
            <w:pPr>
              <w:adjustRightInd w:val="0"/>
              <w:snapToGrid w:val="0"/>
              <w:spacing w:line="360" w:lineRule="auto"/>
              <w:rPr>
                <w:kern w:val="0"/>
                <w:sz w:val="24"/>
                <w:szCs w:val="28"/>
                <w:highlight w:val="none"/>
              </w:rPr>
            </w:pPr>
            <w:bookmarkStart w:id="1084" w:name="_Toc25690638"/>
            <w:bookmarkStart w:id="1085" w:name="_Toc532461062"/>
            <w:bookmarkStart w:id="1086" w:name="_Toc19545532"/>
            <w:bookmarkStart w:id="1087" w:name="_Toc515893974"/>
            <w:bookmarkStart w:id="1088" w:name="_Toc534633714"/>
            <w:bookmarkStart w:id="1089" w:name="_Toc519683949"/>
            <w:bookmarkStart w:id="1090" w:name="_Toc535475980"/>
            <w:bookmarkStart w:id="1091" w:name="_Toc19545262"/>
            <w:bookmarkStart w:id="1092" w:name="_Toc532464339"/>
            <w:bookmarkStart w:id="1093" w:name="_Toc25070680"/>
            <w:bookmarkStart w:id="1094" w:name="_Toc535338428"/>
            <w:bookmarkStart w:id="1095" w:name="_Toc25070378"/>
            <w:bookmarkStart w:id="1096" w:name="_Toc519684132"/>
            <w:bookmarkStart w:id="1097" w:name="_Toc7976115"/>
            <w:bookmarkStart w:id="1098" w:name="_Toc504570031"/>
            <w:bookmarkStart w:id="1099" w:name="_Toc10207196"/>
            <w:bookmarkStart w:id="1100" w:name="_Toc25690909"/>
            <w:bookmarkStart w:id="1101" w:name="_Toc9927681"/>
            <w:bookmarkStart w:id="1102" w:name="_Toc515087770"/>
            <w:r>
              <w:rPr>
                <w:kern w:val="0"/>
                <w:sz w:val="24"/>
                <w:szCs w:val="28"/>
                <w:highlight w:val="none"/>
              </w:rPr>
              <w:t>加固后的截面有效高度；</w:t>
            </w:r>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p>
        </w:tc>
      </w:tr>
      <w:tr>
        <w:tblPrEx>
          <w:tblCellMar>
            <w:top w:w="0" w:type="dxa"/>
            <w:left w:w="108" w:type="dxa"/>
            <w:bottom w:w="0" w:type="dxa"/>
            <w:right w:w="108" w:type="dxa"/>
          </w:tblCellMar>
        </w:tblPrEx>
        <w:tc>
          <w:tcPr>
            <w:tcW w:w="1384" w:type="dxa"/>
          </w:tcPr>
          <w:p>
            <w:pPr>
              <w:tabs>
                <w:tab w:val="left" w:pos="2565"/>
              </w:tabs>
              <w:adjustRightInd w:val="0"/>
              <w:snapToGrid w:val="0"/>
              <w:spacing w:line="360" w:lineRule="auto"/>
              <w:ind w:right="-105" w:rightChars="-50"/>
              <w:jc w:val="right"/>
              <w:rPr>
                <w:kern w:val="0"/>
                <w:sz w:val="24"/>
                <w:szCs w:val="28"/>
                <w:highlight w:val="none"/>
              </w:rPr>
            </w:pPr>
            <w:r>
              <w:rPr>
                <w:position w:val="-6"/>
                <w:sz w:val="24"/>
                <w:szCs w:val="28"/>
                <w:highlight w:val="none"/>
              </w:rPr>
              <w:object>
                <v:shape id="_x0000_i1101" o:spt="75" type="#_x0000_t75" style="height:15.05pt;width:30.05pt;" o:ole="t" filled="f" o:preferrelative="t" stroked="f" coordsize="21600,21600">
                  <v:path/>
                  <v:fill on="f" focussize="0,0"/>
                  <v:stroke on="f" joinstyle="miter"/>
                  <v:imagedata r:id="rId160" o:title=""/>
                  <o:lock v:ext="edit" aspectratio="t"/>
                  <w10:wrap type="none"/>
                  <w10:anchorlock/>
                </v:shape>
                <o:OLEObject Type="Embed" ProgID="Equation.DSMT4" ShapeID="_x0000_i1101" DrawAspect="Content" ObjectID="_1468075800" r:id="rId159">
                  <o:LockedField>false</o:LockedField>
                </o:OLEObject>
              </w:object>
            </w:r>
            <w:r>
              <w:rPr>
                <w:kern w:val="0"/>
                <w:sz w:val="24"/>
                <w:szCs w:val="28"/>
                <w:highlight w:val="none"/>
              </w:rPr>
              <w:t>——</w:t>
            </w:r>
          </w:p>
        </w:tc>
        <w:tc>
          <w:tcPr>
            <w:tcW w:w="8459" w:type="dxa"/>
          </w:tcPr>
          <w:p>
            <w:pPr>
              <w:adjustRightInd w:val="0"/>
              <w:snapToGrid w:val="0"/>
              <w:spacing w:line="360" w:lineRule="auto"/>
              <w:rPr>
                <w:kern w:val="0"/>
                <w:sz w:val="24"/>
                <w:szCs w:val="28"/>
                <w:highlight w:val="none"/>
              </w:rPr>
            </w:pPr>
            <w:bookmarkStart w:id="1103" w:name="_Toc504570032"/>
            <w:bookmarkStart w:id="1104" w:name="_Toc532464340"/>
            <w:bookmarkStart w:id="1105" w:name="_Toc25070379"/>
            <w:bookmarkStart w:id="1106" w:name="_Toc19545263"/>
            <w:bookmarkStart w:id="1107" w:name="_Toc535338429"/>
            <w:bookmarkStart w:id="1108" w:name="_Toc532461063"/>
            <w:bookmarkStart w:id="1109" w:name="_Toc519684133"/>
            <w:bookmarkStart w:id="1110" w:name="_Toc9927682"/>
            <w:bookmarkStart w:id="1111" w:name="_Toc515893975"/>
            <w:bookmarkStart w:id="1112" w:name="_Toc25690910"/>
            <w:bookmarkStart w:id="1113" w:name="_Toc535475981"/>
            <w:bookmarkStart w:id="1114" w:name="_Toc534633715"/>
            <w:bookmarkStart w:id="1115" w:name="_Toc7976116"/>
            <w:bookmarkStart w:id="1116" w:name="_Toc25070681"/>
            <w:bookmarkStart w:id="1117" w:name="_Toc10207197"/>
            <w:bookmarkStart w:id="1118" w:name="_Toc515087771"/>
            <w:bookmarkStart w:id="1119" w:name="_Toc19545533"/>
            <w:bookmarkStart w:id="1120" w:name="_Toc25690639"/>
            <w:bookmarkStart w:id="1121" w:name="_Toc519683950"/>
            <w:r>
              <w:rPr>
                <w:kern w:val="0"/>
                <w:sz w:val="24"/>
                <w:szCs w:val="28"/>
                <w:highlight w:val="none"/>
              </w:rPr>
              <w:t>分别为离轴向力</w:t>
            </w:r>
            <w:r>
              <w:rPr>
                <w:i/>
                <w:kern w:val="0"/>
                <w:sz w:val="24"/>
                <w:szCs w:val="28"/>
                <w:highlight w:val="none"/>
              </w:rPr>
              <w:t>N</w:t>
            </w:r>
            <w:r>
              <w:rPr>
                <w:kern w:val="0"/>
                <w:sz w:val="24"/>
                <w:szCs w:val="28"/>
                <w:highlight w:val="none"/>
              </w:rPr>
              <w:t>作用点较远和较近一侧钢筋的合力点至截面外侧边沿的距离；</w:t>
            </w:r>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p>
        </w:tc>
      </w:tr>
      <w:tr>
        <w:tblPrEx>
          <w:tblCellMar>
            <w:top w:w="0" w:type="dxa"/>
            <w:left w:w="108" w:type="dxa"/>
            <w:bottom w:w="0" w:type="dxa"/>
            <w:right w:w="108" w:type="dxa"/>
          </w:tblCellMar>
        </w:tblPrEx>
        <w:tc>
          <w:tcPr>
            <w:tcW w:w="1384" w:type="dxa"/>
          </w:tcPr>
          <w:p>
            <w:pPr>
              <w:tabs>
                <w:tab w:val="left" w:pos="2565"/>
              </w:tabs>
              <w:adjustRightInd w:val="0"/>
              <w:snapToGrid w:val="0"/>
              <w:spacing w:line="360" w:lineRule="auto"/>
              <w:ind w:right="-105" w:rightChars="-50"/>
              <w:jc w:val="right"/>
              <w:rPr>
                <w:kern w:val="0"/>
                <w:sz w:val="24"/>
                <w:szCs w:val="28"/>
                <w:highlight w:val="none"/>
              </w:rPr>
            </w:pPr>
            <w:r>
              <w:rPr>
                <w:position w:val="-10"/>
                <w:sz w:val="24"/>
                <w:szCs w:val="28"/>
                <w:highlight w:val="none"/>
              </w:rPr>
              <w:object>
                <v:shape id="_x0000_i1102" o:spt="75" type="#_x0000_t75" style="height:15.05pt;width:15.05pt;" o:ole="t" filled="f" o:preferrelative="t" stroked="f" coordsize="21600,21600">
                  <v:path/>
                  <v:fill on="f" focussize="0,0"/>
                  <v:stroke on="f" joinstyle="miter"/>
                  <v:imagedata r:id="rId133" o:title=""/>
                  <o:lock v:ext="edit" aspectratio="t"/>
                  <w10:wrap type="none"/>
                  <w10:anchorlock/>
                </v:shape>
                <o:OLEObject Type="Embed" ProgID="Equation.DSMT4" ShapeID="_x0000_i1102" DrawAspect="Content" ObjectID="_1468075801" r:id="rId161">
                  <o:LockedField>false</o:LockedField>
                </o:OLEObject>
              </w:object>
            </w:r>
            <w:r>
              <w:rPr>
                <w:kern w:val="0"/>
                <w:sz w:val="24"/>
                <w:szCs w:val="28"/>
                <w:highlight w:val="none"/>
              </w:rPr>
              <w:t>——</w:t>
            </w:r>
          </w:p>
        </w:tc>
        <w:tc>
          <w:tcPr>
            <w:tcW w:w="8459" w:type="dxa"/>
          </w:tcPr>
          <w:p>
            <w:pPr>
              <w:adjustRightInd w:val="0"/>
              <w:snapToGrid w:val="0"/>
              <w:spacing w:line="360" w:lineRule="auto"/>
              <w:rPr>
                <w:kern w:val="0"/>
                <w:sz w:val="24"/>
                <w:szCs w:val="28"/>
                <w:highlight w:val="none"/>
              </w:rPr>
            </w:pPr>
            <w:bookmarkStart w:id="1122" w:name="_Toc19545534"/>
            <w:bookmarkStart w:id="1123" w:name="_Toc535475982"/>
            <w:bookmarkStart w:id="1124" w:name="_Toc534633716"/>
            <w:bookmarkStart w:id="1125" w:name="_Toc535338430"/>
            <w:bookmarkStart w:id="1126" w:name="_Toc9927683"/>
            <w:bookmarkStart w:id="1127" w:name="_Toc25070682"/>
            <w:bookmarkStart w:id="1128" w:name="_Toc25070380"/>
            <w:bookmarkStart w:id="1129" w:name="_Toc504570033"/>
            <w:bookmarkStart w:id="1130" w:name="_Toc19545264"/>
            <w:bookmarkStart w:id="1131" w:name="_Toc25690911"/>
            <w:bookmarkStart w:id="1132" w:name="_Toc532464341"/>
            <w:bookmarkStart w:id="1133" w:name="_Toc515087772"/>
            <w:bookmarkStart w:id="1134" w:name="_Toc7976117"/>
            <w:bookmarkStart w:id="1135" w:name="_Toc519684134"/>
            <w:bookmarkStart w:id="1136" w:name="_Toc519683951"/>
            <w:bookmarkStart w:id="1137" w:name="_Toc532461064"/>
            <w:bookmarkStart w:id="1138" w:name="_Toc10207198"/>
            <w:bookmarkStart w:id="1139" w:name="_Toc25690640"/>
            <w:bookmarkStart w:id="1140" w:name="_Toc515893976"/>
            <w:r>
              <w:rPr>
                <w:kern w:val="0"/>
                <w:sz w:val="24"/>
                <w:szCs w:val="28"/>
                <w:highlight w:val="none"/>
              </w:rPr>
              <w:t>距轴向力N较远一侧钢筋的截面面积；</w:t>
            </w:r>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p>
        </w:tc>
      </w:tr>
      <w:tr>
        <w:tblPrEx>
          <w:tblCellMar>
            <w:top w:w="0" w:type="dxa"/>
            <w:left w:w="108" w:type="dxa"/>
            <w:bottom w:w="0" w:type="dxa"/>
            <w:right w:w="108" w:type="dxa"/>
          </w:tblCellMar>
        </w:tblPrEx>
        <w:tc>
          <w:tcPr>
            <w:tcW w:w="1384" w:type="dxa"/>
          </w:tcPr>
          <w:p>
            <w:pPr>
              <w:tabs>
                <w:tab w:val="left" w:pos="2565"/>
              </w:tabs>
              <w:adjustRightInd w:val="0"/>
              <w:snapToGrid w:val="0"/>
              <w:spacing w:line="360" w:lineRule="auto"/>
              <w:ind w:right="-105" w:rightChars="-50"/>
              <w:jc w:val="right"/>
              <w:rPr>
                <w:kern w:val="0"/>
                <w:sz w:val="24"/>
                <w:szCs w:val="28"/>
                <w:highlight w:val="none"/>
              </w:rPr>
            </w:pPr>
            <w:r>
              <w:rPr>
                <w:position w:val="-10"/>
                <w:sz w:val="24"/>
                <w:szCs w:val="28"/>
                <w:highlight w:val="none"/>
              </w:rPr>
              <w:object>
                <v:shape id="_x0000_i1103" o:spt="75" type="#_x0000_t75" style="height:15.05pt;width:15.05pt;" o:ole="t" filled="f" o:preferrelative="t" stroked="f" coordsize="21600,21600">
                  <v:path/>
                  <v:fill on="f" focussize="0,0"/>
                  <v:stroke on="f" joinstyle="miter"/>
                  <v:imagedata r:id="rId163" o:title=""/>
                  <o:lock v:ext="edit" aspectratio="t"/>
                  <w10:wrap type="none"/>
                  <w10:anchorlock/>
                </v:shape>
                <o:OLEObject Type="Embed" ProgID="Equation.DSMT4" ShapeID="_x0000_i1103" DrawAspect="Content" ObjectID="_1468075802" r:id="rId162">
                  <o:LockedField>false</o:LockedField>
                </o:OLEObject>
              </w:object>
            </w:r>
            <w:r>
              <w:rPr>
                <w:kern w:val="0"/>
                <w:sz w:val="24"/>
                <w:szCs w:val="28"/>
                <w:highlight w:val="none"/>
              </w:rPr>
              <w:t>——</w:t>
            </w:r>
          </w:p>
        </w:tc>
        <w:tc>
          <w:tcPr>
            <w:tcW w:w="8459" w:type="dxa"/>
          </w:tcPr>
          <w:p>
            <w:pPr>
              <w:adjustRightInd w:val="0"/>
              <w:snapToGrid w:val="0"/>
              <w:spacing w:line="360" w:lineRule="auto"/>
              <w:rPr>
                <w:kern w:val="0"/>
                <w:sz w:val="24"/>
                <w:szCs w:val="28"/>
                <w:highlight w:val="none"/>
              </w:rPr>
            </w:pPr>
            <w:bookmarkStart w:id="1141" w:name="_Toc25690912"/>
            <w:bookmarkStart w:id="1142" w:name="_Toc535338431"/>
            <w:bookmarkStart w:id="1143" w:name="_Toc532464342"/>
            <w:bookmarkStart w:id="1144" w:name="_Toc519683952"/>
            <w:bookmarkStart w:id="1145" w:name="_Toc19545265"/>
            <w:bookmarkStart w:id="1146" w:name="_Toc25070381"/>
            <w:bookmarkStart w:id="1147" w:name="_Toc9927684"/>
            <w:bookmarkStart w:id="1148" w:name="_Toc515087773"/>
            <w:bookmarkStart w:id="1149" w:name="_Toc504570034"/>
            <w:bookmarkStart w:id="1150" w:name="_Toc535475983"/>
            <w:bookmarkStart w:id="1151" w:name="_Toc25690641"/>
            <w:bookmarkStart w:id="1152" w:name="_Toc7976118"/>
            <w:bookmarkStart w:id="1153" w:name="_Toc10207199"/>
            <w:bookmarkStart w:id="1154" w:name="_Toc519684135"/>
            <w:bookmarkStart w:id="1155" w:name="_Toc515893977"/>
            <w:bookmarkStart w:id="1156" w:name="_Toc25070683"/>
            <w:bookmarkStart w:id="1157" w:name="_Toc534633717"/>
            <w:bookmarkStart w:id="1158" w:name="_Toc19545535"/>
            <w:bookmarkStart w:id="1159" w:name="_Toc532461065"/>
            <w:r>
              <w:rPr>
                <w:kern w:val="0"/>
                <w:sz w:val="24"/>
                <w:szCs w:val="28"/>
                <w:highlight w:val="none"/>
              </w:rPr>
              <w:t>距轴向力N较近一侧钢筋的截面面积；</w:t>
            </w:r>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p>
        </w:tc>
      </w:tr>
    </w:tbl>
    <w:p>
      <w:pPr>
        <w:spacing w:line="360" w:lineRule="auto"/>
        <w:jc w:val="center"/>
        <w:rPr>
          <w:rFonts w:eastAsia="黑体"/>
          <w:sz w:val="24"/>
          <w:szCs w:val="28"/>
          <w:highlight w:val="none"/>
        </w:rPr>
      </w:pPr>
      <w:r>
        <w:rPr>
          <w:rFonts w:eastAsia="黑体"/>
          <w:sz w:val="24"/>
          <w:szCs w:val="28"/>
          <w:highlight w:val="none"/>
        </w:rPr>
        <w:drawing>
          <wp:inline distT="0" distB="0" distL="0" distR="0">
            <wp:extent cx="1438910" cy="2838450"/>
            <wp:effectExtent l="0" t="0" r="0" b="0"/>
            <wp:docPr id="84"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3"/>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a:xfrm>
                      <a:off x="0" y="0"/>
                      <a:ext cx="1438910" cy="2838450"/>
                    </a:xfrm>
                    <a:prstGeom prst="rect">
                      <a:avLst/>
                    </a:prstGeom>
                    <a:noFill/>
                    <a:ln>
                      <a:noFill/>
                    </a:ln>
                  </pic:spPr>
                </pic:pic>
              </a:graphicData>
            </a:graphic>
          </wp:inline>
        </w:drawing>
      </w:r>
      <w:r>
        <w:rPr>
          <w:rFonts w:eastAsia="黑体"/>
          <w:sz w:val="24"/>
          <w:szCs w:val="28"/>
          <w:highlight w:val="none"/>
        </w:rPr>
        <w:t xml:space="preserve">     </w:t>
      </w:r>
      <w:bookmarkStart w:id="1160" w:name="_Toc10207200"/>
      <w:bookmarkStart w:id="1161" w:name="_Toc25070382"/>
      <w:bookmarkStart w:id="1162" w:name="_Toc25690913"/>
      <w:bookmarkStart w:id="1163" w:name="_Toc19545266"/>
      <w:bookmarkStart w:id="1164" w:name="_Toc9927685"/>
      <w:bookmarkStart w:id="1165" w:name="_Toc25070684"/>
      <w:bookmarkStart w:id="1166" w:name="_Toc7976119"/>
      <w:bookmarkStart w:id="1167" w:name="_Toc25690642"/>
      <w:bookmarkStart w:id="1168" w:name="_Toc19545536"/>
      <w:r>
        <w:rPr>
          <w:rFonts w:eastAsia="黑体"/>
          <w:sz w:val="24"/>
          <w:szCs w:val="28"/>
          <w:highlight w:val="none"/>
        </w:rPr>
        <w:drawing>
          <wp:inline distT="0" distB="0" distL="0" distR="0">
            <wp:extent cx="1550670" cy="2870200"/>
            <wp:effectExtent l="0" t="0" r="0" b="0"/>
            <wp:docPr id="85"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4"/>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a:xfrm>
                      <a:off x="0" y="0"/>
                      <a:ext cx="1550670" cy="2870200"/>
                    </a:xfrm>
                    <a:prstGeom prst="rect">
                      <a:avLst/>
                    </a:prstGeom>
                    <a:noFill/>
                    <a:ln>
                      <a:noFill/>
                    </a:ln>
                  </pic:spPr>
                </pic:pic>
              </a:graphicData>
            </a:graphic>
          </wp:inline>
        </w:drawing>
      </w:r>
      <w:bookmarkEnd w:id="1160"/>
      <w:bookmarkEnd w:id="1161"/>
      <w:bookmarkEnd w:id="1162"/>
      <w:bookmarkEnd w:id="1163"/>
      <w:bookmarkEnd w:id="1164"/>
      <w:bookmarkEnd w:id="1165"/>
      <w:bookmarkEnd w:id="1166"/>
      <w:bookmarkEnd w:id="1167"/>
      <w:bookmarkEnd w:id="1168"/>
    </w:p>
    <w:p>
      <w:pPr>
        <w:spacing w:line="312" w:lineRule="auto"/>
        <w:jc w:val="center"/>
        <w:rPr>
          <w:sz w:val="21"/>
          <w:szCs w:val="21"/>
          <w:highlight w:val="none"/>
        </w:rPr>
      </w:pPr>
      <w:r>
        <w:rPr>
          <w:sz w:val="21"/>
          <w:szCs w:val="21"/>
          <w:highlight w:val="none"/>
        </w:rPr>
        <w:t>（a）小偏心受压               （b）大偏心受压</w:t>
      </w:r>
    </w:p>
    <w:p>
      <w:pPr>
        <w:spacing w:line="312" w:lineRule="auto"/>
        <w:jc w:val="center"/>
        <w:rPr>
          <w:sz w:val="21"/>
          <w:szCs w:val="21"/>
          <w:highlight w:val="none"/>
        </w:rPr>
      </w:pPr>
      <w:r>
        <w:rPr>
          <w:sz w:val="21"/>
          <w:szCs w:val="21"/>
          <w:highlight w:val="none"/>
        </w:rPr>
        <w:t>图5.2.2 加固后的偏心受压构件</w:t>
      </w:r>
    </w:p>
    <w:p>
      <w:pPr>
        <w:keepNext w:val="0"/>
        <w:keepLines w:val="0"/>
        <w:pageBreakBefore w:val="0"/>
        <w:widowControl w:val="0"/>
        <w:kinsoku/>
        <w:wordWrap/>
        <w:overflowPunct/>
        <w:topLinePunct w:val="0"/>
        <w:autoSpaceDE/>
        <w:autoSpaceDN/>
        <w:bidi w:val="0"/>
        <w:adjustRightInd/>
        <w:spacing w:line="312" w:lineRule="auto"/>
        <w:textAlignment w:val="auto"/>
        <w:rPr>
          <w:rFonts w:hint="eastAsia" w:ascii="楷体" w:hAnsi="楷体" w:eastAsia="楷体" w:cs="楷体"/>
          <w:sz w:val="24"/>
          <w:szCs w:val="24"/>
          <w:highlight w:val="none"/>
          <w:u w:val="single"/>
        </w:rPr>
      </w:pPr>
      <w:bookmarkStart w:id="1169" w:name="_Toc519684136"/>
      <w:bookmarkStart w:id="1170" w:name="_Toc54255556"/>
      <w:bookmarkStart w:id="1171" w:name="_Toc48138970"/>
      <w:bookmarkStart w:id="1172" w:name="_Toc63348929"/>
      <w:bookmarkStart w:id="1173" w:name="_Toc32848345"/>
      <w:bookmarkStart w:id="1174" w:name="_Toc67330597"/>
      <w:bookmarkStart w:id="1175" w:name="_Toc19545267"/>
      <w:bookmarkStart w:id="1176" w:name="_Toc54256651"/>
      <w:bookmarkStart w:id="1177" w:name="_Toc26131"/>
      <w:bookmarkStart w:id="1178" w:name="_Toc535338433"/>
      <w:bookmarkStart w:id="1179" w:name="_Toc38358406"/>
      <w:bookmarkStart w:id="1180" w:name="_Toc25690914"/>
      <w:bookmarkStart w:id="1181" w:name="_Toc48210028"/>
      <w:bookmarkStart w:id="1182" w:name="_Toc25070685"/>
      <w:bookmarkStart w:id="1183" w:name="_Toc48138892"/>
      <w:bookmarkStart w:id="1184" w:name="_Toc48210360"/>
      <w:bookmarkStart w:id="1185" w:name="_Toc70169823"/>
      <w:bookmarkStart w:id="1186" w:name="_Toc48210137"/>
      <w:bookmarkStart w:id="1187" w:name="_Toc32865087"/>
      <w:bookmarkStart w:id="1188" w:name="_Toc535475985"/>
      <w:bookmarkStart w:id="1189" w:name="_Toc52264500"/>
      <w:bookmarkStart w:id="1190" w:name="_Toc532464344"/>
      <w:bookmarkStart w:id="1191" w:name="_Toc38352780"/>
      <w:bookmarkStart w:id="1192" w:name="_Toc63348853"/>
      <w:r>
        <w:rPr>
          <w:rFonts w:hint="eastAsia" w:ascii="楷体" w:hAnsi="楷体" w:eastAsia="楷体" w:cs="楷体"/>
          <w:b w:val="0"/>
          <w:bCs/>
          <w:sz w:val="24"/>
          <w:szCs w:val="24"/>
          <w:highlight w:val="none"/>
          <w:u w:val="single"/>
        </w:rPr>
        <w:t xml:space="preserve">【条文说明】5.2.1、5.2.2  </w:t>
      </w:r>
      <w:r>
        <w:rPr>
          <w:rFonts w:hint="eastAsia" w:ascii="楷体" w:hAnsi="楷体" w:eastAsia="楷体" w:cs="楷体"/>
          <w:sz w:val="24"/>
          <w:szCs w:val="24"/>
          <w:highlight w:val="none"/>
          <w:u w:val="single"/>
        </w:rPr>
        <w:t>对受压</w:t>
      </w:r>
      <w:r>
        <w:rPr>
          <w:rFonts w:hint="eastAsia" w:ascii="楷体" w:hAnsi="楷体" w:eastAsia="楷体" w:cs="楷体"/>
          <w:sz w:val="24"/>
          <w:szCs w:val="24"/>
          <w:highlight w:val="none"/>
          <w:u w:val="single"/>
          <w:lang w:val="en-US" w:eastAsia="zh-CN"/>
        </w:rPr>
        <w:t>构件</w:t>
      </w:r>
      <w:r>
        <w:rPr>
          <w:rFonts w:hint="eastAsia" w:ascii="楷体" w:hAnsi="楷体" w:eastAsia="楷体" w:cs="楷体"/>
          <w:sz w:val="24"/>
          <w:szCs w:val="24"/>
          <w:highlight w:val="none"/>
          <w:u w:val="single"/>
        </w:rPr>
        <w:t>加固，在满足构造要求情况下，外加高延性混凝土面层加固后的构件可看成砌体与高延性混凝土面层的组合砌体构件。因此，可利用现行国家标准《砌体结构设计规范》GB 50003中组合砌体构件轴心受压构件承载力计算公式推出加固后构件轴心受压计算公式。考虑到高延性混凝土的极限压应变约为0.006，砌体极限压应变约为0.002，在极限荷载作用下，高延性混凝土实际发挥的强度（实际强度）小于其极限抗压强度。根据试验结果，在无初始荷载作用时，采用高延性混凝土面层双面加固砖砌体墙体，高延性混凝土的“实际强度”与其极限抗压强度的比值在0.274~0.363之间，采用高延性混凝土面层单面加固砖砌体墙体，该比值在0.397~0.491之间。因此，计算加固后构件的承载力引入高延性混凝土强度利用系数</w:t>
      </w:r>
      <w:r>
        <w:rPr>
          <w:rFonts w:hint="eastAsia" w:ascii="楷体" w:hAnsi="楷体" w:eastAsia="楷体" w:cs="楷体"/>
          <w:position w:val="-10"/>
          <w:sz w:val="24"/>
          <w:szCs w:val="24"/>
          <w:highlight w:val="none"/>
          <w:u w:val="single"/>
        </w:rPr>
        <w:drawing>
          <wp:inline distT="0" distB="0" distL="114300" distR="114300">
            <wp:extent cx="215900" cy="210820"/>
            <wp:effectExtent l="0" t="0" r="12700" b="1905"/>
            <wp:docPr id="16"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93"/>
                    <pic:cNvPicPr>
                      <a:picLocks noChangeAspect="1"/>
                    </pic:cNvPicPr>
                  </pic:nvPicPr>
                  <pic:blipFill>
                    <a:blip r:embed="rId166"/>
                    <a:stretch>
                      <a:fillRect/>
                    </a:stretch>
                  </pic:blipFill>
                  <pic:spPr>
                    <a:xfrm>
                      <a:off x="0" y="0"/>
                      <a:ext cx="215900" cy="210820"/>
                    </a:xfrm>
                    <a:prstGeom prst="rect">
                      <a:avLst/>
                    </a:prstGeom>
                    <a:noFill/>
                    <a:ln>
                      <a:noFill/>
                    </a:ln>
                  </pic:spPr>
                </pic:pic>
              </a:graphicData>
            </a:graphic>
          </wp:inline>
        </w:drawing>
      </w:r>
      <w:r>
        <w:rPr>
          <w:rFonts w:hint="eastAsia" w:ascii="楷体" w:hAnsi="楷体" w:eastAsia="楷体" w:cs="楷体"/>
          <w:sz w:val="24"/>
          <w:szCs w:val="24"/>
          <w:highlight w:val="none"/>
          <w:u w:val="single"/>
        </w:rPr>
        <w:t>。安全起见，无论单面双面，无初始荷载时</w:t>
      </w:r>
      <w:r>
        <w:rPr>
          <w:rFonts w:hint="eastAsia" w:ascii="楷体" w:hAnsi="楷体" w:eastAsia="楷体" w:cs="楷体"/>
          <w:position w:val="-10"/>
          <w:sz w:val="24"/>
          <w:szCs w:val="24"/>
          <w:highlight w:val="none"/>
          <w:u w:val="single"/>
        </w:rPr>
        <w:drawing>
          <wp:inline distT="0" distB="0" distL="114300" distR="114300">
            <wp:extent cx="215900" cy="210820"/>
            <wp:effectExtent l="0" t="0" r="12700" b="1905"/>
            <wp:docPr id="5"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4"/>
                    <pic:cNvPicPr>
                      <a:picLocks noChangeAspect="1"/>
                    </pic:cNvPicPr>
                  </pic:nvPicPr>
                  <pic:blipFill>
                    <a:blip r:embed="rId167"/>
                    <a:stretch>
                      <a:fillRect/>
                    </a:stretch>
                  </pic:blipFill>
                  <pic:spPr>
                    <a:xfrm>
                      <a:off x="0" y="0"/>
                      <a:ext cx="215900" cy="210820"/>
                    </a:xfrm>
                    <a:prstGeom prst="rect">
                      <a:avLst/>
                    </a:prstGeom>
                    <a:noFill/>
                    <a:ln>
                      <a:noFill/>
                    </a:ln>
                  </pic:spPr>
                </pic:pic>
              </a:graphicData>
            </a:graphic>
          </wp:inline>
        </w:drawing>
      </w:r>
      <w:r>
        <w:rPr>
          <w:rFonts w:hint="eastAsia" w:ascii="楷体" w:hAnsi="楷体" w:eastAsia="楷体" w:cs="楷体"/>
          <w:sz w:val="24"/>
          <w:szCs w:val="24"/>
          <w:highlight w:val="none"/>
          <w:u w:val="single"/>
        </w:rPr>
        <w:t>均取为0.3。</w:t>
      </w:r>
    </w:p>
    <w:p>
      <w:pPr>
        <w:keepNext w:val="0"/>
        <w:keepLines w:val="0"/>
        <w:pageBreakBefore w:val="0"/>
        <w:widowControl w:val="0"/>
        <w:kinsoku/>
        <w:wordWrap/>
        <w:overflowPunct/>
        <w:topLinePunct w:val="0"/>
        <w:autoSpaceDE/>
        <w:autoSpaceDN/>
        <w:bidi w:val="0"/>
        <w:adjustRightInd/>
        <w:snapToGrid w:val="0"/>
        <w:spacing w:line="312" w:lineRule="auto"/>
        <w:ind w:firstLine="480" w:firstLineChars="200"/>
        <w:textAlignment w:val="auto"/>
        <w:rPr>
          <w:rFonts w:hint="eastAsia" w:ascii="楷体" w:hAnsi="楷体" w:eastAsia="楷体" w:cs="楷体"/>
          <w:sz w:val="24"/>
          <w:szCs w:val="24"/>
          <w:highlight w:val="none"/>
          <w:u w:val="single"/>
        </w:rPr>
      </w:pPr>
      <w:r>
        <w:rPr>
          <w:rFonts w:hint="eastAsia" w:ascii="楷体" w:hAnsi="楷体" w:eastAsia="楷体" w:cs="楷体"/>
          <w:sz w:val="24"/>
          <w:szCs w:val="24"/>
          <w:highlight w:val="none"/>
          <w:u w:val="single"/>
        </w:rPr>
        <w:t>受压加固时，考虑到加固结构中的原有砌体构件加固前已承受荷载，其应力水平一般都比较高，而加固新增的高延性混凝土面层还不能立即工作，需待新加荷载后（第二次受力）才开始受力。此时，新增高延性混凝土面层的应变滞后于原砌体的应变，原砌体的应变高于新增高延性混凝土面层的应变。当原砌体达到极限状态时，新增高延性混凝土面层还没达到上述的“实际强度”。因此，引入二次受压影响系数</w:t>
      </w:r>
      <w:r>
        <w:rPr>
          <w:rFonts w:hint="eastAsia" w:ascii="楷体" w:hAnsi="楷体" w:eastAsia="楷体" w:cs="楷体"/>
          <w:position w:val="-10"/>
          <w:sz w:val="24"/>
          <w:szCs w:val="24"/>
          <w:highlight w:val="none"/>
          <w:u w:val="single"/>
        </w:rPr>
        <w:drawing>
          <wp:inline distT="0" distB="0" distL="114300" distR="114300">
            <wp:extent cx="215900" cy="210820"/>
            <wp:effectExtent l="0" t="0" r="12700" b="1905"/>
            <wp:docPr id="10"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95"/>
                    <pic:cNvPicPr>
                      <a:picLocks noChangeAspect="1"/>
                    </pic:cNvPicPr>
                  </pic:nvPicPr>
                  <pic:blipFill>
                    <a:blip r:embed="rId168"/>
                    <a:stretch>
                      <a:fillRect/>
                    </a:stretch>
                  </pic:blipFill>
                  <pic:spPr>
                    <a:xfrm>
                      <a:off x="0" y="0"/>
                      <a:ext cx="215900" cy="210820"/>
                    </a:xfrm>
                    <a:prstGeom prst="rect">
                      <a:avLst/>
                    </a:prstGeom>
                    <a:noFill/>
                    <a:ln>
                      <a:noFill/>
                    </a:ln>
                  </pic:spPr>
                </pic:pic>
              </a:graphicData>
            </a:graphic>
          </wp:inline>
        </w:drawing>
      </w:r>
      <w:r>
        <w:rPr>
          <w:rFonts w:hint="eastAsia" w:ascii="楷体" w:hAnsi="楷体" w:eastAsia="楷体" w:cs="楷体"/>
          <w:sz w:val="24"/>
          <w:szCs w:val="24"/>
          <w:highlight w:val="none"/>
          <w:u w:val="single"/>
        </w:rPr>
        <w:t>，则高延性混凝土强度利用系数</w:t>
      </w:r>
      <w:r>
        <w:rPr>
          <w:rFonts w:hint="eastAsia" w:ascii="楷体" w:hAnsi="楷体" w:eastAsia="楷体" w:cs="楷体"/>
          <w:position w:val="-10"/>
          <w:sz w:val="24"/>
          <w:szCs w:val="24"/>
          <w:highlight w:val="none"/>
          <w:u w:val="single"/>
        </w:rPr>
        <w:drawing>
          <wp:inline distT="0" distB="0" distL="114300" distR="114300">
            <wp:extent cx="748665" cy="210820"/>
            <wp:effectExtent l="0" t="0" r="13335" b="1905"/>
            <wp:docPr id="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96"/>
                    <pic:cNvPicPr>
                      <a:picLocks noChangeAspect="1"/>
                    </pic:cNvPicPr>
                  </pic:nvPicPr>
                  <pic:blipFill>
                    <a:blip r:embed="rId169"/>
                    <a:stretch>
                      <a:fillRect/>
                    </a:stretch>
                  </pic:blipFill>
                  <pic:spPr>
                    <a:xfrm>
                      <a:off x="0" y="0"/>
                      <a:ext cx="748665" cy="210820"/>
                    </a:xfrm>
                    <a:prstGeom prst="rect">
                      <a:avLst/>
                    </a:prstGeom>
                    <a:noFill/>
                    <a:ln>
                      <a:noFill/>
                    </a:ln>
                  </pic:spPr>
                </pic:pic>
              </a:graphicData>
            </a:graphic>
          </wp:inline>
        </w:drawing>
      </w:r>
      <w:r>
        <w:rPr>
          <w:rFonts w:hint="eastAsia" w:ascii="楷体" w:hAnsi="楷体" w:eastAsia="楷体" w:cs="楷体"/>
          <w:sz w:val="24"/>
          <w:szCs w:val="24"/>
          <w:highlight w:val="none"/>
          <w:u w:val="single"/>
        </w:rPr>
        <w:t>。将原墙体在重力荷载作用下的平均竖向压应力定义为初始应力，初始应力与砌体抗压强度的比值定义为初始应力比</w:t>
      </w:r>
      <w:r>
        <w:rPr>
          <w:rFonts w:hint="eastAsia" w:ascii="楷体" w:hAnsi="楷体" w:eastAsia="楷体" w:cs="楷体"/>
          <w:position w:val="-10"/>
          <w:sz w:val="24"/>
          <w:szCs w:val="24"/>
          <w:highlight w:val="none"/>
          <w:u w:val="single"/>
        </w:rPr>
        <w:drawing>
          <wp:inline distT="0" distB="0" distL="114300" distR="114300">
            <wp:extent cx="191135" cy="210820"/>
            <wp:effectExtent l="0" t="0" r="0" b="1905"/>
            <wp:docPr id="1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97"/>
                    <pic:cNvPicPr>
                      <a:picLocks noChangeAspect="1"/>
                    </pic:cNvPicPr>
                  </pic:nvPicPr>
                  <pic:blipFill>
                    <a:blip r:embed="rId170"/>
                    <a:stretch>
                      <a:fillRect/>
                    </a:stretch>
                  </pic:blipFill>
                  <pic:spPr>
                    <a:xfrm>
                      <a:off x="0" y="0"/>
                      <a:ext cx="191135" cy="210820"/>
                    </a:xfrm>
                    <a:prstGeom prst="rect">
                      <a:avLst/>
                    </a:prstGeom>
                    <a:noFill/>
                    <a:ln>
                      <a:noFill/>
                    </a:ln>
                  </pic:spPr>
                </pic:pic>
              </a:graphicData>
            </a:graphic>
          </wp:inline>
        </w:drawing>
      </w:r>
      <w:r>
        <w:rPr>
          <w:rFonts w:hint="eastAsia" w:ascii="楷体" w:hAnsi="楷体" w:eastAsia="楷体" w:cs="楷体"/>
          <w:sz w:val="24"/>
          <w:szCs w:val="24"/>
          <w:highlight w:val="none"/>
          <w:u w:val="single"/>
        </w:rPr>
        <w:t>。因砌体结构离散性较大，确定统一的应力-应变曲线较难，因此，分别选取由B.Powell和H.R.Hodgkinson、朱伯龙、施楚贤</w:t>
      </w:r>
      <w:r>
        <w:rPr>
          <w:rFonts w:hint="eastAsia" w:ascii="楷体" w:hAnsi="楷体" w:eastAsia="楷体" w:cs="楷体"/>
          <w:sz w:val="24"/>
          <w:szCs w:val="24"/>
          <w:highlight w:val="none"/>
          <w:u w:val="single"/>
          <w:lang w:val="en-US" w:eastAsia="zh-CN"/>
        </w:rPr>
        <w:t>等学者</w:t>
      </w:r>
      <w:r>
        <w:rPr>
          <w:rFonts w:hint="eastAsia" w:ascii="楷体" w:hAnsi="楷体" w:eastAsia="楷体" w:cs="楷体"/>
          <w:sz w:val="24"/>
          <w:szCs w:val="24"/>
          <w:highlight w:val="none"/>
          <w:u w:val="single"/>
        </w:rPr>
        <w:t>提出的砌体结构应力应变曲线进行理论分析，得到砖砌体墙的初始应力比</w:t>
      </w:r>
      <w:r>
        <w:rPr>
          <w:rFonts w:hint="eastAsia" w:ascii="楷体" w:hAnsi="楷体" w:eastAsia="楷体" w:cs="楷体"/>
          <w:position w:val="-10"/>
          <w:sz w:val="24"/>
          <w:szCs w:val="24"/>
          <w:highlight w:val="none"/>
          <w:u w:val="single"/>
        </w:rPr>
        <w:drawing>
          <wp:inline distT="0" distB="0" distL="114300" distR="114300">
            <wp:extent cx="191135" cy="210820"/>
            <wp:effectExtent l="0" t="0" r="0" b="1905"/>
            <wp:docPr id="9"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98"/>
                    <pic:cNvPicPr>
                      <a:picLocks noChangeAspect="1"/>
                    </pic:cNvPicPr>
                  </pic:nvPicPr>
                  <pic:blipFill>
                    <a:blip r:embed="rId171"/>
                    <a:stretch>
                      <a:fillRect/>
                    </a:stretch>
                  </pic:blipFill>
                  <pic:spPr>
                    <a:xfrm>
                      <a:off x="0" y="0"/>
                      <a:ext cx="191135" cy="210820"/>
                    </a:xfrm>
                    <a:prstGeom prst="rect">
                      <a:avLst/>
                    </a:prstGeom>
                    <a:noFill/>
                    <a:ln>
                      <a:noFill/>
                    </a:ln>
                  </pic:spPr>
                </pic:pic>
              </a:graphicData>
            </a:graphic>
          </wp:inline>
        </w:drawing>
      </w:r>
      <w:r>
        <w:rPr>
          <w:rFonts w:hint="eastAsia" w:ascii="楷体" w:hAnsi="楷体" w:eastAsia="楷体" w:cs="楷体"/>
          <w:sz w:val="24"/>
          <w:szCs w:val="24"/>
          <w:highlight w:val="none"/>
          <w:u w:val="single"/>
        </w:rPr>
        <w:t>与高延性混凝土强度利用系数</w:t>
      </w:r>
      <w:r>
        <w:rPr>
          <w:rFonts w:hint="eastAsia" w:ascii="楷体" w:hAnsi="楷体" w:eastAsia="楷体" w:cs="楷体"/>
          <w:position w:val="-10"/>
          <w:sz w:val="24"/>
          <w:szCs w:val="24"/>
          <w:highlight w:val="none"/>
          <w:u w:val="single"/>
        </w:rPr>
        <w:drawing>
          <wp:inline distT="0" distB="0" distL="114300" distR="114300">
            <wp:extent cx="175895" cy="210820"/>
            <wp:effectExtent l="0" t="0" r="6985" b="1905"/>
            <wp:docPr id="7"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9"/>
                    <pic:cNvPicPr>
                      <a:picLocks noChangeAspect="1"/>
                    </pic:cNvPicPr>
                  </pic:nvPicPr>
                  <pic:blipFill>
                    <a:blip r:embed="rId172"/>
                    <a:stretch>
                      <a:fillRect/>
                    </a:stretch>
                  </pic:blipFill>
                  <pic:spPr>
                    <a:xfrm>
                      <a:off x="0" y="0"/>
                      <a:ext cx="175895" cy="210820"/>
                    </a:xfrm>
                    <a:prstGeom prst="rect">
                      <a:avLst/>
                    </a:prstGeom>
                    <a:noFill/>
                    <a:ln>
                      <a:noFill/>
                    </a:ln>
                  </pic:spPr>
                </pic:pic>
              </a:graphicData>
            </a:graphic>
          </wp:inline>
        </w:drawing>
      </w:r>
      <w:r>
        <w:rPr>
          <w:rFonts w:hint="eastAsia" w:ascii="楷体" w:hAnsi="楷体" w:eastAsia="楷体" w:cs="楷体"/>
          <w:sz w:val="24"/>
          <w:szCs w:val="24"/>
          <w:highlight w:val="none"/>
          <w:u w:val="single"/>
        </w:rPr>
        <w:t>的关系（图</w:t>
      </w:r>
      <w:r>
        <w:rPr>
          <w:rFonts w:hint="eastAsia" w:ascii="楷体" w:hAnsi="楷体" w:eastAsia="楷体" w:cs="楷体"/>
          <w:sz w:val="24"/>
          <w:szCs w:val="24"/>
          <w:highlight w:val="none"/>
          <w:u w:val="single"/>
          <w:lang w:val="en-US" w:eastAsia="zh-CN"/>
        </w:rPr>
        <w:t>3</w:t>
      </w:r>
      <w:r>
        <w:rPr>
          <w:rFonts w:hint="eastAsia" w:ascii="楷体" w:hAnsi="楷体" w:eastAsia="楷体" w:cs="楷体"/>
          <w:sz w:val="24"/>
          <w:szCs w:val="24"/>
          <w:highlight w:val="none"/>
          <w:u w:val="single"/>
        </w:rPr>
        <w:t>）。</w:t>
      </w:r>
    </w:p>
    <w:p>
      <w:pPr>
        <w:spacing w:line="312" w:lineRule="auto"/>
        <w:jc w:val="center"/>
        <w:rPr>
          <w:rFonts w:hint="eastAsia" w:ascii="楷体" w:hAnsi="楷体" w:eastAsia="楷体" w:cs="楷体"/>
          <w:sz w:val="24"/>
          <w:szCs w:val="24"/>
          <w:highlight w:val="none"/>
          <w:u w:val="none"/>
        </w:rPr>
      </w:pPr>
      <w:r>
        <w:rPr>
          <w:rFonts w:hint="eastAsia" w:ascii="楷体" w:hAnsi="楷体" w:eastAsia="楷体" w:cs="楷体"/>
          <w:sz w:val="24"/>
          <w:szCs w:val="24"/>
          <w:highlight w:val="none"/>
          <w:u w:val="none"/>
        </w:rPr>
        <w:drawing>
          <wp:inline distT="0" distB="0" distL="114300" distR="114300">
            <wp:extent cx="3947160" cy="2596515"/>
            <wp:effectExtent l="0" t="0" r="0" b="0"/>
            <wp:docPr id="11"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00"/>
                    <pic:cNvPicPr>
                      <a:picLocks noChangeAspect="1"/>
                    </pic:cNvPicPr>
                  </pic:nvPicPr>
                  <pic:blipFill>
                    <a:blip r:embed="rId173"/>
                    <a:srcRect t="1765" b="3326"/>
                    <a:stretch>
                      <a:fillRect/>
                    </a:stretch>
                  </pic:blipFill>
                  <pic:spPr>
                    <a:xfrm>
                      <a:off x="0" y="0"/>
                      <a:ext cx="3947160" cy="2596515"/>
                    </a:xfrm>
                    <a:prstGeom prst="rect">
                      <a:avLst/>
                    </a:prstGeom>
                    <a:noFill/>
                    <a:ln>
                      <a:noFill/>
                    </a:ln>
                  </pic:spPr>
                </pic:pic>
              </a:graphicData>
            </a:graphic>
          </wp:inline>
        </w:drawing>
      </w:r>
    </w:p>
    <w:p>
      <w:pPr>
        <w:snapToGrid w:val="0"/>
        <w:spacing w:before="120" w:beforeLines="50" w:line="312" w:lineRule="auto"/>
        <w:jc w:val="center"/>
        <w:rPr>
          <w:rFonts w:hint="eastAsia" w:ascii="楷体" w:hAnsi="楷体" w:eastAsia="楷体" w:cs="楷体"/>
          <w:sz w:val="22"/>
          <w:szCs w:val="22"/>
          <w:highlight w:val="none"/>
          <w:u w:val="none"/>
        </w:rPr>
      </w:pPr>
      <w:r>
        <w:rPr>
          <w:rFonts w:hint="eastAsia" w:ascii="楷体" w:hAnsi="楷体" w:eastAsia="楷体" w:cs="楷体"/>
          <w:sz w:val="22"/>
          <w:szCs w:val="22"/>
          <w:highlight w:val="none"/>
          <w:u w:val="none"/>
        </w:rPr>
        <w:t>图</w:t>
      </w:r>
      <w:r>
        <w:rPr>
          <w:rFonts w:hint="eastAsia" w:ascii="楷体" w:hAnsi="楷体" w:eastAsia="楷体" w:cs="楷体"/>
          <w:sz w:val="22"/>
          <w:szCs w:val="22"/>
          <w:highlight w:val="none"/>
          <w:u w:val="none"/>
          <w:lang w:val="en-US" w:eastAsia="zh-CN"/>
        </w:rPr>
        <w:t>3</w:t>
      </w:r>
      <w:r>
        <w:rPr>
          <w:rFonts w:hint="eastAsia" w:ascii="楷体" w:hAnsi="楷体" w:eastAsia="楷体" w:cs="楷体"/>
          <w:sz w:val="22"/>
          <w:szCs w:val="22"/>
          <w:highlight w:val="none"/>
          <w:u w:val="none"/>
        </w:rPr>
        <w:t xml:space="preserve"> 砖砌体墙的初始应力比</w:t>
      </w:r>
      <w:r>
        <w:rPr>
          <w:rFonts w:hint="eastAsia" w:ascii="楷体" w:hAnsi="楷体" w:eastAsia="楷体" w:cs="楷体"/>
          <w:position w:val="-10"/>
          <w:sz w:val="22"/>
          <w:szCs w:val="22"/>
          <w:highlight w:val="none"/>
          <w:u w:val="none"/>
        </w:rPr>
        <w:drawing>
          <wp:inline distT="0" distB="0" distL="114300" distR="114300">
            <wp:extent cx="191135" cy="210820"/>
            <wp:effectExtent l="0" t="0" r="0" b="1905"/>
            <wp:docPr id="8"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01"/>
                    <pic:cNvPicPr>
                      <a:picLocks noChangeAspect="1"/>
                    </pic:cNvPicPr>
                  </pic:nvPicPr>
                  <pic:blipFill>
                    <a:blip r:embed="rId174"/>
                    <a:stretch>
                      <a:fillRect/>
                    </a:stretch>
                  </pic:blipFill>
                  <pic:spPr>
                    <a:xfrm>
                      <a:off x="0" y="0"/>
                      <a:ext cx="191135" cy="210820"/>
                    </a:xfrm>
                    <a:prstGeom prst="rect">
                      <a:avLst/>
                    </a:prstGeom>
                    <a:noFill/>
                    <a:ln>
                      <a:noFill/>
                    </a:ln>
                  </pic:spPr>
                </pic:pic>
              </a:graphicData>
            </a:graphic>
          </wp:inline>
        </w:drawing>
      </w:r>
      <w:r>
        <w:rPr>
          <w:rFonts w:hint="eastAsia" w:ascii="楷体" w:hAnsi="楷体" w:eastAsia="楷体" w:cs="楷体"/>
          <w:sz w:val="22"/>
          <w:szCs w:val="22"/>
          <w:highlight w:val="none"/>
          <w:u w:val="none"/>
        </w:rPr>
        <w:t>与高延性混凝土强度利用系数</w:t>
      </w:r>
      <w:r>
        <w:rPr>
          <w:rFonts w:hint="eastAsia" w:ascii="楷体" w:hAnsi="楷体" w:eastAsia="楷体" w:cs="楷体"/>
          <w:position w:val="-10"/>
          <w:sz w:val="22"/>
          <w:szCs w:val="22"/>
          <w:highlight w:val="none"/>
          <w:u w:val="none"/>
        </w:rPr>
        <w:drawing>
          <wp:inline distT="0" distB="0" distL="114300" distR="114300">
            <wp:extent cx="175895" cy="210820"/>
            <wp:effectExtent l="0" t="0" r="6985" b="1905"/>
            <wp:docPr id="1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02"/>
                    <pic:cNvPicPr>
                      <a:picLocks noChangeAspect="1"/>
                    </pic:cNvPicPr>
                  </pic:nvPicPr>
                  <pic:blipFill>
                    <a:blip r:embed="rId175"/>
                    <a:stretch>
                      <a:fillRect/>
                    </a:stretch>
                  </pic:blipFill>
                  <pic:spPr>
                    <a:xfrm>
                      <a:off x="0" y="0"/>
                      <a:ext cx="175895" cy="210820"/>
                    </a:xfrm>
                    <a:prstGeom prst="rect">
                      <a:avLst/>
                    </a:prstGeom>
                    <a:noFill/>
                    <a:ln>
                      <a:noFill/>
                    </a:ln>
                  </pic:spPr>
                </pic:pic>
              </a:graphicData>
            </a:graphic>
          </wp:inline>
        </w:drawing>
      </w:r>
      <w:r>
        <w:rPr>
          <w:rFonts w:hint="eastAsia" w:ascii="楷体" w:hAnsi="楷体" w:eastAsia="楷体" w:cs="楷体"/>
          <w:sz w:val="22"/>
          <w:szCs w:val="22"/>
          <w:highlight w:val="none"/>
          <w:u w:val="none"/>
        </w:rPr>
        <w:t>的关系</w:t>
      </w:r>
    </w:p>
    <w:p>
      <w:pPr>
        <w:snapToGrid w:val="0"/>
        <w:spacing w:line="312" w:lineRule="auto"/>
        <w:ind w:firstLine="480" w:firstLineChars="200"/>
        <w:rPr>
          <w:rFonts w:hint="eastAsia" w:ascii="楷体" w:hAnsi="楷体" w:eastAsia="楷体" w:cs="楷体"/>
          <w:b/>
          <w:sz w:val="32"/>
          <w:szCs w:val="36"/>
          <w:highlight w:val="none"/>
          <w:u w:val="single"/>
        </w:rPr>
      </w:pPr>
      <w:r>
        <w:rPr>
          <w:rFonts w:hint="eastAsia" w:ascii="楷体" w:hAnsi="楷体" w:eastAsia="楷体" w:cs="楷体"/>
          <w:sz w:val="24"/>
          <w:szCs w:val="24"/>
          <w:highlight w:val="none"/>
          <w:u w:val="single"/>
        </w:rPr>
        <w:t>由图可知，随着初始应力比</w:t>
      </w:r>
      <w:r>
        <w:rPr>
          <w:rFonts w:hint="eastAsia" w:ascii="楷体" w:hAnsi="楷体" w:eastAsia="楷体" w:cs="楷体"/>
          <w:position w:val="-10"/>
          <w:sz w:val="24"/>
          <w:szCs w:val="24"/>
          <w:highlight w:val="none"/>
          <w:u w:val="single"/>
        </w:rPr>
        <w:drawing>
          <wp:inline distT="0" distB="0" distL="114300" distR="114300">
            <wp:extent cx="191135" cy="210820"/>
            <wp:effectExtent l="0" t="0" r="0" b="1905"/>
            <wp:docPr id="1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03"/>
                    <pic:cNvPicPr>
                      <a:picLocks noChangeAspect="1"/>
                    </pic:cNvPicPr>
                  </pic:nvPicPr>
                  <pic:blipFill>
                    <a:blip r:embed="rId174"/>
                    <a:stretch>
                      <a:fillRect/>
                    </a:stretch>
                  </pic:blipFill>
                  <pic:spPr>
                    <a:xfrm>
                      <a:off x="0" y="0"/>
                      <a:ext cx="191135" cy="210820"/>
                    </a:xfrm>
                    <a:prstGeom prst="rect">
                      <a:avLst/>
                    </a:prstGeom>
                    <a:noFill/>
                    <a:ln>
                      <a:noFill/>
                    </a:ln>
                  </pic:spPr>
                </pic:pic>
              </a:graphicData>
            </a:graphic>
          </wp:inline>
        </w:drawing>
      </w:r>
      <w:r>
        <w:rPr>
          <w:rFonts w:hint="eastAsia" w:ascii="楷体" w:hAnsi="楷体" w:eastAsia="楷体" w:cs="楷体"/>
          <w:sz w:val="24"/>
          <w:szCs w:val="24"/>
          <w:highlight w:val="none"/>
          <w:u w:val="single"/>
        </w:rPr>
        <w:t>的增大，</w:t>
      </w:r>
      <w:r>
        <w:rPr>
          <w:rFonts w:hint="eastAsia" w:ascii="楷体" w:hAnsi="楷体" w:eastAsia="楷体" w:cs="楷体"/>
          <w:position w:val="-10"/>
          <w:sz w:val="24"/>
          <w:szCs w:val="24"/>
          <w:highlight w:val="none"/>
          <w:u w:val="single"/>
        </w:rPr>
        <w:drawing>
          <wp:inline distT="0" distB="0" distL="114300" distR="114300">
            <wp:extent cx="175895" cy="210820"/>
            <wp:effectExtent l="0" t="0" r="6985" b="1905"/>
            <wp:docPr id="14"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04"/>
                    <pic:cNvPicPr>
                      <a:picLocks noChangeAspect="1"/>
                    </pic:cNvPicPr>
                  </pic:nvPicPr>
                  <pic:blipFill>
                    <a:blip r:embed="rId175"/>
                    <a:stretch>
                      <a:fillRect/>
                    </a:stretch>
                  </pic:blipFill>
                  <pic:spPr>
                    <a:xfrm>
                      <a:off x="0" y="0"/>
                      <a:ext cx="175895" cy="210820"/>
                    </a:xfrm>
                    <a:prstGeom prst="rect">
                      <a:avLst/>
                    </a:prstGeom>
                    <a:noFill/>
                    <a:ln>
                      <a:noFill/>
                    </a:ln>
                  </pic:spPr>
                </pic:pic>
              </a:graphicData>
            </a:graphic>
          </wp:inline>
        </w:drawing>
      </w:r>
      <w:r>
        <w:rPr>
          <w:rFonts w:hint="eastAsia" w:ascii="楷体" w:hAnsi="楷体" w:eastAsia="楷体" w:cs="楷体"/>
          <w:sz w:val="24"/>
          <w:szCs w:val="24"/>
          <w:highlight w:val="none"/>
          <w:u w:val="single"/>
        </w:rPr>
        <w:t>逐渐减小。当初始应力比</w:t>
      </w:r>
      <w:r>
        <w:rPr>
          <w:rFonts w:hint="eastAsia" w:ascii="楷体" w:hAnsi="楷体" w:eastAsia="楷体" w:cs="楷体"/>
          <w:position w:val="-10"/>
          <w:sz w:val="24"/>
          <w:szCs w:val="24"/>
          <w:highlight w:val="none"/>
          <w:u w:val="single"/>
        </w:rPr>
        <w:drawing>
          <wp:inline distT="0" distB="0" distL="114300" distR="114300">
            <wp:extent cx="191135" cy="210820"/>
            <wp:effectExtent l="0" t="0" r="0" b="1905"/>
            <wp:docPr id="1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05"/>
                    <pic:cNvPicPr>
                      <a:picLocks noChangeAspect="1"/>
                    </pic:cNvPicPr>
                  </pic:nvPicPr>
                  <pic:blipFill>
                    <a:blip r:embed="rId176"/>
                    <a:stretch>
                      <a:fillRect/>
                    </a:stretch>
                  </pic:blipFill>
                  <pic:spPr>
                    <a:xfrm>
                      <a:off x="0" y="0"/>
                      <a:ext cx="191135" cy="210820"/>
                    </a:xfrm>
                    <a:prstGeom prst="rect">
                      <a:avLst/>
                    </a:prstGeom>
                    <a:noFill/>
                    <a:ln>
                      <a:noFill/>
                    </a:ln>
                  </pic:spPr>
                </pic:pic>
              </a:graphicData>
            </a:graphic>
          </wp:inline>
        </w:drawing>
      </w:r>
      <w:r>
        <w:rPr>
          <w:rFonts w:hint="eastAsia" w:ascii="楷体" w:hAnsi="楷体" w:eastAsia="楷体" w:cs="楷体"/>
          <w:sz w:val="24"/>
          <w:szCs w:val="24"/>
          <w:highlight w:val="none"/>
          <w:u w:val="single"/>
        </w:rPr>
        <w:t>小于等于0.7时，曲线下降缓慢；当初始应力比</w:t>
      </w:r>
      <w:r>
        <w:rPr>
          <w:rFonts w:hint="eastAsia" w:ascii="楷体" w:hAnsi="楷体" w:eastAsia="楷体" w:cs="楷体"/>
          <w:position w:val="-10"/>
          <w:sz w:val="24"/>
          <w:szCs w:val="24"/>
          <w:highlight w:val="none"/>
          <w:u w:val="single"/>
        </w:rPr>
        <w:drawing>
          <wp:inline distT="0" distB="0" distL="114300" distR="114300">
            <wp:extent cx="191135" cy="210820"/>
            <wp:effectExtent l="0" t="0" r="0" b="1905"/>
            <wp:docPr id="18"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06"/>
                    <pic:cNvPicPr>
                      <a:picLocks noChangeAspect="1"/>
                    </pic:cNvPicPr>
                  </pic:nvPicPr>
                  <pic:blipFill>
                    <a:blip r:embed="rId177"/>
                    <a:stretch>
                      <a:fillRect/>
                    </a:stretch>
                  </pic:blipFill>
                  <pic:spPr>
                    <a:xfrm>
                      <a:off x="0" y="0"/>
                      <a:ext cx="191135" cy="210820"/>
                    </a:xfrm>
                    <a:prstGeom prst="rect">
                      <a:avLst/>
                    </a:prstGeom>
                    <a:noFill/>
                    <a:ln>
                      <a:noFill/>
                    </a:ln>
                  </pic:spPr>
                </pic:pic>
              </a:graphicData>
            </a:graphic>
          </wp:inline>
        </w:drawing>
      </w:r>
      <w:r>
        <w:rPr>
          <w:rFonts w:hint="eastAsia" w:ascii="楷体" w:hAnsi="楷体" w:eastAsia="楷体" w:cs="楷体"/>
          <w:sz w:val="24"/>
          <w:szCs w:val="24"/>
          <w:highlight w:val="none"/>
          <w:u w:val="single"/>
        </w:rPr>
        <w:t xml:space="preserve">大于0.7时， </w:t>
      </w:r>
      <w:r>
        <w:rPr>
          <w:rFonts w:hint="eastAsia" w:ascii="楷体" w:hAnsi="楷体" w:eastAsia="楷体" w:cs="楷体"/>
          <w:position w:val="-10"/>
          <w:sz w:val="24"/>
          <w:szCs w:val="24"/>
          <w:highlight w:val="none"/>
          <w:u w:val="single"/>
        </w:rPr>
        <w:drawing>
          <wp:inline distT="0" distB="0" distL="114300" distR="114300">
            <wp:extent cx="175895" cy="210820"/>
            <wp:effectExtent l="0" t="0" r="6985" b="1905"/>
            <wp:docPr id="19"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07"/>
                    <pic:cNvPicPr>
                      <a:picLocks noChangeAspect="1"/>
                    </pic:cNvPicPr>
                  </pic:nvPicPr>
                  <pic:blipFill>
                    <a:blip r:embed="rId175"/>
                    <a:stretch>
                      <a:fillRect/>
                    </a:stretch>
                  </pic:blipFill>
                  <pic:spPr>
                    <a:xfrm>
                      <a:off x="0" y="0"/>
                      <a:ext cx="175895" cy="210820"/>
                    </a:xfrm>
                    <a:prstGeom prst="rect">
                      <a:avLst/>
                    </a:prstGeom>
                    <a:noFill/>
                    <a:ln>
                      <a:noFill/>
                    </a:ln>
                  </pic:spPr>
                </pic:pic>
              </a:graphicData>
            </a:graphic>
          </wp:inline>
        </w:drawing>
      </w:r>
      <w:r>
        <w:rPr>
          <w:rFonts w:hint="eastAsia" w:ascii="楷体" w:hAnsi="楷体" w:eastAsia="楷体" w:cs="楷体"/>
          <w:sz w:val="24"/>
          <w:szCs w:val="24"/>
          <w:highlight w:val="none"/>
          <w:u w:val="single"/>
        </w:rPr>
        <w:t>下降增快。当初始应力比</w:t>
      </w:r>
      <w:r>
        <w:rPr>
          <w:rFonts w:hint="eastAsia" w:ascii="楷体" w:hAnsi="楷体" w:eastAsia="楷体" w:cs="楷体"/>
          <w:position w:val="-10"/>
          <w:sz w:val="24"/>
          <w:szCs w:val="24"/>
          <w:highlight w:val="none"/>
          <w:u w:val="single"/>
        </w:rPr>
        <w:drawing>
          <wp:inline distT="0" distB="0" distL="114300" distR="114300">
            <wp:extent cx="191135" cy="210820"/>
            <wp:effectExtent l="0" t="0" r="0" b="1905"/>
            <wp:docPr id="23"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08"/>
                    <pic:cNvPicPr>
                      <a:picLocks noChangeAspect="1"/>
                    </pic:cNvPicPr>
                  </pic:nvPicPr>
                  <pic:blipFill>
                    <a:blip r:embed="rId176"/>
                    <a:stretch>
                      <a:fillRect/>
                    </a:stretch>
                  </pic:blipFill>
                  <pic:spPr>
                    <a:xfrm>
                      <a:off x="0" y="0"/>
                      <a:ext cx="191135" cy="210820"/>
                    </a:xfrm>
                    <a:prstGeom prst="rect">
                      <a:avLst/>
                    </a:prstGeom>
                    <a:noFill/>
                    <a:ln>
                      <a:noFill/>
                    </a:ln>
                  </pic:spPr>
                </pic:pic>
              </a:graphicData>
            </a:graphic>
          </wp:inline>
        </w:drawing>
      </w:r>
      <w:r>
        <w:rPr>
          <w:rFonts w:hint="eastAsia" w:ascii="楷体" w:hAnsi="楷体" w:eastAsia="楷体" w:cs="楷体"/>
          <w:sz w:val="24"/>
          <w:szCs w:val="24"/>
          <w:highlight w:val="none"/>
          <w:u w:val="single"/>
        </w:rPr>
        <w:t>等于0.7时，</w:t>
      </w:r>
      <w:r>
        <w:rPr>
          <w:rFonts w:hint="eastAsia" w:ascii="楷体" w:hAnsi="楷体" w:eastAsia="楷体" w:cs="楷体"/>
          <w:position w:val="-10"/>
          <w:sz w:val="24"/>
          <w:szCs w:val="24"/>
          <w:highlight w:val="none"/>
          <w:u w:val="single"/>
        </w:rPr>
        <w:drawing>
          <wp:inline distT="0" distB="0" distL="114300" distR="114300">
            <wp:extent cx="175895" cy="210820"/>
            <wp:effectExtent l="0" t="0" r="6985" b="1905"/>
            <wp:docPr id="22"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09"/>
                    <pic:cNvPicPr>
                      <a:picLocks noChangeAspect="1"/>
                    </pic:cNvPicPr>
                  </pic:nvPicPr>
                  <pic:blipFill>
                    <a:blip r:embed="rId175"/>
                    <a:stretch>
                      <a:fillRect/>
                    </a:stretch>
                  </pic:blipFill>
                  <pic:spPr>
                    <a:xfrm>
                      <a:off x="0" y="0"/>
                      <a:ext cx="175895" cy="210820"/>
                    </a:xfrm>
                    <a:prstGeom prst="rect">
                      <a:avLst/>
                    </a:prstGeom>
                    <a:noFill/>
                    <a:ln>
                      <a:noFill/>
                    </a:ln>
                  </pic:spPr>
                </pic:pic>
              </a:graphicData>
            </a:graphic>
          </wp:inline>
        </w:drawing>
      </w:r>
      <w:r>
        <w:rPr>
          <w:rFonts w:hint="eastAsia" w:ascii="楷体" w:hAnsi="楷体" w:eastAsia="楷体" w:cs="楷体"/>
          <w:sz w:val="24"/>
          <w:szCs w:val="24"/>
          <w:highlight w:val="none"/>
          <w:u w:val="single"/>
        </w:rPr>
        <w:t>在有初始应力情况下相对于初始应力比为0时的下降比例，即二次受压折减系数</w:t>
      </w:r>
      <w:r>
        <w:rPr>
          <w:rFonts w:hint="eastAsia" w:ascii="楷体" w:hAnsi="楷体" w:eastAsia="楷体" w:cs="楷体"/>
          <w:position w:val="-10"/>
          <w:sz w:val="24"/>
          <w:szCs w:val="24"/>
          <w:highlight w:val="none"/>
          <w:u w:val="single"/>
        </w:rPr>
        <w:drawing>
          <wp:inline distT="0" distB="0" distL="114300" distR="114300">
            <wp:extent cx="215900" cy="210820"/>
            <wp:effectExtent l="0" t="0" r="12700" b="1905"/>
            <wp:docPr id="21"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0"/>
                    <pic:cNvPicPr>
                      <a:picLocks noChangeAspect="1"/>
                    </pic:cNvPicPr>
                  </pic:nvPicPr>
                  <pic:blipFill>
                    <a:blip r:embed="rId178"/>
                    <a:stretch>
                      <a:fillRect/>
                    </a:stretch>
                  </pic:blipFill>
                  <pic:spPr>
                    <a:xfrm>
                      <a:off x="0" y="0"/>
                      <a:ext cx="215900" cy="210820"/>
                    </a:xfrm>
                    <a:prstGeom prst="rect">
                      <a:avLst/>
                    </a:prstGeom>
                    <a:noFill/>
                    <a:ln>
                      <a:noFill/>
                    </a:ln>
                  </pic:spPr>
                </pic:pic>
              </a:graphicData>
            </a:graphic>
          </wp:inline>
        </w:drawing>
      </w:r>
      <w:r>
        <w:rPr>
          <w:rFonts w:hint="eastAsia" w:ascii="楷体" w:hAnsi="楷体" w:eastAsia="楷体" w:cs="楷体"/>
          <w:sz w:val="24"/>
          <w:szCs w:val="24"/>
          <w:highlight w:val="none"/>
          <w:u w:val="single"/>
        </w:rPr>
        <w:t>在0.43~0.67之间。经综合考虑，取二次受压影响系数为</w:t>
      </w:r>
      <w:r>
        <w:rPr>
          <w:rFonts w:hint="eastAsia" w:ascii="楷体" w:hAnsi="楷体" w:eastAsia="楷体" w:cs="楷体"/>
          <w:position w:val="-10"/>
          <w:sz w:val="24"/>
          <w:szCs w:val="24"/>
          <w:highlight w:val="none"/>
          <w:u w:val="single"/>
        </w:rPr>
        <w:drawing>
          <wp:inline distT="0" distB="0" distL="114300" distR="114300">
            <wp:extent cx="215900" cy="210820"/>
            <wp:effectExtent l="0" t="0" r="12700" b="1905"/>
            <wp:docPr id="20"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11"/>
                    <pic:cNvPicPr>
                      <a:picLocks noChangeAspect="1"/>
                    </pic:cNvPicPr>
                  </pic:nvPicPr>
                  <pic:blipFill>
                    <a:blip r:embed="rId179"/>
                    <a:stretch>
                      <a:fillRect/>
                    </a:stretch>
                  </pic:blipFill>
                  <pic:spPr>
                    <a:xfrm>
                      <a:off x="0" y="0"/>
                      <a:ext cx="215900" cy="210820"/>
                    </a:xfrm>
                    <a:prstGeom prst="rect">
                      <a:avLst/>
                    </a:prstGeom>
                    <a:noFill/>
                    <a:ln>
                      <a:noFill/>
                    </a:ln>
                  </pic:spPr>
                </pic:pic>
              </a:graphicData>
            </a:graphic>
          </wp:inline>
        </w:drawing>
      </w:r>
      <w:r>
        <w:rPr>
          <w:rFonts w:hint="eastAsia" w:ascii="楷体" w:hAnsi="楷体" w:eastAsia="楷体" w:cs="楷体"/>
          <w:sz w:val="24"/>
          <w:szCs w:val="24"/>
          <w:highlight w:val="none"/>
          <w:u w:val="single"/>
        </w:rPr>
        <w:t>=0.5。</w:t>
      </w:r>
    </w:p>
    <w:p>
      <w:pPr>
        <w:spacing w:line="360" w:lineRule="auto"/>
        <w:jc w:val="center"/>
        <w:outlineLvl w:val="1"/>
        <w:rPr>
          <w:rFonts w:eastAsia="黑体"/>
          <w:sz w:val="24"/>
          <w:szCs w:val="28"/>
          <w:highlight w:val="none"/>
        </w:rPr>
      </w:pPr>
      <w:bookmarkStart w:id="1193" w:name="_Toc22884"/>
      <w:bookmarkStart w:id="1194" w:name="_Toc23804"/>
      <w:r>
        <w:rPr>
          <w:rFonts w:eastAsia="黑体"/>
          <w:b/>
          <w:sz w:val="24"/>
          <w:szCs w:val="28"/>
          <w:highlight w:val="none"/>
        </w:rPr>
        <w:t>5.3</w:t>
      </w:r>
      <w:r>
        <w:rPr>
          <w:rFonts w:eastAsia="黑体"/>
          <w:sz w:val="24"/>
          <w:szCs w:val="28"/>
          <w:highlight w:val="none"/>
        </w:rPr>
        <w:t xml:space="preserve">  砌体抗剪加固</w:t>
      </w:r>
      <w:bookmarkEnd w:id="486"/>
      <w:bookmarkEnd w:id="487"/>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p>
    <w:p>
      <w:pPr>
        <w:spacing w:line="312" w:lineRule="auto"/>
        <w:rPr>
          <w:sz w:val="24"/>
          <w:szCs w:val="28"/>
          <w:highlight w:val="none"/>
        </w:rPr>
      </w:pPr>
      <w:r>
        <w:rPr>
          <w:b/>
          <w:sz w:val="24"/>
          <w:szCs w:val="28"/>
          <w:highlight w:val="none"/>
        </w:rPr>
        <w:t>5.3.1</w:t>
      </w:r>
      <w:r>
        <w:rPr>
          <w:sz w:val="24"/>
          <w:szCs w:val="28"/>
          <w:highlight w:val="none"/>
        </w:rPr>
        <w:t xml:space="preserve">  采用高延性混凝土面层或配筋高延性混凝土面层加固后，墙体的受剪承载力应符合下列规定： </w:t>
      </w:r>
    </w:p>
    <w:p>
      <w:pPr>
        <w:tabs>
          <w:tab w:val="left" w:pos="2565"/>
        </w:tabs>
        <w:wordWrap w:val="0"/>
        <w:adjustRightInd w:val="0"/>
        <w:snapToGrid w:val="0"/>
        <w:spacing w:line="320" w:lineRule="atLeast"/>
        <w:ind w:right="88" w:rightChars="42"/>
        <w:jc w:val="right"/>
        <w:rPr>
          <w:sz w:val="24"/>
          <w:szCs w:val="28"/>
          <w:highlight w:val="none"/>
        </w:rPr>
      </w:pPr>
      <w:r>
        <w:rPr>
          <w:rFonts w:ascii="Times New Roman" w:hAnsi="Times New Roman"/>
          <w:position w:val="-10"/>
          <w:sz w:val="24"/>
          <w:szCs w:val="28"/>
          <w:highlight w:val="none"/>
        </w:rPr>
        <w:object>
          <v:shape id="_x0000_i1104" o:spt="75" type="#_x0000_t75" style="height:14.15pt;width:57.3pt;" o:ole="t" filled="f" o:preferrelative="t" stroked="f" coordsize="21600,21600">
            <v:path/>
            <v:fill on="f" focussize="0,0"/>
            <v:stroke on="f"/>
            <v:imagedata r:id="rId181" o:title=""/>
            <o:lock v:ext="edit" aspectratio="t"/>
            <w10:wrap type="none"/>
            <w10:anchorlock/>
          </v:shape>
          <o:OLEObject Type="Embed" ProgID="Equation.DSMT4" ShapeID="_x0000_i1104" DrawAspect="Content" ObjectID="_1468075803" r:id="rId180">
            <o:LockedField>false</o:LockedField>
          </o:OLEObject>
        </w:object>
      </w:r>
      <w:r>
        <w:rPr>
          <w:sz w:val="24"/>
          <w:szCs w:val="28"/>
          <w:highlight w:val="none"/>
        </w:rPr>
        <w:t xml:space="preserve">         </w:t>
      </w:r>
      <w:r>
        <w:rPr>
          <w:rFonts w:hint="eastAsia"/>
          <w:sz w:val="24"/>
          <w:szCs w:val="28"/>
          <w:highlight w:val="none"/>
          <w:lang w:val="en-US" w:eastAsia="zh-CN"/>
        </w:rPr>
        <w:t xml:space="preserve">             </w:t>
      </w:r>
      <w:r>
        <w:rPr>
          <w:sz w:val="24"/>
          <w:szCs w:val="28"/>
          <w:highlight w:val="none"/>
        </w:rPr>
        <w:t xml:space="preserve">    （5.3.1）</w:t>
      </w:r>
    </w:p>
    <w:tbl>
      <w:tblPr>
        <w:tblStyle w:val="23"/>
        <w:tblW w:w="0" w:type="auto"/>
        <w:tblInd w:w="0" w:type="dxa"/>
        <w:tblLayout w:type="fixed"/>
        <w:tblCellMar>
          <w:top w:w="0" w:type="dxa"/>
          <w:left w:w="108" w:type="dxa"/>
          <w:bottom w:w="0" w:type="dxa"/>
          <w:right w:w="108" w:type="dxa"/>
        </w:tblCellMar>
      </w:tblPr>
      <w:tblGrid>
        <w:gridCol w:w="1384"/>
        <w:gridCol w:w="8462"/>
      </w:tblGrid>
      <w:tr>
        <w:trPr>
          <w:trHeight w:val="340" w:hRule="atLeast"/>
        </w:trPr>
        <w:tc>
          <w:tcPr>
            <w:tcW w:w="1384" w:type="dxa"/>
          </w:tcPr>
          <w:p>
            <w:pPr>
              <w:tabs>
                <w:tab w:val="left" w:pos="2565"/>
              </w:tabs>
              <w:adjustRightInd w:val="0"/>
              <w:snapToGrid w:val="0"/>
              <w:spacing w:line="320" w:lineRule="atLeast"/>
              <w:ind w:right="-105" w:rightChars="-50"/>
              <w:jc w:val="left"/>
              <w:rPr>
                <w:sz w:val="24"/>
                <w:szCs w:val="28"/>
                <w:highlight w:val="none"/>
              </w:rPr>
            </w:pPr>
            <w:r>
              <w:rPr>
                <w:sz w:val="24"/>
                <w:szCs w:val="28"/>
                <w:highlight w:val="none"/>
              </w:rPr>
              <w:t>式中：</w:t>
            </w:r>
          </w:p>
          <w:p>
            <w:pPr>
              <w:tabs>
                <w:tab w:val="left" w:pos="2565"/>
              </w:tabs>
              <w:adjustRightInd w:val="0"/>
              <w:snapToGrid w:val="0"/>
              <w:spacing w:line="320" w:lineRule="atLeast"/>
              <w:ind w:right="-105" w:rightChars="-50"/>
              <w:jc w:val="right"/>
              <w:rPr>
                <w:kern w:val="0"/>
                <w:sz w:val="24"/>
                <w:szCs w:val="28"/>
                <w:highlight w:val="none"/>
              </w:rPr>
            </w:pPr>
            <w:r>
              <w:rPr>
                <w:i/>
                <w:kern w:val="0"/>
                <w:sz w:val="24"/>
                <w:szCs w:val="28"/>
                <w:highlight w:val="none"/>
              </w:rPr>
              <w:t xml:space="preserve">V </w:t>
            </w:r>
            <w:r>
              <w:rPr>
                <w:kern w:val="0"/>
                <w:sz w:val="24"/>
                <w:szCs w:val="28"/>
                <w:highlight w:val="none"/>
              </w:rPr>
              <w:t>——</w:t>
            </w:r>
          </w:p>
        </w:tc>
        <w:tc>
          <w:tcPr>
            <w:tcW w:w="8462" w:type="dxa"/>
            <w:vAlign w:val="center"/>
          </w:tcPr>
          <w:p>
            <w:pPr>
              <w:tabs>
                <w:tab w:val="left" w:pos="2565"/>
              </w:tabs>
              <w:adjustRightInd w:val="0"/>
              <w:snapToGrid w:val="0"/>
              <w:spacing w:line="320" w:lineRule="atLeast"/>
              <w:ind w:left="-105" w:leftChars="-50"/>
              <w:rPr>
                <w:kern w:val="0"/>
                <w:sz w:val="24"/>
                <w:szCs w:val="28"/>
                <w:highlight w:val="none"/>
              </w:rPr>
            </w:pPr>
          </w:p>
          <w:p>
            <w:pPr>
              <w:tabs>
                <w:tab w:val="left" w:pos="2565"/>
              </w:tabs>
              <w:adjustRightInd w:val="0"/>
              <w:snapToGrid w:val="0"/>
              <w:spacing w:line="320" w:lineRule="atLeast"/>
              <w:ind w:left="-105" w:leftChars="-50"/>
              <w:rPr>
                <w:kern w:val="0"/>
                <w:sz w:val="24"/>
                <w:szCs w:val="28"/>
                <w:highlight w:val="none"/>
              </w:rPr>
            </w:pPr>
            <w:r>
              <w:rPr>
                <w:kern w:val="0"/>
                <w:sz w:val="24"/>
                <w:szCs w:val="28"/>
                <w:highlight w:val="none"/>
              </w:rPr>
              <w:t>墙体剪力设计值；</w:t>
            </w:r>
          </w:p>
        </w:tc>
      </w:tr>
      <w:tr>
        <w:tblPrEx>
          <w:tblCellMar>
            <w:top w:w="0" w:type="dxa"/>
            <w:left w:w="108" w:type="dxa"/>
            <w:bottom w:w="0" w:type="dxa"/>
            <w:right w:w="108" w:type="dxa"/>
          </w:tblCellMar>
        </w:tblPrEx>
        <w:trPr>
          <w:trHeight w:val="340" w:hRule="atLeast"/>
        </w:trPr>
        <w:tc>
          <w:tcPr>
            <w:tcW w:w="1384" w:type="dxa"/>
          </w:tcPr>
          <w:p>
            <w:pPr>
              <w:tabs>
                <w:tab w:val="left" w:pos="2565"/>
              </w:tabs>
              <w:adjustRightInd w:val="0"/>
              <w:snapToGrid w:val="0"/>
              <w:spacing w:line="320" w:lineRule="atLeast"/>
              <w:ind w:right="-105" w:rightChars="-50"/>
              <w:jc w:val="right"/>
              <w:rPr>
                <w:kern w:val="0"/>
                <w:sz w:val="24"/>
                <w:szCs w:val="28"/>
                <w:highlight w:val="none"/>
              </w:rPr>
            </w:pPr>
            <w:r>
              <w:rPr>
                <w:position w:val="-10"/>
                <w:sz w:val="24"/>
                <w:szCs w:val="28"/>
                <w:highlight w:val="none"/>
              </w:rPr>
              <w:object>
                <v:shape id="_x0000_i1105" o:spt="75" type="#_x0000_t75" style="height:15.05pt;width:15.05pt;" o:ole="t" filled="f" o:preferrelative="t" stroked="f" coordsize="21600,21600">
                  <v:path/>
                  <v:fill on="f" focussize="0,0"/>
                  <v:stroke on="f" joinstyle="miter"/>
                  <v:imagedata r:id="rId183" o:title=""/>
                  <o:lock v:ext="edit" aspectratio="t"/>
                  <w10:wrap type="none"/>
                  <w10:anchorlock/>
                </v:shape>
                <o:OLEObject Type="Embed" ProgID="Equation.DSMT4" ShapeID="_x0000_i1105" DrawAspect="Content" ObjectID="_1468075804" r:id="rId182">
                  <o:LockedField>false</o:LockedField>
                </o:OLEObject>
              </w:object>
            </w:r>
            <w:r>
              <w:rPr>
                <w:kern w:val="0"/>
                <w:sz w:val="24"/>
                <w:szCs w:val="28"/>
                <w:highlight w:val="none"/>
              </w:rPr>
              <w:t>——</w:t>
            </w:r>
          </w:p>
        </w:tc>
        <w:tc>
          <w:tcPr>
            <w:tcW w:w="8462" w:type="dxa"/>
            <w:vAlign w:val="center"/>
          </w:tcPr>
          <w:p>
            <w:pPr>
              <w:tabs>
                <w:tab w:val="left" w:pos="2565"/>
              </w:tabs>
              <w:adjustRightInd w:val="0"/>
              <w:snapToGrid w:val="0"/>
              <w:spacing w:line="320" w:lineRule="atLeast"/>
              <w:ind w:left="-105" w:leftChars="-50"/>
              <w:rPr>
                <w:kern w:val="0"/>
                <w:sz w:val="24"/>
                <w:szCs w:val="28"/>
                <w:highlight w:val="none"/>
              </w:rPr>
            </w:pPr>
            <w:r>
              <w:rPr>
                <w:kern w:val="0"/>
                <w:sz w:val="24"/>
                <w:szCs w:val="28"/>
                <w:highlight w:val="none"/>
              </w:rPr>
              <w:t>原墙体受剪承载力，按现行国家标准《砌体结构设计规范》GB 50003计算；</w:t>
            </w:r>
            <w:r>
              <w:rPr>
                <w:rFonts w:hint="eastAsia"/>
                <w:kern w:val="0"/>
                <w:sz w:val="24"/>
                <w:szCs w:val="28"/>
                <w:highlight w:val="none"/>
              </w:rPr>
              <w:t>被加固墙体为空斗墙时，可不考虑原墙体的受剪承载力，即</w:t>
            </w:r>
            <w:r>
              <w:rPr>
                <w:position w:val="-10"/>
                <w:sz w:val="24"/>
                <w:szCs w:val="28"/>
                <w:highlight w:val="none"/>
              </w:rPr>
              <w:object>
                <v:shape id="_x0000_i1106" o:spt="75" type="#_x0000_t75" style="height:15.05pt;width:15.05pt;" o:ole="t" filled="f" o:preferrelative="t" stroked="f" coordsize="21600,21600">
                  <v:path/>
                  <v:fill on="f" focussize="0,0"/>
                  <v:stroke on="f" joinstyle="miter"/>
                  <v:imagedata r:id="rId183" o:title=""/>
                  <o:lock v:ext="edit" aspectratio="t"/>
                  <w10:wrap type="none"/>
                  <w10:anchorlock/>
                </v:shape>
                <o:OLEObject Type="Embed" ProgID="Equation.DSMT4" ShapeID="_x0000_i1106" DrawAspect="Content" ObjectID="_1468075805" r:id="rId184">
                  <o:LockedField>false</o:LockedField>
                </o:OLEObject>
              </w:object>
            </w:r>
            <w:r>
              <w:rPr>
                <w:rFonts w:hint="eastAsia"/>
                <w:sz w:val="24"/>
                <w:szCs w:val="28"/>
                <w:highlight w:val="none"/>
              </w:rPr>
              <w:t>=0；</w:t>
            </w:r>
          </w:p>
        </w:tc>
      </w:tr>
      <w:tr>
        <w:tblPrEx>
          <w:tblCellMar>
            <w:top w:w="0" w:type="dxa"/>
            <w:left w:w="108" w:type="dxa"/>
            <w:bottom w:w="0" w:type="dxa"/>
            <w:right w:w="108" w:type="dxa"/>
          </w:tblCellMar>
        </w:tblPrEx>
        <w:trPr>
          <w:trHeight w:val="340" w:hRule="atLeast"/>
        </w:trPr>
        <w:tc>
          <w:tcPr>
            <w:tcW w:w="1384" w:type="dxa"/>
          </w:tcPr>
          <w:p>
            <w:pPr>
              <w:tabs>
                <w:tab w:val="left" w:pos="2565"/>
              </w:tabs>
              <w:adjustRightInd w:val="0"/>
              <w:snapToGrid w:val="0"/>
              <w:spacing w:line="320" w:lineRule="atLeast"/>
              <w:ind w:right="-105" w:rightChars="-50"/>
              <w:jc w:val="right"/>
              <w:rPr>
                <w:kern w:val="0"/>
                <w:sz w:val="24"/>
                <w:szCs w:val="28"/>
                <w:highlight w:val="none"/>
              </w:rPr>
            </w:pPr>
            <w:r>
              <w:rPr>
                <w:position w:val="-10"/>
                <w:sz w:val="24"/>
                <w:szCs w:val="28"/>
                <w:highlight w:val="none"/>
              </w:rPr>
              <w:object>
                <v:shape id="_x0000_i1107" o:spt="75" type="#_x0000_t75" style="height:15.05pt;width:15.05pt;" o:ole="t" filled="f" o:preferrelative="t" stroked="f" coordsize="21600,21600">
                  <v:path/>
                  <v:fill on="f" focussize="0,0"/>
                  <v:stroke on="f" joinstyle="miter"/>
                  <v:imagedata r:id="rId186" o:title=""/>
                  <o:lock v:ext="edit" aspectratio="t"/>
                  <w10:wrap type="none"/>
                  <w10:anchorlock/>
                </v:shape>
                <o:OLEObject Type="Embed" ProgID="Equation.DSMT4" ShapeID="_x0000_i1107" DrawAspect="Content" ObjectID="_1468075806" r:id="rId185">
                  <o:LockedField>false</o:LockedField>
                </o:OLEObject>
              </w:object>
            </w:r>
            <w:r>
              <w:rPr>
                <w:kern w:val="0"/>
                <w:sz w:val="24"/>
                <w:szCs w:val="28"/>
                <w:highlight w:val="none"/>
              </w:rPr>
              <w:t>——</w:t>
            </w:r>
          </w:p>
        </w:tc>
        <w:tc>
          <w:tcPr>
            <w:tcW w:w="8462" w:type="dxa"/>
            <w:vAlign w:val="center"/>
          </w:tcPr>
          <w:p>
            <w:pPr>
              <w:tabs>
                <w:tab w:val="left" w:pos="2565"/>
              </w:tabs>
              <w:adjustRightInd w:val="0"/>
              <w:snapToGrid w:val="0"/>
              <w:spacing w:line="320" w:lineRule="atLeast"/>
              <w:ind w:left="-105" w:leftChars="-50"/>
              <w:rPr>
                <w:kern w:val="0"/>
                <w:sz w:val="24"/>
                <w:szCs w:val="28"/>
                <w:highlight w:val="none"/>
              </w:rPr>
            </w:pPr>
            <w:r>
              <w:rPr>
                <w:kern w:val="0"/>
                <w:sz w:val="24"/>
                <w:szCs w:val="28"/>
                <w:highlight w:val="none"/>
              </w:rPr>
              <w:t>高延性混凝土面层加固后墙体受剪承载力提高值。</w:t>
            </w:r>
          </w:p>
        </w:tc>
      </w:tr>
    </w:tbl>
    <w:p>
      <w:pPr>
        <w:keepNext w:val="0"/>
        <w:keepLines w:val="0"/>
        <w:pageBreakBefore w:val="0"/>
        <w:widowControl w:val="0"/>
        <w:kinsoku/>
        <w:wordWrap/>
        <w:overflowPunct/>
        <w:topLinePunct w:val="0"/>
        <w:autoSpaceDE/>
        <w:autoSpaceDN/>
        <w:bidi w:val="0"/>
        <w:adjustRightInd/>
        <w:snapToGrid w:val="0"/>
        <w:spacing w:before="157" w:beforeLines="50" w:line="312" w:lineRule="auto"/>
        <w:textAlignment w:val="auto"/>
        <w:rPr>
          <w:rFonts w:hint="eastAsia" w:ascii="楷体" w:hAnsi="楷体" w:eastAsia="楷体" w:cs="楷体"/>
          <w:sz w:val="24"/>
          <w:szCs w:val="24"/>
          <w:highlight w:val="none"/>
          <w:u w:val="single"/>
        </w:rPr>
      </w:pPr>
      <w:r>
        <w:rPr>
          <w:rFonts w:hint="eastAsia" w:ascii="楷体" w:hAnsi="楷体" w:eastAsia="楷体" w:cs="楷体"/>
          <w:b w:val="0"/>
          <w:bCs/>
          <w:sz w:val="24"/>
          <w:szCs w:val="24"/>
          <w:highlight w:val="none"/>
          <w:u w:val="single"/>
        </w:rPr>
        <w:t>【条文说明】</w:t>
      </w:r>
      <w:r>
        <w:rPr>
          <w:rFonts w:hint="eastAsia" w:ascii="楷体" w:hAnsi="楷体" w:eastAsia="楷体" w:cs="楷体"/>
          <w:sz w:val="24"/>
          <w:szCs w:val="24"/>
          <w:highlight w:val="none"/>
          <w:u w:val="single"/>
        </w:rPr>
        <w:t>采用高延性混凝土面层或配筋高延性混凝土面层对砌体墙的抗剪加固，可简化为原砌体的抗剪承载力加上高延性混凝土加固面层的承载力贡献。由于空斗墙本身抗剪性能和整体性较差，且空斗墙抗剪承载力的理论研究较少，因此在空斗墙加固计算时，抗剪计算时可不考虑其抗剪承载力，即被加固的墙体抗剪承载力全部由高延性混凝土加固层承担，这样设计也是偏于安全的。</w:t>
      </w:r>
    </w:p>
    <w:p>
      <w:pPr>
        <w:spacing w:line="312" w:lineRule="auto"/>
        <w:rPr>
          <w:sz w:val="24"/>
          <w:szCs w:val="28"/>
          <w:highlight w:val="none"/>
        </w:rPr>
      </w:pPr>
      <w:r>
        <w:rPr>
          <w:b/>
          <w:sz w:val="24"/>
          <w:szCs w:val="28"/>
          <w:highlight w:val="none"/>
        </w:rPr>
        <w:t>5.3.2</w:t>
      </w:r>
      <w:r>
        <w:rPr>
          <w:sz w:val="24"/>
          <w:szCs w:val="28"/>
          <w:highlight w:val="none"/>
        </w:rPr>
        <w:t xml:space="preserve">  采用高延性混凝土面层或配筋高延性混凝土面层加固后墙体的受剪承载力提高值</w:t>
      </w:r>
      <w:r>
        <w:rPr>
          <w:position w:val="-10"/>
          <w:sz w:val="24"/>
          <w:szCs w:val="28"/>
          <w:highlight w:val="none"/>
        </w:rPr>
        <w:object>
          <v:shape id="_x0000_i1108" o:spt="75" type="#_x0000_t75" style="height:15.05pt;width:15.05pt;" o:ole="t" filled="f" o:preferrelative="t" stroked="f" coordsize="21600,21600">
            <v:path/>
            <v:fill on="f" focussize="0,0"/>
            <v:stroke on="f" joinstyle="miter"/>
            <v:imagedata r:id="rId186" o:title=""/>
            <o:lock v:ext="edit" aspectratio="t"/>
            <w10:wrap type="none"/>
            <w10:anchorlock/>
          </v:shape>
          <o:OLEObject Type="Embed" ProgID="Equation.DSMT4" ShapeID="_x0000_i1108" DrawAspect="Content" ObjectID="_1468075807" r:id="rId187">
            <o:LockedField>false</o:LockedField>
          </o:OLEObject>
        </w:object>
      </w:r>
      <w:r>
        <w:rPr>
          <w:sz w:val="24"/>
          <w:szCs w:val="28"/>
          <w:highlight w:val="none"/>
        </w:rPr>
        <w:t xml:space="preserve">应按下列公式计算： </w:t>
      </w:r>
    </w:p>
    <w:p>
      <w:pPr>
        <w:tabs>
          <w:tab w:val="left" w:pos="2565"/>
        </w:tabs>
        <w:wordWrap w:val="0"/>
        <w:adjustRightInd w:val="0"/>
        <w:snapToGrid w:val="0"/>
        <w:spacing w:line="320" w:lineRule="atLeast"/>
        <w:jc w:val="right"/>
        <w:rPr>
          <w:sz w:val="24"/>
          <w:szCs w:val="28"/>
          <w:highlight w:val="none"/>
        </w:rPr>
      </w:pPr>
      <w:r>
        <w:rPr>
          <w:position w:val="-10"/>
          <w:sz w:val="24"/>
          <w:szCs w:val="28"/>
          <w:highlight w:val="none"/>
        </w:rPr>
        <w:object>
          <v:shape id="_x0000_i1109" o:spt="75" type="#_x0000_t75" style="height:15.05pt;width:94.55pt;" o:ole="t" filled="f" o:preferrelative="t" stroked="f" coordsize="21600,21600">
            <v:path/>
            <v:fill on="f" focussize="0,0"/>
            <v:stroke on="f" joinstyle="miter"/>
            <v:imagedata r:id="rId189" o:title=""/>
            <o:lock v:ext="edit" aspectratio="t"/>
            <w10:wrap type="none"/>
            <w10:anchorlock/>
          </v:shape>
          <o:OLEObject Type="Embed" ProgID="Equation.DSMT4" ShapeID="_x0000_i1109" DrawAspect="Content" ObjectID="_1468075808" r:id="rId188">
            <o:LockedField>false</o:LockedField>
          </o:OLEObject>
        </w:object>
      </w:r>
      <w:r>
        <w:rPr>
          <w:sz w:val="24"/>
          <w:szCs w:val="28"/>
          <w:highlight w:val="none"/>
        </w:rPr>
        <w:t xml:space="preserve">       </w:t>
      </w:r>
      <w:r>
        <w:rPr>
          <w:rFonts w:hint="eastAsia"/>
          <w:sz w:val="24"/>
          <w:szCs w:val="28"/>
          <w:highlight w:val="none"/>
          <w:lang w:val="en-US" w:eastAsia="zh-CN"/>
        </w:rPr>
        <w:t xml:space="preserve">             </w:t>
      </w:r>
      <w:r>
        <w:rPr>
          <w:sz w:val="24"/>
          <w:szCs w:val="28"/>
          <w:highlight w:val="none"/>
        </w:rPr>
        <w:t xml:space="preserve">  （5.3.2-1）</w:t>
      </w:r>
    </w:p>
    <w:p>
      <w:pPr>
        <w:tabs>
          <w:tab w:val="left" w:pos="2565"/>
        </w:tabs>
        <w:wordWrap w:val="0"/>
        <w:adjustRightInd w:val="0"/>
        <w:snapToGrid w:val="0"/>
        <w:spacing w:line="320" w:lineRule="atLeast"/>
        <w:jc w:val="right"/>
        <w:rPr>
          <w:sz w:val="24"/>
          <w:szCs w:val="28"/>
          <w:highlight w:val="none"/>
        </w:rPr>
      </w:pPr>
      <w:r>
        <w:rPr>
          <w:position w:val="-24"/>
          <w:sz w:val="24"/>
          <w:szCs w:val="28"/>
          <w:highlight w:val="none"/>
        </w:rPr>
        <w:object>
          <v:shape id="_x0000_i1110" o:spt="75" type="#_x0000_t75" style="height:29.25pt;width:90.6pt;" o:ole="t" filled="f" o:preferrelative="t" stroked="f" coordsize="21600,21600">
            <v:path/>
            <v:fill on="f" focussize="0,0"/>
            <v:stroke on="f" joinstyle="miter"/>
            <v:imagedata r:id="rId191" o:title=""/>
            <o:lock v:ext="edit" aspectratio="t"/>
            <w10:wrap type="none"/>
            <w10:anchorlock/>
          </v:shape>
          <o:OLEObject Type="Embed" ProgID="Equation.KSEE3" ShapeID="_x0000_i1110" DrawAspect="Content" ObjectID="_1468075809" r:id="rId190">
            <o:LockedField>false</o:LockedField>
          </o:OLEObject>
        </w:object>
      </w:r>
      <w:r>
        <w:rPr>
          <w:sz w:val="24"/>
          <w:szCs w:val="28"/>
          <w:highlight w:val="none"/>
        </w:rPr>
        <w:t xml:space="preserve">     </w:t>
      </w:r>
      <w:r>
        <w:rPr>
          <w:rFonts w:hint="eastAsia"/>
          <w:sz w:val="24"/>
          <w:szCs w:val="28"/>
          <w:highlight w:val="none"/>
          <w:lang w:val="en-US" w:eastAsia="zh-CN"/>
        </w:rPr>
        <w:t xml:space="preserve">            </w:t>
      </w:r>
      <w:r>
        <w:rPr>
          <w:sz w:val="24"/>
          <w:szCs w:val="28"/>
          <w:highlight w:val="none"/>
        </w:rPr>
        <w:t xml:space="preserve">     （5.3.2-2）</w:t>
      </w:r>
    </w:p>
    <w:tbl>
      <w:tblPr>
        <w:tblStyle w:val="23"/>
        <w:tblW w:w="0" w:type="auto"/>
        <w:tblInd w:w="0" w:type="dxa"/>
        <w:tblLayout w:type="fixed"/>
        <w:tblCellMar>
          <w:top w:w="0" w:type="dxa"/>
          <w:left w:w="108" w:type="dxa"/>
          <w:bottom w:w="0" w:type="dxa"/>
          <w:right w:w="108" w:type="dxa"/>
        </w:tblCellMar>
      </w:tblPr>
      <w:tblGrid>
        <w:gridCol w:w="1384"/>
        <w:gridCol w:w="8462"/>
      </w:tblGrid>
      <w:tr>
        <w:tblPrEx>
          <w:tblCellMar>
            <w:top w:w="0" w:type="dxa"/>
            <w:left w:w="108" w:type="dxa"/>
            <w:bottom w:w="0" w:type="dxa"/>
            <w:right w:w="108" w:type="dxa"/>
          </w:tblCellMar>
        </w:tblPrEx>
        <w:trPr>
          <w:trHeight w:val="397" w:hRule="atLeast"/>
        </w:trPr>
        <w:tc>
          <w:tcPr>
            <w:tcW w:w="1384" w:type="dxa"/>
          </w:tcPr>
          <w:p>
            <w:pPr>
              <w:tabs>
                <w:tab w:val="left" w:pos="2565"/>
              </w:tabs>
              <w:adjustRightInd w:val="0"/>
              <w:spacing w:line="312" w:lineRule="auto"/>
              <w:ind w:right="-105" w:rightChars="-50"/>
              <w:jc w:val="center"/>
              <w:rPr>
                <w:sz w:val="24"/>
                <w:szCs w:val="28"/>
                <w:highlight w:val="none"/>
              </w:rPr>
            </w:pPr>
            <w:r>
              <w:rPr>
                <w:sz w:val="24"/>
                <w:szCs w:val="28"/>
                <w:highlight w:val="none"/>
              </w:rPr>
              <w:t>式中：</w:t>
            </w:r>
            <w:r>
              <w:rPr>
                <w:i/>
                <w:position w:val="-10"/>
                <w:sz w:val="24"/>
                <w:szCs w:val="28"/>
                <w:highlight w:val="none"/>
              </w:rPr>
              <w:object>
                <v:shape id="_x0000_i1111" o:spt="75" type="#_x0000_t75" style="height:15.05pt;width:15.05pt;" o:ole="t" filled="f" o:preferrelative="t" stroked="f" coordsize="21600,21600">
                  <v:path/>
                  <v:fill on="f" focussize="0,0"/>
                  <v:stroke on="f" joinstyle="miter"/>
                  <v:imagedata r:id="rId193" o:title=""/>
                  <o:lock v:ext="edit" aspectratio="t"/>
                  <w10:wrap type="none"/>
                  <w10:anchorlock/>
                </v:shape>
                <o:OLEObject Type="Embed" ProgID="Equation.DSMT4" ShapeID="_x0000_i1111" DrawAspect="Content" ObjectID="_1468075810" r:id="rId192">
                  <o:LockedField>false</o:LockedField>
                </o:OLEObject>
              </w:object>
            </w:r>
            <w:r>
              <w:rPr>
                <w:sz w:val="24"/>
                <w:szCs w:val="28"/>
                <w:highlight w:val="none"/>
              </w:rPr>
              <w:t>——</w:t>
            </w:r>
          </w:p>
        </w:tc>
        <w:tc>
          <w:tcPr>
            <w:tcW w:w="8462" w:type="dxa"/>
          </w:tcPr>
          <w:p>
            <w:pPr>
              <w:spacing w:line="312" w:lineRule="auto"/>
              <w:ind w:left="-105" w:leftChars="-50"/>
              <w:rPr>
                <w:sz w:val="24"/>
                <w:szCs w:val="28"/>
                <w:highlight w:val="none"/>
              </w:rPr>
            </w:pPr>
          </w:p>
          <w:p>
            <w:pPr>
              <w:spacing w:line="312" w:lineRule="auto"/>
              <w:ind w:left="-105" w:leftChars="-50"/>
              <w:rPr>
                <w:sz w:val="24"/>
                <w:szCs w:val="28"/>
                <w:highlight w:val="none"/>
              </w:rPr>
            </w:pPr>
            <w:r>
              <w:rPr>
                <w:sz w:val="24"/>
                <w:szCs w:val="28"/>
                <w:highlight w:val="none"/>
              </w:rPr>
              <w:t>高延性混凝土轴心抗拉强度设计值；</w:t>
            </w:r>
            <w:r>
              <w:rPr>
                <w:i/>
                <w:position w:val="-10"/>
                <w:sz w:val="24"/>
                <w:szCs w:val="28"/>
                <w:highlight w:val="none"/>
              </w:rPr>
              <w:object>
                <v:shape id="_x0000_i1112" o:spt="75" type="#_x0000_t75" style="height:15.05pt;width:15.05pt;" o:ole="t" filled="f" o:preferrelative="t" stroked="f" coordsize="21600,21600">
                  <v:path/>
                  <v:fill on="f" focussize="0,0"/>
                  <v:stroke on="f" joinstyle="miter"/>
                  <v:imagedata r:id="rId193" o:title=""/>
                  <o:lock v:ext="edit" aspectratio="t"/>
                  <w10:wrap type="none"/>
                  <w10:anchorlock/>
                </v:shape>
                <o:OLEObject Type="Embed" ProgID="Equation.DSMT4" ShapeID="_x0000_i1112" DrawAspect="Content" ObjectID="_1468075811" r:id="rId194">
                  <o:LockedField>false</o:LockedField>
                </o:OLEObject>
              </w:object>
            </w:r>
            <w:r>
              <w:rPr>
                <w:sz w:val="24"/>
                <w:szCs w:val="28"/>
                <w:highlight w:val="none"/>
              </w:rPr>
              <w:t>按</w:t>
            </w:r>
            <w:r>
              <w:rPr>
                <w:rFonts w:hint="eastAsia"/>
                <w:sz w:val="24"/>
                <w:szCs w:val="28"/>
                <w:highlight w:val="none"/>
              </w:rPr>
              <w:t>本标准4.3.5</w:t>
            </w:r>
            <w:r>
              <w:rPr>
                <w:sz w:val="24"/>
                <w:szCs w:val="28"/>
                <w:highlight w:val="none"/>
              </w:rPr>
              <w:t>条规定取值；当有可靠试验资料时，取值可根据试验结果确定；</w:t>
            </w:r>
          </w:p>
        </w:tc>
      </w:tr>
      <w:tr>
        <w:tblPrEx>
          <w:tblCellMar>
            <w:top w:w="0" w:type="dxa"/>
            <w:left w:w="108" w:type="dxa"/>
            <w:bottom w:w="0" w:type="dxa"/>
            <w:right w:w="108" w:type="dxa"/>
          </w:tblCellMar>
        </w:tblPrEx>
        <w:trPr>
          <w:trHeight w:val="397" w:hRule="atLeast"/>
        </w:trPr>
        <w:tc>
          <w:tcPr>
            <w:tcW w:w="1384" w:type="dxa"/>
          </w:tcPr>
          <w:p>
            <w:pPr>
              <w:tabs>
                <w:tab w:val="left" w:pos="2565"/>
              </w:tabs>
              <w:adjustRightInd w:val="0"/>
              <w:snapToGrid w:val="0"/>
              <w:spacing w:line="320" w:lineRule="atLeast"/>
              <w:ind w:right="-105" w:rightChars="-50"/>
              <w:jc w:val="right"/>
              <w:rPr>
                <w:kern w:val="0"/>
                <w:sz w:val="24"/>
                <w:szCs w:val="28"/>
                <w:highlight w:val="none"/>
              </w:rPr>
            </w:pPr>
            <w:r>
              <w:rPr>
                <w:position w:val="-10"/>
                <w:sz w:val="24"/>
                <w:szCs w:val="28"/>
                <w:highlight w:val="none"/>
              </w:rPr>
              <w:object>
                <v:shape id="_x0000_i1113" o:spt="75" type="#_x0000_t75" style="height:15.05pt;width:15.05pt;" o:ole="t" filled="f" o:preferrelative="t" stroked="f" coordsize="21600,21600">
                  <v:path/>
                  <v:fill on="f" focussize="0,0"/>
                  <v:stroke on="f" joinstyle="miter"/>
                  <v:imagedata r:id="rId196" o:title=""/>
                  <o:lock v:ext="edit" aspectratio="t"/>
                  <w10:wrap type="none"/>
                  <w10:anchorlock/>
                </v:shape>
                <o:OLEObject Type="Embed" ProgID="Equation.DSMT4" ShapeID="_x0000_i1113" DrawAspect="Content" ObjectID="_1468075812" r:id="rId195">
                  <o:LockedField>false</o:LockedField>
                </o:OLEObject>
              </w:object>
            </w:r>
            <w:r>
              <w:rPr>
                <w:kern w:val="0"/>
                <w:sz w:val="24"/>
                <w:szCs w:val="28"/>
                <w:highlight w:val="none"/>
              </w:rPr>
              <w:t>——</w:t>
            </w:r>
          </w:p>
        </w:tc>
        <w:tc>
          <w:tcPr>
            <w:tcW w:w="8462" w:type="dxa"/>
          </w:tcPr>
          <w:p>
            <w:pPr>
              <w:tabs>
                <w:tab w:val="left" w:pos="2565"/>
              </w:tabs>
              <w:adjustRightInd w:val="0"/>
              <w:snapToGrid w:val="0"/>
              <w:spacing w:line="320" w:lineRule="atLeast"/>
              <w:ind w:left="-105" w:leftChars="-50"/>
              <w:rPr>
                <w:kern w:val="0"/>
                <w:sz w:val="24"/>
                <w:szCs w:val="28"/>
                <w:highlight w:val="none"/>
              </w:rPr>
            </w:pPr>
            <w:r>
              <w:rPr>
                <w:kern w:val="0"/>
                <w:sz w:val="24"/>
                <w:szCs w:val="28"/>
                <w:highlight w:val="none"/>
              </w:rPr>
              <w:t>高延性混凝土强度利用系数，墙体抗剪加固时，可取</w:t>
            </w:r>
            <w:r>
              <w:rPr>
                <w:position w:val="-10"/>
                <w:sz w:val="24"/>
                <w:szCs w:val="28"/>
                <w:highlight w:val="none"/>
              </w:rPr>
              <w:object>
                <v:shape id="_x0000_i1114" o:spt="75" type="#_x0000_t75" style="height:15.05pt;width:41.95pt;" o:ole="t" filled="f" o:preferrelative="t" stroked="f" coordsize="21600,21600">
                  <v:path/>
                  <v:fill on="f" focussize="0,0"/>
                  <v:stroke on="f" joinstyle="miter"/>
                  <v:imagedata r:id="rId198" o:title=""/>
                  <o:lock v:ext="edit" aspectratio="t"/>
                  <w10:wrap type="none"/>
                  <w10:anchorlock/>
                </v:shape>
                <o:OLEObject Type="Embed" ProgID="Equation.DSMT4" ShapeID="_x0000_i1114" DrawAspect="Content" ObjectID="_1468075813" r:id="rId197">
                  <o:LockedField>false</o:LockedField>
                </o:OLEObject>
              </w:object>
            </w:r>
            <w:r>
              <w:rPr>
                <w:kern w:val="0"/>
                <w:sz w:val="24"/>
                <w:szCs w:val="28"/>
                <w:highlight w:val="none"/>
              </w:rPr>
              <w:t xml:space="preserve">； </w:t>
            </w:r>
          </w:p>
        </w:tc>
      </w:tr>
      <w:tr>
        <w:tblPrEx>
          <w:tblCellMar>
            <w:top w:w="0" w:type="dxa"/>
            <w:left w:w="108" w:type="dxa"/>
            <w:bottom w:w="0" w:type="dxa"/>
            <w:right w:w="108" w:type="dxa"/>
          </w:tblCellMar>
        </w:tblPrEx>
        <w:trPr>
          <w:trHeight w:val="397" w:hRule="atLeast"/>
        </w:trPr>
        <w:tc>
          <w:tcPr>
            <w:tcW w:w="1384" w:type="dxa"/>
          </w:tcPr>
          <w:p>
            <w:pPr>
              <w:tabs>
                <w:tab w:val="left" w:pos="2565"/>
              </w:tabs>
              <w:adjustRightInd w:val="0"/>
              <w:snapToGrid w:val="0"/>
              <w:spacing w:line="320" w:lineRule="atLeast"/>
              <w:ind w:right="-105" w:rightChars="-50"/>
              <w:jc w:val="right"/>
              <w:rPr>
                <w:kern w:val="0"/>
                <w:sz w:val="24"/>
                <w:szCs w:val="28"/>
                <w:highlight w:val="none"/>
              </w:rPr>
            </w:pPr>
            <w:r>
              <w:rPr>
                <w:i/>
                <w:kern w:val="0"/>
                <w:sz w:val="24"/>
                <w:szCs w:val="28"/>
                <w:highlight w:val="none"/>
              </w:rPr>
              <w:t>b</w:t>
            </w:r>
            <w:r>
              <w:rPr>
                <w:kern w:val="0"/>
                <w:sz w:val="24"/>
                <w:szCs w:val="28"/>
                <w:highlight w:val="none"/>
              </w:rPr>
              <w:t xml:space="preserve"> ——</w:t>
            </w:r>
          </w:p>
        </w:tc>
        <w:tc>
          <w:tcPr>
            <w:tcW w:w="8462" w:type="dxa"/>
          </w:tcPr>
          <w:p>
            <w:pPr>
              <w:tabs>
                <w:tab w:val="left" w:pos="2565"/>
              </w:tabs>
              <w:adjustRightInd w:val="0"/>
              <w:snapToGrid w:val="0"/>
              <w:spacing w:line="320" w:lineRule="atLeast"/>
              <w:ind w:left="-105" w:leftChars="-50"/>
              <w:rPr>
                <w:kern w:val="0"/>
                <w:sz w:val="24"/>
                <w:szCs w:val="28"/>
                <w:highlight w:val="none"/>
              </w:rPr>
            </w:pPr>
            <w:r>
              <w:rPr>
                <w:kern w:val="0"/>
                <w:sz w:val="24"/>
                <w:szCs w:val="28"/>
                <w:highlight w:val="none"/>
              </w:rPr>
              <w:t>高延性混凝土面层厚度（双面加固时，取其厚度之和）；</w:t>
            </w:r>
          </w:p>
        </w:tc>
      </w:tr>
      <w:tr>
        <w:tblPrEx>
          <w:tblCellMar>
            <w:top w:w="0" w:type="dxa"/>
            <w:left w:w="108" w:type="dxa"/>
            <w:bottom w:w="0" w:type="dxa"/>
            <w:right w:w="108" w:type="dxa"/>
          </w:tblCellMar>
        </w:tblPrEx>
        <w:trPr>
          <w:trHeight w:val="397" w:hRule="atLeast"/>
        </w:trPr>
        <w:tc>
          <w:tcPr>
            <w:tcW w:w="1384" w:type="dxa"/>
          </w:tcPr>
          <w:p>
            <w:pPr>
              <w:tabs>
                <w:tab w:val="left" w:pos="2565"/>
              </w:tabs>
              <w:adjustRightInd w:val="0"/>
              <w:snapToGrid w:val="0"/>
              <w:spacing w:line="320" w:lineRule="atLeast"/>
              <w:ind w:right="-105" w:rightChars="-50"/>
              <w:jc w:val="right"/>
              <w:rPr>
                <w:kern w:val="0"/>
                <w:sz w:val="24"/>
                <w:szCs w:val="28"/>
                <w:highlight w:val="none"/>
              </w:rPr>
            </w:pPr>
            <w:r>
              <w:rPr>
                <w:i/>
                <w:kern w:val="0"/>
                <w:sz w:val="24"/>
                <w:szCs w:val="28"/>
                <w:highlight w:val="none"/>
              </w:rPr>
              <w:t>h</w:t>
            </w:r>
            <w:r>
              <w:rPr>
                <w:kern w:val="0"/>
                <w:sz w:val="24"/>
                <w:szCs w:val="28"/>
                <w:highlight w:val="none"/>
              </w:rPr>
              <w:t xml:space="preserve"> ——</w:t>
            </w:r>
          </w:p>
        </w:tc>
        <w:tc>
          <w:tcPr>
            <w:tcW w:w="8462" w:type="dxa"/>
          </w:tcPr>
          <w:p>
            <w:pPr>
              <w:tabs>
                <w:tab w:val="left" w:pos="2565"/>
              </w:tabs>
              <w:adjustRightInd w:val="0"/>
              <w:snapToGrid w:val="0"/>
              <w:spacing w:line="320" w:lineRule="atLeast"/>
              <w:ind w:left="-105" w:leftChars="-50"/>
              <w:rPr>
                <w:kern w:val="0"/>
                <w:sz w:val="24"/>
                <w:szCs w:val="28"/>
                <w:highlight w:val="none"/>
              </w:rPr>
            </w:pPr>
            <w:r>
              <w:rPr>
                <w:kern w:val="0"/>
                <w:sz w:val="24"/>
                <w:szCs w:val="28"/>
                <w:highlight w:val="none"/>
              </w:rPr>
              <w:t>采用面层加固的墙体水平方向长度；</w:t>
            </w:r>
          </w:p>
        </w:tc>
      </w:tr>
      <w:tr>
        <w:tblPrEx>
          <w:tblCellMar>
            <w:top w:w="0" w:type="dxa"/>
            <w:left w:w="108" w:type="dxa"/>
            <w:bottom w:w="0" w:type="dxa"/>
            <w:right w:w="108" w:type="dxa"/>
          </w:tblCellMar>
        </w:tblPrEx>
        <w:trPr>
          <w:trHeight w:val="397" w:hRule="atLeast"/>
        </w:trPr>
        <w:tc>
          <w:tcPr>
            <w:tcW w:w="1384" w:type="dxa"/>
          </w:tcPr>
          <w:p>
            <w:pPr>
              <w:tabs>
                <w:tab w:val="left" w:pos="2565"/>
              </w:tabs>
              <w:adjustRightInd w:val="0"/>
              <w:snapToGrid w:val="0"/>
              <w:spacing w:line="320" w:lineRule="atLeast"/>
              <w:ind w:right="-105" w:rightChars="-50"/>
              <w:jc w:val="right"/>
              <w:rPr>
                <w:kern w:val="0"/>
                <w:sz w:val="24"/>
                <w:szCs w:val="28"/>
                <w:highlight w:val="none"/>
              </w:rPr>
            </w:pPr>
            <w:r>
              <w:rPr>
                <w:i/>
                <w:position w:val="-10"/>
                <w:sz w:val="24"/>
                <w:szCs w:val="28"/>
                <w:highlight w:val="none"/>
              </w:rPr>
              <w:object>
                <v:shape id="_x0000_i1115" o:spt="75" type="#_x0000_t75" style="height:15.05pt;width:15.05pt;" o:ole="t" filled="f" o:preferrelative="t" stroked="f" coordsize="21600,21600">
                  <v:path/>
                  <v:fill on="f" focussize="0,0"/>
                  <v:stroke on="f" joinstyle="miter"/>
                  <v:imagedata r:id="rId200" o:title=""/>
                  <o:lock v:ext="edit" aspectratio="t"/>
                  <w10:wrap type="none"/>
                  <w10:anchorlock/>
                </v:shape>
                <o:OLEObject Type="Embed" ProgID="Equation.DSMT4" ShapeID="_x0000_i1115" DrawAspect="Content" ObjectID="_1468075814" r:id="rId199">
                  <o:LockedField>false</o:LockedField>
                </o:OLEObject>
              </w:object>
            </w:r>
            <w:r>
              <w:rPr>
                <w:kern w:val="0"/>
                <w:sz w:val="24"/>
                <w:szCs w:val="28"/>
                <w:highlight w:val="none"/>
              </w:rPr>
              <w:t>——</w:t>
            </w:r>
          </w:p>
        </w:tc>
        <w:tc>
          <w:tcPr>
            <w:tcW w:w="8462" w:type="dxa"/>
          </w:tcPr>
          <w:p>
            <w:pPr>
              <w:tabs>
                <w:tab w:val="left" w:pos="2565"/>
              </w:tabs>
              <w:adjustRightInd w:val="0"/>
              <w:snapToGrid w:val="0"/>
              <w:spacing w:line="320" w:lineRule="atLeast"/>
              <w:ind w:left="-105" w:leftChars="-50"/>
              <w:rPr>
                <w:kern w:val="0"/>
                <w:sz w:val="24"/>
                <w:szCs w:val="28"/>
                <w:highlight w:val="none"/>
              </w:rPr>
            </w:pPr>
            <w:r>
              <w:rPr>
                <w:kern w:val="0"/>
                <w:sz w:val="24"/>
                <w:szCs w:val="28"/>
                <w:highlight w:val="none"/>
              </w:rPr>
              <w:t>墙体采用配筋面层加固后，水平钢筋承担的剪力；</w:t>
            </w:r>
          </w:p>
        </w:tc>
      </w:tr>
      <w:tr>
        <w:tblPrEx>
          <w:tblCellMar>
            <w:top w:w="0" w:type="dxa"/>
            <w:left w:w="108" w:type="dxa"/>
            <w:bottom w:w="0" w:type="dxa"/>
            <w:right w:w="108" w:type="dxa"/>
          </w:tblCellMar>
        </w:tblPrEx>
        <w:trPr>
          <w:trHeight w:val="397" w:hRule="atLeast"/>
        </w:trPr>
        <w:tc>
          <w:tcPr>
            <w:tcW w:w="1384" w:type="dxa"/>
          </w:tcPr>
          <w:p>
            <w:pPr>
              <w:tabs>
                <w:tab w:val="left" w:pos="2565"/>
              </w:tabs>
              <w:adjustRightInd w:val="0"/>
              <w:snapToGrid w:val="0"/>
              <w:spacing w:line="320" w:lineRule="atLeast"/>
              <w:ind w:right="-105" w:rightChars="-50"/>
              <w:jc w:val="right"/>
              <w:rPr>
                <w:kern w:val="0"/>
                <w:sz w:val="24"/>
                <w:szCs w:val="28"/>
                <w:highlight w:val="none"/>
              </w:rPr>
            </w:pPr>
            <m:oMath>
              <m:sSub>
                <m:sSubPr>
                  <m:ctrlPr>
                    <w:rPr>
                      <w:rFonts w:ascii="Cambria Math" w:hAnsi="Cambria Math"/>
                      <w:iCs/>
                      <w:sz w:val="24"/>
                      <w:szCs w:val="28"/>
                      <w:highlight w:val="none"/>
                    </w:rPr>
                  </m:ctrlPr>
                </m:sSubPr>
                <m:e>
                  <m:r>
                    <m:rPr>
                      <m:nor/>
                    </m:rPr>
                    <w:rPr>
                      <w:rFonts w:ascii="Cambria Math" w:hAnsi="Cambria Math"/>
                      <w:i/>
                      <w:sz w:val="24"/>
                      <w:szCs w:val="28"/>
                      <w:highlight w:val="none"/>
                    </w:rPr>
                    <m:t>α</m:t>
                  </m:r>
                  <m:ctrlPr>
                    <w:rPr>
                      <w:rFonts w:ascii="Cambria Math" w:hAnsi="Cambria Math"/>
                      <w:iCs/>
                      <w:sz w:val="24"/>
                      <w:szCs w:val="28"/>
                      <w:highlight w:val="none"/>
                    </w:rPr>
                  </m:ctrlPr>
                </m:e>
                <m:sub>
                  <m:r>
                    <m:rPr>
                      <m:nor/>
                      <m:sty m:val="p"/>
                    </m:rPr>
                    <w:rPr>
                      <w:rFonts w:ascii="Cambria Math" w:hAnsi="Cambria Math"/>
                      <w:b w:val="0"/>
                      <w:i w:val="0"/>
                      <w:iCs/>
                      <w:sz w:val="24"/>
                      <w:szCs w:val="28"/>
                      <w:highlight w:val="none"/>
                    </w:rPr>
                    <m:t>sh</m:t>
                  </m:r>
                  <m:ctrlPr>
                    <w:rPr>
                      <w:rFonts w:ascii="Cambria Math" w:hAnsi="Cambria Math"/>
                      <w:iCs/>
                      <w:sz w:val="24"/>
                      <w:szCs w:val="28"/>
                      <w:highlight w:val="none"/>
                    </w:rPr>
                  </m:ctrlPr>
                </m:sub>
              </m:sSub>
            </m:oMath>
            <w:r>
              <w:rPr>
                <w:kern w:val="0"/>
                <w:sz w:val="24"/>
                <w:szCs w:val="28"/>
                <w:highlight w:val="none"/>
              </w:rPr>
              <w:t>——</w:t>
            </w:r>
          </w:p>
        </w:tc>
        <w:tc>
          <w:tcPr>
            <w:tcW w:w="8462" w:type="dxa"/>
            <w:tcMar>
              <w:top w:w="0" w:type="dxa"/>
              <w:left w:w="0" w:type="dxa"/>
              <w:bottom w:w="0" w:type="dxa"/>
              <w:right w:w="108" w:type="dxa"/>
            </w:tcMar>
          </w:tcPr>
          <w:p>
            <w:pPr>
              <w:snapToGrid w:val="0"/>
              <w:spacing w:line="320" w:lineRule="atLeast"/>
              <w:jc w:val="left"/>
              <w:rPr>
                <w:kern w:val="0"/>
                <w:sz w:val="24"/>
                <w:szCs w:val="28"/>
                <w:highlight w:val="none"/>
              </w:rPr>
            </w:pPr>
            <w:r>
              <w:rPr>
                <w:rFonts w:hint="eastAsia"/>
                <w:kern w:val="0"/>
                <w:sz w:val="24"/>
                <w:szCs w:val="28"/>
                <w:highlight w:val="none"/>
              </w:rPr>
              <w:t>水平</w:t>
            </w:r>
            <w:r>
              <w:rPr>
                <w:kern w:val="0"/>
                <w:sz w:val="24"/>
                <w:szCs w:val="28"/>
                <w:highlight w:val="none"/>
              </w:rPr>
              <w:t>钢筋强度利用系数</w:t>
            </w:r>
            <w:r>
              <w:rPr>
                <w:rFonts w:hint="eastAsia"/>
                <w:kern w:val="0"/>
                <w:sz w:val="24"/>
                <w:szCs w:val="28"/>
                <w:highlight w:val="none"/>
              </w:rPr>
              <w:t>，</w:t>
            </w:r>
            <w:r>
              <w:rPr>
                <w:kern w:val="0"/>
                <w:sz w:val="24"/>
                <w:szCs w:val="28"/>
                <w:highlight w:val="none"/>
              </w:rPr>
              <w:t>取</w:t>
            </w:r>
            <m:oMath>
              <m:sSub>
                <m:sSubPr>
                  <m:ctrlPr>
                    <w:rPr>
                      <w:rFonts w:ascii="Cambria Math" w:hAnsi="Cambria Math"/>
                      <w:iCs/>
                      <w:sz w:val="24"/>
                      <w:szCs w:val="28"/>
                      <w:highlight w:val="none"/>
                    </w:rPr>
                  </m:ctrlPr>
                </m:sSubPr>
                <m:e>
                  <m:r>
                    <m:rPr>
                      <m:nor/>
                    </m:rPr>
                    <w:rPr>
                      <w:rFonts w:ascii="Cambria Math" w:hAnsi="Cambria Math"/>
                      <w:i/>
                      <w:sz w:val="24"/>
                      <w:szCs w:val="28"/>
                      <w:highlight w:val="none"/>
                    </w:rPr>
                    <m:t>α</m:t>
                  </m:r>
                  <m:ctrlPr>
                    <w:rPr>
                      <w:rFonts w:ascii="Cambria Math" w:hAnsi="Cambria Math"/>
                      <w:iCs/>
                      <w:sz w:val="24"/>
                      <w:szCs w:val="28"/>
                      <w:highlight w:val="none"/>
                    </w:rPr>
                  </m:ctrlPr>
                </m:e>
                <m:sub>
                  <m:r>
                    <m:rPr>
                      <m:nor/>
                      <m:sty m:val="p"/>
                    </m:rPr>
                    <w:rPr>
                      <w:rFonts w:ascii="Cambria Math" w:hAnsi="Cambria Math"/>
                      <w:b w:val="0"/>
                      <w:i w:val="0"/>
                      <w:iCs/>
                      <w:sz w:val="24"/>
                      <w:szCs w:val="28"/>
                      <w:highlight w:val="none"/>
                    </w:rPr>
                    <m:t>sh</m:t>
                  </m:r>
                  <m:ctrlPr>
                    <w:rPr>
                      <w:rFonts w:ascii="Cambria Math" w:hAnsi="Cambria Math"/>
                      <w:iCs/>
                      <w:sz w:val="24"/>
                      <w:szCs w:val="28"/>
                      <w:highlight w:val="none"/>
                    </w:rPr>
                  </m:ctrlPr>
                </m:sub>
              </m:sSub>
            </m:oMath>
            <w:r>
              <w:rPr>
                <w:rFonts w:hint="eastAsia"/>
                <w:kern w:val="0"/>
                <w:sz w:val="24"/>
                <w:szCs w:val="28"/>
                <w:highlight w:val="none"/>
              </w:rPr>
              <w:t>=</w:t>
            </w:r>
            <w:r>
              <w:rPr>
                <w:kern w:val="0"/>
                <w:sz w:val="24"/>
                <w:szCs w:val="28"/>
                <w:highlight w:val="none"/>
              </w:rPr>
              <w:t>0.90</w:t>
            </w:r>
            <w:r>
              <w:rPr>
                <w:rFonts w:hint="eastAsia"/>
                <w:kern w:val="0"/>
                <w:sz w:val="24"/>
                <w:szCs w:val="28"/>
                <w:highlight w:val="none"/>
              </w:rPr>
              <w:t>；</w:t>
            </w:r>
          </w:p>
        </w:tc>
      </w:tr>
      <w:tr>
        <w:tblPrEx>
          <w:tblCellMar>
            <w:top w:w="0" w:type="dxa"/>
            <w:left w:w="108" w:type="dxa"/>
            <w:bottom w:w="0" w:type="dxa"/>
            <w:right w:w="108" w:type="dxa"/>
          </w:tblCellMar>
        </w:tblPrEx>
        <w:trPr>
          <w:trHeight w:val="397" w:hRule="atLeast"/>
        </w:trPr>
        <w:tc>
          <w:tcPr>
            <w:tcW w:w="1384" w:type="dxa"/>
          </w:tcPr>
          <w:p>
            <w:pPr>
              <w:tabs>
                <w:tab w:val="left" w:pos="2565"/>
              </w:tabs>
              <w:adjustRightInd w:val="0"/>
              <w:snapToGrid w:val="0"/>
              <w:spacing w:line="320" w:lineRule="atLeast"/>
              <w:ind w:right="-105" w:rightChars="-50"/>
              <w:jc w:val="right"/>
              <w:rPr>
                <w:kern w:val="0"/>
                <w:sz w:val="24"/>
                <w:szCs w:val="28"/>
                <w:highlight w:val="none"/>
              </w:rPr>
            </w:pPr>
            <w:r>
              <w:rPr>
                <w:position w:val="-14"/>
                <w:sz w:val="24"/>
                <w:szCs w:val="28"/>
                <w:highlight w:val="none"/>
              </w:rPr>
              <w:object>
                <v:shape id="_x0000_i1116" o:spt="75" type="#_x0000_t75" style="height:17.8pt;width:15.8pt;" o:ole="t" filled="f" o:preferrelative="t" stroked="f" coordsize="21600,21600">
                  <v:path/>
                  <v:fill on="f" focussize="0,0"/>
                  <v:stroke on="f" joinstyle="miter"/>
                  <v:imagedata r:id="rId202" o:title=""/>
                  <o:lock v:ext="edit" aspectratio="t"/>
                  <w10:wrap type="none"/>
                  <w10:anchorlock/>
                </v:shape>
                <o:OLEObject Type="Embed" ProgID="Equation.DSMT4" ShapeID="_x0000_i1116" DrawAspect="Content" ObjectID="_1468075815" r:id="rId201">
                  <o:LockedField>false</o:LockedField>
                </o:OLEObject>
              </w:object>
            </w:r>
            <w:r>
              <w:rPr>
                <w:kern w:val="0"/>
                <w:sz w:val="24"/>
                <w:szCs w:val="28"/>
                <w:highlight w:val="none"/>
              </w:rPr>
              <w:t>——</w:t>
            </w:r>
          </w:p>
        </w:tc>
        <w:tc>
          <w:tcPr>
            <w:tcW w:w="8462" w:type="dxa"/>
          </w:tcPr>
          <w:p>
            <w:pPr>
              <w:tabs>
                <w:tab w:val="left" w:pos="2565"/>
              </w:tabs>
              <w:adjustRightInd w:val="0"/>
              <w:snapToGrid w:val="0"/>
              <w:spacing w:line="320" w:lineRule="atLeast"/>
              <w:ind w:left="-105" w:leftChars="-50"/>
              <w:rPr>
                <w:kern w:val="0"/>
                <w:sz w:val="24"/>
                <w:szCs w:val="28"/>
                <w:highlight w:val="none"/>
              </w:rPr>
            </w:pPr>
            <w:r>
              <w:rPr>
                <w:kern w:val="0"/>
                <w:sz w:val="24"/>
                <w:szCs w:val="28"/>
                <w:highlight w:val="none"/>
              </w:rPr>
              <w:t>水平向钢筋的强度设计值；</w:t>
            </w:r>
          </w:p>
        </w:tc>
      </w:tr>
      <w:tr>
        <w:tblPrEx>
          <w:tblCellMar>
            <w:top w:w="0" w:type="dxa"/>
            <w:left w:w="108" w:type="dxa"/>
            <w:bottom w:w="0" w:type="dxa"/>
            <w:right w:w="108" w:type="dxa"/>
          </w:tblCellMar>
        </w:tblPrEx>
        <w:trPr>
          <w:trHeight w:val="397" w:hRule="atLeast"/>
        </w:trPr>
        <w:tc>
          <w:tcPr>
            <w:tcW w:w="1384" w:type="dxa"/>
          </w:tcPr>
          <w:p>
            <w:pPr>
              <w:tabs>
                <w:tab w:val="left" w:pos="2565"/>
              </w:tabs>
              <w:adjustRightInd w:val="0"/>
              <w:snapToGrid w:val="0"/>
              <w:spacing w:line="320" w:lineRule="atLeast"/>
              <w:ind w:right="-105" w:rightChars="-50"/>
              <w:jc w:val="right"/>
              <w:rPr>
                <w:kern w:val="0"/>
                <w:sz w:val="24"/>
                <w:szCs w:val="28"/>
                <w:highlight w:val="none"/>
              </w:rPr>
            </w:pPr>
            <w:r>
              <w:rPr>
                <w:i/>
                <w:position w:val="-10"/>
                <w:sz w:val="24"/>
                <w:szCs w:val="28"/>
                <w:highlight w:val="none"/>
              </w:rPr>
              <w:object>
                <v:shape id="_x0000_i1117" o:spt="75" type="#_x0000_t75" style="height:15.05pt;width:15.05pt;" o:ole="t" filled="f" o:preferrelative="t" stroked="f" coordsize="21600,21600">
                  <v:path/>
                  <v:fill on="f" focussize="0,0"/>
                  <v:stroke on="f" joinstyle="miter"/>
                  <v:imagedata r:id="rId204" o:title=""/>
                  <o:lock v:ext="edit" aspectratio="t"/>
                  <w10:wrap type="none"/>
                  <w10:anchorlock/>
                </v:shape>
                <o:OLEObject Type="Embed" ProgID="Equation.DSMT4" ShapeID="_x0000_i1117" DrawAspect="Content" ObjectID="_1468075816" r:id="rId203">
                  <o:LockedField>false</o:LockedField>
                </o:OLEObject>
              </w:object>
            </w:r>
            <w:r>
              <w:rPr>
                <w:kern w:val="0"/>
                <w:sz w:val="24"/>
                <w:szCs w:val="28"/>
                <w:highlight w:val="none"/>
              </w:rPr>
              <w:t>——</w:t>
            </w:r>
          </w:p>
        </w:tc>
        <w:tc>
          <w:tcPr>
            <w:tcW w:w="8462" w:type="dxa"/>
          </w:tcPr>
          <w:p>
            <w:pPr>
              <w:tabs>
                <w:tab w:val="left" w:pos="2565"/>
              </w:tabs>
              <w:adjustRightInd w:val="0"/>
              <w:snapToGrid w:val="0"/>
              <w:spacing w:line="320" w:lineRule="atLeast"/>
              <w:ind w:left="-105" w:leftChars="-50"/>
              <w:rPr>
                <w:kern w:val="0"/>
                <w:sz w:val="24"/>
                <w:szCs w:val="28"/>
                <w:highlight w:val="none"/>
              </w:rPr>
            </w:pPr>
            <w:r>
              <w:rPr>
                <w:kern w:val="0"/>
                <w:sz w:val="24"/>
                <w:szCs w:val="28"/>
                <w:highlight w:val="none"/>
              </w:rPr>
              <w:t>配置在同一截面内的水平钢筋全部截面面积；</w:t>
            </w:r>
          </w:p>
        </w:tc>
      </w:tr>
      <w:tr>
        <w:tblPrEx>
          <w:tblCellMar>
            <w:top w:w="0" w:type="dxa"/>
            <w:left w:w="108" w:type="dxa"/>
            <w:bottom w:w="0" w:type="dxa"/>
            <w:right w:w="108" w:type="dxa"/>
          </w:tblCellMar>
        </w:tblPrEx>
        <w:trPr>
          <w:trHeight w:val="397" w:hRule="atLeast"/>
        </w:trPr>
        <w:tc>
          <w:tcPr>
            <w:tcW w:w="1384" w:type="dxa"/>
          </w:tcPr>
          <w:p>
            <w:pPr>
              <w:tabs>
                <w:tab w:val="left" w:pos="2565"/>
              </w:tabs>
              <w:adjustRightInd w:val="0"/>
              <w:snapToGrid w:val="0"/>
              <w:spacing w:line="320" w:lineRule="atLeast"/>
              <w:ind w:right="-105" w:rightChars="-50"/>
              <w:jc w:val="right"/>
              <w:rPr>
                <w:kern w:val="0"/>
                <w:sz w:val="24"/>
                <w:szCs w:val="28"/>
                <w:highlight w:val="none"/>
              </w:rPr>
            </w:pPr>
            <w:r>
              <w:rPr>
                <w:i/>
                <w:position w:val="-6"/>
                <w:sz w:val="24"/>
                <w:szCs w:val="28"/>
                <w:highlight w:val="none"/>
              </w:rPr>
              <w:object>
                <v:shape id="_x0000_i1118" o:spt="75" type="#_x0000_t75" style="height:9.1pt;width:8.3pt;" o:ole="t" filled="f" o:preferrelative="t" stroked="f" coordsize="21600,21600">
                  <v:path/>
                  <v:fill on="f" focussize="0,0"/>
                  <v:stroke on="f" joinstyle="miter"/>
                  <v:imagedata r:id="rId206" o:title=""/>
                  <o:lock v:ext="edit" aspectratio="t"/>
                  <w10:wrap type="none"/>
                  <w10:anchorlock/>
                </v:shape>
                <o:OLEObject Type="Embed" ProgID="Equation.DSMT4" ShapeID="_x0000_i1118" DrawAspect="Content" ObjectID="_1468075817" r:id="rId205">
                  <o:LockedField>false</o:LockedField>
                </o:OLEObject>
              </w:object>
            </w:r>
            <w:r>
              <w:rPr>
                <w:kern w:val="0"/>
                <w:sz w:val="24"/>
                <w:szCs w:val="28"/>
                <w:highlight w:val="none"/>
              </w:rPr>
              <w:t>——</w:t>
            </w:r>
          </w:p>
        </w:tc>
        <w:tc>
          <w:tcPr>
            <w:tcW w:w="8462" w:type="dxa"/>
          </w:tcPr>
          <w:p>
            <w:pPr>
              <w:tabs>
                <w:tab w:val="left" w:pos="2565"/>
              </w:tabs>
              <w:adjustRightInd w:val="0"/>
              <w:snapToGrid w:val="0"/>
              <w:spacing w:line="320" w:lineRule="atLeast"/>
              <w:ind w:left="-105" w:leftChars="-50"/>
              <w:rPr>
                <w:kern w:val="0"/>
                <w:sz w:val="24"/>
                <w:szCs w:val="28"/>
                <w:highlight w:val="none"/>
              </w:rPr>
            </w:pPr>
            <w:r>
              <w:rPr>
                <w:sz w:val="24"/>
                <w:szCs w:val="28"/>
                <w:highlight w:val="none"/>
              </w:rPr>
              <w:t>水平向钢筋的间距</w:t>
            </w:r>
            <w:r>
              <w:rPr>
                <w:kern w:val="0"/>
                <w:sz w:val="24"/>
                <w:szCs w:val="28"/>
                <w:highlight w:val="none"/>
              </w:rPr>
              <w:t>。</w:t>
            </w:r>
          </w:p>
        </w:tc>
      </w:tr>
    </w:tbl>
    <w:p>
      <w:pPr>
        <w:keepNext w:val="0"/>
        <w:keepLines w:val="0"/>
        <w:pageBreakBefore w:val="0"/>
        <w:widowControl w:val="0"/>
        <w:kinsoku/>
        <w:wordWrap/>
        <w:overflowPunct/>
        <w:topLinePunct w:val="0"/>
        <w:autoSpaceDE/>
        <w:autoSpaceDN/>
        <w:bidi w:val="0"/>
        <w:adjustRightInd/>
        <w:snapToGrid w:val="0"/>
        <w:spacing w:before="157" w:beforeLines="50" w:line="312" w:lineRule="auto"/>
        <w:textAlignment w:val="auto"/>
        <w:rPr>
          <w:rFonts w:hint="eastAsia" w:ascii="楷体" w:hAnsi="楷体" w:eastAsia="楷体" w:cs="楷体"/>
          <w:sz w:val="24"/>
          <w:szCs w:val="24"/>
          <w:highlight w:val="none"/>
          <w:u w:val="single"/>
        </w:rPr>
      </w:pPr>
      <w:bookmarkStart w:id="1195" w:name="_Toc25690915"/>
      <w:bookmarkStart w:id="1196" w:name="_Toc70169824"/>
      <w:bookmarkStart w:id="1197" w:name="_Toc63348930"/>
      <w:bookmarkStart w:id="1198" w:name="_Toc25070686"/>
      <w:bookmarkStart w:id="1199" w:name="_Toc67330598"/>
      <w:bookmarkStart w:id="1200" w:name="_Toc32865088"/>
      <w:bookmarkStart w:id="1201" w:name="_Toc48210138"/>
      <w:bookmarkStart w:id="1202" w:name="_Toc445666228"/>
      <w:bookmarkStart w:id="1203" w:name="_Toc519684137"/>
      <w:bookmarkStart w:id="1204" w:name="_Toc535338434"/>
      <w:bookmarkStart w:id="1205" w:name="_Toc48138971"/>
      <w:bookmarkStart w:id="1206" w:name="_Toc48138893"/>
      <w:bookmarkStart w:id="1207" w:name="_Toc535475986"/>
      <w:bookmarkStart w:id="1208" w:name="_Toc19545268"/>
      <w:bookmarkStart w:id="1209" w:name="_Toc63348854"/>
      <w:bookmarkStart w:id="1210" w:name="_Toc48210361"/>
      <w:bookmarkStart w:id="1211" w:name="_Toc38352781"/>
      <w:bookmarkStart w:id="1212" w:name="_Toc445664208"/>
      <w:bookmarkStart w:id="1213" w:name="_Toc52264501"/>
      <w:bookmarkStart w:id="1214" w:name="_Toc26600"/>
      <w:bookmarkStart w:id="1215" w:name="_Toc38358407"/>
      <w:bookmarkStart w:id="1216" w:name="_Toc54256652"/>
      <w:bookmarkStart w:id="1217" w:name="_Toc54255557"/>
      <w:bookmarkStart w:id="1218" w:name="_Toc32848346"/>
      <w:bookmarkStart w:id="1219" w:name="_Toc532464345"/>
      <w:bookmarkStart w:id="1220" w:name="_Toc48210029"/>
      <w:r>
        <w:rPr>
          <w:rFonts w:hint="eastAsia" w:ascii="楷体" w:hAnsi="楷体" w:eastAsia="楷体" w:cs="楷体"/>
          <w:b w:val="0"/>
          <w:bCs/>
          <w:sz w:val="24"/>
          <w:szCs w:val="24"/>
          <w:highlight w:val="none"/>
          <w:u w:val="single"/>
        </w:rPr>
        <w:t>【条文说明】</w:t>
      </w:r>
      <w:r>
        <w:rPr>
          <w:rFonts w:hint="eastAsia" w:ascii="楷体" w:hAnsi="楷体" w:eastAsia="楷体" w:cs="楷体"/>
          <w:sz w:val="24"/>
          <w:szCs w:val="24"/>
          <w:highlight w:val="none"/>
          <w:u w:val="single"/>
        </w:rPr>
        <w:t>采用高延性混凝土面层加固后，墙体提高的受剪承载力</w:t>
      </w:r>
      <w:r>
        <w:rPr>
          <w:rFonts w:hint="eastAsia" w:ascii="楷体" w:hAnsi="楷体" w:eastAsia="楷体" w:cs="楷体"/>
          <w:sz w:val="24"/>
          <w:szCs w:val="24"/>
          <w:highlight w:val="none"/>
          <w:u w:val="single"/>
        </w:rPr>
        <w:drawing>
          <wp:inline distT="0" distB="0" distL="114300" distR="114300">
            <wp:extent cx="170815" cy="210820"/>
            <wp:effectExtent l="0" t="0" r="12065" b="1905"/>
            <wp:docPr id="24"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12"/>
                    <pic:cNvPicPr>
                      <a:picLocks noChangeAspect="1"/>
                    </pic:cNvPicPr>
                  </pic:nvPicPr>
                  <pic:blipFill>
                    <a:blip r:embed="rId207"/>
                    <a:stretch>
                      <a:fillRect/>
                    </a:stretch>
                  </pic:blipFill>
                  <pic:spPr>
                    <a:xfrm>
                      <a:off x="0" y="0"/>
                      <a:ext cx="170815" cy="210820"/>
                    </a:xfrm>
                    <a:prstGeom prst="rect">
                      <a:avLst/>
                    </a:prstGeom>
                    <a:noFill/>
                    <a:ln>
                      <a:noFill/>
                    </a:ln>
                  </pic:spPr>
                </pic:pic>
              </a:graphicData>
            </a:graphic>
          </wp:inline>
        </w:drawing>
      </w:r>
      <w:r>
        <w:rPr>
          <w:rFonts w:hint="eastAsia" w:ascii="楷体" w:hAnsi="楷体" w:eastAsia="楷体" w:cs="楷体"/>
          <w:sz w:val="24"/>
          <w:szCs w:val="24"/>
          <w:highlight w:val="none"/>
          <w:u w:val="single"/>
        </w:rPr>
        <w:t>根据试验结果并考虑面层的破坏形式，按主拉应力理论计算，与现行国家标准《砌体结构加固设计规范》GB 50702中钢筋混凝土面层加固砌体墙提高的受剪承载力计算公式的形式基本保持一致，部分参数取值根据试验结果有所调整。</w:t>
      </w:r>
    </w:p>
    <w:p>
      <w:pPr>
        <w:spacing w:line="360" w:lineRule="auto"/>
        <w:jc w:val="center"/>
        <w:outlineLvl w:val="1"/>
        <w:rPr>
          <w:rFonts w:eastAsia="黑体"/>
          <w:b/>
          <w:highlight w:val="none"/>
        </w:rPr>
      </w:pPr>
    </w:p>
    <w:p>
      <w:pPr>
        <w:spacing w:line="360" w:lineRule="auto"/>
        <w:jc w:val="center"/>
        <w:outlineLvl w:val="1"/>
        <w:rPr>
          <w:rFonts w:eastAsia="黑体"/>
          <w:b/>
          <w:highlight w:val="none"/>
        </w:rPr>
      </w:pPr>
    </w:p>
    <w:p>
      <w:pPr>
        <w:spacing w:line="360" w:lineRule="auto"/>
        <w:jc w:val="center"/>
        <w:outlineLvl w:val="1"/>
        <w:rPr>
          <w:rFonts w:eastAsia="黑体"/>
          <w:sz w:val="24"/>
          <w:szCs w:val="28"/>
          <w:highlight w:val="none"/>
        </w:rPr>
      </w:pPr>
      <w:bookmarkStart w:id="1221" w:name="_Toc24906"/>
      <w:bookmarkStart w:id="1222" w:name="_Toc2044"/>
      <w:r>
        <w:rPr>
          <w:rFonts w:eastAsia="黑体"/>
          <w:b/>
          <w:sz w:val="24"/>
          <w:szCs w:val="28"/>
          <w:highlight w:val="none"/>
        </w:rPr>
        <w:t>5.4</w:t>
      </w:r>
      <w:r>
        <w:rPr>
          <w:rFonts w:eastAsia="黑体"/>
          <w:sz w:val="24"/>
          <w:szCs w:val="28"/>
          <w:highlight w:val="none"/>
        </w:rPr>
        <w:t xml:space="preserve">  砌体抗震加固</w:t>
      </w:r>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p>
    <w:p>
      <w:pPr>
        <w:spacing w:line="312" w:lineRule="auto"/>
        <w:rPr>
          <w:sz w:val="24"/>
          <w:szCs w:val="24"/>
          <w:highlight w:val="none"/>
        </w:rPr>
      </w:pPr>
      <w:r>
        <w:rPr>
          <w:b/>
          <w:sz w:val="24"/>
          <w:szCs w:val="24"/>
          <w:highlight w:val="none"/>
        </w:rPr>
        <w:t>5.4.1</w:t>
      </w:r>
      <w:r>
        <w:rPr>
          <w:sz w:val="24"/>
          <w:szCs w:val="24"/>
          <w:highlight w:val="none"/>
        </w:rPr>
        <w:t xml:space="preserve">  高延性混凝土面层或配筋高延性混凝土面层加固砌体墙的抗震受剪承载力应按下式验算： </w:t>
      </w:r>
    </w:p>
    <w:p>
      <w:pPr>
        <w:tabs>
          <w:tab w:val="left" w:pos="2565"/>
        </w:tabs>
        <w:wordWrap w:val="0"/>
        <w:adjustRightInd w:val="0"/>
        <w:snapToGrid w:val="0"/>
        <w:spacing w:line="320" w:lineRule="atLeast"/>
        <w:ind w:right="105"/>
        <w:jc w:val="right"/>
        <w:rPr>
          <w:sz w:val="24"/>
          <w:szCs w:val="24"/>
          <w:highlight w:val="none"/>
        </w:rPr>
      </w:pPr>
      <w:r>
        <w:rPr>
          <w:position w:val="-28"/>
          <w:sz w:val="24"/>
          <w:szCs w:val="24"/>
          <w:highlight w:val="none"/>
        </w:rPr>
        <w:object>
          <v:shape id="_x0000_i1119" o:spt="75" type="#_x0000_t75" style="height:38pt;width:72pt;" o:ole="t" filled="f" o:preferrelative="t" stroked="f" coordsize="21600,21600">
            <v:path/>
            <v:fill on="f" focussize="0,0"/>
            <v:stroke on="f" joinstyle="miter"/>
            <v:imagedata r:id="rId209" o:title=""/>
            <o:lock v:ext="edit" aspectratio="t"/>
            <w10:wrap type="none"/>
            <w10:anchorlock/>
          </v:shape>
          <o:OLEObject Type="Embed" ProgID="Equation.DSMT4" ShapeID="_x0000_i1119" DrawAspect="Content" ObjectID="_1468075818" r:id="rId208">
            <o:LockedField>false</o:LockedField>
          </o:OLEObject>
        </w:object>
      </w:r>
      <w:r>
        <w:rPr>
          <w:sz w:val="24"/>
          <w:szCs w:val="24"/>
          <w:highlight w:val="none"/>
        </w:rPr>
        <w:t xml:space="preserve">        </w:t>
      </w:r>
      <w:r>
        <w:rPr>
          <w:rFonts w:hint="eastAsia"/>
          <w:sz w:val="24"/>
          <w:szCs w:val="24"/>
          <w:highlight w:val="none"/>
          <w:lang w:val="en-US" w:eastAsia="zh-CN"/>
        </w:rPr>
        <w:t xml:space="preserve">                </w:t>
      </w:r>
      <w:r>
        <w:rPr>
          <w:sz w:val="24"/>
          <w:szCs w:val="24"/>
          <w:highlight w:val="none"/>
        </w:rPr>
        <w:t xml:space="preserve">      （5.4.1）</w:t>
      </w:r>
    </w:p>
    <w:tbl>
      <w:tblPr>
        <w:tblStyle w:val="23"/>
        <w:tblW w:w="0" w:type="auto"/>
        <w:tblInd w:w="0" w:type="dxa"/>
        <w:tblLayout w:type="fixed"/>
        <w:tblCellMar>
          <w:top w:w="0" w:type="dxa"/>
          <w:left w:w="108" w:type="dxa"/>
          <w:bottom w:w="0" w:type="dxa"/>
          <w:right w:w="108" w:type="dxa"/>
        </w:tblCellMar>
      </w:tblPr>
      <w:tblGrid>
        <w:gridCol w:w="1384"/>
        <w:gridCol w:w="8459"/>
      </w:tblGrid>
      <w:tr>
        <w:tblPrEx>
          <w:tblCellMar>
            <w:top w:w="0" w:type="dxa"/>
            <w:left w:w="108" w:type="dxa"/>
            <w:bottom w:w="0" w:type="dxa"/>
            <w:right w:w="108" w:type="dxa"/>
          </w:tblCellMar>
        </w:tblPrEx>
        <w:trPr>
          <w:trHeight w:val="397" w:hRule="atLeast"/>
        </w:trPr>
        <w:tc>
          <w:tcPr>
            <w:tcW w:w="1384" w:type="dxa"/>
          </w:tcPr>
          <w:p>
            <w:pPr>
              <w:snapToGrid w:val="0"/>
              <w:spacing w:line="320" w:lineRule="atLeast"/>
              <w:ind w:right="-105" w:rightChars="-50"/>
              <w:jc w:val="right"/>
              <w:rPr>
                <w:kern w:val="0"/>
                <w:sz w:val="24"/>
                <w:szCs w:val="24"/>
                <w:highlight w:val="none"/>
              </w:rPr>
            </w:pPr>
            <w:r>
              <w:rPr>
                <w:sz w:val="24"/>
                <w:szCs w:val="24"/>
                <w:highlight w:val="none"/>
              </w:rPr>
              <w:t>式中：</w:t>
            </w:r>
            <w:r>
              <w:rPr>
                <w:position w:val="-10"/>
                <w:sz w:val="24"/>
                <w:szCs w:val="24"/>
                <w:highlight w:val="none"/>
              </w:rPr>
              <w:object>
                <v:shape id="_x0000_i1120" o:spt="75" type="#_x0000_t75" style="height:15.05pt;width:15.05pt;" o:ole="t" filled="f" o:preferrelative="t" stroked="f" coordsize="21600,21600">
                  <v:path/>
                  <v:fill on="f" focussize="0,0"/>
                  <v:stroke on="f" joinstyle="miter"/>
                  <v:imagedata r:id="rId211" o:title=""/>
                  <o:lock v:ext="edit" aspectratio="t"/>
                  <w10:wrap type="none"/>
                  <w10:anchorlock/>
                </v:shape>
                <o:OLEObject Type="Embed" ProgID="Equation.DSMT4" ShapeID="_x0000_i1120" DrawAspect="Content" ObjectID="_1468075819" r:id="rId210">
                  <o:LockedField>false</o:LockedField>
                </o:OLEObject>
              </w:object>
            </w:r>
            <w:r>
              <w:rPr>
                <w:kern w:val="0"/>
                <w:sz w:val="24"/>
                <w:szCs w:val="24"/>
                <w:highlight w:val="none"/>
              </w:rPr>
              <w:t>——</w:t>
            </w:r>
          </w:p>
        </w:tc>
        <w:tc>
          <w:tcPr>
            <w:tcW w:w="8459" w:type="dxa"/>
            <w:vAlign w:val="center"/>
          </w:tcPr>
          <w:p>
            <w:pPr>
              <w:snapToGrid w:val="0"/>
              <w:spacing w:line="320" w:lineRule="atLeast"/>
              <w:ind w:left="-105" w:leftChars="-50" w:right="-105" w:rightChars="-50"/>
              <w:rPr>
                <w:kern w:val="0"/>
                <w:sz w:val="24"/>
                <w:szCs w:val="24"/>
                <w:highlight w:val="none"/>
              </w:rPr>
            </w:pPr>
          </w:p>
          <w:p>
            <w:pPr>
              <w:snapToGrid w:val="0"/>
              <w:spacing w:line="320" w:lineRule="atLeast"/>
              <w:ind w:left="-105" w:leftChars="-50" w:right="-105" w:rightChars="-50"/>
              <w:rPr>
                <w:kern w:val="0"/>
                <w:sz w:val="24"/>
                <w:szCs w:val="24"/>
                <w:highlight w:val="none"/>
              </w:rPr>
            </w:pPr>
            <w:r>
              <w:rPr>
                <w:kern w:val="0"/>
                <w:sz w:val="24"/>
                <w:szCs w:val="24"/>
                <w:highlight w:val="none"/>
              </w:rPr>
              <w:t>考虑地震组合的墙体剪力设计值；</w:t>
            </w:r>
          </w:p>
        </w:tc>
      </w:tr>
      <w:tr>
        <w:tblPrEx>
          <w:tblCellMar>
            <w:top w:w="0" w:type="dxa"/>
            <w:left w:w="108" w:type="dxa"/>
            <w:bottom w:w="0" w:type="dxa"/>
            <w:right w:w="108" w:type="dxa"/>
          </w:tblCellMar>
        </w:tblPrEx>
        <w:trPr>
          <w:trHeight w:val="397" w:hRule="atLeast"/>
        </w:trPr>
        <w:tc>
          <w:tcPr>
            <w:tcW w:w="1384" w:type="dxa"/>
          </w:tcPr>
          <w:p>
            <w:pPr>
              <w:snapToGrid w:val="0"/>
              <w:spacing w:line="320" w:lineRule="atLeast"/>
              <w:ind w:right="-105" w:rightChars="-50"/>
              <w:jc w:val="right"/>
              <w:rPr>
                <w:kern w:val="0"/>
                <w:sz w:val="24"/>
                <w:szCs w:val="24"/>
                <w:highlight w:val="none"/>
              </w:rPr>
            </w:pPr>
            <w:r>
              <w:rPr>
                <w:position w:val="-10"/>
                <w:sz w:val="24"/>
                <w:szCs w:val="24"/>
                <w:highlight w:val="none"/>
              </w:rPr>
              <w:object>
                <v:shape id="_x0000_i1121" o:spt="75" type="#_x0000_t75" style="height:15.05pt;width:22.55pt;" o:ole="t" filled="f" o:preferrelative="t" stroked="f" coordsize="21600,21600">
                  <v:path/>
                  <v:fill on="f" focussize="0,0"/>
                  <v:stroke on="f" joinstyle="miter"/>
                  <v:imagedata r:id="rId213" o:title=""/>
                  <o:lock v:ext="edit" aspectratio="t"/>
                  <w10:wrap type="none"/>
                  <w10:anchorlock/>
                </v:shape>
                <o:OLEObject Type="Embed" ProgID="Equation.DSMT4" ShapeID="_x0000_i1121" DrawAspect="Content" ObjectID="_1468075820" r:id="rId212">
                  <o:LockedField>false</o:LockedField>
                </o:OLEObject>
              </w:object>
            </w:r>
            <w:r>
              <w:rPr>
                <w:kern w:val="0"/>
                <w:sz w:val="24"/>
                <w:szCs w:val="24"/>
                <w:highlight w:val="none"/>
              </w:rPr>
              <w:t>——</w:t>
            </w:r>
          </w:p>
        </w:tc>
        <w:tc>
          <w:tcPr>
            <w:tcW w:w="8459" w:type="dxa"/>
            <w:vAlign w:val="center"/>
          </w:tcPr>
          <w:p>
            <w:pPr>
              <w:snapToGrid w:val="0"/>
              <w:spacing w:line="320" w:lineRule="atLeast"/>
              <w:ind w:left="-105" w:leftChars="-50" w:right="-105" w:rightChars="-50"/>
              <w:rPr>
                <w:kern w:val="0"/>
                <w:sz w:val="24"/>
                <w:szCs w:val="24"/>
                <w:highlight w:val="none"/>
              </w:rPr>
            </w:pPr>
            <w:r>
              <w:rPr>
                <w:kern w:val="0"/>
                <w:sz w:val="24"/>
                <w:szCs w:val="24"/>
                <w:highlight w:val="none"/>
              </w:rPr>
              <w:t>原墙体截面抗震受剪承载力，按现行国家标准《砌体结构设计规范》GB 50003计算；</w:t>
            </w:r>
            <w:r>
              <w:rPr>
                <w:rFonts w:hint="eastAsia"/>
                <w:kern w:val="0"/>
                <w:sz w:val="24"/>
                <w:szCs w:val="24"/>
                <w:highlight w:val="none"/>
              </w:rPr>
              <w:t>被加固墙体为空斗墙时，可不考虑原墙体的</w:t>
            </w:r>
            <w:r>
              <w:rPr>
                <w:kern w:val="0"/>
                <w:sz w:val="24"/>
                <w:szCs w:val="24"/>
                <w:highlight w:val="none"/>
              </w:rPr>
              <w:t>抗震受剪承载力</w:t>
            </w:r>
            <w:r>
              <w:rPr>
                <w:rFonts w:hint="eastAsia"/>
                <w:kern w:val="0"/>
                <w:sz w:val="24"/>
                <w:szCs w:val="24"/>
                <w:highlight w:val="none"/>
              </w:rPr>
              <w:t>，即</w:t>
            </w:r>
            <w:r>
              <w:rPr>
                <w:position w:val="-10"/>
                <w:sz w:val="24"/>
                <w:szCs w:val="24"/>
                <w:highlight w:val="none"/>
              </w:rPr>
              <w:object>
                <v:shape id="_x0000_i1122" o:spt="75" type="#_x0000_t75" style="height:15.05pt;width:22.55pt;" o:ole="t" filled="f" o:preferrelative="t" stroked="f" coordsize="21600,21600">
                  <v:path/>
                  <v:fill on="f" focussize="0,0"/>
                  <v:stroke on="f" joinstyle="miter"/>
                  <v:imagedata r:id="rId213" o:title=""/>
                  <o:lock v:ext="edit" aspectratio="t"/>
                  <w10:wrap type="none"/>
                  <w10:anchorlock/>
                </v:shape>
                <o:OLEObject Type="Embed" ProgID="Equation.DSMT4" ShapeID="_x0000_i1122" DrawAspect="Content" ObjectID="_1468075821" r:id="rId214">
                  <o:LockedField>false</o:LockedField>
                </o:OLEObject>
              </w:object>
            </w:r>
            <w:r>
              <w:rPr>
                <w:rFonts w:hint="eastAsia"/>
                <w:kern w:val="0"/>
                <w:sz w:val="24"/>
                <w:szCs w:val="24"/>
                <w:highlight w:val="none"/>
              </w:rPr>
              <w:t>=0；</w:t>
            </w:r>
          </w:p>
        </w:tc>
      </w:tr>
      <w:tr>
        <w:tblPrEx>
          <w:tblCellMar>
            <w:top w:w="0" w:type="dxa"/>
            <w:left w:w="108" w:type="dxa"/>
            <w:bottom w:w="0" w:type="dxa"/>
            <w:right w:w="108" w:type="dxa"/>
          </w:tblCellMar>
        </w:tblPrEx>
        <w:trPr>
          <w:trHeight w:val="257" w:hRule="atLeast"/>
        </w:trPr>
        <w:tc>
          <w:tcPr>
            <w:tcW w:w="1384" w:type="dxa"/>
          </w:tcPr>
          <w:p>
            <w:pPr>
              <w:snapToGrid w:val="0"/>
              <w:spacing w:line="320" w:lineRule="atLeast"/>
              <w:ind w:right="-105" w:rightChars="-50"/>
              <w:jc w:val="right"/>
              <w:rPr>
                <w:kern w:val="0"/>
                <w:sz w:val="24"/>
                <w:szCs w:val="24"/>
                <w:highlight w:val="none"/>
              </w:rPr>
            </w:pPr>
            <w:r>
              <w:rPr>
                <w:position w:val="-10"/>
                <w:sz w:val="24"/>
                <w:szCs w:val="24"/>
                <w:highlight w:val="none"/>
              </w:rPr>
              <w:object>
                <v:shape id="_x0000_i1123" o:spt="75" type="#_x0000_t75" style="height:15.05pt;width:15.05pt;" o:ole="t" filled="f" o:preferrelative="t" stroked="f" coordsize="21600,21600">
                  <v:path/>
                  <v:fill on="f" focussize="0,0"/>
                  <v:stroke on="f" joinstyle="miter"/>
                  <v:imagedata r:id="rId186" o:title=""/>
                  <o:lock v:ext="edit" aspectratio="t"/>
                  <w10:wrap type="none"/>
                  <w10:anchorlock/>
                </v:shape>
                <o:OLEObject Type="Embed" ProgID="Equation.DSMT4" ShapeID="_x0000_i1123" DrawAspect="Content" ObjectID="_1468075822" r:id="rId215">
                  <o:LockedField>false</o:LockedField>
                </o:OLEObject>
              </w:object>
            </w:r>
            <w:r>
              <w:rPr>
                <w:kern w:val="0"/>
                <w:sz w:val="24"/>
                <w:szCs w:val="24"/>
                <w:highlight w:val="none"/>
              </w:rPr>
              <w:t>——</w:t>
            </w:r>
          </w:p>
        </w:tc>
        <w:tc>
          <w:tcPr>
            <w:tcW w:w="8459" w:type="dxa"/>
            <w:vAlign w:val="center"/>
          </w:tcPr>
          <w:p>
            <w:pPr>
              <w:snapToGrid w:val="0"/>
              <w:spacing w:line="320" w:lineRule="atLeast"/>
              <w:ind w:left="-105" w:leftChars="-50" w:right="-105" w:rightChars="-50"/>
              <w:rPr>
                <w:kern w:val="0"/>
                <w:sz w:val="24"/>
                <w:szCs w:val="24"/>
                <w:highlight w:val="none"/>
              </w:rPr>
            </w:pPr>
            <w:r>
              <w:rPr>
                <w:kern w:val="0"/>
                <w:sz w:val="24"/>
                <w:szCs w:val="24"/>
                <w:highlight w:val="none"/>
              </w:rPr>
              <w:t>采用高延性混凝土加固后提高的受剪承载力，按</w:t>
            </w:r>
            <w:r>
              <w:rPr>
                <w:rFonts w:hint="eastAsia"/>
                <w:kern w:val="0"/>
                <w:sz w:val="24"/>
                <w:szCs w:val="24"/>
                <w:highlight w:val="none"/>
              </w:rPr>
              <w:t>本标准</w:t>
            </w:r>
            <w:r>
              <w:rPr>
                <w:kern w:val="0"/>
                <w:sz w:val="24"/>
                <w:szCs w:val="24"/>
                <w:highlight w:val="none"/>
              </w:rPr>
              <w:t>5.3.2条计算；</w:t>
            </w:r>
          </w:p>
        </w:tc>
      </w:tr>
      <w:tr>
        <w:tblPrEx>
          <w:tblCellMar>
            <w:top w:w="0" w:type="dxa"/>
            <w:left w:w="108" w:type="dxa"/>
            <w:bottom w:w="0" w:type="dxa"/>
            <w:right w:w="108" w:type="dxa"/>
          </w:tblCellMar>
        </w:tblPrEx>
        <w:trPr>
          <w:trHeight w:val="397" w:hRule="atLeast"/>
        </w:trPr>
        <w:tc>
          <w:tcPr>
            <w:tcW w:w="1384" w:type="dxa"/>
          </w:tcPr>
          <w:p>
            <w:pPr>
              <w:snapToGrid w:val="0"/>
              <w:spacing w:line="320" w:lineRule="atLeast"/>
              <w:ind w:right="-105" w:rightChars="-50"/>
              <w:jc w:val="right"/>
              <w:rPr>
                <w:kern w:val="0"/>
                <w:sz w:val="24"/>
                <w:szCs w:val="24"/>
                <w:highlight w:val="none"/>
              </w:rPr>
            </w:pPr>
            <w:r>
              <w:rPr>
                <w:position w:val="-10"/>
                <w:sz w:val="24"/>
                <w:szCs w:val="24"/>
                <w:highlight w:val="none"/>
              </w:rPr>
              <w:object>
                <v:shape id="_x0000_i1124" o:spt="75" type="#_x0000_t75" style="height:15.05pt;width:22.55pt;" o:ole="t" filled="f" o:preferrelative="t" stroked="f" coordsize="21600,21600">
                  <v:path/>
                  <v:fill on="f" focussize="0,0"/>
                  <v:stroke on="f" joinstyle="miter"/>
                  <v:imagedata r:id="rId217" o:title=""/>
                  <o:lock v:ext="edit" aspectratio="t"/>
                  <w10:wrap type="none"/>
                  <w10:anchorlock/>
                </v:shape>
                <o:OLEObject Type="Embed" ProgID="Equation.DSMT4" ShapeID="_x0000_i1124" DrawAspect="Content" ObjectID="_1468075823" r:id="rId216">
                  <o:LockedField>false</o:LockedField>
                </o:OLEObject>
              </w:object>
            </w:r>
            <w:r>
              <w:rPr>
                <w:kern w:val="0"/>
                <w:sz w:val="24"/>
                <w:szCs w:val="24"/>
                <w:highlight w:val="none"/>
              </w:rPr>
              <w:t>——</w:t>
            </w:r>
          </w:p>
        </w:tc>
        <w:tc>
          <w:tcPr>
            <w:tcW w:w="8459" w:type="dxa"/>
            <w:vAlign w:val="center"/>
          </w:tcPr>
          <w:p>
            <w:pPr>
              <w:snapToGrid w:val="0"/>
              <w:spacing w:line="320" w:lineRule="atLeast"/>
              <w:ind w:left="-107" w:leftChars="-51" w:right="-105" w:rightChars="-50"/>
              <w:rPr>
                <w:kern w:val="0"/>
                <w:sz w:val="24"/>
                <w:szCs w:val="24"/>
                <w:highlight w:val="none"/>
              </w:rPr>
            </w:pPr>
            <w:r>
              <w:rPr>
                <w:kern w:val="0"/>
                <w:sz w:val="24"/>
                <w:szCs w:val="24"/>
                <w:highlight w:val="none"/>
              </w:rPr>
              <w:t>承载力抗震调整系数，取</w:t>
            </w:r>
            <w:r>
              <w:rPr>
                <w:position w:val="-10"/>
                <w:sz w:val="24"/>
                <w:szCs w:val="24"/>
                <w:highlight w:val="none"/>
              </w:rPr>
              <w:object>
                <v:shape id="_x0000_i1125" o:spt="75" type="#_x0000_t75" style="height:15.05pt;width:22.55pt;" o:ole="t" filled="f" o:preferrelative="t" stroked="f" coordsize="21600,21600">
                  <v:path/>
                  <v:fill on="f" focussize="0,0"/>
                  <v:stroke on="f" joinstyle="miter"/>
                  <v:imagedata r:id="rId217" o:title=""/>
                  <o:lock v:ext="edit" aspectratio="t"/>
                  <w10:wrap type="none"/>
                  <w10:anchorlock/>
                </v:shape>
                <o:OLEObject Type="Embed" ProgID="Equation.DSMT4" ShapeID="_x0000_i1125" DrawAspect="Content" ObjectID="_1468075824" r:id="rId218">
                  <o:LockedField>false</o:LockedField>
                </o:OLEObject>
              </w:object>
            </w:r>
            <w:r>
              <w:rPr>
                <w:kern w:val="0"/>
                <w:sz w:val="24"/>
                <w:szCs w:val="24"/>
                <w:highlight w:val="none"/>
              </w:rPr>
              <w:t>为0.85。</w:t>
            </w:r>
          </w:p>
        </w:tc>
      </w:tr>
    </w:tbl>
    <w:p>
      <w:pPr>
        <w:keepNext w:val="0"/>
        <w:keepLines w:val="0"/>
        <w:pageBreakBefore w:val="0"/>
        <w:widowControl w:val="0"/>
        <w:kinsoku/>
        <w:wordWrap/>
        <w:overflowPunct/>
        <w:topLinePunct w:val="0"/>
        <w:autoSpaceDE/>
        <w:autoSpaceDN/>
        <w:bidi w:val="0"/>
        <w:adjustRightInd/>
        <w:snapToGrid w:val="0"/>
        <w:spacing w:before="157" w:beforeLines="50" w:line="312" w:lineRule="auto"/>
        <w:textAlignment w:val="auto"/>
        <w:rPr>
          <w:rFonts w:hint="eastAsia" w:ascii="楷体" w:hAnsi="楷体" w:eastAsia="楷体" w:cs="楷体"/>
          <w:sz w:val="24"/>
          <w:szCs w:val="24"/>
          <w:highlight w:val="none"/>
          <w:u w:val="single"/>
        </w:rPr>
      </w:pPr>
      <w:r>
        <w:rPr>
          <w:rFonts w:hint="eastAsia" w:ascii="楷体" w:hAnsi="楷体" w:eastAsia="楷体" w:cs="楷体"/>
          <w:b w:val="0"/>
          <w:bCs/>
          <w:sz w:val="24"/>
          <w:szCs w:val="24"/>
          <w:highlight w:val="none"/>
          <w:u w:val="single"/>
        </w:rPr>
        <w:t>【条文说明】</w:t>
      </w:r>
      <w:r>
        <w:rPr>
          <w:rFonts w:hint="eastAsia" w:ascii="楷体" w:hAnsi="楷体" w:eastAsia="楷体" w:cs="楷体"/>
          <w:sz w:val="24"/>
          <w:szCs w:val="24"/>
          <w:highlight w:val="none"/>
          <w:u w:val="single"/>
        </w:rPr>
        <w:t xml:space="preserve"> 原砌体的抗震承载力计算与现行国家标准《砌体结构设计规范》GB 50003规定相同；而高延性混凝土的贡献，根据现行国家标准《建筑抗震设计规范》GB 50011在截面抗震验算中所建立的概念，可以简单的认为其抗震承载力与非抗震下的抗剪承载力相同，仅需将后者除以承载力抗震调整系数即可。这是一种偏于安全的处理方法。</w:t>
      </w:r>
    </w:p>
    <w:p>
      <w:pPr>
        <w:spacing w:line="312" w:lineRule="auto"/>
        <w:rPr>
          <w:sz w:val="24"/>
          <w:szCs w:val="28"/>
          <w:highlight w:val="none"/>
        </w:rPr>
      </w:pPr>
      <w:r>
        <w:rPr>
          <w:b/>
          <w:sz w:val="24"/>
          <w:szCs w:val="28"/>
          <w:highlight w:val="none"/>
        </w:rPr>
        <w:t xml:space="preserve">5.4.2 </w:t>
      </w:r>
      <w:r>
        <w:rPr>
          <w:sz w:val="24"/>
          <w:szCs w:val="28"/>
          <w:highlight w:val="none"/>
        </w:rPr>
        <w:t xml:space="preserve"> 高延性混凝土面层或配筋高延性混凝土面层加固后的砌体结构楼层和墙段应按下列公式计算其综合抗震能力指数：</w:t>
      </w:r>
    </w:p>
    <w:p>
      <w:pPr>
        <w:tabs>
          <w:tab w:val="left" w:pos="2565"/>
        </w:tabs>
        <w:wordWrap w:val="0"/>
        <w:adjustRightInd w:val="0"/>
        <w:spacing w:line="312" w:lineRule="auto"/>
        <w:jc w:val="right"/>
        <w:rPr>
          <w:sz w:val="24"/>
          <w:szCs w:val="28"/>
          <w:highlight w:val="none"/>
        </w:rPr>
      </w:pPr>
      <w:r>
        <w:rPr>
          <w:position w:val="-10"/>
          <w:sz w:val="24"/>
          <w:szCs w:val="28"/>
          <w:highlight w:val="none"/>
        </w:rPr>
        <w:object>
          <v:shape id="_x0000_i1126" o:spt="75" type="#_x0000_t75" style="height:15.05pt;width:64.5pt;" o:ole="t" filled="f" o:preferrelative="t" stroked="f" coordsize="21600,21600">
            <v:path/>
            <v:fill on="f" focussize="0,0"/>
            <v:stroke on="f" joinstyle="miter"/>
            <v:imagedata r:id="rId220" o:title=""/>
            <o:lock v:ext="edit" aspectratio="t"/>
            <w10:wrap type="none"/>
            <w10:anchorlock/>
          </v:shape>
          <o:OLEObject Type="Embed" ProgID="Equation.DSMT4" ShapeID="_x0000_i1126" DrawAspect="Content" ObjectID="_1468075825" r:id="rId219">
            <o:LockedField>false</o:LockedField>
          </o:OLEObject>
        </w:object>
      </w:r>
      <w:r>
        <w:rPr>
          <w:sz w:val="24"/>
          <w:szCs w:val="28"/>
          <w:highlight w:val="none"/>
        </w:rPr>
        <w:t xml:space="preserve">      </w:t>
      </w:r>
      <w:r>
        <w:rPr>
          <w:rFonts w:hint="eastAsia"/>
          <w:sz w:val="24"/>
          <w:szCs w:val="28"/>
          <w:highlight w:val="none"/>
          <w:lang w:val="en-US" w:eastAsia="zh-CN"/>
        </w:rPr>
        <w:t xml:space="preserve">                </w:t>
      </w:r>
      <w:r>
        <w:rPr>
          <w:sz w:val="24"/>
          <w:szCs w:val="28"/>
          <w:highlight w:val="none"/>
        </w:rPr>
        <w:t xml:space="preserve">         （5.4.2）</w:t>
      </w:r>
    </w:p>
    <w:tbl>
      <w:tblPr>
        <w:tblStyle w:val="23"/>
        <w:tblW w:w="0" w:type="auto"/>
        <w:tblInd w:w="0" w:type="dxa"/>
        <w:tblLayout w:type="fixed"/>
        <w:tblCellMar>
          <w:top w:w="0" w:type="dxa"/>
          <w:left w:w="108" w:type="dxa"/>
          <w:bottom w:w="0" w:type="dxa"/>
          <w:right w:w="108" w:type="dxa"/>
        </w:tblCellMar>
      </w:tblPr>
      <w:tblGrid>
        <w:gridCol w:w="1384"/>
        <w:gridCol w:w="8471"/>
      </w:tblGrid>
      <w:tr>
        <w:tblPrEx>
          <w:tblCellMar>
            <w:top w:w="0" w:type="dxa"/>
            <w:left w:w="108" w:type="dxa"/>
            <w:bottom w:w="0" w:type="dxa"/>
            <w:right w:w="108" w:type="dxa"/>
          </w:tblCellMar>
        </w:tblPrEx>
        <w:trPr>
          <w:trHeight w:val="397" w:hRule="atLeast"/>
        </w:trPr>
        <w:tc>
          <w:tcPr>
            <w:tcW w:w="1384" w:type="dxa"/>
          </w:tcPr>
          <w:p>
            <w:pPr>
              <w:snapToGrid w:val="0"/>
              <w:spacing w:line="320" w:lineRule="atLeast"/>
              <w:ind w:left="-105" w:leftChars="-50"/>
              <w:jc w:val="right"/>
              <w:rPr>
                <w:kern w:val="0"/>
                <w:sz w:val="24"/>
                <w:szCs w:val="28"/>
                <w:highlight w:val="none"/>
              </w:rPr>
            </w:pPr>
            <w:r>
              <w:rPr>
                <w:kern w:val="0"/>
                <w:sz w:val="24"/>
                <w:szCs w:val="28"/>
                <w:highlight w:val="none"/>
              </w:rPr>
              <w:t>式中：</w:t>
            </w:r>
            <w:r>
              <w:rPr>
                <w:position w:val="-12"/>
                <w:sz w:val="24"/>
                <w:szCs w:val="28"/>
                <w:highlight w:val="none"/>
              </w:rPr>
              <w:object>
                <v:shape id="_x0000_i1127" o:spt="75" type="#_x0000_t75" style="height:15.05pt;width:14.25pt;" o:ole="t" filled="f" o:preferrelative="t" stroked="f" coordsize="21600,21600">
                  <v:path/>
                  <v:fill on="f" focussize="0,0"/>
                  <v:stroke on="f" joinstyle="miter"/>
                  <v:imagedata r:id="rId222" o:title=""/>
                  <o:lock v:ext="edit" aspectratio="t"/>
                  <w10:wrap type="none"/>
                  <w10:anchorlock/>
                </v:shape>
                <o:OLEObject Type="Embed" ProgID="Equation.DSMT4" ShapeID="_x0000_i1127" DrawAspect="Content" ObjectID="_1468075826" r:id="rId221">
                  <o:LockedField>false</o:LockedField>
                </o:OLEObject>
              </w:object>
            </w:r>
            <w:r>
              <w:rPr>
                <w:kern w:val="0"/>
                <w:sz w:val="24"/>
                <w:szCs w:val="28"/>
                <w:highlight w:val="none"/>
              </w:rPr>
              <w:t>——</w:t>
            </w:r>
          </w:p>
        </w:tc>
        <w:tc>
          <w:tcPr>
            <w:tcW w:w="8471" w:type="dxa"/>
            <w:vAlign w:val="center"/>
          </w:tcPr>
          <w:p>
            <w:pPr>
              <w:snapToGrid w:val="0"/>
              <w:spacing w:line="320" w:lineRule="atLeast"/>
              <w:ind w:left="-105" w:leftChars="-50"/>
              <w:rPr>
                <w:kern w:val="0"/>
                <w:sz w:val="24"/>
                <w:szCs w:val="28"/>
                <w:highlight w:val="none"/>
              </w:rPr>
            </w:pPr>
            <w:r>
              <w:rPr>
                <w:kern w:val="0"/>
                <w:sz w:val="24"/>
                <w:szCs w:val="28"/>
                <w:highlight w:val="none"/>
              </w:rPr>
              <w:t>加固后楼层或墙段的综合抗震能力指数；</w:t>
            </w:r>
          </w:p>
        </w:tc>
      </w:tr>
      <w:tr>
        <w:tblPrEx>
          <w:tblCellMar>
            <w:top w:w="0" w:type="dxa"/>
            <w:left w:w="108" w:type="dxa"/>
            <w:bottom w:w="0" w:type="dxa"/>
            <w:right w:w="108" w:type="dxa"/>
          </w:tblCellMar>
        </w:tblPrEx>
        <w:trPr>
          <w:trHeight w:val="397" w:hRule="atLeast"/>
        </w:trPr>
        <w:tc>
          <w:tcPr>
            <w:tcW w:w="1384" w:type="dxa"/>
          </w:tcPr>
          <w:p>
            <w:pPr>
              <w:snapToGrid w:val="0"/>
              <w:spacing w:line="320" w:lineRule="atLeast"/>
              <w:ind w:right="-105" w:rightChars="-50"/>
              <w:jc w:val="right"/>
              <w:rPr>
                <w:kern w:val="0"/>
                <w:sz w:val="24"/>
                <w:szCs w:val="28"/>
                <w:highlight w:val="none"/>
              </w:rPr>
            </w:pPr>
            <w:r>
              <w:rPr>
                <w:position w:val="-10"/>
                <w:sz w:val="24"/>
                <w:szCs w:val="28"/>
                <w:highlight w:val="none"/>
              </w:rPr>
              <w:object>
                <v:shape id="_x0000_i1128" o:spt="75" type="#_x0000_t75" style="height:13.05pt;width:9.9pt;" o:ole="t" filled="f" o:preferrelative="t" stroked="f" coordsize="21600,21600">
                  <v:path/>
                  <v:fill on="f" focussize="0,0"/>
                  <v:stroke on="f" joinstyle="miter"/>
                  <v:imagedata r:id="rId224" o:title=""/>
                  <o:lock v:ext="edit" aspectratio="t"/>
                  <w10:wrap type="none"/>
                  <w10:anchorlock/>
                </v:shape>
                <o:OLEObject Type="Embed" ProgID="Equation.DSMT4" ShapeID="_x0000_i1128" DrawAspect="Content" ObjectID="_1468075827" r:id="rId223">
                  <o:LockedField>false</o:LockedField>
                </o:OLEObject>
              </w:object>
            </w:r>
            <w:r>
              <w:rPr>
                <w:kern w:val="0"/>
                <w:sz w:val="24"/>
                <w:szCs w:val="28"/>
                <w:highlight w:val="none"/>
              </w:rPr>
              <w:t>——</w:t>
            </w:r>
          </w:p>
        </w:tc>
        <w:tc>
          <w:tcPr>
            <w:tcW w:w="8471" w:type="dxa"/>
            <w:vAlign w:val="center"/>
          </w:tcPr>
          <w:p>
            <w:pPr>
              <w:snapToGrid w:val="0"/>
              <w:spacing w:line="320" w:lineRule="atLeast"/>
              <w:ind w:left="-105" w:leftChars="-50"/>
              <w:rPr>
                <w:kern w:val="0"/>
                <w:sz w:val="24"/>
                <w:szCs w:val="28"/>
                <w:highlight w:val="none"/>
              </w:rPr>
            </w:pPr>
            <w:r>
              <w:rPr>
                <w:kern w:val="0"/>
                <w:sz w:val="24"/>
                <w:szCs w:val="28"/>
                <w:highlight w:val="none"/>
              </w:rPr>
              <w:t>加固增强系数，可按</w:t>
            </w:r>
            <w:r>
              <w:rPr>
                <w:rFonts w:hint="eastAsia"/>
                <w:kern w:val="0"/>
                <w:sz w:val="24"/>
                <w:szCs w:val="28"/>
                <w:highlight w:val="none"/>
              </w:rPr>
              <w:t>本标准</w:t>
            </w:r>
            <w:r>
              <w:rPr>
                <w:sz w:val="24"/>
                <w:szCs w:val="28"/>
                <w:highlight w:val="none"/>
              </w:rPr>
              <w:t>5.4.4条计算</w:t>
            </w:r>
            <w:r>
              <w:rPr>
                <w:kern w:val="0"/>
                <w:sz w:val="24"/>
                <w:szCs w:val="28"/>
                <w:highlight w:val="none"/>
              </w:rPr>
              <w:t>；</w:t>
            </w:r>
          </w:p>
        </w:tc>
      </w:tr>
      <w:tr>
        <w:tblPrEx>
          <w:tblCellMar>
            <w:top w:w="0" w:type="dxa"/>
            <w:left w:w="108" w:type="dxa"/>
            <w:bottom w:w="0" w:type="dxa"/>
            <w:right w:w="108" w:type="dxa"/>
          </w:tblCellMar>
        </w:tblPrEx>
        <w:trPr>
          <w:trHeight w:val="397" w:hRule="atLeast"/>
        </w:trPr>
        <w:tc>
          <w:tcPr>
            <w:tcW w:w="1384" w:type="dxa"/>
          </w:tcPr>
          <w:p>
            <w:pPr>
              <w:snapToGrid w:val="0"/>
              <w:spacing w:line="320" w:lineRule="atLeast"/>
              <w:ind w:right="-105" w:rightChars="-50"/>
              <w:jc w:val="right"/>
              <w:rPr>
                <w:kern w:val="0"/>
                <w:sz w:val="24"/>
                <w:szCs w:val="28"/>
                <w:highlight w:val="none"/>
              </w:rPr>
            </w:pPr>
            <w:r>
              <w:rPr>
                <w:position w:val="-12"/>
                <w:sz w:val="24"/>
                <w:szCs w:val="28"/>
                <w:highlight w:val="none"/>
              </w:rPr>
              <w:object>
                <v:shape id="_x0000_i1129" o:spt="75" type="#_x0000_t75" style="height:15.05pt;width:15.05pt;" o:ole="t" filled="f" o:preferrelative="t" stroked="f" coordsize="21600,21600">
                  <v:path/>
                  <v:fill on="f" focussize="0,0"/>
                  <v:stroke on="f" joinstyle="miter"/>
                  <v:imagedata r:id="rId226" o:title=""/>
                  <o:lock v:ext="edit" aspectratio="t"/>
                  <w10:wrap type="none"/>
                  <w10:anchorlock/>
                </v:shape>
                <o:OLEObject Type="Embed" ProgID="Equation.DSMT4" ShapeID="_x0000_i1129" DrawAspect="Content" ObjectID="_1468075828" r:id="rId225">
                  <o:LockedField>false</o:LockedField>
                </o:OLEObject>
              </w:object>
            </w:r>
            <w:r>
              <w:rPr>
                <w:kern w:val="0"/>
                <w:sz w:val="24"/>
                <w:szCs w:val="28"/>
                <w:highlight w:val="none"/>
              </w:rPr>
              <w:t>——</w:t>
            </w:r>
          </w:p>
        </w:tc>
        <w:tc>
          <w:tcPr>
            <w:tcW w:w="8471" w:type="dxa"/>
            <w:vAlign w:val="center"/>
          </w:tcPr>
          <w:p>
            <w:pPr>
              <w:snapToGrid w:val="0"/>
              <w:spacing w:line="320" w:lineRule="atLeast"/>
              <w:ind w:left="-105" w:leftChars="-50"/>
              <w:rPr>
                <w:b/>
                <w:kern w:val="0"/>
                <w:sz w:val="24"/>
                <w:szCs w:val="28"/>
                <w:highlight w:val="none"/>
              </w:rPr>
            </w:pPr>
            <w:r>
              <w:rPr>
                <w:kern w:val="0"/>
                <w:sz w:val="24"/>
                <w:szCs w:val="28"/>
                <w:highlight w:val="none"/>
              </w:rPr>
              <w:t>楼层或墙段原有的抗震能力指数，应分别按现行国家标准《建筑抗震鉴定标准》GB 50023规定的有关方法计算；</w:t>
            </w:r>
          </w:p>
        </w:tc>
      </w:tr>
      <w:tr>
        <w:tblPrEx>
          <w:tblCellMar>
            <w:top w:w="0" w:type="dxa"/>
            <w:left w:w="108" w:type="dxa"/>
            <w:bottom w:w="0" w:type="dxa"/>
            <w:right w:w="108" w:type="dxa"/>
          </w:tblCellMar>
        </w:tblPrEx>
        <w:trPr>
          <w:trHeight w:val="397" w:hRule="atLeast"/>
        </w:trPr>
        <w:tc>
          <w:tcPr>
            <w:tcW w:w="1384" w:type="dxa"/>
          </w:tcPr>
          <w:p>
            <w:pPr>
              <w:snapToGrid w:val="0"/>
              <w:spacing w:line="320" w:lineRule="atLeast"/>
              <w:ind w:right="-105" w:rightChars="-50"/>
              <w:jc w:val="right"/>
              <w:rPr>
                <w:kern w:val="0"/>
                <w:sz w:val="24"/>
                <w:szCs w:val="28"/>
                <w:highlight w:val="none"/>
              </w:rPr>
            </w:pPr>
            <w:r>
              <w:rPr>
                <w:position w:val="-12"/>
                <w:sz w:val="24"/>
                <w:szCs w:val="28"/>
                <w:highlight w:val="none"/>
              </w:rPr>
              <w:object>
                <v:shape id="_x0000_i1130" o:spt="75" type="#_x0000_t75" style="height:15.05pt;width:15.05pt;" o:ole="t" filled="f" o:preferrelative="t" stroked="f" coordsize="21600,21600">
                  <v:path/>
                  <v:fill on="f" focussize="0,0"/>
                  <v:stroke on="f" joinstyle="miter"/>
                  <v:imagedata r:id="rId228" o:title=""/>
                  <o:lock v:ext="edit" aspectratio="t"/>
                  <w10:wrap type="none"/>
                  <w10:anchorlock/>
                </v:shape>
                <o:OLEObject Type="Embed" ProgID="Equation.DSMT4" ShapeID="_x0000_i1130" DrawAspect="Content" ObjectID="_1468075829" r:id="rId227">
                  <o:LockedField>false</o:LockedField>
                </o:OLEObject>
              </w:object>
            </w:r>
            <w:r>
              <w:rPr>
                <w:kern w:val="0"/>
                <w:sz w:val="24"/>
                <w:szCs w:val="28"/>
                <w:highlight w:val="none"/>
              </w:rPr>
              <w:t>、</w:t>
            </w:r>
            <w:r>
              <w:rPr>
                <w:position w:val="-12"/>
                <w:sz w:val="24"/>
                <w:szCs w:val="28"/>
                <w:highlight w:val="none"/>
              </w:rPr>
              <w:object>
                <v:shape id="_x0000_i1131" o:spt="75" type="#_x0000_t75" style="height:15.05pt;width:15.05pt;" o:ole="t" filled="f" o:preferrelative="t" stroked="f" coordsize="21600,21600">
                  <v:path/>
                  <v:fill on="f" focussize="0,0"/>
                  <v:stroke on="f" joinstyle="miter"/>
                  <v:imagedata r:id="rId230" o:title=""/>
                  <o:lock v:ext="edit" aspectratio="t"/>
                  <w10:wrap type="none"/>
                  <w10:anchorlock/>
                </v:shape>
                <o:OLEObject Type="Embed" ProgID="Equation.DSMT4" ShapeID="_x0000_i1131" DrawAspect="Content" ObjectID="_1468075830" r:id="rId229">
                  <o:LockedField>false</o:LockedField>
                </o:OLEObject>
              </w:object>
            </w:r>
            <w:r>
              <w:rPr>
                <w:kern w:val="0"/>
                <w:sz w:val="24"/>
                <w:szCs w:val="28"/>
                <w:highlight w:val="none"/>
              </w:rPr>
              <w:t>——</w:t>
            </w:r>
          </w:p>
        </w:tc>
        <w:tc>
          <w:tcPr>
            <w:tcW w:w="8471" w:type="dxa"/>
            <w:vAlign w:val="center"/>
          </w:tcPr>
          <w:p>
            <w:pPr>
              <w:snapToGrid w:val="0"/>
              <w:spacing w:line="320" w:lineRule="atLeast"/>
              <w:ind w:left="-105" w:leftChars="-50"/>
              <w:rPr>
                <w:kern w:val="0"/>
                <w:sz w:val="24"/>
                <w:szCs w:val="28"/>
                <w:highlight w:val="none"/>
              </w:rPr>
            </w:pPr>
            <w:r>
              <w:rPr>
                <w:kern w:val="0"/>
                <w:sz w:val="24"/>
                <w:szCs w:val="28"/>
                <w:highlight w:val="none"/>
              </w:rPr>
              <w:t>分别为体系影响系数和局部影响系数，应根据房屋加固后的状况，按现行国家标准《建筑抗震鉴定标准》GB 50023的有关规定取值。</w:t>
            </w:r>
          </w:p>
        </w:tc>
      </w:tr>
    </w:tbl>
    <w:p>
      <w:pPr>
        <w:keepNext w:val="0"/>
        <w:keepLines w:val="0"/>
        <w:pageBreakBefore w:val="0"/>
        <w:widowControl w:val="0"/>
        <w:kinsoku/>
        <w:wordWrap/>
        <w:overflowPunct/>
        <w:topLinePunct w:val="0"/>
        <w:autoSpaceDE/>
        <w:autoSpaceDN/>
        <w:bidi w:val="0"/>
        <w:adjustRightInd/>
        <w:snapToGrid w:val="0"/>
        <w:spacing w:before="157" w:beforeLines="50" w:line="312" w:lineRule="auto"/>
        <w:textAlignment w:val="auto"/>
        <w:rPr>
          <w:rFonts w:hint="eastAsia" w:ascii="楷体" w:hAnsi="楷体" w:eastAsia="楷体" w:cs="楷体"/>
          <w:sz w:val="24"/>
          <w:szCs w:val="24"/>
          <w:highlight w:val="none"/>
          <w:u w:val="single"/>
        </w:rPr>
      </w:pPr>
      <w:r>
        <w:rPr>
          <w:rFonts w:hint="eastAsia" w:ascii="楷体" w:hAnsi="楷体" w:eastAsia="楷体" w:cs="楷体"/>
          <w:b w:val="0"/>
          <w:bCs/>
          <w:sz w:val="24"/>
          <w:szCs w:val="24"/>
          <w:highlight w:val="none"/>
          <w:u w:val="single"/>
        </w:rPr>
        <w:t>【条文说明】</w:t>
      </w:r>
      <w:r>
        <w:rPr>
          <w:rFonts w:hint="eastAsia" w:ascii="楷体" w:hAnsi="楷体" w:eastAsia="楷体" w:cs="楷体"/>
          <w:sz w:val="24"/>
          <w:szCs w:val="24"/>
          <w:highlight w:val="none"/>
          <w:u w:val="single"/>
        </w:rPr>
        <w:t xml:space="preserve"> 抗震加固和抗震鉴定一样，可采用加固后的综合抗震能力指数作为衡量多层砌体房屋抗震能力的指标，也可按设计规范的方法对加固后的墙段用截面受剪承载力进行验算。与鉴定不同的是，要按不同的加固方法考虑相应的加固增强系数，并按加固后的情况取体系影响系数</w:t>
      </w:r>
      <w:r>
        <w:rPr>
          <w:rFonts w:hint="eastAsia" w:ascii="楷体" w:hAnsi="楷体" w:eastAsia="楷体" w:cs="楷体"/>
          <w:sz w:val="24"/>
          <w:szCs w:val="24"/>
          <w:highlight w:val="none"/>
          <w:u w:val="single"/>
        </w:rPr>
        <w:drawing>
          <wp:inline distT="0" distB="0" distL="114300" distR="114300">
            <wp:extent cx="125730" cy="144145"/>
            <wp:effectExtent l="0" t="0" r="11430" b="9525"/>
            <wp:docPr id="26"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3"/>
                    <pic:cNvPicPr>
                      <a:picLocks noChangeAspect="1"/>
                    </pic:cNvPicPr>
                  </pic:nvPicPr>
                  <pic:blipFill>
                    <a:blip r:embed="rId231"/>
                    <a:stretch>
                      <a:fillRect/>
                    </a:stretch>
                  </pic:blipFill>
                  <pic:spPr>
                    <a:xfrm>
                      <a:off x="0" y="0"/>
                      <a:ext cx="125730" cy="144145"/>
                    </a:xfrm>
                    <a:prstGeom prst="rect">
                      <a:avLst/>
                    </a:prstGeom>
                    <a:noFill/>
                    <a:ln>
                      <a:noFill/>
                    </a:ln>
                  </pic:spPr>
                </pic:pic>
              </a:graphicData>
            </a:graphic>
          </wp:inline>
        </w:drawing>
      </w:r>
      <w:r>
        <w:rPr>
          <w:rFonts w:hint="eastAsia" w:ascii="楷体" w:hAnsi="楷体" w:eastAsia="楷体" w:cs="楷体"/>
          <w:sz w:val="24"/>
          <w:szCs w:val="24"/>
          <w:highlight w:val="none"/>
          <w:u w:val="single"/>
        </w:rPr>
        <w:t>和局部影响系数</w:t>
      </w:r>
      <w:r>
        <w:rPr>
          <w:rFonts w:hint="eastAsia" w:ascii="楷体" w:hAnsi="楷体" w:eastAsia="楷体" w:cs="楷体"/>
          <w:sz w:val="24"/>
          <w:szCs w:val="24"/>
          <w:highlight w:val="none"/>
          <w:u w:val="single"/>
        </w:rPr>
        <w:drawing>
          <wp:inline distT="0" distB="0" distL="114300" distR="114300">
            <wp:extent cx="128905" cy="144145"/>
            <wp:effectExtent l="0" t="0" r="8255" b="9525"/>
            <wp:docPr id="25"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14"/>
                    <pic:cNvPicPr>
                      <a:picLocks noChangeAspect="1"/>
                    </pic:cNvPicPr>
                  </pic:nvPicPr>
                  <pic:blipFill>
                    <a:blip r:embed="rId232"/>
                    <a:stretch>
                      <a:fillRect/>
                    </a:stretch>
                  </pic:blipFill>
                  <pic:spPr>
                    <a:xfrm>
                      <a:off x="0" y="0"/>
                      <a:ext cx="128905" cy="144145"/>
                    </a:xfrm>
                    <a:prstGeom prst="rect">
                      <a:avLst/>
                    </a:prstGeom>
                    <a:noFill/>
                    <a:ln>
                      <a:noFill/>
                    </a:ln>
                  </pic:spPr>
                </pic:pic>
              </a:graphicData>
            </a:graphic>
          </wp:inline>
        </w:drawing>
      </w:r>
      <w:r>
        <w:rPr>
          <w:rFonts w:hint="eastAsia" w:ascii="楷体" w:hAnsi="楷体" w:eastAsia="楷体" w:cs="楷体"/>
          <w:sz w:val="24"/>
          <w:szCs w:val="24"/>
          <w:highlight w:val="none"/>
          <w:u w:val="single"/>
        </w:rPr>
        <w:t>。</w:t>
      </w:r>
    </w:p>
    <w:p>
      <w:pPr>
        <w:spacing w:line="312" w:lineRule="auto"/>
        <w:rPr>
          <w:sz w:val="24"/>
          <w:szCs w:val="28"/>
          <w:highlight w:val="none"/>
        </w:rPr>
      </w:pPr>
      <w:r>
        <w:rPr>
          <w:b/>
          <w:sz w:val="24"/>
          <w:szCs w:val="28"/>
          <w:highlight w:val="none"/>
        </w:rPr>
        <w:t>5.4.3</w:t>
      </w:r>
      <w:r>
        <w:rPr>
          <w:sz w:val="24"/>
          <w:szCs w:val="28"/>
          <w:highlight w:val="none"/>
        </w:rPr>
        <w:t xml:space="preserve">  采用高延性混凝土面层或配筋高延性混凝土面层加固后，按现行国家标准《建筑抗震设计规范》GB 50011的规定只选择从属面积较大或竖向应力较小的墙段进行抗震承载力验算时，截面抗震受剪承载力可按下列公式验算： </w:t>
      </w:r>
    </w:p>
    <w:p>
      <w:pPr>
        <w:snapToGrid w:val="0"/>
        <w:spacing w:line="312" w:lineRule="auto"/>
        <w:jc w:val="right"/>
        <w:rPr>
          <w:sz w:val="24"/>
          <w:szCs w:val="28"/>
          <w:highlight w:val="none"/>
        </w:rPr>
      </w:pPr>
      <w:r>
        <w:rPr>
          <w:sz w:val="24"/>
          <w:szCs w:val="28"/>
          <w:highlight w:val="none"/>
        </w:rPr>
        <w:t xml:space="preserve">不计入构造影响时  </w:t>
      </w:r>
      <w:r>
        <w:rPr>
          <w:rFonts w:hint="eastAsia"/>
          <w:sz w:val="24"/>
          <w:szCs w:val="28"/>
          <w:highlight w:val="none"/>
          <w:lang w:val="en-US" w:eastAsia="zh-CN"/>
        </w:rPr>
        <w:t xml:space="preserve">            </w:t>
      </w:r>
      <w:r>
        <w:rPr>
          <w:sz w:val="24"/>
          <w:szCs w:val="28"/>
          <w:highlight w:val="none"/>
        </w:rPr>
        <w:t xml:space="preserve">   </w:t>
      </w:r>
      <w:r>
        <w:rPr>
          <w:position w:val="-12"/>
          <w:sz w:val="24"/>
          <w:szCs w:val="28"/>
          <w:highlight w:val="none"/>
        </w:rPr>
        <w:object>
          <v:shape id="_x0000_i1132" o:spt="75" type="#_x0000_t75" style="height:15.05pt;width:49.45pt;" o:ole="t" filled="f" o:preferrelative="t" stroked="f" coordsize="21600,21600">
            <v:path/>
            <v:fill on="f" focussize="0,0"/>
            <v:stroke on="f" joinstyle="miter"/>
            <v:imagedata r:id="rId234" o:title=""/>
            <o:lock v:ext="edit" aspectratio="t"/>
            <w10:wrap type="none"/>
            <w10:anchorlock/>
          </v:shape>
          <o:OLEObject Type="Embed" ProgID="Equation.DSMT4" ShapeID="_x0000_i1132" DrawAspect="Content" ObjectID="_1468075831" r:id="rId233">
            <o:LockedField>false</o:LockedField>
          </o:OLEObject>
        </w:object>
      </w:r>
      <w:r>
        <w:rPr>
          <w:sz w:val="24"/>
          <w:szCs w:val="28"/>
          <w:highlight w:val="none"/>
        </w:rPr>
        <w:t xml:space="preserve">      </w:t>
      </w:r>
      <w:r>
        <w:rPr>
          <w:rFonts w:hint="eastAsia"/>
          <w:sz w:val="24"/>
          <w:szCs w:val="28"/>
          <w:highlight w:val="none"/>
          <w:lang w:val="en-US" w:eastAsia="zh-CN"/>
        </w:rPr>
        <w:t xml:space="preserve">              </w:t>
      </w:r>
      <w:r>
        <w:rPr>
          <w:sz w:val="24"/>
          <w:szCs w:val="28"/>
          <w:highlight w:val="none"/>
        </w:rPr>
        <w:t xml:space="preserve">     （5.4.3-1）</w:t>
      </w:r>
    </w:p>
    <w:p>
      <w:pPr>
        <w:wordWrap w:val="0"/>
        <w:snapToGrid w:val="0"/>
        <w:spacing w:line="312" w:lineRule="auto"/>
        <w:jc w:val="right"/>
        <w:rPr>
          <w:sz w:val="24"/>
          <w:szCs w:val="28"/>
          <w:highlight w:val="none"/>
        </w:rPr>
      </w:pPr>
      <w:r>
        <w:rPr>
          <w:sz w:val="24"/>
          <w:szCs w:val="28"/>
          <w:highlight w:val="none"/>
        </w:rPr>
        <w:t xml:space="preserve">计入构造影响时     </w:t>
      </w:r>
      <w:r>
        <w:rPr>
          <w:rFonts w:hint="eastAsia"/>
          <w:sz w:val="24"/>
          <w:szCs w:val="28"/>
          <w:highlight w:val="none"/>
          <w:lang w:val="en-US" w:eastAsia="zh-CN"/>
        </w:rPr>
        <w:t xml:space="preserve">           </w:t>
      </w:r>
      <w:r>
        <w:rPr>
          <w:sz w:val="24"/>
          <w:szCs w:val="28"/>
          <w:highlight w:val="none"/>
        </w:rPr>
        <w:t xml:space="preserve">  </w:t>
      </w:r>
      <w:r>
        <w:rPr>
          <w:position w:val="-12"/>
          <w:sz w:val="24"/>
          <w:szCs w:val="28"/>
          <w:highlight w:val="none"/>
        </w:rPr>
        <w:object>
          <v:shape id="_x0000_i1133" o:spt="75" type="#_x0000_t75" style="height:15.05pt;width:72pt;" o:ole="t" filled="f" o:preferrelative="t" stroked="f" coordsize="21600,21600">
            <v:path/>
            <v:fill on="f" focussize="0,0"/>
            <v:stroke on="f" joinstyle="miter"/>
            <v:imagedata r:id="rId236" o:title=""/>
            <o:lock v:ext="edit" aspectratio="t"/>
            <w10:wrap type="none"/>
            <w10:anchorlock/>
          </v:shape>
          <o:OLEObject Type="Embed" ProgID="Equation.DSMT4" ShapeID="_x0000_i1133" DrawAspect="Content" ObjectID="_1468075832" r:id="rId235">
            <o:LockedField>false</o:LockedField>
          </o:OLEObject>
        </w:object>
      </w:r>
      <w:r>
        <w:rPr>
          <w:sz w:val="24"/>
          <w:szCs w:val="28"/>
          <w:highlight w:val="none"/>
        </w:rPr>
        <w:t xml:space="preserve">    </w:t>
      </w:r>
      <w:r>
        <w:rPr>
          <w:rFonts w:hint="eastAsia"/>
          <w:sz w:val="24"/>
          <w:szCs w:val="28"/>
          <w:highlight w:val="none"/>
          <w:lang w:val="en-US" w:eastAsia="zh-CN"/>
        </w:rPr>
        <w:t xml:space="preserve">               </w:t>
      </w:r>
      <w:r>
        <w:rPr>
          <w:sz w:val="24"/>
          <w:szCs w:val="28"/>
          <w:highlight w:val="none"/>
        </w:rPr>
        <w:t xml:space="preserve">   （5.4.3-2）</w:t>
      </w:r>
    </w:p>
    <w:tbl>
      <w:tblPr>
        <w:tblStyle w:val="23"/>
        <w:tblW w:w="0" w:type="auto"/>
        <w:tblInd w:w="0" w:type="dxa"/>
        <w:tblLayout w:type="fixed"/>
        <w:tblCellMar>
          <w:top w:w="0" w:type="dxa"/>
          <w:left w:w="108" w:type="dxa"/>
          <w:bottom w:w="0" w:type="dxa"/>
          <w:right w:w="108" w:type="dxa"/>
        </w:tblCellMar>
      </w:tblPr>
      <w:tblGrid>
        <w:gridCol w:w="1384"/>
        <w:gridCol w:w="8471"/>
      </w:tblGrid>
      <w:tr>
        <w:tblPrEx>
          <w:tblCellMar>
            <w:top w:w="0" w:type="dxa"/>
            <w:left w:w="108" w:type="dxa"/>
            <w:bottom w:w="0" w:type="dxa"/>
            <w:right w:w="108" w:type="dxa"/>
          </w:tblCellMar>
        </w:tblPrEx>
        <w:trPr>
          <w:trHeight w:val="397" w:hRule="atLeast"/>
        </w:trPr>
        <w:tc>
          <w:tcPr>
            <w:tcW w:w="1384" w:type="dxa"/>
          </w:tcPr>
          <w:p>
            <w:pPr>
              <w:snapToGrid w:val="0"/>
              <w:spacing w:line="240" w:lineRule="atLeast"/>
              <w:ind w:right="-105" w:rightChars="-50"/>
              <w:jc w:val="both"/>
              <w:rPr>
                <w:sz w:val="24"/>
                <w:szCs w:val="28"/>
                <w:highlight w:val="none"/>
              </w:rPr>
            </w:pPr>
            <w:r>
              <w:rPr>
                <w:sz w:val="24"/>
                <w:szCs w:val="28"/>
                <w:highlight w:val="none"/>
              </w:rPr>
              <w:t>式中：</w:t>
            </w:r>
          </w:p>
          <w:p>
            <w:pPr>
              <w:snapToGrid w:val="0"/>
              <w:spacing w:line="240" w:lineRule="atLeast"/>
              <w:ind w:right="-105" w:rightChars="-50"/>
              <w:jc w:val="right"/>
              <w:rPr>
                <w:kern w:val="0"/>
                <w:sz w:val="24"/>
                <w:szCs w:val="28"/>
                <w:highlight w:val="none"/>
              </w:rPr>
            </w:pPr>
            <w:r>
              <w:rPr>
                <w:position w:val="-6"/>
                <w:sz w:val="24"/>
                <w:szCs w:val="28"/>
                <w:highlight w:val="none"/>
              </w:rPr>
              <w:object>
                <v:shape id="_x0000_i1134" o:spt="75" type="#_x0000_t75" style="height:13.05pt;width:11.1pt;" o:ole="t" filled="f" o:preferrelative="t" stroked="f" coordsize="21600,21600">
                  <v:path/>
                  <v:fill on="f" focussize="0,0"/>
                  <v:stroke on="f" joinstyle="miter"/>
                  <v:imagedata r:id="rId238" o:title=""/>
                  <o:lock v:ext="edit" aspectratio="t"/>
                  <w10:wrap type="none"/>
                  <w10:anchorlock/>
                </v:shape>
                <o:OLEObject Type="Embed" ProgID="Equation.DSMT4" ShapeID="_x0000_i1134" DrawAspect="Content" ObjectID="_1468075833" r:id="rId237">
                  <o:LockedField>false</o:LockedField>
                </o:OLEObject>
              </w:object>
            </w:r>
            <w:r>
              <w:rPr>
                <w:kern w:val="0"/>
                <w:sz w:val="24"/>
                <w:szCs w:val="28"/>
                <w:highlight w:val="none"/>
              </w:rPr>
              <w:t>——</w:t>
            </w:r>
          </w:p>
        </w:tc>
        <w:tc>
          <w:tcPr>
            <w:tcW w:w="8471" w:type="dxa"/>
            <w:vAlign w:val="center"/>
          </w:tcPr>
          <w:p>
            <w:pPr>
              <w:snapToGrid w:val="0"/>
              <w:spacing w:line="240" w:lineRule="atLeast"/>
              <w:ind w:left="-105" w:leftChars="-50"/>
              <w:rPr>
                <w:kern w:val="0"/>
                <w:sz w:val="24"/>
                <w:szCs w:val="28"/>
                <w:highlight w:val="none"/>
              </w:rPr>
            </w:pPr>
          </w:p>
          <w:p>
            <w:pPr>
              <w:snapToGrid w:val="0"/>
              <w:spacing w:line="240" w:lineRule="atLeast"/>
              <w:ind w:left="-105" w:leftChars="-50"/>
              <w:rPr>
                <w:kern w:val="0"/>
                <w:sz w:val="24"/>
                <w:szCs w:val="28"/>
                <w:highlight w:val="none"/>
              </w:rPr>
            </w:pPr>
            <w:r>
              <w:rPr>
                <w:kern w:val="0"/>
                <w:sz w:val="24"/>
                <w:szCs w:val="28"/>
                <w:highlight w:val="none"/>
              </w:rPr>
              <w:t>墙段的剪力设计值；</w:t>
            </w:r>
          </w:p>
        </w:tc>
      </w:tr>
      <w:tr>
        <w:tblPrEx>
          <w:tblCellMar>
            <w:top w:w="0" w:type="dxa"/>
            <w:left w:w="108" w:type="dxa"/>
            <w:bottom w:w="0" w:type="dxa"/>
            <w:right w:w="108" w:type="dxa"/>
          </w:tblCellMar>
        </w:tblPrEx>
        <w:trPr>
          <w:trHeight w:val="397" w:hRule="atLeast"/>
        </w:trPr>
        <w:tc>
          <w:tcPr>
            <w:tcW w:w="1384" w:type="dxa"/>
          </w:tcPr>
          <w:p>
            <w:pPr>
              <w:snapToGrid w:val="0"/>
              <w:spacing w:line="240" w:lineRule="atLeast"/>
              <w:ind w:right="-105" w:rightChars="-50"/>
              <w:jc w:val="right"/>
              <w:rPr>
                <w:kern w:val="0"/>
                <w:sz w:val="24"/>
                <w:szCs w:val="28"/>
                <w:highlight w:val="none"/>
              </w:rPr>
            </w:pPr>
            <w:r>
              <w:rPr>
                <w:position w:val="-10"/>
                <w:sz w:val="24"/>
                <w:szCs w:val="28"/>
                <w:highlight w:val="none"/>
              </w:rPr>
              <w:object>
                <v:shape id="_x0000_i1135" o:spt="75" type="#_x0000_t75" style="height:13.05pt;width:9.9pt;" o:ole="t" filled="f" o:preferrelative="t" stroked="f" coordsize="21600,21600">
                  <v:path/>
                  <v:fill on="f" focussize="0,0"/>
                  <v:stroke on="f" joinstyle="miter"/>
                  <v:imagedata r:id="rId224" o:title=""/>
                  <o:lock v:ext="edit" aspectratio="t"/>
                  <w10:wrap type="none"/>
                  <w10:anchorlock/>
                </v:shape>
                <o:OLEObject Type="Embed" ProgID="Equation.DSMT4" ShapeID="_x0000_i1135" DrawAspect="Content" ObjectID="_1468075834" r:id="rId239">
                  <o:LockedField>false</o:LockedField>
                </o:OLEObject>
              </w:object>
            </w:r>
            <w:r>
              <w:rPr>
                <w:kern w:val="0"/>
                <w:sz w:val="24"/>
                <w:szCs w:val="28"/>
                <w:highlight w:val="none"/>
              </w:rPr>
              <w:t>——</w:t>
            </w:r>
          </w:p>
        </w:tc>
        <w:tc>
          <w:tcPr>
            <w:tcW w:w="8471" w:type="dxa"/>
            <w:vAlign w:val="center"/>
          </w:tcPr>
          <w:p>
            <w:pPr>
              <w:snapToGrid w:val="0"/>
              <w:spacing w:line="240" w:lineRule="atLeast"/>
              <w:ind w:left="-105" w:leftChars="-50"/>
              <w:rPr>
                <w:kern w:val="0"/>
                <w:sz w:val="24"/>
                <w:szCs w:val="28"/>
                <w:highlight w:val="none"/>
              </w:rPr>
            </w:pPr>
            <w:r>
              <w:rPr>
                <w:kern w:val="0"/>
                <w:sz w:val="24"/>
                <w:szCs w:val="28"/>
                <w:highlight w:val="none"/>
              </w:rPr>
              <w:t>墙段的加固增强系数，可按</w:t>
            </w:r>
            <w:r>
              <w:rPr>
                <w:rFonts w:hint="eastAsia"/>
                <w:kern w:val="0"/>
                <w:sz w:val="24"/>
                <w:szCs w:val="28"/>
                <w:highlight w:val="none"/>
              </w:rPr>
              <w:t>本标准</w:t>
            </w:r>
            <w:r>
              <w:rPr>
                <w:kern w:val="0"/>
                <w:sz w:val="24"/>
                <w:szCs w:val="28"/>
                <w:highlight w:val="none"/>
              </w:rPr>
              <w:t>式（5.4.4-2）确定；</w:t>
            </w:r>
          </w:p>
        </w:tc>
      </w:tr>
      <w:tr>
        <w:tblPrEx>
          <w:tblCellMar>
            <w:top w:w="0" w:type="dxa"/>
            <w:left w:w="108" w:type="dxa"/>
            <w:bottom w:w="0" w:type="dxa"/>
            <w:right w:w="108" w:type="dxa"/>
          </w:tblCellMar>
        </w:tblPrEx>
        <w:trPr>
          <w:trHeight w:val="397" w:hRule="atLeast"/>
        </w:trPr>
        <w:tc>
          <w:tcPr>
            <w:tcW w:w="1384" w:type="dxa"/>
          </w:tcPr>
          <w:p>
            <w:pPr>
              <w:snapToGrid w:val="0"/>
              <w:spacing w:line="240" w:lineRule="atLeast"/>
              <w:ind w:right="-105" w:rightChars="-50"/>
              <w:jc w:val="right"/>
              <w:rPr>
                <w:kern w:val="0"/>
                <w:sz w:val="24"/>
                <w:szCs w:val="28"/>
                <w:highlight w:val="none"/>
              </w:rPr>
            </w:pPr>
            <w:r>
              <w:rPr>
                <w:position w:val="-12"/>
                <w:sz w:val="24"/>
                <w:szCs w:val="28"/>
                <w:highlight w:val="none"/>
              </w:rPr>
              <w:object>
                <v:shape id="_x0000_i1136" o:spt="75" type="#_x0000_t75" style="height:15.05pt;width:15.05pt;" o:ole="t" filled="f" o:preferrelative="t" stroked="f" coordsize="21600,21600">
                  <v:path/>
                  <v:fill on="f" focussize="0,0"/>
                  <v:stroke on="f" joinstyle="miter"/>
                  <v:imagedata r:id="rId241" o:title=""/>
                  <o:lock v:ext="edit" aspectratio="t"/>
                  <w10:wrap type="none"/>
                  <w10:anchorlock/>
                </v:shape>
                <o:OLEObject Type="Embed" ProgID="Equation.DSMT4" ShapeID="_x0000_i1136" DrawAspect="Content" ObjectID="_1468075835" r:id="rId240">
                  <o:LockedField>false</o:LockedField>
                </o:OLEObject>
              </w:object>
            </w:r>
            <w:r>
              <w:rPr>
                <w:kern w:val="0"/>
                <w:sz w:val="24"/>
                <w:szCs w:val="28"/>
                <w:highlight w:val="none"/>
              </w:rPr>
              <w:t>——</w:t>
            </w:r>
          </w:p>
        </w:tc>
        <w:tc>
          <w:tcPr>
            <w:tcW w:w="8471" w:type="dxa"/>
            <w:vAlign w:val="center"/>
          </w:tcPr>
          <w:p>
            <w:pPr>
              <w:snapToGrid w:val="0"/>
              <w:spacing w:line="240" w:lineRule="atLeast"/>
              <w:ind w:left="-105" w:leftChars="-50"/>
              <w:rPr>
                <w:kern w:val="0"/>
                <w:sz w:val="24"/>
                <w:szCs w:val="28"/>
                <w:highlight w:val="none"/>
              </w:rPr>
            </w:pPr>
            <w:r>
              <w:rPr>
                <w:kern w:val="0"/>
                <w:sz w:val="24"/>
                <w:szCs w:val="28"/>
                <w:highlight w:val="none"/>
              </w:rPr>
              <w:t>墙段原有的</w:t>
            </w:r>
            <w:r>
              <w:rPr>
                <w:rFonts w:hint="eastAsia"/>
                <w:kern w:val="0"/>
                <w:sz w:val="24"/>
                <w:szCs w:val="28"/>
                <w:highlight w:val="none"/>
              </w:rPr>
              <w:t>抗震</w:t>
            </w:r>
            <w:r>
              <w:rPr>
                <w:kern w:val="0"/>
                <w:sz w:val="24"/>
                <w:szCs w:val="28"/>
                <w:highlight w:val="none"/>
              </w:rPr>
              <w:t>受剪承载力，可按现行国家标准《建筑抗震设计规范》GB 50011对砌体墙的有关规定计算；但其中的材料性能设计指标、承载力抗震调整系数应按现行行业标准《建筑抗震加固技术规程》JGJ 116的有关规定采用</w:t>
            </w:r>
            <w:r>
              <w:rPr>
                <w:rFonts w:hint="eastAsia"/>
                <w:kern w:val="0"/>
                <w:sz w:val="24"/>
                <w:szCs w:val="28"/>
                <w:highlight w:val="none"/>
              </w:rPr>
              <w:t>；空斗墙抗震加固应采用式</w:t>
            </w:r>
            <w:r>
              <w:rPr>
                <w:sz w:val="24"/>
                <w:szCs w:val="28"/>
                <w:highlight w:val="none"/>
              </w:rPr>
              <w:t>（5.4.1）验算</w:t>
            </w:r>
            <w:r>
              <w:rPr>
                <w:rFonts w:hint="eastAsia"/>
                <w:sz w:val="24"/>
                <w:szCs w:val="28"/>
                <w:highlight w:val="none"/>
              </w:rPr>
              <w:t>截面抗震受剪承载力。</w:t>
            </w:r>
          </w:p>
        </w:tc>
      </w:tr>
    </w:tbl>
    <w:p>
      <w:pPr>
        <w:spacing w:line="312" w:lineRule="auto"/>
        <w:rPr>
          <w:sz w:val="24"/>
          <w:szCs w:val="28"/>
          <w:highlight w:val="none"/>
        </w:rPr>
      </w:pPr>
      <w:r>
        <w:rPr>
          <w:b/>
          <w:sz w:val="24"/>
          <w:szCs w:val="28"/>
          <w:highlight w:val="none"/>
        </w:rPr>
        <w:t>5.4.4</w:t>
      </w:r>
      <w:r>
        <w:rPr>
          <w:sz w:val="24"/>
          <w:szCs w:val="28"/>
          <w:highlight w:val="none"/>
        </w:rPr>
        <w:t xml:space="preserve">  采用高延性混凝土面层或配筋高延性混凝土面层加固后，楼层抗震能力的增强系数可按下列公式计算：</w:t>
      </w:r>
    </w:p>
    <w:p>
      <w:pPr>
        <w:snapToGrid w:val="0"/>
        <w:spacing w:line="264" w:lineRule="auto"/>
        <w:jc w:val="right"/>
        <w:rPr>
          <w:sz w:val="24"/>
          <w:szCs w:val="28"/>
          <w:highlight w:val="none"/>
        </w:rPr>
      </w:pPr>
      <w:r>
        <w:rPr>
          <w:position w:val="-34"/>
          <w:sz w:val="24"/>
          <w:szCs w:val="28"/>
          <w:highlight w:val="none"/>
        </w:rPr>
        <w:object>
          <v:shape id="_x0000_i1137" o:spt="75" type="#_x0000_t75" style="height:49.45pt;width:110.35pt;" o:ole="t" filled="f" o:preferrelative="t" stroked="f" coordsize="21600,21600">
            <v:path/>
            <v:fill on="f" focussize="0,0"/>
            <v:stroke on="f" joinstyle="miter"/>
            <v:imagedata r:id="rId243" o:title=""/>
            <o:lock v:ext="edit" aspectratio="t"/>
            <w10:wrap type="none"/>
            <w10:anchorlock/>
          </v:shape>
          <o:OLEObject Type="Embed" ProgID="Equation.DSMT4" ShapeID="_x0000_i1137" DrawAspect="Content" ObjectID="_1468075836" r:id="rId242">
            <o:LockedField>false</o:LockedField>
          </o:OLEObject>
        </w:object>
      </w:r>
      <w:r>
        <w:rPr>
          <w:sz w:val="24"/>
          <w:szCs w:val="28"/>
          <w:highlight w:val="none"/>
        </w:rPr>
        <w:t xml:space="preserve">     </w:t>
      </w:r>
      <w:r>
        <w:rPr>
          <w:rFonts w:hint="eastAsia"/>
          <w:sz w:val="24"/>
          <w:szCs w:val="28"/>
          <w:highlight w:val="none"/>
          <w:lang w:val="en-US" w:eastAsia="zh-CN"/>
        </w:rPr>
        <w:t xml:space="preserve">               </w:t>
      </w:r>
      <w:r>
        <w:rPr>
          <w:sz w:val="24"/>
          <w:szCs w:val="28"/>
          <w:highlight w:val="none"/>
        </w:rPr>
        <w:t xml:space="preserve">    （5.4.4-1）</w:t>
      </w:r>
    </w:p>
    <w:p>
      <w:pPr>
        <w:wordWrap w:val="0"/>
        <w:snapToGrid w:val="0"/>
        <w:spacing w:line="264" w:lineRule="auto"/>
        <w:jc w:val="right"/>
        <w:rPr>
          <w:sz w:val="24"/>
          <w:szCs w:val="28"/>
          <w:highlight w:val="none"/>
        </w:rPr>
      </w:pPr>
      <w:r>
        <w:rPr>
          <w:position w:val="-28"/>
          <w:sz w:val="24"/>
          <w:szCs w:val="28"/>
          <w:highlight w:val="none"/>
        </w:rPr>
        <w:object>
          <v:shape id="_x0000_i1138" o:spt="75" type="#_x0000_t75" style="height:31.65pt;width:80.7pt;" o:ole="t" filled="f" o:preferrelative="t" stroked="f" coordsize="21600,21600">
            <v:path/>
            <v:fill on="f" focussize="0,0"/>
            <v:stroke on="f" joinstyle="miter"/>
            <v:imagedata r:id="rId245" o:title=""/>
            <o:lock v:ext="edit" aspectratio="t"/>
            <w10:wrap type="none"/>
            <w10:anchorlock/>
          </v:shape>
          <o:OLEObject Type="Embed" ProgID="Equation.DSMT4" ShapeID="_x0000_i1138" DrawAspect="Content" ObjectID="_1468075837" r:id="rId244">
            <o:LockedField>false</o:LockedField>
          </o:OLEObject>
        </w:object>
      </w:r>
      <w:r>
        <w:rPr>
          <w:sz w:val="24"/>
          <w:szCs w:val="28"/>
          <w:highlight w:val="none"/>
        </w:rPr>
        <w:t xml:space="preserve">    </w:t>
      </w:r>
      <w:r>
        <w:rPr>
          <w:rFonts w:hint="eastAsia"/>
          <w:sz w:val="24"/>
          <w:szCs w:val="28"/>
          <w:highlight w:val="none"/>
        </w:rPr>
        <w:t xml:space="preserve">  </w:t>
      </w:r>
      <w:r>
        <w:rPr>
          <w:rFonts w:hint="eastAsia"/>
          <w:sz w:val="24"/>
          <w:szCs w:val="28"/>
          <w:highlight w:val="none"/>
          <w:lang w:val="en-US" w:eastAsia="zh-CN"/>
        </w:rPr>
        <w:t xml:space="preserve">            </w:t>
      </w:r>
      <w:r>
        <w:rPr>
          <w:rFonts w:hint="eastAsia"/>
          <w:sz w:val="24"/>
          <w:szCs w:val="28"/>
          <w:highlight w:val="none"/>
        </w:rPr>
        <w:t xml:space="preserve">     </w:t>
      </w:r>
      <w:r>
        <w:rPr>
          <w:sz w:val="24"/>
          <w:szCs w:val="28"/>
          <w:highlight w:val="none"/>
        </w:rPr>
        <w:t xml:space="preserve">    （5.4.4-2）</w:t>
      </w:r>
    </w:p>
    <w:p>
      <w:pPr>
        <w:adjustRightInd w:val="0"/>
        <w:spacing w:line="312" w:lineRule="auto"/>
        <w:ind w:firstLine="420" w:firstLineChars="200"/>
        <w:jc w:val="left"/>
        <w:rPr>
          <w:sz w:val="21"/>
          <w:szCs w:val="21"/>
          <w:highlight w:val="none"/>
        </w:rPr>
      </w:pPr>
      <w:r>
        <w:rPr>
          <w:sz w:val="21"/>
          <w:szCs w:val="21"/>
          <w:highlight w:val="none"/>
        </w:rPr>
        <w:t>注：原墙体在重力荷载代表值作用下的平均竖向压应力</w:t>
      </w:r>
      <w:r>
        <w:rPr>
          <w:position w:val="-10"/>
          <w:sz w:val="24"/>
          <w:szCs w:val="28"/>
          <w:highlight w:val="none"/>
        </w:rPr>
        <w:object>
          <v:shape id="_x0000_i1139" o:spt="75" type="#_x0000_t75" style="height:14.25pt;width:40.35pt;" o:ole="t" filled="f" o:preferrelative="t" stroked="f" coordsize="21600,21600">
            <v:path/>
            <v:fill on="f" focussize="0,0"/>
            <v:stroke on="f" joinstyle="miter"/>
            <v:imagedata r:id="rId247" o:title=""/>
            <o:lock v:ext="edit" aspectratio="t"/>
            <w10:wrap type="none"/>
            <w10:anchorlock/>
          </v:shape>
          <o:OLEObject Type="Embed" ProgID="Equation.DSMT4" ShapeID="_x0000_i1139" DrawAspect="Content" ObjectID="_1468075838" r:id="rId246">
            <o:LockedField>false</o:LockedField>
          </o:OLEObject>
        </w:object>
      </w:r>
      <w:r>
        <w:rPr>
          <w:sz w:val="21"/>
          <w:szCs w:val="21"/>
          <w:highlight w:val="none"/>
        </w:rPr>
        <w:t>时，增强系数</w:t>
      </w:r>
      <w:r>
        <w:rPr>
          <w:position w:val="-12"/>
          <w:sz w:val="24"/>
          <w:szCs w:val="28"/>
          <w:highlight w:val="none"/>
        </w:rPr>
        <w:object>
          <v:shape id="_x0000_i1140" o:spt="75" type="#_x0000_t75" style="height:16.6pt;width:14.25pt;" o:ole="t" filled="f" o:preferrelative="t" stroked="f" coordsize="21600,21600">
            <v:path/>
            <v:fill on="f" focussize="0,0"/>
            <v:stroke on="f" joinstyle="miter"/>
            <v:imagedata r:id="rId249" o:title=""/>
            <o:lock v:ext="edit" aspectratio="t"/>
            <w10:wrap type="none"/>
            <w10:anchorlock/>
          </v:shape>
          <o:OLEObject Type="Embed" ProgID="Equation.DSMT4" ShapeID="_x0000_i1140" DrawAspect="Content" ObjectID="_1468075839" r:id="rId248">
            <o:LockedField>false</o:LockedField>
          </o:OLEObject>
        </w:object>
      </w:r>
      <w:r>
        <w:rPr>
          <w:sz w:val="21"/>
          <w:szCs w:val="21"/>
          <w:highlight w:val="none"/>
        </w:rPr>
        <w:t>应乘以0.8进行折减，</w:t>
      </w:r>
      <w:r>
        <w:rPr>
          <w:i/>
          <w:iCs/>
          <w:sz w:val="21"/>
          <w:szCs w:val="21"/>
          <w:highlight w:val="none"/>
        </w:rPr>
        <w:t>f</w:t>
      </w:r>
      <w:r>
        <w:rPr>
          <w:sz w:val="21"/>
          <w:szCs w:val="21"/>
          <w:highlight w:val="none"/>
        </w:rPr>
        <w:t>为</w:t>
      </w:r>
      <w:r>
        <w:rPr>
          <w:rFonts w:hint="eastAsia"/>
          <w:sz w:val="21"/>
          <w:szCs w:val="21"/>
          <w:highlight w:val="none"/>
        </w:rPr>
        <w:t>原砌体的抗压强度设计值和实测值二者中较小值</w:t>
      </w:r>
      <w:r>
        <w:rPr>
          <w:sz w:val="21"/>
          <w:szCs w:val="21"/>
          <w:highlight w:val="none"/>
        </w:rPr>
        <w:t>。</w:t>
      </w:r>
    </w:p>
    <w:tbl>
      <w:tblPr>
        <w:tblStyle w:val="23"/>
        <w:tblW w:w="0" w:type="auto"/>
        <w:tblInd w:w="0" w:type="dxa"/>
        <w:tblLayout w:type="fixed"/>
        <w:tblCellMar>
          <w:top w:w="0" w:type="dxa"/>
          <w:left w:w="108" w:type="dxa"/>
          <w:bottom w:w="0" w:type="dxa"/>
          <w:right w:w="108" w:type="dxa"/>
        </w:tblCellMar>
      </w:tblPr>
      <w:tblGrid>
        <w:gridCol w:w="1526"/>
        <w:gridCol w:w="8320"/>
      </w:tblGrid>
      <w:tr>
        <w:tblPrEx>
          <w:tblCellMar>
            <w:top w:w="0" w:type="dxa"/>
            <w:left w:w="108" w:type="dxa"/>
            <w:bottom w:w="0" w:type="dxa"/>
            <w:right w:w="108" w:type="dxa"/>
          </w:tblCellMar>
        </w:tblPrEx>
        <w:trPr>
          <w:trHeight w:val="630" w:hRule="atLeast"/>
        </w:trPr>
        <w:tc>
          <w:tcPr>
            <w:tcW w:w="1526" w:type="dxa"/>
          </w:tcPr>
          <w:p>
            <w:pPr>
              <w:tabs>
                <w:tab w:val="left" w:pos="2565"/>
              </w:tabs>
              <w:adjustRightInd w:val="0"/>
              <w:snapToGrid w:val="0"/>
              <w:spacing w:line="264" w:lineRule="auto"/>
              <w:jc w:val="right"/>
              <w:rPr>
                <w:kern w:val="0"/>
                <w:sz w:val="24"/>
                <w:szCs w:val="28"/>
                <w:highlight w:val="none"/>
              </w:rPr>
            </w:pPr>
            <w:r>
              <w:rPr>
                <w:sz w:val="24"/>
                <w:szCs w:val="28"/>
                <w:highlight w:val="none"/>
              </w:rPr>
              <w:t>式中：</w:t>
            </w:r>
            <w:r>
              <w:rPr>
                <w:position w:val="-14"/>
                <w:sz w:val="24"/>
                <w:szCs w:val="28"/>
                <w:highlight w:val="none"/>
              </w:rPr>
              <w:object>
                <v:shape id="_x0000_i1141" o:spt="75" type="#_x0000_t75" style="height:17.8pt;width:15.05pt;" o:ole="t" filled="f" o:preferrelative="t" stroked="f" coordsize="21600,21600">
                  <v:path/>
                  <v:fill on="f" focussize="0,0"/>
                  <v:stroke on="f" joinstyle="miter"/>
                  <v:imagedata r:id="rId251" o:title=""/>
                  <o:lock v:ext="edit" aspectratio="t"/>
                  <w10:wrap type="none"/>
                  <w10:anchorlock/>
                </v:shape>
                <o:OLEObject Type="Embed" ProgID="Equation.DSMT4" ShapeID="_x0000_i1141" DrawAspect="Content" ObjectID="_1468075840" r:id="rId250">
                  <o:LockedField>false</o:LockedField>
                </o:OLEObject>
              </w:object>
            </w:r>
            <w:r>
              <w:rPr>
                <w:kern w:val="0"/>
                <w:position w:val="-4"/>
                <w:sz w:val="24"/>
                <w:szCs w:val="28"/>
                <w:highlight w:val="none"/>
              </w:rPr>
              <w:t>——</w:t>
            </w:r>
          </w:p>
        </w:tc>
        <w:tc>
          <w:tcPr>
            <w:tcW w:w="8320" w:type="dxa"/>
            <w:vAlign w:val="center"/>
          </w:tcPr>
          <w:p>
            <w:pPr>
              <w:snapToGrid w:val="0"/>
              <w:spacing w:line="320" w:lineRule="atLeast"/>
              <w:ind w:left="-105" w:leftChars="-50"/>
              <w:rPr>
                <w:kern w:val="0"/>
                <w:sz w:val="24"/>
                <w:szCs w:val="28"/>
                <w:highlight w:val="none"/>
              </w:rPr>
            </w:pPr>
          </w:p>
          <w:p>
            <w:pPr>
              <w:snapToGrid w:val="0"/>
              <w:spacing w:line="320" w:lineRule="atLeast"/>
              <w:ind w:left="-105" w:leftChars="-50"/>
              <w:rPr>
                <w:kern w:val="0"/>
                <w:sz w:val="24"/>
                <w:szCs w:val="28"/>
                <w:highlight w:val="none"/>
              </w:rPr>
            </w:pPr>
            <w:r>
              <w:rPr>
                <w:kern w:val="0"/>
                <w:sz w:val="24"/>
                <w:szCs w:val="28"/>
                <w:highlight w:val="none"/>
              </w:rPr>
              <w:t>高延性混凝土加固后第</w:t>
            </w:r>
            <w:r>
              <w:rPr>
                <w:i/>
                <w:kern w:val="0"/>
                <w:sz w:val="24"/>
                <w:szCs w:val="28"/>
                <w:highlight w:val="none"/>
              </w:rPr>
              <w:t>i</w:t>
            </w:r>
            <w:r>
              <w:rPr>
                <w:kern w:val="0"/>
                <w:sz w:val="24"/>
                <w:szCs w:val="28"/>
                <w:highlight w:val="none"/>
              </w:rPr>
              <w:t>楼层抗震能力的增强系数；</w:t>
            </w:r>
          </w:p>
        </w:tc>
      </w:tr>
      <w:tr>
        <w:tblPrEx>
          <w:tblCellMar>
            <w:top w:w="0" w:type="dxa"/>
            <w:left w:w="108" w:type="dxa"/>
            <w:bottom w:w="0" w:type="dxa"/>
            <w:right w:w="108" w:type="dxa"/>
          </w:tblCellMar>
        </w:tblPrEx>
        <w:trPr>
          <w:trHeight w:val="397" w:hRule="atLeast"/>
        </w:trPr>
        <w:tc>
          <w:tcPr>
            <w:tcW w:w="1526" w:type="dxa"/>
          </w:tcPr>
          <w:p>
            <w:pPr>
              <w:snapToGrid w:val="0"/>
              <w:spacing w:line="320" w:lineRule="atLeast"/>
              <w:ind w:right="-105" w:rightChars="-50"/>
              <w:jc w:val="right"/>
              <w:rPr>
                <w:kern w:val="0"/>
                <w:sz w:val="24"/>
                <w:szCs w:val="28"/>
                <w:highlight w:val="none"/>
              </w:rPr>
            </w:pPr>
            <w:r>
              <w:rPr>
                <w:position w:val="-14"/>
                <w:sz w:val="24"/>
                <w:szCs w:val="28"/>
                <w:highlight w:val="none"/>
              </w:rPr>
              <w:object>
                <v:shape id="_x0000_i1142" o:spt="75" type="#_x0000_t75" style="height:17.8pt;width:16.6pt;" o:ole="t" filled="f" o:preferrelative="t" stroked="f" coordsize="21600,21600">
                  <v:path/>
                  <v:fill on="f" focussize="0,0"/>
                  <v:stroke on="f" joinstyle="miter"/>
                  <v:imagedata r:id="rId253" o:title=""/>
                  <o:lock v:ext="edit" aspectratio="t"/>
                  <w10:wrap type="none"/>
                  <w10:anchorlock/>
                </v:shape>
                <o:OLEObject Type="Embed" ProgID="Equation.DSMT4" ShapeID="_x0000_i1142" DrawAspect="Content" ObjectID="_1468075841" r:id="rId252">
                  <o:LockedField>false</o:LockedField>
                </o:OLEObject>
              </w:object>
            </w:r>
            <w:r>
              <w:rPr>
                <w:kern w:val="0"/>
                <w:position w:val="-4"/>
                <w:sz w:val="24"/>
                <w:szCs w:val="28"/>
                <w:highlight w:val="none"/>
              </w:rPr>
              <w:t>——</w:t>
            </w:r>
          </w:p>
        </w:tc>
        <w:tc>
          <w:tcPr>
            <w:tcW w:w="8320" w:type="dxa"/>
            <w:vAlign w:val="center"/>
          </w:tcPr>
          <w:p>
            <w:pPr>
              <w:snapToGrid w:val="0"/>
              <w:spacing w:line="320" w:lineRule="atLeast"/>
              <w:ind w:left="-105" w:leftChars="-50"/>
              <w:rPr>
                <w:kern w:val="0"/>
                <w:sz w:val="24"/>
                <w:szCs w:val="28"/>
                <w:highlight w:val="none"/>
              </w:rPr>
            </w:pPr>
            <w:r>
              <w:rPr>
                <w:kern w:val="0"/>
                <w:sz w:val="24"/>
                <w:szCs w:val="28"/>
                <w:highlight w:val="none"/>
              </w:rPr>
              <w:t>第</w:t>
            </w:r>
            <w:r>
              <w:rPr>
                <w:i/>
                <w:kern w:val="0"/>
                <w:sz w:val="24"/>
                <w:szCs w:val="28"/>
                <w:highlight w:val="none"/>
              </w:rPr>
              <w:t>i</w:t>
            </w:r>
            <w:r>
              <w:rPr>
                <w:kern w:val="0"/>
                <w:sz w:val="24"/>
                <w:szCs w:val="28"/>
                <w:highlight w:val="none"/>
              </w:rPr>
              <w:t>楼层第</w:t>
            </w:r>
            <w:r>
              <w:rPr>
                <w:i/>
                <w:kern w:val="0"/>
                <w:sz w:val="24"/>
                <w:szCs w:val="28"/>
                <w:highlight w:val="none"/>
              </w:rPr>
              <w:t>j</w:t>
            </w:r>
            <w:r>
              <w:rPr>
                <w:kern w:val="0"/>
                <w:sz w:val="24"/>
                <w:szCs w:val="28"/>
                <w:highlight w:val="none"/>
              </w:rPr>
              <w:t>墙段高延性混凝土面层加固的增强系数；</w:t>
            </w:r>
            <w:r>
              <w:rPr>
                <w:rFonts w:hint="eastAsia"/>
                <w:kern w:val="0"/>
                <w:sz w:val="24"/>
                <w:szCs w:val="28"/>
                <w:highlight w:val="none"/>
              </w:rPr>
              <w:t>高延性混凝土面层加固时，</w:t>
            </w:r>
            <w:r>
              <w:rPr>
                <w:position w:val="-14"/>
                <w:sz w:val="24"/>
                <w:szCs w:val="28"/>
                <w:highlight w:val="none"/>
              </w:rPr>
              <w:object>
                <v:shape id="_x0000_i1143" o:spt="75" type="#_x0000_t75" style="height:17.8pt;width:16.6pt;" o:ole="t" filled="f" o:preferrelative="t" stroked="f" coordsize="21600,21600">
                  <v:path/>
                  <v:fill on="f" focussize="0,0"/>
                  <v:stroke on="f" joinstyle="miter"/>
                  <v:imagedata r:id="rId253" o:title=""/>
                  <o:lock v:ext="edit" aspectratio="t"/>
                  <w10:wrap type="none"/>
                  <w10:anchorlock/>
                </v:shape>
                <o:OLEObject Type="Embed" ProgID="Equation.DSMT4" ShapeID="_x0000_i1143" DrawAspect="Content" ObjectID="_1468075842" r:id="rId254">
                  <o:LockedField>false</o:LockedField>
                </o:OLEObject>
              </w:object>
            </w:r>
            <w:r>
              <w:rPr>
                <w:rFonts w:hint="eastAsia"/>
                <w:kern w:val="0"/>
                <w:sz w:val="24"/>
                <w:szCs w:val="28"/>
                <w:highlight w:val="none"/>
              </w:rPr>
              <w:t>取值不大于3</w:t>
            </w:r>
            <w:r>
              <w:rPr>
                <w:kern w:val="0"/>
                <w:sz w:val="24"/>
                <w:szCs w:val="28"/>
                <w:highlight w:val="none"/>
              </w:rPr>
              <w:t>.00</w:t>
            </w:r>
            <w:r>
              <w:rPr>
                <w:rFonts w:hint="eastAsia"/>
                <w:kern w:val="0"/>
                <w:sz w:val="24"/>
                <w:szCs w:val="28"/>
                <w:highlight w:val="none"/>
              </w:rPr>
              <w:t>；配筋高延性混凝土面层加固时，</w:t>
            </w:r>
            <w:r>
              <w:rPr>
                <w:position w:val="-14"/>
                <w:sz w:val="24"/>
                <w:szCs w:val="28"/>
                <w:highlight w:val="none"/>
              </w:rPr>
              <w:object>
                <v:shape id="_x0000_i1144" o:spt="75" type="#_x0000_t75" style="height:17.8pt;width:16.6pt;" o:ole="t" filled="f" o:preferrelative="t" stroked="f" coordsize="21600,21600">
                  <v:path/>
                  <v:fill on="f" focussize="0,0"/>
                  <v:stroke on="f" joinstyle="miter"/>
                  <v:imagedata r:id="rId253" o:title=""/>
                  <o:lock v:ext="edit" aspectratio="t"/>
                  <w10:wrap type="none"/>
                  <w10:anchorlock/>
                </v:shape>
                <o:OLEObject Type="Embed" ProgID="Equation.DSMT4" ShapeID="_x0000_i1144" DrawAspect="Content" ObjectID="_1468075843" r:id="rId255">
                  <o:LockedField>false</o:LockedField>
                </o:OLEObject>
              </w:object>
            </w:r>
            <w:r>
              <w:rPr>
                <w:rFonts w:hint="eastAsia"/>
                <w:kern w:val="0"/>
                <w:sz w:val="24"/>
                <w:szCs w:val="28"/>
                <w:highlight w:val="none"/>
              </w:rPr>
              <w:t>取值不大于5</w:t>
            </w:r>
            <w:r>
              <w:rPr>
                <w:kern w:val="0"/>
                <w:sz w:val="24"/>
                <w:szCs w:val="28"/>
                <w:highlight w:val="none"/>
              </w:rPr>
              <w:t>.00</w:t>
            </w:r>
            <w:r>
              <w:rPr>
                <w:rFonts w:hint="eastAsia"/>
                <w:kern w:val="0"/>
                <w:sz w:val="24"/>
                <w:szCs w:val="28"/>
                <w:highlight w:val="none"/>
              </w:rPr>
              <w:t>；</w:t>
            </w:r>
          </w:p>
        </w:tc>
      </w:tr>
      <w:tr>
        <w:tblPrEx>
          <w:tblCellMar>
            <w:top w:w="0" w:type="dxa"/>
            <w:left w:w="108" w:type="dxa"/>
            <w:bottom w:w="0" w:type="dxa"/>
            <w:right w:w="108" w:type="dxa"/>
          </w:tblCellMar>
        </w:tblPrEx>
        <w:trPr>
          <w:trHeight w:val="397" w:hRule="atLeast"/>
        </w:trPr>
        <w:tc>
          <w:tcPr>
            <w:tcW w:w="1526" w:type="dxa"/>
          </w:tcPr>
          <w:p>
            <w:pPr>
              <w:snapToGrid w:val="0"/>
              <w:spacing w:line="320" w:lineRule="atLeast"/>
              <w:ind w:right="-105" w:rightChars="-50"/>
              <w:jc w:val="right"/>
              <w:rPr>
                <w:kern w:val="0"/>
                <w:sz w:val="24"/>
                <w:szCs w:val="28"/>
                <w:highlight w:val="none"/>
              </w:rPr>
            </w:pPr>
            <w:r>
              <w:rPr>
                <w:position w:val="-10"/>
                <w:sz w:val="24"/>
                <w:szCs w:val="28"/>
                <w:highlight w:val="none"/>
              </w:rPr>
              <w:object>
                <v:shape id="_x0000_i1145" o:spt="75" type="#_x0000_t75" style="height:15.05pt;width:15.05pt;" o:ole="t" filled="f" o:preferrelative="t" stroked="f" coordsize="21600,21600">
                  <v:path/>
                  <v:fill on="f" focussize="0,0"/>
                  <v:stroke on="f" joinstyle="miter"/>
                  <v:imagedata r:id="rId257" o:title=""/>
                  <o:lock v:ext="edit" aspectratio="t"/>
                  <w10:wrap type="none"/>
                  <w10:anchorlock/>
                </v:shape>
                <o:OLEObject Type="Embed" ProgID="Equation.DSMT4" ShapeID="_x0000_i1145" DrawAspect="Content" ObjectID="_1468075844" r:id="rId256">
                  <o:LockedField>false</o:LockedField>
                </o:OLEObject>
              </w:object>
            </w:r>
            <w:r>
              <w:rPr>
                <w:kern w:val="0"/>
                <w:position w:val="-4"/>
                <w:sz w:val="24"/>
                <w:szCs w:val="28"/>
                <w:highlight w:val="none"/>
              </w:rPr>
              <w:t>——</w:t>
            </w:r>
          </w:p>
        </w:tc>
        <w:tc>
          <w:tcPr>
            <w:tcW w:w="8320" w:type="dxa"/>
            <w:vAlign w:val="center"/>
          </w:tcPr>
          <w:p>
            <w:pPr>
              <w:snapToGrid w:val="0"/>
              <w:spacing w:line="320" w:lineRule="atLeast"/>
              <w:ind w:left="-105" w:leftChars="-50"/>
              <w:rPr>
                <w:kern w:val="0"/>
                <w:sz w:val="24"/>
                <w:szCs w:val="28"/>
                <w:highlight w:val="none"/>
              </w:rPr>
            </w:pPr>
            <w:r>
              <w:rPr>
                <w:kern w:val="0"/>
                <w:sz w:val="24"/>
                <w:szCs w:val="28"/>
                <w:highlight w:val="none"/>
              </w:rPr>
              <w:t>第</w:t>
            </w:r>
            <w:r>
              <w:rPr>
                <w:i/>
                <w:kern w:val="0"/>
                <w:sz w:val="24"/>
                <w:szCs w:val="28"/>
                <w:highlight w:val="none"/>
              </w:rPr>
              <w:t>i</w:t>
            </w:r>
            <w:r>
              <w:rPr>
                <w:kern w:val="0"/>
                <w:sz w:val="24"/>
                <w:szCs w:val="28"/>
                <w:highlight w:val="none"/>
              </w:rPr>
              <w:t>楼层中验算方向原有抗震墙在1/2层高处净截面的面积；</w:t>
            </w:r>
          </w:p>
        </w:tc>
      </w:tr>
      <w:tr>
        <w:tblPrEx>
          <w:tblCellMar>
            <w:top w:w="0" w:type="dxa"/>
            <w:left w:w="108" w:type="dxa"/>
            <w:bottom w:w="0" w:type="dxa"/>
            <w:right w:w="108" w:type="dxa"/>
          </w:tblCellMar>
        </w:tblPrEx>
        <w:trPr>
          <w:trHeight w:val="397" w:hRule="atLeast"/>
        </w:trPr>
        <w:tc>
          <w:tcPr>
            <w:tcW w:w="1526" w:type="dxa"/>
          </w:tcPr>
          <w:p>
            <w:pPr>
              <w:snapToGrid w:val="0"/>
              <w:spacing w:line="320" w:lineRule="atLeast"/>
              <w:ind w:right="-105" w:rightChars="-50"/>
              <w:jc w:val="right"/>
              <w:rPr>
                <w:kern w:val="0"/>
                <w:sz w:val="24"/>
                <w:szCs w:val="28"/>
                <w:highlight w:val="none"/>
              </w:rPr>
            </w:pPr>
            <w:r>
              <w:rPr>
                <w:position w:val="-14"/>
                <w:sz w:val="24"/>
                <w:szCs w:val="28"/>
                <w:highlight w:val="none"/>
              </w:rPr>
              <w:object>
                <v:shape id="_x0000_i1146" o:spt="75" type="#_x0000_t75" style="height:17.8pt;width:19pt;" o:ole="t" filled="f" o:preferrelative="t" stroked="f" coordsize="21600,21600">
                  <v:path/>
                  <v:fill on="f" focussize="0,0"/>
                  <v:stroke on="f" joinstyle="miter"/>
                  <v:imagedata r:id="rId259" o:title=""/>
                  <o:lock v:ext="edit" aspectratio="t"/>
                  <w10:wrap type="none"/>
                  <w10:anchorlock/>
                </v:shape>
                <o:OLEObject Type="Embed" ProgID="Equation.DSMT4" ShapeID="_x0000_i1146" DrawAspect="Content" ObjectID="_1468075845" r:id="rId258">
                  <o:LockedField>false</o:LockedField>
                </o:OLEObject>
              </w:object>
            </w:r>
            <w:r>
              <w:rPr>
                <w:kern w:val="0"/>
                <w:sz w:val="24"/>
                <w:szCs w:val="28"/>
                <w:highlight w:val="none"/>
              </w:rPr>
              <w:t>——</w:t>
            </w:r>
          </w:p>
        </w:tc>
        <w:tc>
          <w:tcPr>
            <w:tcW w:w="8320" w:type="dxa"/>
            <w:vAlign w:val="center"/>
          </w:tcPr>
          <w:p>
            <w:pPr>
              <w:snapToGrid w:val="0"/>
              <w:spacing w:line="320" w:lineRule="atLeast"/>
              <w:ind w:left="-105" w:leftChars="-50"/>
              <w:rPr>
                <w:kern w:val="0"/>
                <w:sz w:val="24"/>
                <w:szCs w:val="28"/>
                <w:highlight w:val="none"/>
              </w:rPr>
            </w:pPr>
            <w:r>
              <w:rPr>
                <w:kern w:val="0"/>
                <w:sz w:val="24"/>
                <w:szCs w:val="28"/>
                <w:highlight w:val="none"/>
              </w:rPr>
              <w:t>第</w:t>
            </w:r>
            <w:r>
              <w:rPr>
                <w:i/>
                <w:kern w:val="0"/>
                <w:sz w:val="24"/>
                <w:szCs w:val="28"/>
                <w:highlight w:val="none"/>
              </w:rPr>
              <w:t>i</w:t>
            </w:r>
            <w:r>
              <w:rPr>
                <w:kern w:val="0"/>
                <w:sz w:val="24"/>
                <w:szCs w:val="28"/>
                <w:highlight w:val="none"/>
              </w:rPr>
              <w:t>楼层中验算方向面层加固的抗震墙</w:t>
            </w:r>
            <w:r>
              <w:rPr>
                <w:i/>
                <w:kern w:val="0"/>
                <w:sz w:val="24"/>
                <w:szCs w:val="28"/>
                <w:highlight w:val="none"/>
              </w:rPr>
              <w:t>j</w:t>
            </w:r>
            <w:r>
              <w:rPr>
                <w:kern w:val="0"/>
                <w:sz w:val="24"/>
                <w:szCs w:val="28"/>
                <w:highlight w:val="none"/>
              </w:rPr>
              <w:t>墙段在1/2层高处净截面的面积；</w:t>
            </w:r>
          </w:p>
        </w:tc>
      </w:tr>
      <w:tr>
        <w:tblPrEx>
          <w:tblCellMar>
            <w:top w:w="0" w:type="dxa"/>
            <w:left w:w="108" w:type="dxa"/>
            <w:bottom w:w="0" w:type="dxa"/>
            <w:right w:w="108" w:type="dxa"/>
          </w:tblCellMar>
        </w:tblPrEx>
        <w:trPr>
          <w:trHeight w:val="397" w:hRule="atLeast"/>
        </w:trPr>
        <w:tc>
          <w:tcPr>
            <w:tcW w:w="1526" w:type="dxa"/>
          </w:tcPr>
          <w:p>
            <w:pPr>
              <w:snapToGrid w:val="0"/>
              <w:spacing w:line="320" w:lineRule="atLeast"/>
              <w:ind w:right="-105" w:rightChars="-50"/>
              <w:jc w:val="right"/>
              <w:rPr>
                <w:kern w:val="0"/>
                <w:sz w:val="24"/>
                <w:szCs w:val="28"/>
                <w:highlight w:val="none"/>
              </w:rPr>
            </w:pPr>
            <w:r>
              <w:rPr>
                <w:position w:val="-6"/>
                <w:sz w:val="24"/>
                <w:szCs w:val="28"/>
                <w:highlight w:val="none"/>
              </w:rPr>
              <w:object>
                <v:shape id="_x0000_i1147" o:spt="75" type="#_x0000_t75" style="height:9.9pt;width:8.7pt;" o:ole="t" filled="f" o:preferrelative="t" stroked="f" coordsize="21600,21600">
                  <v:path/>
                  <v:fill on="f" focussize="0,0"/>
                  <v:stroke on="f" joinstyle="miter"/>
                  <v:imagedata r:id="rId261" o:title=""/>
                  <o:lock v:ext="edit" aspectratio="t"/>
                  <w10:wrap type="none"/>
                  <w10:anchorlock/>
                </v:shape>
                <o:OLEObject Type="Embed" ProgID="Equation.DSMT4" ShapeID="_x0000_i1147" DrawAspect="Content" ObjectID="_1468075846" r:id="rId260">
                  <o:LockedField>false</o:LockedField>
                </o:OLEObject>
              </w:object>
            </w:r>
            <w:r>
              <w:rPr>
                <w:kern w:val="0"/>
                <w:sz w:val="24"/>
                <w:szCs w:val="28"/>
                <w:highlight w:val="none"/>
              </w:rPr>
              <w:t>——</w:t>
            </w:r>
          </w:p>
        </w:tc>
        <w:tc>
          <w:tcPr>
            <w:tcW w:w="8320" w:type="dxa"/>
            <w:vAlign w:val="center"/>
          </w:tcPr>
          <w:p>
            <w:pPr>
              <w:snapToGrid w:val="0"/>
              <w:spacing w:line="320" w:lineRule="atLeast"/>
              <w:ind w:left="-105" w:leftChars="-50"/>
              <w:rPr>
                <w:kern w:val="0"/>
                <w:sz w:val="24"/>
                <w:szCs w:val="28"/>
                <w:highlight w:val="none"/>
              </w:rPr>
            </w:pPr>
            <w:r>
              <w:rPr>
                <w:kern w:val="0"/>
                <w:sz w:val="24"/>
                <w:szCs w:val="28"/>
                <w:highlight w:val="none"/>
              </w:rPr>
              <w:t>第</w:t>
            </w:r>
            <w:r>
              <w:rPr>
                <w:i/>
                <w:kern w:val="0"/>
                <w:sz w:val="24"/>
                <w:szCs w:val="28"/>
                <w:highlight w:val="none"/>
              </w:rPr>
              <w:t>i</w:t>
            </w:r>
            <w:r>
              <w:rPr>
                <w:kern w:val="0"/>
                <w:sz w:val="24"/>
                <w:szCs w:val="28"/>
                <w:highlight w:val="none"/>
              </w:rPr>
              <w:t>楼层中验算方向上的面层加固抗震墙的道数；</w:t>
            </w:r>
          </w:p>
        </w:tc>
      </w:tr>
      <w:tr>
        <w:tblPrEx>
          <w:tblCellMar>
            <w:top w:w="0" w:type="dxa"/>
            <w:left w:w="108" w:type="dxa"/>
            <w:bottom w:w="0" w:type="dxa"/>
            <w:right w:w="108" w:type="dxa"/>
          </w:tblCellMar>
        </w:tblPrEx>
        <w:trPr>
          <w:trHeight w:val="397" w:hRule="atLeast"/>
        </w:trPr>
        <w:tc>
          <w:tcPr>
            <w:tcW w:w="1526" w:type="dxa"/>
          </w:tcPr>
          <w:p>
            <w:pPr>
              <w:snapToGrid w:val="0"/>
              <w:spacing w:line="312" w:lineRule="auto"/>
              <w:ind w:right="-105" w:rightChars="-50"/>
              <w:jc w:val="right"/>
              <w:rPr>
                <w:kern w:val="0"/>
                <w:sz w:val="24"/>
                <w:szCs w:val="28"/>
                <w:highlight w:val="none"/>
              </w:rPr>
            </w:pPr>
            <w:r>
              <w:rPr>
                <w:position w:val="-10"/>
                <w:sz w:val="24"/>
                <w:szCs w:val="28"/>
                <w:highlight w:val="none"/>
              </w:rPr>
              <w:object>
                <v:shape id="_x0000_i1148" o:spt="75" type="#_x0000_t75" style="height:15.8pt;width:19pt;" o:ole="t" filled="f" o:preferrelative="t" stroked="f" coordsize="21600,21600">
                  <v:path/>
                  <v:fill on="f" focussize="0,0"/>
                  <v:stroke on="f" joinstyle="miter"/>
                  <v:imagedata r:id="rId263" o:title=""/>
                  <o:lock v:ext="edit" aspectratio="t"/>
                  <w10:wrap type="none"/>
                  <w10:anchorlock/>
                </v:shape>
                <o:OLEObject Type="Embed" ProgID="Equation.DSMT4" ShapeID="_x0000_i1148" DrawAspect="Content" ObjectID="_1468075847" r:id="rId262">
                  <o:LockedField>false</o:LockedField>
                </o:OLEObject>
              </w:object>
            </w:r>
            <w:r>
              <w:rPr>
                <w:kern w:val="0"/>
                <w:position w:val="-4"/>
                <w:sz w:val="24"/>
                <w:szCs w:val="28"/>
                <w:highlight w:val="none"/>
              </w:rPr>
              <w:t>——</w:t>
            </w:r>
          </w:p>
        </w:tc>
        <w:tc>
          <w:tcPr>
            <w:tcW w:w="8320" w:type="dxa"/>
            <w:vAlign w:val="center"/>
          </w:tcPr>
          <w:p>
            <w:pPr>
              <w:snapToGrid w:val="0"/>
              <w:spacing w:line="312" w:lineRule="auto"/>
              <w:ind w:left="-105" w:leftChars="-50"/>
              <w:rPr>
                <w:kern w:val="0"/>
                <w:sz w:val="24"/>
                <w:szCs w:val="28"/>
                <w:highlight w:val="none"/>
              </w:rPr>
            </w:pPr>
            <w:r>
              <w:rPr>
                <w:kern w:val="0"/>
                <w:sz w:val="24"/>
                <w:szCs w:val="28"/>
                <w:highlight w:val="none"/>
              </w:rPr>
              <w:t>原</w:t>
            </w:r>
            <w:r>
              <w:rPr>
                <w:rFonts w:hint="eastAsia"/>
                <w:kern w:val="0"/>
                <w:sz w:val="24"/>
                <w:szCs w:val="28"/>
                <w:highlight w:val="none"/>
              </w:rPr>
              <w:t>砌体</w:t>
            </w:r>
            <w:r>
              <w:rPr>
                <w:kern w:val="0"/>
                <w:sz w:val="24"/>
                <w:szCs w:val="28"/>
                <w:highlight w:val="none"/>
              </w:rPr>
              <w:t>截面抗震受剪承载力，可按现行国家标准《砌体结构设计规范》GB 50003计算</w:t>
            </w:r>
            <w:r>
              <w:rPr>
                <w:rFonts w:hint="eastAsia"/>
                <w:kern w:val="0"/>
                <w:sz w:val="24"/>
                <w:szCs w:val="28"/>
                <w:highlight w:val="none"/>
              </w:rPr>
              <w:t>。</w:t>
            </w:r>
          </w:p>
        </w:tc>
      </w:tr>
    </w:tbl>
    <w:p>
      <w:pPr>
        <w:snapToGrid w:val="0"/>
        <w:spacing w:line="312" w:lineRule="auto"/>
        <w:rPr>
          <w:sz w:val="24"/>
          <w:szCs w:val="28"/>
          <w:highlight w:val="none"/>
        </w:rPr>
      </w:pPr>
      <w:r>
        <w:rPr>
          <w:b/>
          <w:sz w:val="24"/>
          <w:szCs w:val="28"/>
          <w:highlight w:val="none"/>
        </w:rPr>
        <w:t>5.4.5</w:t>
      </w:r>
      <w:r>
        <w:rPr>
          <w:sz w:val="24"/>
          <w:szCs w:val="28"/>
          <w:highlight w:val="none"/>
        </w:rPr>
        <w:t xml:space="preserve">  高延性混凝土面层或配筋高延性混凝土面层加固采用综合抗震能力指数验算时，有关构件支承长度的影响系数应作相应改变，有关墙体局部尺寸的影响系数应取1.0。</w:t>
      </w:r>
    </w:p>
    <w:p>
      <w:pPr>
        <w:spacing w:line="312" w:lineRule="auto"/>
        <w:rPr>
          <w:sz w:val="24"/>
          <w:szCs w:val="28"/>
          <w:highlight w:val="none"/>
        </w:rPr>
      </w:pPr>
      <w:r>
        <w:rPr>
          <w:b/>
          <w:sz w:val="24"/>
          <w:szCs w:val="28"/>
          <w:highlight w:val="none"/>
        </w:rPr>
        <w:t>5.4.</w:t>
      </w:r>
      <w:r>
        <w:rPr>
          <w:rFonts w:hint="eastAsia"/>
          <w:b/>
          <w:sz w:val="24"/>
          <w:szCs w:val="28"/>
          <w:highlight w:val="none"/>
        </w:rPr>
        <w:t>6</w:t>
      </w:r>
      <w:r>
        <w:rPr>
          <w:sz w:val="24"/>
          <w:szCs w:val="28"/>
          <w:highlight w:val="none"/>
        </w:rPr>
        <w:t xml:space="preserve">  采用高延性混凝土面层或配筋高延性混凝土面层加固后，墙体的侧向刚度应按下列公式计算： </w:t>
      </w:r>
    </w:p>
    <w:p>
      <w:pPr>
        <w:spacing w:line="312" w:lineRule="auto"/>
        <w:ind w:firstLine="482" w:firstLineChars="200"/>
        <w:rPr>
          <w:sz w:val="24"/>
          <w:szCs w:val="28"/>
          <w:highlight w:val="none"/>
        </w:rPr>
      </w:pPr>
      <w:r>
        <w:rPr>
          <w:b/>
          <w:bCs/>
          <w:sz w:val="24"/>
          <w:szCs w:val="28"/>
          <w:highlight w:val="none"/>
        </w:rPr>
        <w:t>1</w:t>
      </w:r>
      <w:r>
        <w:rPr>
          <w:sz w:val="24"/>
          <w:szCs w:val="28"/>
          <w:highlight w:val="none"/>
        </w:rPr>
        <w:t xml:space="preserve">  墙体高宽比小于1时，可只计算剪切变形：</w:t>
      </w:r>
    </w:p>
    <w:p>
      <w:pPr>
        <w:tabs>
          <w:tab w:val="left" w:pos="2565"/>
        </w:tabs>
        <w:wordWrap w:val="0"/>
        <w:adjustRightInd w:val="0"/>
        <w:spacing w:line="312" w:lineRule="auto"/>
        <w:jc w:val="right"/>
        <w:rPr>
          <w:sz w:val="24"/>
          <w:szCs w:val="28"/>
          <w:highlight w:val="none"/>
        </w:rPr>
      </w:pPr>
      <w:r>
        <w:rPr>
          <w:position w:val="-26"/>
          <w:sz w:val="24"/>
          <w:szCs w:val="28"/>
          <w:highlight w:val="none"/>
        </w:rPr>
        <w:object>
          <v:shape id="_x0000_i1149" o:spt="75" type="#_x0000_t75" style="height:31.65pt;width:50.65pt;" o:ole="t" filled="f" o:preferrelative="t" stroked="f" coordsize="21600,21600">
            <v:path/>
            <v:fill on="f" focussize="0,0"/>
            <v:stroke on="f" joinstyle="miter"/>
            <v:imagedata r:id="rId265" o:title=""/>
            <o:lock v:ext="edit" aspectratio="f"/>
            <w10:wrap type="none"/>
            <w10:anchorlock/>
          </v:shape>
          <o:OLEObject Type="Embed" ProgID="Equation.DSMT4" ShapeID="_x0000_i1149" DrawAspect="Content" ObjectID="_1468075848" r:id="rId264">
            <o:LockedField>false</o:LockedField>
          </o:OLEObject>
        </w:object>
      </w:r>
      <w:r>
        <w:rPr>
          <w:sz w:val="24"/>
          <w:szCs w:val="28"/>
          <w:highlight w:val="none"/>
        </w:rPr>
        <w:t xml:space="preserve">          </w:t>
      </w:r>
      <w:r>
        <w:rPr>
          <w:rFonts w:hint="eastAsia"/>
          <w:sz w:val="24"/>
          <w:szCs w:val="28"/>
          <w:highlight w:val="none"/>
          <w:lang w:val="en-US" w:eastAsia="zh-CN"/>
        </w:rPr>
        <w:t xml:space="preserve">                 </w:t>
      </w:r>
      <w:r>
        <w:rPr>
          <w:sz w:val="24"/>
          <w:szCs w:val="28"/>
          <w:highlight w:val="none"/>
        </w:rPr>
        <w:t xml:space="preserve">     （5.4.</w:t>
      </w:r>
      <w:r>
        <w:rPr>
          <w:rFonts w:hint="eastAsia"/>
          <w:sz w:val="24"/>
          <w:szCs w:val="28"/>
          <w:highlight w:val="none"/>
        </w:rPr>
        <w:t>6</w:t>
      </w:r>
      <w:r>
        <w:rPr>
          <w:sz w:val="24"/>
          <w:szCs w:val="28"/>
          <w:highlight w:val="none"/>
        </w:rPr>
        <w:t>-1）</w:t>
      </w:r>
    </w:p>
    <w:p>
      <w:pPr>
        <w:spacing w:line="312" w:lineRule="auto"/>
        <w:ind w:firstLine="482" w:firstLineChars="200"/>
        <w:rPr>
          <w:sz w:val="24"/>
          <w:szCs w:val="28"/>
          <w:highlight w:val="none"/>
        </w:rPr>
      </w:pPr>
      <w:r>
        <w:rPr>
          <w:b/>
          <w:bCs/>
          <w:sz w:val="24"/>
          <w:szCs w:val="28"/>
          <w:highlight w:val="none"/>
        </w:rPr>
        <w:t>2</w:t>
      </w:r>
      <w:r>
        <w:rPr>
          <w:sz w:val="24"/>
          <w:szCs w:val="28"/>
          <w:highlight w:val="none"/>
        </w:rPr>
        <w:t xml:space="preserve">  墙体高宽比不大于4且不小于1时，应同时计算弯曲和剪切变形：</w:t>
      </w:r>
    </w:p>
    <w:p>
      <w:pPr>
        <w:tabs>
          <w:tab w:val="left" w:pos="2565"/>
        </w:tabs>
        <w:wordWrap w:val="0"/>
        <w:adjustRightInd w:val="0"/>
        <w:spacing w:line="312" w:lineRule="auto"/>
        <w:jc w:val="right"/>
        <w:rPr>
          <w:sz w:val="24"/>
          <w:szCs w:val="28"/>
          <w:highlight w:val="none"/>
        </w:rPr>
      </w:pPr>
      <w:r>
        <w:rPr>
          <w:position w:val="-54"/>
          <w:sz w:val="24"/>
          <w:szCs w:val="28"/>
          <w:highlight w:val="none"/>
        </w:rPr>
        <w:object>
          <v:shape id="_x0000_i1150" o:spt="75" type="#_x0000_t75" style="height:45.1pt;width:94.15pt;" o:ole="t" filled="f" o:preferrelative="t" stroked="f" coordsize="21600,21600">
            <v:path/>
            <v:fill on="f" focussize="0,0"/>
            <v:stroke on="f" joinstyle="miter"/>
            <v:imagedata r:id="rId267" o:title=""/>
            <o:lock v:ext="edit" aspectratio="t"/>
            <w10:wrap type="none"/>
            <w10:anchorlock/>
          </v:shape>
          <o:OLEObject Type="Embed" ProgID="Equation.DSMT4" ShapeID="_x0000_i1150" DrawAspect="Content" ObjectID="_1468075849" r:id="rId266">
            <o:LockedField>false</o:LockedField>
          </o:OLEObject>
        </w:object>
      </w:r>
      <w:r>
        <w:rPr>
          <w:sz w:val="24"/>
          <w:szCs w:val="28"/>
          <w:highlight w:val="none"/>
        </w:rPr>
        <w:t xml:space="preserve">      </w:t>
      </w:r>
      <w:r>
        <w:rPr>
          <w:rFonts w:hint="eastAsia"/>
          <w:sz w:val="24"/>
          <w:szCs w:val="28"/>
          <w:highlight w:val="none"/>
          <w:lang w:val="en-US" w:eastAsia="zh-CN"/>
        </w:rPr>
        <w:t xml:space="preserve">                </w:t>
      </w:r>
      <w:r>
        <w:rPr>
          <w:sz w:val="24"/>
          <w:szCs w:val="28"/>
          <w:highlight w:val="none"/>
        </w:rPr>
        <w:t xml:space="preserve">     （5.4.</w:t>
      </w:r>
      <w:r>
        <w:rPr>
          <w:rFonts w:hint="eastAsia"/>
          <w:sz w:val="24"/>
          <w:szCs w:val="28"/>
          <w:highlight w:val="none"/>
        </w:rPr>
        <w:t>6</w:t>
      </w:r>
      <w:r>
        <w:rPr>
          <w:sz w:val="24"/>
          <w:szCs w:val="28"/>
          <w:highlight w:val="none"/>
        </w:rPr>
        <w:t>-2）</w:t>
      </w:r>
    </w:p>
    <w:p>
      <w:pPr>
        <w:tabs>
          <w:tab w:val="left" w:pos="2565"/>
        </w:tabs>
        <w:wordWrap w:val="0"/>
        <w:adjustRightInd w:val="0"/>
        <w:spacing w:line="312" w:lineRule="auto"/>
        <w:jc w:val="right"/>
        <w:rPr>
          <w:sz w:val="24"/>
          <w:szCs w:val="28"/>
          <w:highlight w:val="none"/>
        </w:rPr>
      </w:pPr>
      <w:r>
        <w:rPr>
          <w:position w:val="-28"/>
          <w:sz w:val="24"/>
          <w:szCs w:val="28"/>
          <w:highlight w:val="none"/>
        </w:rPr>
        <w:object>
          <v:shape id="_x0000_i1151" o:spt="75" type="#_x0000_t75" style="height:31.65pt;width:83.85pt;" o:ole="t" filled="f" o:preferrelative="t" stroked="f" coordsize="21600,21600">
            <v:path/>
            <v:fill on="f" focussize="0,0"/>
            <v:stroke on="f" joinstyle="miter"/>
            <v:imagedata r:id="rId269" o:title=""/>
            <o:lock v:ext="edit" aspectratio="t"/>
            <w10:wrap type="none"/>
            <w10:anchorlock/>
          </v:shape>
          <o:OLEObject Type="Embed" ProgID="Equation.DSMT4" ShapeID="_x0000_i1151" DrawAspect="Content" ObjectID="_1468075850" r:id="rId268">
            <o:LockedField>false</o:LockedField>
          </o:OLEObject>
        </w:object>
      </w:r>
      <w:r>
        <w:rPr>
          <w:sz w:val="24"/>
          <w:szCs w:val="28"/>
          <w:highlight w:val="none"/>
        </w:rPr>
        <w:t xml:space="preserve">     </w:t>
      </w:r>
      <w:r>
        <w:rPr>
          <w:rFonts w:hint="eastAsia"/>
          <w:sz w:val="24"/>
          <w:szCs w:val="28"/>
          <w:highlight w:val="none"/>
          <w:lang w:val="en-US" w:eastAsia="zh-CN"/>
        </w:rPr>
        <w:t xml:space="preserve">                 </w:t>
      </w:r>
      <w:r>
        <w:rPr>
          <w:sz w:val="24"/>
          <w:szCs w:val="28"/>
          <w:highlight w:val="none"/>
        </w:rPr>
        <w:t xml:space="preserve">      （5.4.</w:t>
      </w:r>
      <w:r>
        <w:rPr>
          <w:rFonts w:hint="eastAsia"/>
          <w:sz w:val="24"/>
          <w:szCs w:val="28"/>
          <w:highlight w:val="none"/>
        </w:rPr>
        <w:t>6</w:t>
      </w:r>
      <w:r>
        <w:rPr>
          <w:sz w:val="24"/>
          <w:szCs w:val="28"/>
          <w:highlight w:val="none"/>
        </w:rPr>
        <w:t>-3）</w:t>
      </w:r>
    </w:p>
    <w:p>
      <w:pPr>
        <w:spacing w:line="312" w:lineRule="auto"/>
        <w:ind w:firstLine="482" w:firstLineChars="200"/>
        <w:rPr>
          <w:sz w:val="24"/>
          <w:szCs w:val="28"/>
          <w:highlight w:val="none"/>
        </w:rPr>
      </w:pPr>
      <w:r>
        <w:rPr>
          <w:b/>
          <w:bCs/>
          <w:sz w:val="24"/>
          <w:szCs w:val="28"/>
          <w:highlight w:val="none"/>
        </w:rPr>
        <w:t>3</w:t>
      </w:r>
      <w:r>
        <w:rPr>
          <w:sz w:val="24"/>
          <w:szCs w:val="28"/>
          <w:highlight w:val="none"/>
        </w:rPr>
        <w:t xml:space="preserve">  墙体高宽比大于4时，墙体的侧向刚度可取0。</w:t>
      </w:r>
    </w:p>
    <w:tbl>
      <w:tblPr>
        <w:tblStyle w:val="23"/>
        <w:tblW w:w="0" w:type="auto"/>
        <w:tblInd w:w="0" w:type="dxa"/>
        <w:tblLayout w:type="fixed"/>
        <w:tblCellMar>
          <w:top w:w="0" w:type="dxa"/>
          <w:left w:w="108" w:type="dxa"/>
          <w:bottom w:w="0" w:type="dxa"/>
          <w:right w:w="108" w:type="dxa"/>
        </w:tblCellMar>
      </w:tblPr>
      <w:tblGrid>
        <w:gridCol w:w="1526"/>
        <w:gridCol w:w="8320"/>
      </w:tblGrid>
      <w:tr>
        <w:tblPrEx>
          <w:tblCellMar>
            <w:top w:w="0" w:type="dxa"/>
            <w:left w:w="108" w:type="dxa"/>
            <w:bottom w:w="0" w:type="dxa"/>
            <w:right w:w="108" w:type="dxa"/>
          </w:tblCellMar>
        </w:tblPrEx>
        <w:trPr>
          <w:trHeight w:val="397" w:hRule="atLeast"/>
        </w:trPr>
        <w:tc>
          <w:tcPr>
            <w:tcW w:w="1526" w:type="dxa"/>
            <w:vAlign w:val="center"/>
          </w:tcPr>
          <w:p>
            <w:pPr>
              <w:tabs>
                <w:tab w:val="left" w:pos="2565"/>
              </w:tabs>
              <w:adjustRightInd w:val="0"/>
              <w:snapToGrid w:val="0"/>
              <w:spacing w:line="312" w:lineRule="auto"/>
              <w:ind w:right="-105" w:rightChars="-50"/>
              <w:jc w:val="right"/>
              <w:rPr>
                <w:kern w:val="0"/>
                <w:sz w:val="24"/>
                <w:szCs w:val="28"/>
                <w:highlight w:val="none"/>
              </w:rPr>
            </w:pPr>
            <w:r>
              <w:rPr>
                <w:sz w:val="24"/>
                <w:szCs w:val="28"/>
                <w:highlight w:val="none"/>
              </w:rPr>
              <w:t>式中：</w:t>
            </w:r>
            <w:r>
              <w:rPr>
                <w:position w:val="-4"/>
                <w:sz w:val="24"/>
                <w:szCs w:val="28"/>
                <w:highlight w:val="none"/>
              </w:rPr>
              <w:object>
                <v:shape id="_x0000_i1152" o:spt="75" type="#_x0000_t75" style="height:11.85pt;width:13.05pt;" o:ole="t" filled="f" o:preferrelative="t" stroked="f" coordsize="21600,21600">
                  <v:path/>
                  <v:fill on="f" focussize="0,0"/>
                  <v:stroke on="f" joinstyle="miter"/>
                  <v:imagedata r:id="rId271" o:title=""/>
                  <o:lock v:ext="edit" aspectratio="t"/>
                  <w10:wrap type="none"/>
                  <w10:anchorlock/>
                </v:shape>
                <o:OLEObject Type="Embed" ProgID="Equation.DSMT4" ShapeID="_x0000_i1152" DrawAspect="Content" ObjectID="_1468075851" r:id="rId270">
                  <o:LockedField>false</o:LockedField>
                </o:OLEObject>
              </w:object>
            </w:r>
            <w:r>
              <w:rPr>
                <w:kern w:val="0"/>
                <w:sz w:val="24"/>
                <w:szCs w:val="28"/>
                <w:highlight w:val="none"/>
              </w:rPr>
              <w:t>——</w:t>
            </w:r>
          </w:p>
        </w:tc>
        <w:tc>
          <w:tcPr>
            <w:tcW w:w="8320" w:type="dxa"/>
            <w:vAlign w:val="center"/>
          </w:tcPr>
          <w:p>
            <w:pPr>
              <w:tabs>
                <w:tab w:val="left" w:pos="2565"/>
              </w:tabs>
              <w:adjustRightInd w:val="0"/>
              <w:snapToGrid w:val="0"/>
              <w:spacing w:line="312" w:lineRule="auto"/>
              <w:ind w:left="-105" w:leftChars="-50"/>
              <w:rPr>
                <w:kern w:val="0"/>
                <w:sz w:val="24"/>
                <w:szCs w:val="28"/>
                <w:highlight w:val="none"/>
              </w:rPr>
            </w:pPr>
            <w:r>
              <w:rPr>
                <w:kern w:val="0"/>
                <w:sz w:val="24"/>
                <w:szCs w:val="28"/>
                <w:highlight w:val="none"/>
              </w:rPr>
              <w:t>采用高延性混凝土面层加固后墙体的侧向刚度；</w:t>
            </w:r>
          </w:p>
        </w:tc>
      </w:tr>
      <w:tr>
        <w:tblPrEx>
          <w:tblCellMar>
            <w:top w:w="0" w:type="dxa"/>
            <w:left w:w="108" w:type="dxa"/>
            <w:bottom w:w="0" w:type="dxa"/>
            <w:right w:w="108" w:type="dxa"/>
          </w:tblCellMar>
        </w:tblPrEx>
        <w:trPr>
          <w:trHeight w:val="397" w:hRule="atLeast"/>
        </w:trPr>
        <w:tc>
          <w:tcPr>
            <w:tcW w:w="1526" w:type="dxa"/>
            <w:vAlign w:val="center"/>
          </w:tcPr>
          <w:p>
            <w:pPr>
              <w:tabs>
                <w:tab w:val="left" w:pos="2565"/>
              </w:tabs>
              <w:adjustRightInd w:val="0"/>
              <w:snapToGrid w:val="0"/>
              <w:spacing w:line="312" w:lineRule="auto"/>
              <w:ind w:right="-105" w:rightChars="-50"/>
              <w:jc w:val="right"/>
              <w:rPr>
                <w:kern w:val="0"/>
                <w:sz w:val="24"/>
                <w:szCs w:val="28"/>
                <w:highlight w:val="none"/>
              </w:rPr>
            </w:pPr>
            <w:r>
              <w:rPr>
                <w:position w:val="-10"/>
                <w:sz w:val="24"/>
                <w:szCs w:val="28"/>
                <w:highlight w:val="none"/>
              </w:rPr>
              <w:object>
                <v:shape id="_x0000_i1153" o:spt="75" type="#_x0000_t75" style="height:15.05pt;width:15.05pt;" o:ole="t" filled="f" o:preferrelative="t" stroked="f" coordsize="21600,21600">
                  <v:path/>
                  <v:fill on="f" focussize="0,0"/>
                  <v:stroke on="f" joinstyle="miter"/>
                  <v:imagedata r:id="rId273" o:title=""/>
                  <o:lock v:ext="edit" aspectratio="t"/>
                  <w10:wrap type="none"/>
                  <w10:anchorlock/>
                </v:shape>
                <o:OLEObject Type="Embed" ProgID="Equation.DSMT4" ShapeID="_x0000_i1153" DrawAspect="Content" ObjectID="_1468075852" r:id="rId272">
                  <o:LockedField>false</o:LockedField>
                </o:OLEObject>
              </w:object>
            </w:r>
            <w:r>
              <w:rPr>
                <w:kern w:val="0"/>
                <w:position w:val="-4"/>
                <w:sz w:val="24"/>
                <w:szCs w:val="28"/>
                <w:highlight w:val="none"/>
              </w:rPr>
              <w:t>——</w:t>
            </w:r>
          </w:p>
        </w:tc>
        <w:tc>
          <w:tcPr>
            <w:tcW w:w="8320" w:type="dxa"/>
            <w:vAlign w:val="center"/>
          </w:tcPr>
          <w:p>
            <w:pPr>
              <w:tabs>
                <w:tab w:val="left" w:pos="2565"/>
              </w:tabs>
              <w:adjustRightInd w:val="0"/>
              <w:snapToGrid w:val="0"/>
              <w:spacing w:line="312" w:lineRule="auto"/>
              <w:ind w:left="-105" w:leftChars="-50"/>
              <w:rPr>
                <w:kern w:val="0"/>
                <w:sz w:val="24"/>
                <w:szCs w:val="28"/>
                <w:highlight w:val="none"/>
              </w:rPr>
            </w:pPr>
            <w:r>
              <w:rPr>
                <w:rFonts w:hint="eastAsia"/>
                <w:kern w:val="0"/>
                <w:sz w:val="24"/>
                <w:szCs w:val="28"/>
                <w:highlight w:val="none"/>
              </w:rPr>
              <w:t>原</w:t>
            </w:r>
            <w:r>
              <w:rPr>
                <w:kern w:val="0"/>
                <w:sz w:val="24"/>
                <w:szCs w:val="28"/>
                <w:highlight w:val="none"/>
              </w:rPr>
              <w:t>砌体的弹性模量；</w:t>
            </w:r>
          </w:p>
        </w:tc>
      </w:tr>
      <w:tr>
        <w:tblPrEx>
          <w:tblCellMar>
            <w:top w:w="0" w:type="dxa"/>
            <w:left w:w="108" w:type="dxa"/>
            <w:bottom w:w="0" w:type="dxa"/>
            <w:right w:w="108" w:type="dxa"/>
          </w:tblCellMar>
        </w:tblPrEx>
        <w:trPr>
          <w:trHeight w:val="397" w:hRule="atLeast"/>
        </w:trPr>
        <w:tc>
          <w:tcPr>
            <w:tcW w:w="1526" w:type="dxa"/>
            <w:vAlign w:val="center"/>
          </w:tcPr>
          <w:p>
            <w:pPr>
              <w:tabs>
                <w:tab w:val="left" w:pos="2565"/>
              </w:tabs>
              <w:adjustRightInd w:val="0"/>
              <w:snapToGrid w:val="0"/>
              <w:spacing w:line="312" w:lineRule="auto"/>
              <w:ind w:right="-105" w:rightChars="-50"/>
              <w:jc w:val="right"/>
              <w:rPr>
                <w:kern w:val="0"/>
                <w:sz w:val="24"/>
                <w:szCs w:val="28"/>
                <w:highlight w:val="none"/>
              </w:rPr>
            </w:pPr>
            <w:r>
              <w:rPr>
                <w:position w:val="-10"/>
                <w:sz w:val="24"/>
                <w:szCs w:val="28"/>
                <w:highlight w:val="none"/>
              </w:rPr>
              <w:object>
                <v:shape id="_x0000_i1154" o:spt="75" type="#_x0000_t75" style="height:15.05pt;width:15.05pt;" o:ole="t" filled="f" o:preferrelative="t" stroked="f" coordsize="21600,21600">
                  <v:path/>
                  <v:fill on="f" focussize="0,0"/>
                  <v:stroke on="f" joinstyle="miter"/>
                  <v:imagedata r:id="rId275" o:title=""/>
                  <o:lock v:ext="edit" aspectratio="t"/>
                  <w10:wrap type="none"/>
                  <w10:anchorlock/>
                </v:shape>
                <o:OLEObject Type="Embed" ProgID="Equation.DSMT4" ShapeID="_x0000_i1154" DrawAspect="Content" ObjectID="_1468075853" r:id="rId274">
                  <o:LockedField>false</o:LockedField>
                </o:OLEObject>
              </w:object>
            </w:r>
            <w:r>
              <w:rPr>
                <w:kern w:val="0"/>
                <w:position w:val="-4"/>
                <w:sz w:val="24"/>
                <w:szCs w:val="28"/>
                <w:highlight w:val="none"/>
              </w:rPr>
              <w:t>——</w:t>
            </w:r>
          </w:p>
        </w:tc>
        <w:tc>
          <w:tcPr>
            <w:tcW w:w="8320" w:type="dxa"/>
            <w:vAlign w:val="center"/>
          </w:tcPr>
          <w:p>
            <w:pPr>
              <w:tabs>
                <w:tab w:val="left" w:pos="2565"/>
              </w:tabs>
              <w:adjustRightInd w:val="0"/>
              <w:snapToGrid w:val="0"/>
              <w:spacing w:line="312" w:lineRule="auto"/>
              <w:ind w:left="-105" w:leftChars="-50"/>
              <w:rPr>
                <w:kern w:val="0"/>
                <w:sz w:val="24"/>
                <w:szCs w:val="28"/>
                <w:highlight w:val="none"/>
              </w:rPr>
            </w:pPr>
            <w:r>
              <w:rPr>
                <w:kern w:val="0"/>
                <w:sz w:val="24"/>
                <w:szCs w:val="28"/>
                <w:highlight w:val="none"/>
              </w:rPr>
              <w:t>高延性混凝土面层的</w:t>
            </w:r>
            <w:r>
              <w:rPr>
                <w:rFonts w:hint="eastAsia"/>
                <w:kern w:val="0"/>
                <w:sz w:val="24"/>
                <w:szCs w:val="28"/>
                <w:highlight w:val="none"/>
              </w:rPr>
              <w:t>受压</w:t>
            </w:r>
            <w:r>
              <w:rPr>
                <w:kern w:val="0"/>
                <w:sz w:val="24"/>
                <w:szCs w:val="28"/>
                <w:highlight w:val="none"/>
              </w:rPr>
              <w:t>弹性模量；</w:t>
            </w:r>
          </w:p>
        </w:tc>
      </w:tr>
      <w:tr>
        <w:tblPrEx>
          <w:tblCellMar>
            <w:top w:w="0" w:type="dxa"/>
            <w:left w:w="108" w:type="dxa"/>
            <w:bottom w:w="0" w:type="dxa"/>
            <w:right w:w="108" w:type="dxa"/>
          </w:tblCellMar>
        </w:tblPrEx>
        <w:trPr>
          <w:trHeight w:val="397" w:hRule="atLeast"/>
        </w:trPr>
        <w:tc>
          <w:tcPr>
            <w:tcW w:w="1526" w:type="dxa"/>
            <w:vAlign w:val="center"/>
          </w:tcPr>
          <w:p>
            <w:pPr>
              <w:tabs>
                <w:tab w:val="left" w:pos="2565"/>
              </w:tabs>
              <w:adjustRightInd w:val="0"/>
              <w:snapToGrid w:val="0"/>
              <w:spacing w:line="312" w:lineRule="auto"/>
              <w:ind w:right="-105" w:rightChars="-50"/>
              <w:jc w:val="right"/>
              <w:rPr>
                <w:kern w:val="0"/>
                <w:sz w:val="24"/>
                <w:szCs w:val="28"/>
                <w:highlight w:val="none"/>
              </w:rPr>
            </w:pPr>
            <w:r>
              <w:rPr>
                <w:position w:val="-10"/>
                <w:sz w:val="24"/>
                <w:szCs w:val="28"/>
                <w:highlight w:val="none"/>
              </w:rPr>
              <w:object>
                <v:shape id="_x0000_i1155" o:spt="75" type="#_x0000_t75" style="height:15.05pt;width:15.05pt;" o:ole="t" filled="f" o:preferrelative="t" stroked="f" coordsize="21600,21600">
                  <v:path/>
                  <v:fill on="f" focussize="0,0"/>
                  <v:stroke on="f" joinstyle="miter"/>
                  <v:imagedata r:id="rId277" o:title=""/>
                  <o:lock v:ext="edit" aspectratio="t"/>
                  <w10:wrap type="none"/>
                  <w10:anchorlock/>
                </v:shape>
                <o:OLEObject Type="Embed" ProgID="Equation.DSMT4" ShapeID="_x0000_i1155" DrawAspect="Content" ObjectID="_1468075854" r:id="rId276">
                  <o:LockedField>false</o:LockedField>
                </o:OLEObject>
              </w:object>
            </w:r>
            <w:r>
              <w:rPr>
                <w:kern w:val="0"/>
                <w:position w:val="-4"/>
                <w:sz w:val="24"/>
                <w:szCs w:val="28"/>
                <w:highlight w:val="none"/>
              </w:rPr>
              <w:t>——</w:t>
            </w:r>
          </w:p>
        </w:tc>
        <w:tc>
          <w:tcPr>
            <w:tcW w:w="8320" w:type="dxa"/>
            <w:vAlign w:val="center"/>
          </w:tcPr>
          <w:p>
            <w:pPr>
              <w:tabs>
                <w:tab w:val="left" w:pos="2565"/>
              </w:tabs>
              <w:adjustRightInd w:val="0"/>
              <w:snapToGrid w:val="0"/>
              <w:spacing w:line="312" w:lineRule="auto"/>
              <w:ind w:left="-105" w:leftChars="-50"/>
              <w:rPr>
                <w:kern w:val="0"/>
                <w:sz w:val="24"/>
                <w:szCs w:val="28"/>
                <w:highlight w:val="none"/>
              </w:rPr>
            </w:pPr>
            <w:r>
              <w:rPr>
                <w:rFonts w:hint="eastAsia"/>
                <w:kern w:val="0"/>
                <w:sz w:val="24"/>
                <w:szCs w:val="28"/>
                <w:highlight w:val="none"/>
                <w:lang w:val="en-US" w:eastAsia="zh-CN"/>
              </w:rPr>
              <w:t>原</w:t>
            </w:r>
            <w:r>
              <w:rPr>
                <w:kern w:val="0"/>
                <w:sz w:val="24"/>
                <w:szCs w:val="28"/>
                <w:highlight w:val="none"/>
              </w:rPr>
              <w:t>砌体的横截面面积；</w:t>
            </w:r>
          </w:p>
        </w:tc>
      </w:tr>
      <w:tr>
        <w:tblPrEx>
          <w:tblCellMar>
            <w:top w:w="0" w:type="dxa"/>
            <w:left w:w="108" w:type="dxa"/>
            <w:bottom w:w="0" w:type="dxa"/>
            <w:right w:w="108" w:type="dxa"/>
          </w:tblCellMar>
        </w:tblPrEx>
        <w:trPr>
          <w:trHeight w:val="397" w:hRule="atLeast"/>
        </w:trPr>
        <w:tc>
          <w:tcPr>
            <w:tcW w:w="1526" w:type="dxa"/>
            <w:vAlign w:val="center"/>
          </w:tcPr>
          <w:p>
            <w:pPr>
              <w:tabs>
                <w:tab w:val="left" w:pos="2565"/>
              </w:tabs>
              <w:adjustRightInd w:val="0"/>
              <w:snapToGrid w:val="0"/>
              <w:spacing w:line="312" w:lineRule="auto"/>
              <w:ind w:right="-105" w:rightChars="-50"/>
              <w:jc w:val="right"/>
              <w:rPr>
                <w:kern w:val="0"/>
                <w:sz w:val="24"/>
                <w:szCs w:val="28"/>
                <w:highlight w:val="none"/>
              </w:rPr>
            </w:pPr>
            <w:r>
              <w:rPr>
                <w:position w:val="-10"/>
                <w:sz w:val="24"/>
                <w:szCs w:val="28"/>
                <w:highlight w:val="none"/>
              </w:rPr>
              <w:object>
                <v:shape id="_x0000_i1156" o:spt="75" type="#_x0000_t75" style="height:15.05pt;width:15.05pt;" o:ole="t" filled="f" o:preferrelative="t" stroked="f" coordsize="21600,21600">
                  <v:path/>
                  <v:fill on="f" focussize="0,0"/>
                  <v:stroke on="f" joinstyle="miter"/>
                  <v:imagedata r:id="rId279" o:title=""/>
                  <o:lock v:ext="edit" aspectratio="t"/>
                  <w10:wrap type="none"/>
                  <w10:anchorlock/>
                </v:shape>
                <o:OLEObject Type="Embed" ProgID="Equation.DSMT4" ShapeID="_x0000_i1156" DrawAspect="Content" ObjectID="_1468075855" r:id="rId278">
                  <o:LockedField>false</o:LockedField>
                </o:OLEObject>
              </w:object>
            </w:r>
            <w:r>
              <w:rPr>
                <w:kern w:val="0"/>
                <w:position w:val="-4"/>
                <w:sz w:val="24"/>
                <w:szCs w:val="28"/>
                <w:highlight w:val="none"/>
              </w:rPr>
              <w:t>——</w:t>
            </w:r>
          </w:p>
        </w:tc>
        <w:tc>
          <w:tcPr>
            <w:tcW w:w="8320" w:type="dxa"/>
            <w:vAlign w:val="center"/>
          </w:tcPr>
          <w:p>
            <w:pPr>
              <w:tabs>
                <w:tab w:val="left" w:pos="2565"/>
              </w:tabs>
              <w:adjustRightInd w:val="0"/>
              <w:snapToGrid w:val="0"/>
              <w:spacing w:line="312" w:lineRule="auto"/>
              <w:ind w:left="-105" w:leftChars="-50"/>
              <w:rPr>
                <w:kern w:val="0"/>
                <w:sz w:val="24"/>
                <w:szCs w:val="28"/>
                <w:highlight w:val="none"/>
              </w:rPr>
            </w:pPr>
            <w:r>
              <w:rPr>
                <w:kern w:val="0"/>
                <w:sz w:val="24"/>
                <w:szCs w:val="28"/>
                <w:highlight w:val="none"/>
              </w:rPr>
              <w:t>高延性混凝土面层的横截面面积；</w:t>
            </w:r>
          </w:p>
        </w:tc>
      </w:tr>
      <w:tr>
        <w:tblPrEx>
          <w:tblCellMar>
            <w:top w:w="0" w:type="dxa"/>
            <w:left w:w="108" w:type="dxa"/>
            <w:bottom w:w="0" w:type="dxa"/>
            <w:right w:w="108" w:type="dxa"/>
          </w:tblCellMar>
        </w:tblPrEx>
        <w:trPr>
          <w:trHeight w:val="397" w:hRule="atLeast"/>
        </w:trPr>
        <w:tc>
          <w:tcPr>
            <w:tcW w:w="1526" w:type="dxa"/>
            <w:vAlign w:val="center"/>
          </w:tcPr>
          <w:p>
            <w:pPr>
              <w:tabs>
                <w:tab w:val="left" w:pos="2565"/>
              </w:tabs>
              <w:adjustRightInd w:val="0"/>
              <w:snapToGrid w:val="0"/>
              <w:spacing w:line="312" w:lineRule="auto"/>
              <w:ind w:right="-105" w:rightChars="-50"/>
              <w:jc w:val="right"/>
              <w:rPr>
                <w:kern w:val="0"/>
                <w:sz w:val="24"/>
                <w:szCs w:val="28"/>
                <w:highlight w:val="none"/>
              </w:rPr>
            </w:pPr>
            <w:r>
              <w:rPr>
                <w:position w:val="-6"/>
                <w:sz w:val="24"/>
                <w:szCs w:val="28"/>
                <w:highlight w:val="none"/>
              </w:rPr>
              <w:object>
                <v:shape id="_x0000_i1157" o:spt="75" type="#_x0000_t75" style="height:13.05pt;width:11.85pt;" o:ole="t" filled="f" o:preferrelative="t" stroked="f" coordsize="21600,21600">
                  <v:path/>
                  <v:fill on="f" focussize="0,0"/>
                  <v:stroke on="f" joinstyle="miter"/>
                  <v:imagedata r:id="rId281" o:title=""/>
                  <o:lock v:ext="edit" aspectratio="t"/>
                  <w10:wrap type="none"/>
                  <w10:anchorlock/>
                </v:shape>
                <o:OLEObject Type="Embed" ProgID="Equation.DSMT4" ShapeID="_x0000_i1157" DrawAspect="Content" ObjectID="_1468075856" r:id="rId280">
                  <o:LockedField>false</o:LockedField>
                </o:OLEObject>
              </w:object>
            </w:r>
            <w:r>
              <w:rPr>
                <w:kern w:val="0"/>
                <w:position w:val="-4"/>
                <w:sz w:val="24"/>
                <w:szCs w:val="28"/>
                <w:highlight w:val="none"/>
              </w:rPr>
              <w:t>——</w:t>
            </w:r>
          </w:p>
        </w:tc>
        <w:tc>
          <w:tcPr>
            <w:tcW w:w="8320" w:type="dxa"/>
            <w:vAlign w:val="center"/>
          </w:tcPr>
          <w:p>
            <w:pPr>
              <w:tabs>
                <w:tab w:val="left" w:pos="2565"/>
              </w:tabs>
              <w:adjustRightInd w:val="0"/>
              <w:snapToGrid w:val="0"/>
              <w:spacing w:line="312" w:lineRule="auto"/>
              <w:ind w:left="-105" w:leftChars="-50"/>
              <w:rPr>
                <w:kern w:val="0"/>
                <w:sz w:val="24"/>
                <w:szCs w:val="28"/>
                <w:highlight w:val="none"/>
              </w:rPr>
            </w:pPr>
            <w:r>
              <w:rPr>
                <w:rFonts w:hint="eastAsia"/>
                <w:kern w:val="0"/>
                <w:sz w:val="24"/>
                <w:szCs w:val="28"/>
                <w:highlight w:val="none"/>
              </w:rPr>
              <w:t>加固后砌体</w:t>
            </w:r>
            <w:r>
              <w:rPr>
                <w:kern w:val="0"/>
                <w:sz w:val="24"/>
                <w:szCs w:val="28"/>
                <w:highlight w:val="none"/>
              </w:rPr>
              <w:t>的剪切模量，取</w:t>
            </w:r>
            <w:r>
              <w:rPr>
                <w:position w:val="-6"/>
                <w:sz w:val="24"/>
                <w:szCs w:val="28"/>
                <w:highlight w:val="none"/>
              </w:rPr>
              <w:object>
                <v:shape id="_x0000_i1158" o:spt="75" type="#_x0000_t75" style="height:13.05pt;width:43.9pt;" o:ole="t" filled="f" o:preferrelative="t" stroked="f" coordsize="21600,21600">
                  <v:path/>
                  <v:fill on="f" focussize="0,0"/>
                  <v:stroke on="f" joinstyle="miter"/>
                  <v:imagedata r:id="rId283" o:title=""/>
                  <o:lock v:ext="edit" aspectratio="t"/>
                  <w10:wrap type="none"/>
                  <w10:anchorlock/>
                </v:shape>
                <o:OLEObject Type="Embed" ProgID="Equation.DSMT4" ShapeID="_x0000_i1158" DrawAspect="Content" ObjectID="_1468075857" r:id="rId282">
                  <o:LockedField>false</o:LockedField>
                </o:OLEObject>
              </w:object>
            </w:r>
            <w:r>
              <w:rPr>
                <w:kern w:val="0"/>
                <w:sz w:val="24"/>
                <w:szCs w:val="28"/>
                <w:highlight w:val="none"/>
              </w:rPr>
              <w:t>；</w:t>
            </w:r>
          </w:p>
        </w:tc>
      </w:tr>
      <w:tr>
        <w:tblPrEx>
          <w:tblCellMar>
            <w:top w:w="0" w:type="dxa"/>
            <w:left w:w="108" w:type="dxa"/>
            <w:bottom w:w="0" w:type="dxa"/>
            <w:right w:w="108" w:type="dxa"/>
          </w:tblCellMar>
        </w:tblPrEx>
        <w:trPr>
          <w:trHeight w:val="397" w:hRule="atLeast"/>
        </w:trPr>
        <w:tc>
          <w:tcPr>
            <w:tcW w:w="1526" w:type="dxa"/>
            <w:vAlign w:val="center"/>
          </w:tcPr>
          <w:p>
            <w:pPr>
              <w:tabs>
                <w:tab w:val="left" w:pos="2565"/>
              </w:tabs>
              <w:adjustRightInd w:val="0"/>
              <w:snapToGrid w:val="0"/>
              <w:spacing w:line="312" w:lineRule="auto"/>
              <w:ind w:right="-105" w:rightChars="-50"/>
              <w:jc w:val="right"/>
              <w:rPr>
                <w:kern w:val="0"/>
                <w:sz w:val="24"/>
                <w:szCs w:val="28"/>
                <w:highlight w:val="none"/>
              </w:rPr>
            </w:pPr>
            <w:r>
              <w:rPr>
                <w:position w:val="-10"/>
                <w:sz w:val="24"/>
                <w:szCs w:val="28"/>
                <w:highlight w:val="none"/>
              </w:rPr>
              <w:object>
                <v:shape id="_x0000_i1159" o:spt="75" type="#_x0000_t75" style="height:15.8pt;width:11.85pt;" o:ole="t" filled="f" o:preferrelative="t" stroked="f" coordsize="21600,21600">
                  <v:path/>
                  <v:fill on="f" focussize="0,0"/>
                  <v:stroke on="f" joinstyle="miter"/>
                  <v:imagedata r:id="rId285" o:title=""/>
                  <o:lock v:ext="edit" aspectratio="t"/>
                  <w10:wrap type="none"/>
                  <w10:anchorlock/>
                </v:shape>
                <o:OLEObject Type="Embed" ProgID="Equation.DSMT4" ShapeID="_x0000_i1159" DrawAspect="Content" ObjectID="_1468075858" r:id="rId284">
                  <o:LockedField>false</o:LockedField>
                </o:OLEObject>
              </w:object>
            </w:r>
            <w:r>
              <w:rPr>
                <w:kern w:val="0"/>
                <w:position w:val="-4"/>
                <w:sz w:val="24"/>
                <w:szCs w:val="28"/>
                <w:highlight w:val="none"/>
              </w:rPr>
              <w:t>——</w:t>
            </w:r>
          </w:p>
        </w:tc>
        <w:tc>
          <w:tcPr>
            <w:tcW w:w="8320" w:type="dxa"/>
            <w:vAlign w:val="center"/>
          </w:tcPr>
          <w:p>
            <w:pPr>
              <w:tabs>
                <w:tab w:val="left" w:pos="2565"/>
              </w:tabs>
              <w:adjustRightInd w:val="0"/>
              <w:snapToGrid w:val="0"/>
              <w:spacing w:line="312" w:lineRule="auto"/>
              <w:ind w:left="-105" w:leftChars="-50"/>
              <w:rPr>
                <w:kern w:val="0"/>
                <w:sz w:val="24"/>
                <w:szCs w:val="28"/>
                <w:highlight w:val="none"/>
              </w:rPr>
            </w:pPr>
            <w:r>
              <w:rPr>
                <w:kern w:val="0"/>
                <w:sz w:val="24"/>
                <w:szCs w:val="28"/>
                <w:highlight w:val="none"/>
              </w:rPr>
              <w:t>截面剪应变不均匀系数，取</w:t>
            </w:r>
            <w:r>
              <w:rPr>
                <w:position w:val="-10"/>
                <w:sz w:val="24"/>
                <w:szCs w:val="28"/>
                <w:highlight w:val="none"/>
              </w:rPr>
              <w:object>
                <v:shape id="_x0000_i1160" o:spt="75" type="#_x0000_t75" style="height:15.8pt;width:11.85pt;" o:ole="t" filled="f" o:preferrelative="t" stroked="f" coordsize="21600,21600">
                  <v:path/>
                  <v:fill on="f" focussize="0,0"/>
                  <v:stroke on="f" joinstyle="miter"/>
                  <v:imagedata r:id="rId287" o:title=""/>
                  <o:lock v:ext="edit" aspectratio="t"/>
                  <w10:wrap type="none"/>
                  <w10:anchorlock/>
                </v:shape>
                <o:OLEObject Type="Embed" ProgID="Equation.DSMT4" ShapeID="_x0000_i1160" DrawAspect="Content" ObjectID="_1468075859" r:id="rId286">
                  <o:LockedField>false</o:LockedField>
                </o:OLEObject>
              </w:object>
            </w:r>
            <w:r>
              <w:rPr>
                <w:kern w:val="0"/>
                <w:sz w:val="24"/>
                <w:szCs w:val="28"/>
                <w:highlight w:val="none"/>
              </w:rPr>
              <w:t>=1.2；</w:t>
            </w:r>
          </w:p>
        </w:tc>
      </w:tr>
      <w:tr>
        <w:tblPrEx>
          <w:tblCellMar>
            <w:top w:w="0" w:type="dxa"/>
            <w:left w:w="108" w:type="dxa"/>
            <w:bottom w:w="0" w:type="dxa"/>
            <w:right w:w="108" w:type="dxa"/>
          </w:tblCellMar>
        </w:tblPrEx>
        <w:trPr>
          <w:trHeight w:val="397" w:hRule="atLeast"/>
        </w:trPr>
        <w:tc>
          <w:tcPr>
            <w:tcW w:w="1526" w:type="dxa"/>
            <w:vAlign w:val="center"/>
          </w:tcPr>
          <w:p>
            <w:pPr>
              <w:tabs>
                <w:tab w:val="left" w:pos="2565"/>
              </w:tabs>
              <w:adjustRightInd w:val="0"/>
              <w:snapToGrid w:val="0"/>
              <w:spacing w:line="312" w:lineRule="auto"/>
              <w:ind w:right="-105" w:rightChars="-50"/>
              <w:jc w:val="right"/>
              <w:rPr>
                <w:kern w:val="0"/>
                <w:sz w:val="24"/>
                <w:szCs w:val="28"/>
                <w:highlight w:val="none"/>
              </w:rPr>
            </w:pPr>
            <w:r>
              <w:rPr>
                <w:position w:val="-6"/>
                <w:sz w:val="24"/>
                <w:szCs w:val="28"/>
                <w:highlight w:val="none"/>
              </w:rPr>
              <w:object>
                <v:shape id="_x0000_i1161" o:spt="75" type="#_x0000_t75" style="height:10.7pt;width:10.7pt;" o:ole="t" filled="f" o:preferrelative="t" stroked="f" coordsize="21600,21600">
                  <v:path/>
                  <v:fill on="f" focussize="0,0"/>
                  <v:stroke on="f" joinstyle="miter"/>
                  <v:imagedata r:id="rId289" o:title=""/>
                  <o:lock v:ext="edit" aspectratio="t"/>
                  <w10:wrap type="none"/>
                  <w10:anchorlock/>
                </v:shape>
                <o:OLEObject Type="Embed" ProgID="Equation.DSMT4" ShapeID="_x0000_i1161" DrawAspect="Content" ObjectID="_1468075860" r:id="rId288">
                  <o:LockedField>false</o:LockedField>
                </o:OLEObject>
              </w:object>
            </w:r>
            <w:r>
              <w:rPr>
                <w:kern w:val="0"/>
                <w:position w:val="-4"/>
                <w:sz w:val="24"/>
                <w:szCs w:val="28"/>
                <w:highlight w:val="none"/>
              </w:rPr>
              <w:t>——</w:t>
            </w:r>
          </w:p>
        </w:tc>
        <w:tc>
          <w:tcPr>
            <w:tcW w:w="8320" w:type="dxa"/>
            <w:vAlign w:val="center"/>
          </w:tcPr>
          <w:p>
            <w:pPr>
              <w:tabs>
                <w:tab w:val="left" w:pos="2565"/>
              </w:tabs>
              <w:adjustRightInd w:val="0"/>
              <w:snapToGrid w:val="0"/>
              <w:spacing w:line="312" w:lineRule="auto"/>
              <w:ind w:left="-105" w:leftChars="-50"/>
              <w:rPr>
                <w:kern w:val="0"/>
                <w:sz w:val="24"/>
                <w:szCs w:val="28"/>
                <w:highlight w:val="none"/>
              </w:rPr>
            </w:pPr>
            <w:r>
              <w:rPr>
                <w:kern w:val="0"/>
                <w:sz w:val="24"/>
                <w:szCs w:val="28"/>
                <w:highlight w:val="none"/>
              </w:rPr>
              <w:t>竖向压应力影响系数，取</w:t>
            </w:r>
            <w:r>
              <w:rPr>
                <w:position w:val="-6"/>
                <w:sz w:val="24"/>
                <w:szCs w:val="28"/>
                <w:highlight w:val="none"/>
              </w:rPr>
              <w:object>
                <v:shape id="_x0000_i1162" o:spt="75" type="#_x0000_t75" style="height:10.7pt;width:10.7pt;" o:ole="t" filled="f" o:preferrelative="t" stroked="f" coordsize="21600,21600">
                  <v:path/>
                  <v:fill on="f" focussize="0,0"/>
                  <v:stroke on="f" joinstyle="miter"/>
                  <v:imagedata r:id="rId291" o:title=""/>
                  <o:lock v:ext="edit" aspectratio="t"/>
                  <w10:wrap type="none"/>
                  <w10:anchorlock/>
                </v:shape>
                <o:OLEObject Type="Embed" ProgID="Equation.DSMT4" ShapeID="_x0000_i1162" DrawAspect="Content" ObjectID="_1468075861" r:id="rId290">
                  <o:LockedField>false</o:LockedField>
                </o:OLEObject>
              </w:object>
            </w:r>
            <w:r>
              <w:rPr>
                <w:kern w:val="0"/>
                <w:sz w:val="24"/>
                <w:szCs w:val="28"/>
                <w:highlight w:val="none"/>
              </w:rPr>
              <w:t>=1.0；</w:t>
            </w:r>
          </w:p>
        </w:tc>
      </w:tr>
      <w:tr>
        <w:tblPrEx>
          <w:tblCellMar>
            <w:top w:w="0" w:type="dxa"/>
            <w:left w:w="108" w:type="dxa"/>
            <w:bottom w:w="0" w:type="dxa"/>
            <w:right w:w="108" w:type="dxa"/>
          </w:tblCellMar>
        </w:tblPrEx>
        <w:trPr>
          <w:trHeight w:val="397" w:hRule="atLeast"/>
        </w:trPr>
        <w:tc>
          <w:tcPr>
            <w:tcW w:w="1526" w:type="dxa"/>
            <w:vAlign w:val="center"/>
          </w:tcPr>
          <w:p>
            <w:pPr>
              <w:tabs>
                <w:tab w:val="left" w:pos="2565"/>
              </w:tabs>
              <w:adjustRightInd w:val="0"/>
              <w:snapToGrid w:val="0"/>
              <w:spacing w:line="312" w:lineRule="auto"/>
              <w:ind w:right="-105" w:rightChars="-50"/>
              <w:jc w:val="right"/>
              <w:rPr>
                <w:kern w:val="0"/>
                <w:sz w:val="24"/>
                <w:szCs w:val="28"/>
                <w:highlight w:val="none"/>
              </w:rPr>
            </w:pPr>
            <w:r>
              <w:rPr>
                <w:position w:val="-4"/>
                <w:sz w:val="24"/>
                <w:szCs w:val="28"/>
                <w:highlight w:val="none"/>
              </w:rPr>
              <w:object>
                <v:shape id="_x0000_i1163" o:spt="75" type="#_x0000_t75" style="height:11.85pt;width:14.25pt;" o:ole="t" filled="f" o:preferrelative="t" stroked="f" coordsize="21600,21600">
                  <v:path/>
                  <v:fill on="f" focussize="0,0"/>
                  <v:stroke on="f" joinstyle="miter"/>
                  <v:imagedata r:id="rId293" o:title=""/>
                  <o:lock v:ext="edit" aspectratio="t"/>
                  <w10:wrap type="none"/>
                  <w10:anchorlock/>
                </v:shape>
                <o:OLEObject Type="Embed" ProgID="Equation.DSMT4" ShapeID="_x0000_i1163" DrawAspect="Content" ObjectID="_1468075862" r:id="rId292">
                  <o:LockedField>false</o:LockedField>
                </o:OLEObject>
              </w:object>
            </w:r>
            <w:r>
              <w:rPr>
                <w:kern w:val="0"/>
                <w:position w:val="-4"/>
                <w:sz w:val="24"/>
                <w:szCs w:val="28"/>
                <w:highlight w:val="none"/>
              </w:rPr>
              <w:t>——</w:t>
            </w:r>
          </w:p>
        </w:tc>
        <w:tc>
          <w:tcPr>
            <w:tcW w:w="8320" w:type="dxa"/>
            <w:vAlign w:val="center"/>
          </w:tcPr>
          <w:p>
            <w:pPr>
              <w:tabs>
                <w:tab w:val="left" w:pos="2565"/>
              </w:tabs>
              <w:adjustRightInd w:val="0"/>
              <w:snapToGrid w:val="0"/>
              <w:spacing w:line="312" w:lineRule="auto"/>
              <w:ind w:left="-105" w:leftChars="-50"/>
              <w:rPr>
                <w:kern w:val="0"/>
                <w:sz w:val="24"/>
                <w:szCs w:val="28"/>
                <w:highlight w:val="none"/>
              </w:rPr>
            </w:pPr>
            <w:r>
              <w:rPr>
                <w:kern w:val="0"/>
                <w:sz w:val="24"/>
                <w:szCs w:val="28"/>
                <w:highlight w:val="none"/>
              </w:rPr>
              <w:t>墙体竖向高度；</w:t>
            </w:r>
          </w:p>
        </w:tc>
      </w:tr>
      <w:tr>
        <w:tblPrEx>
          <w:tblCellMar>
            <w:top w:w="0" w:type="dxa"/>
            <w:left w:w="108" w:type="dxa"/>
            <w:bottom w:w="0" w:type="dxa"/>
            <w:right w:w="108" w:type="dxa"/>
          </w:tblCellMar>
        </w:tblPrEx>
        <w:trPr>
          <w:trHeight w:val="397" w:hRule="atLeast"/>
        </w:trPr>
        <w:tc>
          <w:tcPr>
            <w:tcW w:w="1526" w:type="dxa"/>
          </w:tcPr>
          <w:p>
            <w:pPr>
              <w:tabs>
                <w:tab w:val="left" w:pos="2565"/>
              </w:tabs>
              <w:adjustRightInd w:val="0"/>
              <w:snapToGrid w:val="0"/>
              <w:spacing w:line="312" w:lineRule="auto"/>
              <w:ind w:right="-105" w:rightChars="-50"/>
              <w:jc w:val="right"/>
              <w:rPr>
                <w:kern w:val="0"/>
                <w:sz w:val="24"/>
                <w:szCs w:val="28"/>
                <w:highlight w:val="none"/>
              </w:rPr>
            </w:pPr>
            <w:r>
              <w:rPr>
                <w:position w:val="-4"/>
                <w:sz w:val="24"/>
                <w:szCs w:val="28"/>
                <w:highlight w:val="none"/>
              </w:rPr>
              <w:object>
                <v:shape id="_x0000_i1164" o:spt="75" type="#_x0000_t75" style="height:11.85pt;width:9.1pt;" o:ole="t" filled="f" o:preferrelative="t" stroked="f" coordsize="21600,21600">
                  <v:path/>
                  <v:fill on="f" focussize="0,0"/>
                  <v:stroke on="f" joinstyle="miter"/>
                  <v:imagedata r:id="rId295" o:title=""/>
                  <o:lock v:ext="edit" aspectratio="t"/>
                  <w10:wrap type="none"/>
                  <w10:anchorlock/>
                </v:shape>
                <o:OLEObject Type="Embed" ProgID="Equation.DSMT4" ShapeID="_x0000_i1164" DrawAspect="Content" ObjectID="_1468075863" r:id="rId294">
                  <o:LockedField>false</o:LockedField>
                </o:OLEObject>
              </w:object>
            </w:r>
            <w:r>
              <w:rPr>
                <w:kern w:val="0"/>
                <w:sz w:val="24"/>
                <w:szCs w:val="28"/>
                <w:highlight w:val="none"/>
              </w:rPr>
              <w:t>、</w:t>
            </w:r>
            <w:r>
              <w:rPr>
                <w:position w:val="-4"/>
                <w:sz w:val="24"/>
                <w:szCs w:val="28"/>
                <w:highlight w:val="none"/>
              </w:rPr>
              <w:object>
                <v:shape id="_x0000_i1165" o:spt="75" type="#_x0000_t75" style="height:11.85pt;width:10.7pt;" o:ole="t" filled="f" o:preferrelative="t" stroked="f" coordsize="21600,21600">
                  <v:path/>
                  <v:fill on="f" focussize="0,0"/>
                  <v:stroke on="f" joinstyle="miter"/>
                  <v:imagedata r:id="rId297" o:title=""/>
                  <o:lock v:ext="edit" aspectratio="t"/>
                  <w10:wrap type="none"/>
                  <w10:anchorlock/>
                </v:shape>
                <o:OLEObject Type="Embed" ProgID="Equation.DSMT4" ShapeID="_x0000_i1165" DrawAspect="Content" ObjectID="_1468075864" r:id="rId296">
                  <o:LockedField>false</o:LockedField>
                </o:OLEObject>
              </w:object>
            </w:r>
            <w:r>
              <w:rPr>
                <w:kern w:val="0"/>
                <w:position w:val="-4"/>
                <w:sz w:val="24"/>
                <w:szCs w:val="28"/>
                <w:highlight w:val="none"/>
              </w:rPr>
              <w:t>——</w:t>
            </w:r>
          </w:p>
        </w:tc>
        <w:tc>
          <w:tcPr>
            <w:tcW w:w="8320" w:type="dxa"/>
            <w:vAlign w:val="center"/>
          </w:tcPr>
          <w:p>
            <w:pPr>
              <w:tabs>
                <w:tab w:val="left" w:pos="2565"/>
              </w:tabs>
              <w:adjustRightInd w:val="0"/>
              <w:snapToGrid w:val="0"/>
              <w:spacing w:line="312" w:lineRule="auto"/>
              <w:ind w:left="-105" w:leftChars="-50"/>
              <w:rPr>
                <w:kern w:val="0"/>
                <w:sz w:val="24"/>
                <w:szCs w:val="28"/>
                <w:highlight w:val="none"/>
              </w:rPr>
            </w:pPr>
            <w:r>
              <w:rPr>
                <w:kern w:val="0"/>
                <w:sz w:val="24"/>
                <w:szCs w:val="28"/>
                <w:highlight w:val="none"/>
              </w:rPr>
              <w:t>分别表示采用高延性混凝土面层加固后，组合截面惯性矩和组合截面面积。</w:t>
            </w:r>
          </w:p>
        </w:tc>
      </w:tr>
    </w:tbl>
    <w:p>
      <w:pPr>
        <w:snapToGrid w:val="0"/>
        <w:spacing w:line="312" w:lineRule="auto"/>
        <w:rPr>
          <w:sz w:val="24"/>
          <w:szCs w:val="28"/>
          <w:highlight w:val="none"/>
        </w:rPr>
      </w:pPr>
      <w:bookmarkStart w:id="1223" w:name="_Toc48210031"/>
      <w:bookmarkStart w:id="1224" w:name="_Toc54255559"/>
      <w:bookmarkStart w:id="1225" w:name="_Toc25070687"/>
      <w:bookmarkStart w:id="1226" w:name="_Toc38352783"/>
      <w:bookmarkStart w:id="1227" w:name="_Toc52264503"/>
      <w:bookmarkStart w:id="1228" w:name="_Toc535475988"/>
      <w:bookmarkStart w:id="1229" w:name="_Toc32848347"/>
      <w:bookmarkStart w:id="1230" w:name="_Toc535338436"/>
      <w:bookmarkStart w:id="1231" w:name="_Toc48210140"/>
      <w:bookmarkStart w:id="1232" w:name="_Toc38358409"/>
      <w:bookmarkStart w:id="1233" w:name="_Toc48138895"/>
      <w:bookmarkStart w:id="1234" w:name="_Toc48138973"/>
      <w:bookmarkStart w:id="1235" w:name="_Toc532464347"/>
      <w:bookmarkStart w:id="1236" w:name="_Toc48210363"/>
      <w:bookmarkStart w:id="1237" w:name="_Toc519684139"/>
      <w:bookmarkStart w:id="1238" w:name="_Toc54256654"/>
      <w:bookmarkStart w:id="1239" w:name="_Toc19545270"/>
      <w:bookmarkStart w:id="1240" w:name="_Toc32865090"/>
      <w:bookmarkStart w:id="1241" w:name="_Toc25690916"/>
      <w:r>
        <w:rPr>
          <w:b/>
          <w:sz w:val="24"/>
          <w:szCs w:val="28"/>
          <w:highlight w:val="none"/>
        </w:rPr>
        <w:t>5.4.</w:t>
      </w:r>
      <w:r>
        <w:rPr>
          <w:rFonts w:hint="eastAsia"/>
          <w:b/>
          <w:sz w:val="24"/>
          <w:szCs w:val="28"/>
          <w:highlight w:val="none"/>
        </w:rPr>
        <w:t>7</w:t>
      </w:r>
      <w:r>
        <w:rPr>
          <w:sz w:val="24"/>
          <w:szCs w:val="28"/>
          <w:highlight w:val="none"/>
        </w:rPr>
        <w:t xml:space="preserve">  采用高延性混凝土或配筋高延性混凝土面层加固后，墙体侧向刚度的提高系数</w:t>
      </w:r>
      <w:r>
        <w:rPr>
          <w:position w:val="-10"/>
          <w:sz w:val="24"/>
          <w:szCs w:val="28"/>
          <w:highlight w:val="none"/>
        </w:rPr>
        <w:object>
          <v:shape id="_x0000_i1166" o:spt="75" type="#_x0000_t75" style="height:15.8pt;width:13.45pt;" o:ole="t" filled="f" o:preferrelative="t" stroked="f" coordsize="21600,21600">
            <v:path/>
            <v:fill on="f" focussize="0,0"/>
            <v:stroke on="f" joinstyle="miter"/>
            <v:imagedata r:id="rId299" o:title=""/>
            <o:lock v:ext="edit" aspectratio="t"/>
            <w10:wrap type="none"/>
            <w10:anchorlock/>
          </v:shape>
          <o:OLEObject Type="Embed" ProgID="Equation.DSMT4" ShapeID="_x0000_i1166" DrawAspect="Content" ObjectID="_1468075865" r:id="rId298">
            <o:LockedField>false</o:LockedField>
          </o:OLEObject>
        </w:object>
      </w:r>
      <w:r>
        <w:rPr>
          <w:sz w:val="24"/>
          <w:szCs w:val="28"/>
          <w:highlight w:val="none"/>
        </w:rPr>
        <w:t>按下式计算：</w:t>
      </w:r>
    </w:p>
    <w:p>
      <w:pPr>
        <w:tabs>
          <w:tab w:val="left" w:pos="2565"/>
        </w:tabs>
        <w:wordWrap w:val="0"/>
        <w:adjustRightInd w:val="0"/>
        <w:spacing w:line="312" w:lineRule="auto"/>
        <w:jc w:val="right"/>
        <w:rPr>
          <w:sz w:val="24"/>
          <w:szCs w:val="28"/>
          <w:highlight w:val="none"/>
        </w:rPr>
      </w:pPr>
      <w:r>
        <w:rPr>
          <w:position w:val="-28"/>
          <w:sz w:val="24"/>
          <w:szCs w:val="28"/>
          <w:highlight w:val="none"/>
        </w:rPr>
        <w:object>
          <v:shape id="_x0000_i1167" o:spt="75" type="#_x0000_t75" style="height:32.05pt;width:41.95pt;" o:ole="t" filled="f" o:preferrelative="t" stroked="f" coordsize="21600,21600">
            <v:path/>
            <v:fill on="f" focussize="0,0"/>
            <v:stroke on="f" joinstyle="miter"/>
            <v:imagedata r:id="rId301" o:title=""/>
            <o:lock v:ext="edit" aspectratio="t"/>
            <w10:wrap type="none"/>
            <w10:anchorlock/>
          </v:shape>
          <o:OLEObject Type="Embed" ProgID="Equation.DSMT4" ShapeID="_x0000_i1167" DrawAspect="Content" ObjectID="_1468075866" r:id="rId300">
            <o:LockedField>false</o:LockedField>
          </o:OLEObject>
        </w:object>
      </w:r>
      <w:r>
        <w:rPr>
          <w:sz w:val="24"/>
          <w:szCs w:val="28"/>
          <w:highlight w:val="none"/>
        </w:rPr>
        <w:t xml:space="preserve">    </w:t>
      </w:r>
      <w:r>
        <w:rPr>
          <w:rFonts w:hint="eastAsia"/>
          <w:sz w:val="24"/>
          <w:szCs w:val="28"/>
          <w:highlight w:val="none"/>
          <w:lang w:val="en-US" w:eastAsia="zh-CN"/>
        </w:rPr>
        <w:t xml:space="preserve">                 </w:t>
      </w:r>
      <w:r>
        <w:rPr>
          <w:sz w:val="24"/>
          <w:szCs w:val="28"/>
          <w:highlight w:val="none"/>
        </w:rPr>
        <w:t xml:space="preserve">            （5.4.</w:t>
      </w:r>
      <w:r>
        <w:rPr>
          <w:rFonts w:hint="eastAsia"/>
          <w:sz w:val="24"/>
          <w:szCs w:val="28"/>
          <w:highlight w:val="none"/>
        </w:rPr>
        <w:t>7</w:t>
      </w:r>
      <w:r>
        <w:rPr>
          <w:sz w:val="24"/>
          <w:szCs w:val="28"/>
          <w:highlight w:val="none"/>
        </w:rPr>
        <w:t>）</w:t>
      </w:r>
    </w:p>
    <w:tbl>
      <w:tblPr>
        <w:tblStyle w:val="23"/>
        <w:tblW w:w="0" w:type="auto"/>
        <w:tblInd w:w="0" w:type="dxa"/>
        <w:tblLayout w:type="fixed"/>
        <w:tblCellMar>
          <w:top w:w="0" w:type="dxa"/>
          <w:left w:w="108" w:type="dxa"/>
          <w:bottom w:w="0" w:type="dxa"/>
          <w:right w:w="108" w:type="dxa"/>
        </w:tblCellMar>
      </w:tblPr>
      <w:tblGrid>
        <w:gridCol w:w="1526"/>
        <w:gridCol w:w="8317"/>
      </w:tblGrid>
      <w:tr>
        <w:tblPrEx>
          <w:tblCellMar>
            <w:top w:w="0" w:type="dxa"/>
            <w:left w:w="108" w:type="dxa"/>
            <w:bottom w:w="0" w:type="dxa"/>
            <w:right w:w="108" w:type="dxa"/>
          </w:tblCellMar>
        </w:tblPrEx>
        <w:trPr>
          <w:trHeight w:val="397" w:hRule="atLeast"/>
        </w:trPr>
        <w:tc>
          <w:tcPr>
            <w:tcW w:w="1526" w:type="dxa"/>
          </w:tcPr>
          <w:p>
            <w:pPr>
              <w:snapToGrid w:val="0"/>
              <w:spacing w:line="312" w:lineRule="auto"/>
              <w:ind w:right="-105" w:rightChars="-50"/>
              <w:jc w:val="right"/>
              <w:rPr>
                <w:kern w:val="0"/>
                <w:sz w:val="24"/>
                <w:szCs w:val="28"/>
                <w:highlight w:val="none"/>
              </w:rPr>
            </w:pPr>
            <w:r>
              <w:rPr>
                <w:sz w:val="24"/>
                <w:szCs w:val="28"/>
                <w:highlight w:val="none"/>
              </w:rPr>
              <w:t>式中：</w:t>
            </w:r>
            <w:r>
              <w:rPr>
                <w:kern w:val="0"/>
                <w:position w:val="-10"/>
                <w:sz w:val="24"/>
                <w:szCs w:val="28"/>
                <w:highlight w:val="none"/>
              </w:rPr>
              <w:object>
                <v:shape id="_x0000_i1168" o:spt="75" type="#_x0000_t75" style="height:15.8pt;width:15.8pt;" o:ole="t" filled="f" o:preferrelative="t" stroked="f" coordsize="21600,21600">
                  <v:path/>
                  <v:fill on="f" focussize="0,0"/>
                  <v:stroke on="f" joinstyle="miter"/>
                  <v:imagedata r:id="rId303" o:title=""/>
                  <o:lock v:ext="edit" aspectratio="f"/>
                  <w10:wrap type="none"/>
                  <w10:anchorlock/>
                </v:shape>
                <o:OLEObject Type="Embed" ProgID="Equation.DSMT4" ShapeID="_x0000_i1168" DrawAspect="Content" ObjectID="_1468075867" r:id="rId302">
                  <o:LockedField>false</o:LockedField>
                </o:OLEObject>
              </w:object>
            </w:r>
            <w:r>
              <w:rPr>
                <w:kern w:val="0"/>
                <w:position w:val="-4"/>
                <w:sz w:val="24"/>
                <w:szCs w:val="28"/>
                <w:highlight w:val="none"/>
              </w:rPr>
              <w:t>——</w:t>
            </w:r>
          </w:p>
        </w:tc>
        <w:tc>
          <w:tcPr>
            <w:tcW w:w="8317" w:type="dxa"/>
            <w:vAlign w:val="center"/>
          </w:tcPr>
          <w:p>
            <w:pPr>
              <w:snapToGrid w:val="0"/>
              <w:spacing w:line="312" w:lineRule="auto"/>
              <w:ind w:left="-105" w:leftChars="-50"/>
              <w:rPr>
                <w:kern w:val="0"/>
                <w:sz w:val="24"/>
                <w:szCs w:val="28"/>
                <w:highlight w:val="none"/>
              </w:rPr>
            </w:pPr>
            <w:r>
              <w:rPr>
                <w:rFonts w:hint="eastAsia"/>
                <w:kern w:val="0"/>
                <w:sz w:val="24"/>
                <w:szCs w:val="28"/>
                <w:highlight w:val="none"/>
              </w:rPr>
              <w:t>原</w:t>
            </w:r>
            <w:r>
              <w:rPr>
                <w:kern w:val="0"/>
                <w:sz w:val="24"/>
                <w:szCs w:val="28"/>
                <w:highlight w:val="none"/>
              </w:rPr>
              <w:t>墙体加固前的侧向刚度</w:t>
            </w:r>
            <w:r>
              <w:rPr>
                <w:rFonts w:hint="eastAsia"/>
                <w:kern w:val="0"/>
                <w:sz w:val="24"/>
                <w:szCs w:val="28"/>
                <w:highlight w:val="none"/>
              </w:rPr>
              <w:t>；</w:t>
            </w:r>
          </w:p>
        </w:tc>
      </w:tr>
      <w:tr>
        <w:tblPrEx>
          <w:tblCellMar>
            <w:top w:w="0" w:type="dxa"/>
            <w:left w:w="108" w:type="dxa"/>
            <w:bottom w:w="0" w:type="dxa"/>
            <w:right w:w="108" w:type="dxa"/>
          </w:tblCellMar>
        </w:tblPrEx>
        <w:trPr>
          <w:trHeight w:val="397" w:hRule="atLeast"/>
        </w:trPr>
        <w:tc>
          <w:tcPr>
            <w:tcW w:w="1526" w:type="dxa"/>
          </w:tcPr>
          <w:p>
            <w:pPr>
              <w:snapToGrid w:val="0"/>
              <w:spacing w:line="312" w:lineRule="auto"/>
              <w:ind w:right="-105" w:rightChars="-50"/>
              <w:jc w:val="right"/>
              <w:rPr>
                <w:kern w:val="0"/>
                <w:sz w:val="24"/>
                <w:szCs w:val="28"/>
                <w:highlight w:val="none"/>
              </w:rPr>
            </w:pPr>
            <w:r>
              <w:rPr>
                <w:position w:val="-10"/>
                <w:sz w:val="24"/>
                <w:szCs w:val="28"/>
                <w:highlight w:val="none"/>
              </w:rPr>
              <w:object>
                <v:shape id="_x0000_i1169" o:spt="75" type="#_x0000_t75" style="height:15.8pt;width:13.05pt;" o:ole="t" filled="f" o:preferrelative="t" stroked="f" coordsize="21600,21600">
                  <v:path/>
                  <v:fill on="f" focussize="0,0"/>
                  <v:stroke on="f" joinstyle="miter"/>
                  <v:imagedata r:id="rId305" o:title=""/>
                  <o:lock v:ext="edit" aspectratio="t"/>
                  <w10:wrap type="none"/>
                  <w10:anchorlock/>
                </v:shape>
                <o:OLEObject Type="Embed" ProgID="Equation.DSMT4" ShapeID="_x0000_i1169" DrawAspect="Content" ObjectID="_1468075868" r:id="rId304">
                  <o:LockedField>false</o:LockedField>
                </o:OLEObject>
              </w:object>
            </w:r>
            <w:r>
              <w:rPr>
                <w:kern w:val="0"/>
                <w:position w:val="-4"/>
                <w:sz w:val="24"/>
                <w:szCs w:val="28"/>
                <w:highlight w:val="none"/>
              </w:rPr>
              <w:t>——</w:t>
            </w:r>
          </w:p>
        </w:tc>
        <w:tc>
          <w:tcPr>
            <w:tcW w:w="8317" w:type="dxa"/>
            <w:vAlign w:val="center"/>
          </w:tcPr>
          <w:p>
            <w:pPr>
              <w:snapToGrid w:val="0"/>
              <w:spacing w:line="312" w:lineRule="auto"/>
              <w:ind w:left="-105" w:leftChars="-50"/>
              <w:rPr>
                <w:kern w:val="0"/>
                <w:sz w:val="24"/>
                <w:szCs w:val="28"/>
                <w:highlight w:val="none"/>
              </w:rPr>
            </w:pPr>
            <w:r>
              <w:rPr>
                <w:sz w:val="24"/>
                <w:szCs w:val="28"/>
                <w:highlight w:val="none"/>
              </w:rPr>
              <w:t>高延性混凝土加固后，墙体侧向刚度的提高系数</w:t>
            </w:r>
            <w:r>
              <w:rPr>
                <w:kern w:val="0"/>
                <w:sz w:val="24"/>
                <w:szCs w:val="28"/>
                <w:highlight w:val="none"/>
              </w:rPr>
              <w:t>。</w:t>
            </w:r>
          </w:p>
        </w:tc>
      </w:tr>
    </w:tbl>
    <w:p>
      <w:pPr>
        <w:spacing w:line="360" w:lineRule="auto"/>
        <w:jc w:val="center"/>
        <w:outlineLvl w:val="1"/>
        <w:rPr>
          <w:rFonts w:hint="eastAsia" w:eastAsia="黑体"/>
          <w:sz w:val="24"/>
          <w:szCs w:val="28"/>
          <w:highlight w:val="none"/>
          <w:lang w:eastAsia="zh-CN"/>
        </w:rPr>
      </w:pPr>
      <w:bookmarkStart w:id="1242" w:name="_Toc27722"/>
      <w:bookmarkStart w:id="1243" w:name="_Toc63348931"/>
      <w:bookmarkStart w:id="1244" w:name="_Toc63348855"/>
      <w:bookmarkStart w:id="1245" w:name="_Toc70169825"/>
      <w:bookmarkStart w:id="1246" w:name="_Toc67330599"/>
      <w:bookmarkStart w:id="1247" w:name="_Toc31224"/>
      <w:bookmarkStart w:id="1248" w:name="_Toc11948"/>
      <w:r>
        <w:rPr>
          <w:rFonts w:eastAsia="黑体"/>
          <w:b/>
          <w:sz w:val="24"/>
          <w:szCs w:val="28"/>
          <w:highlight w:val="none"/>
        </w:rPr>
        <w:t>5.5</w:t>
      </w:r>
      <w:r>
        <w:rPr>
          <w:rFonts w:eastAsia="黑体"/>
          <w:sz w:val="24"/>
          <w:szCs w:val="28"/>
          <w:highlight w:val="none"/>
        </w:rPr>
        <w:t xml:space="preserve">  构造</w:t>
      </w:r>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r>
        <w:rPr>
          <w:rFonts w:hint="eastAsia" w:eastAsia="黑体"/>
          <w:sz w:val="24"/>
          <w:szCs w:val="28"/>
          <w:highlight w:val="none"/>
          <w:lang w:val="en-US" w:eastAsia="zh-CN"/>
        </w:rPr>
        <w:t>规定</w:t>
      </w:r>
      <w:bookmarkEnd w:id="1247"/>
      <w:bookmarkEnd w:id="1248"/>
    </w:p>
    <w:p>
      <w:pPr>
        <w:spacing w:line="312" w:lineRule="auto"/>
        <w:rPr>
          <w:sz w:val="24"/>
          <w:szCs w:val="28"/>
          <w:highlight w:val="none"/>
        </w:rPr>
      </w:pPr>
      <w:bookmarkStart w:id="1249" w:name="_Toc25070688"/>
      <w:bookmarkStart w:id="1250" w:name="_Toc38352784"/>
      <w:bookmarkStart w:id="1251" w:name="_Toc48210141"/>
      <w:bookmarkStart w:id="1252" w:name="_Toc48210364"/>
      <w:bookmarkStart w:id="1253" w:name="_Toc535338437"/>
      <w:bookmarkStart w:id="1254" w:name="_Toc32848348"/>
      <w:bookmarkStart w:id="1255" w:name="_Toc25690917"/>
      <w:bookmarkStart w:id="1256" w:name="_Toc48210032"/>
      <w:bookmarkStart w:id="1257" w:name="_Toc535475989"/>
      <w:bookmarkStart w:id="1258" w:name="_Toc32865091"/>
      <w:bookmarkStart w:id="1259" w:name="_Toc48138974"/>
      <w:bookmarkStart w:id="1260" w:name="_Toc54255560"/>
      <w:bookmarkStart w:id="1261" w:name="_Toc52264504"/>
      <w:bookmarkStart w:id="1262" w:name="_Toc54256655"/>
      <w:bookmarkStart w:id="1263" w:name="_Toc48138896"/>
      <w:bookmarkStart w:id="1264" w:name="_Toc38358410"/>
      <w:bookmarkStart w:id="1265" w:name="_Toc19545271"/>
      <w:r>
        <w:rPr>
          <w:b/>
          <w:bCs/>
          <w:sz w:val="24"/>
          <w:szCs w:val="28"/>
          <w:highlight w:val="none"/>
        </w:rPr>
        <w:t>5.5.1</w:t>
      </w:r>
      <w:r>
        <w:rPr>
          <w:sz w:val="24"/>
          <w:szCs w:val="28"/>
          <w:highlight w:val="none"/>
        </w:rPr>
        <w:t xml:space="preserve">  采用高延性混凝土加固墙体应符合下列规定：</w:t>
      </w:r>
    </w:p>
    <w:p>
      <w:pPr>
        <w:spacing w:line="312" w:lineRule="auto"/>
        <w:ind w:firstLine="482" w:firstLineChars="200"/>
        <w:rPr>
          <w:sz w:val="24"/>
          <w:szCs w:val="28"/>
          <w:highlight w:val="none"/>
        </w:rPr>
      </w:pPr>
      <w:r>
        <w:rPr>
          <w:b/>
          <w:bCs/>
          <w:sz w:val="24"/>
          <w:szCs w:val="28"/>
          <w:highlight w:val="none"/>
        </w:rPr>
        <w:t>1</w:t>
      </w:r>
      <w:r>
        <w:rPr>
          <w:sz w:val="24"/>
          <w:szCs w:val="28"/>
          <w:highlight w:val="none"/>
        </w:rPr>
        <w:t xml:space="preserve">  </w:t>
      </w:r>
      <w:r>
        <w:rPr>
          <w:rFonts w:hint="eastAsia"/>
          <w:sz w:val="24"/>
          <w:szCs w:val="28"/>
          <w:highlight w:val="none"/>
        </w:rPr>
        <w:t>对8度及以下设防地区，</w:t>
      </w:r>
      <w:r>
        <w:rPr>
          <w:sz w:val="24"/>
          <w:szCs w:val="28"/>
          <w:highlight w:val="none"/>
        </w:rPr>
        <w:t>高延性混凝土面层厚度不应小于10mm</w:t>
      </w:r>
      <w:r>
        <w:rPr>
          <w:rFonts w:hint="eastAsia"/>
          <w:sz w:val="24"/>
          <w:szCs w:val="28"/>
          <w:highlight w:val="none"/>
        </w:rPr>
        <w:t>；对</w:t>
      </w:r>
      <w:r>
        <w:rPr>
          <w:rFonts w:hint="eastAsia"/>
          <w:sz w:val="24"/>
          <w:szCs w:val="28"/>
          <w:highlight w:val="none"/>
          <w:lang w:val="en-US" w:eastAsia="zh-CN"/>
        </w:rPr>
        <w:t>9度</w:t>
      </w:r>
      <w:r>
        <w:rPr>
          <w:rFonts w:hint="eastAsia"/>
          <w:sz w:val="24"/>
          <w:szCs w:val="28"/>
          <w:highlight w:val="none"/>
        </w:rPr>
        <w:t>设防地区，</w:t>
      </w:r>
      <w:r>
        <w:rPr>
          <w:sz w:val="24"/>
          <w:szCs w:val="28"/>
          <w:highlight w:val="none"/>
        </w:rPr>
        <w:t>高延性混凝土面层厚度不应小于</w:t>
      </w:r>
      <w:r>
        <w:rPr>
          <w:rFonts w:hint="eastAsia"/>
          <w:sz w:val="24"/>
          <w:szCs w:val="28"/>
          <w:highlight w:val="none"/>
        </w:rPr>
        <w:t>1</w:t>
      </w:r>
      <w:r>
        <w:rPr>
          <w:sz w:val="24"/>
          <w:szCs w:val="28"/>
          <w:highlight w:val="none"/>
        </w:rPr>
        <w:t>5mm</w:t>
      </w:r>
      <w:r>
        <w:rPr>
          <w:rFonts w:hint="eastAsia"/>
          <w:sz w:val="24"/>
          <w:szCs w:val="28"/>
          <w:highlight w:val="none"/>
        </w:rPr>
        <w:t>，且</w:t>
      </w:r>
      <w:r>
        <w:rPr>
          <w:rFonts w:hint="eastAsia"/>
          <w:sz w:val="24"/>
          <w:szCs w:val="28"/>
          <w:highlight w:val="none"/>
          <w:lang w:val="en-US" w:eastAsia="zh-CN"/>
        </w:rPr>
        <w:t>应</w:t>
      </w:r>
      <w:r>
        <w:rPr>
          <w:rFonts w:hint="eastAsia"/>
          <w:sz w:val="24"/>
          <w:szCs w:val="28"/>
          <w:highlight w:val="none"/>
        </w:rPr>
        <w:t>进行双面加固；</w:t>
      </w:r>
    </w:p>
    <w:p>
      <w:pPr>
        <w:spacing w:line="312" w:lineRule="auto"/>
        <w:ind w:firstLine="482" w:firstLineChars="200"/>
        <w:rPr>
          <w:sz w:val="24"/>
          <w:szCs w:val="28"/>
          <w:highlight w:val="none"/>
        </w:rPr>
      </w:pPr>
      <w:r>
        <w:rPr>
          <w:b/>
          <w:bCs/>
          <w:sz w:val="24"/>
          <w:szCs w:val="28"/>
          <w:highlight w:val="none"/>
        </w:rPr>
        <w:t xml:space="preserve">2  </w:t>
      </w:r>
      <w:r>
        <w:rPr>
          <w:sz w:val="24"/>
          <w:szCs w:val="28"/>
          <w:highlight w:val="none"/>
        </w:rPr>
        <w:t>当面层厚度大于30mm时，宜配置钢筋网片及拉结筋（图5.5.1-1），竖向及水平钢筋直径宜选用6mm~10mm，竖向钢筋及水平钢筋的间距不宜大于300mm；双面加固时采用S形拉结筋</w:t>
      </w:r>
      <w:r>
        <w:rPr>
          <w:rFonts w:hint="eastAsia"/>
          <w:sz w:val="24"/>
          <w:szCs w:val="28"/>
          <w:highlight w:val="none"/>
        </w:rPr>
        <w:t>，</w:t>
      </w:r>
      <w:r>
        <w:rPr>
          <w:sz w:val="24"/>
          <w:szCs w:val="28"/>
          <w:highlight w:val="none"/>
        </w:rPr>
        <w:t>间距不宜大于900mm</w:t>
      </w:r>
      <w:r>
        <w:rPr>
          <w:rFonts w:hint="eastAsia"/>
          <w:sz w:val="24"/>
          <w:szCs w:val="28"/>
          <w:highlight w:val="none"/>
        </w:rPr>
        <w:t>；</w:t>
      </w:r>
      <w:r>
        <w:rPr>
          <w:sz w:val="24"/>
          <w:szCs w:val="28"/>
          <w:highlight w:val="none"/>
        </w:rPr>
        <w:t>单面加</w:t>
      </w:r>
      <w:r>
        <w:rPr>
          <w:rFonts w:hint="eastAsia"/>
          <w:sz w:val="24"/>
          <w:szCs w:val="28"/>
          <w:highlight w:val="none"/>
          <w:lang w:val="en-US" w:eastAsia="zh-CN"/>
        </w:rPr>
        <w:t>9</w:t>
      </w:r>
      <w:r>
        <w:rPr>
          <w:sz w:val="24"/>
          <w:szCs w:val="28"/>
          <w:highlight w:val="none"/>
        </w:rPr>
        <w:t>固时采用L形锚筋</w:t>
      </w:r>
      <w:r>
        <w:rPr>
          <w:rFonts w:hint="eastAsia"/>
          <w:sz w:val="24"/>
          <w:szCs w:val="28"/>
          <w:highlight w:val="none"/>
        </w:rPr>
        <w:t>，</w:t>
      </w:r>
      <w:r>
        <w:rPr>
          <w:sz w:val="24"/>
          <w:szCs w:val="28"/>
          <w:highlight w:val="none"/>
        </w:rPr>
        <w:t>间距不宜大于600mm</w:t>
      </w:r>
      <w:r>
        <w:rPr>
          <w:rFonts w:hint="eastAsia"/>
          <w:sz w:val="24"/>
          <w:szCs w:val="28"/>
          <w:highlight w:val="none"/>
        </w:rPr>
        <w:t>；</w:t>
      </w:r>
      <w:r>
        <w:rPr>
          <w:sz w:val="24"/>
          <w:szCs w:val="28"/>
          <w:highlight w:val="none"/>
        </w:rPr>
        <w:t>S形拉结筋和L形锚筋宜梅花状布置，具体配筋应根据实际工程由计算确定；</w:t>
      </w:r>
    </w:p>
    <w:p>
      <w:pPr>
        <w:snapToGrid w:val="0"/>
        <w:spacing w:line="312" w:lineRule="auto"/>
        <w:jc w:val="center"/>
        <w:rPr>
          <w:sz w:val="24"/>
          <w:szCs w:val="28"/>
          <w:highlight w:val="none"/>
        </w:rPr>
      </w:pPr>
      <w:r>
        <w:rPr>
          <w:sz w:val="24"/>
          <w:szCs w:val="28"/>
          <w:highlight w:val="none"/>
        </w:rPr>
        <w:drawing>
          <wp:inline distT="0" distB="0" distL="0" distR="0">
            <wp:extent cx="2512695" cy="1614170"/>
            <wp:effectExtent l="0" t="0" r="0" b="0"/>
            <wp:docPr id="154"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59"/>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a:xfrm>
                      <a:off x="0" y="0"/>
                      <a:ext cx="2512695" cy="1614170"/>
                    </a:xfrm>
                    <a:prstGeom prst="rect">
                      <a:avLst/>
                    </a:prstGeom>
                    <a:noFill/>
                    <a:ln>
                      <a:noFill/>
                    </a:ln>
                  </pic:spPr>
                </pic:pic>
              </a:graphicData>
            </a:graphic>
          </wp:inline>
        </w:drawing>
      </w:r>
    </w:p>
    <w:p>
      <w:pPr>
        <w:spacing w:line="312" w:lineRule="auto"/>
        <w:jc w:val="center"/>
        <w:rPr>
          <w:sz w:val="21"/>
          <w:szCs w:val="21"/>
          <w:highlight w:val="none"/>
        </w:rPr>
      </w:pPr>
      <w:r>
        <w:rPr>
          <w:sz w:val="21"/>
          <w:szCs w:val="21"/>
          <w:highlight w:val="none"/>
        </w:rPr>
        <w:t>图5.5.1-1 钢筋网片及拉结筋设置示意图</w:t>
      </w:r>
    </w:p>
    <w:p>
      <w:pPr>
        <w:spacing w:line="312" w:lineRule="auto"/>
        <w:jc w:val="center"/>
        <w:rPr>
          <w:sz w:val="18"/>
          <w:szCs w:val="21"/>
          <w:highlight w:val="none"/>
        </w:rPr>
      </w:pPr>
      <w:r>
        <w:rPr>
          <w:sz w:val="18"/>
          <w:szCs w:val="21"/>
          <w:highlight w:val="none"/>
        </w:rPr>
        <w:t>1——竖向钢筋；2——水平钢筋</w:t>
      </w:r>
    </w:p>
    <w:p>
      <w:pPr>
        <w:spacing w:line="312" w:lineRule="auto"/>
        <w:ind w:firstLine="482" w:firstLineChars="200"/>
        <w:rPr>
          <w:sz w:val="24"/>
          <w:szCs w:val="28"/>
          <w:highlight w:val="none"/>
        </w:rPr>
      </w:pPr>
      <w:r>
        <w:rPr>
          <w:b/>
          <w:bCs/>
          <w:sz w:val="24"/>
          <w:szCs w:val="28"/>
          <w:highlight w:val="none"/>
        </w:rPr>
        <w:t>3</w:t>
      </w:r>
      <w:r>
        <w:rPr>
          <w:sz w:val="24"/>
          <w:szCs w:val="28"/>
          <w:highlight w:val="none"/>
        </w:rPr>
        <w:t xml:space="preserve">  加固用的钢筋，宜优先选用HRB400级钢筋</w:t>
      </w:r>
      <w:r>
        <w:rPr>
          <w:rFonts w:hint="eastAsia"/>
          <w:sz w:val="24"/>
          <w:szCs w:val="28"/>
          <w:highlight w:val="none"/>
        </w:rPr>
        <w:t>，也可采用HPB300级钢筋</w:t>
      </w:r>
      <w:r>
        <w:rPr>
          <w:sz w:val="24"/>
          <w:szCs w:val="28"/>
          <w:highlight w:val="none"/>
        </w:rPr>
        <w:t>；</w:t>
      </w:r>
    </w:p>
    <w:p>
      <w:pPr>
        <w:spacing w:line="312" w:lineRule="auto"/>
        <w:ind w:firstLine="482" w:firstLineChars="200"/>
        <w:rPr>
          <w:sz w:val="24"/>
          <w:szCs w:val="28"/>
          <w:highlight w:val="none"/>
        </w:rPr>
      </w:pPr>
      <w:r>
        <w:rPr>
          <w:b/>
          <w:bCs/>
          <w:sz w:val="24"/>
          <w:szCs w:val="28"/>
          <w:highlight w:val="none"/>
        </w:rPr>
        <w:t>4</w:t>
      </w:r>
      <w:r>
        <w:rPr>
          <w:sz w:val="24"/>
          <w:szCs w:val="28"/>
          <w:highlight w:val="none"/>
        </w:rPr>
        <w:t xml:space="preserve">  原砌筑砂浆</w:t>
      </w:r>
      <w:r>
        <w:rPr>
          <w:rFonts w:hint="eastAsia"/>
          <w:sz w:val="24"/>
          <w:szCs w:val="28"/>
          <w:highlight w:val="none"/>
        </w:rPr>
        <w:t>抗压</w:t>
      </w:r>
      <w:r>
        <w:rPr>
          <w:sz w:val="24"/>
          <w:szCs w:val="28"/>
          <w:highlight w:val="none"/>
        </w:rPr>
        <w:t>强度低于1.0MPa时，高延性混凝土面层与墙体之间宜采用局部嵌缝等方式进行处理，嵌缝深度为</w:t>
      </w:r>
      <w:r>
        <w:rPr>
          <w:rFonts w:hint="eastAsia"/>
          <w:sz w:val="24"/>
          <w:szCs w:val="28"/>
          <w:highlight w:val="none"/>
        </w:rPr>
        <w:t>10~</w:t>
      </w:r>
      <w:r>
        <w:rPr>
          <w:sz w:val="24"/>
          <w:szCs w:val="28"/>
          <w:highlight w:val="none"/>
        </w:rPr>
        <w:t>15mm（图5.5.1-2）。局部嵌缝采用梅花状布置，嵌缝比例不小于30%，嵌缝间距不应大于600mm；</w:t>
      </w:r>
    </w:p>
    <w:p>
      <w:pPr>
        <w:snapToGrid w:val="0"/>
        <w:spacing w:line="312" w:lineRule="auto"/>
        <w:jc w:val="center"/>
        <w:rPr>
          <w:sz w:val="24"/>
          <w:szCs w:val="28"/>
          <w:highlight w:val="none"/>
        </w:rPr>
      </w:pPr>
      <w:r>
        <w:rPr>
          <w:sz w:val="24"/>
          <w:szCs w:val="28"/>
          <w:highlight w:val="none"/>
        </w:rPr>
        <w:drawing>
          <wp:inline distT="0" distB="0" distL="0" distR="0">
            <wp:extent cx="731520" cy="1367790"/>
            <wp:effectExtent l="0" t="0" r="0" b="0"/>
            <wp:docPr id="155"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57"/>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a:xfrm>
                      <a:off x="0" y="0"/>
                      <a:ext cx="731520" cy="1367790"/>
                    </a:xfrm>
                    <a:prstGeom prst="rect">
                      <a:avLst/>
                    </a:prstGeom>
                    <a:noFill/>
                    <a:ln>
                      <a:noFill/>
                    </a:ln>
                  </pic:spPr>
                </pic:pic>
              </a:graphicData>
            </a:graphic>
          </wp:inline>
        </w:drawing>
      </w:r>
      <w:r>
        <w:rPr>
          <w:sz w:val="24"/>
          <w:szCs w:val="28"/>
          <w:highlight w:val="none"/>
        </w:rPr>
        <w:t xml:space="preserve">           </w:t>
      </w:r>
      <w:r>
        <w:rPr>
          <w:sz w:val="24"/>
          <w:szCs w:val="28"/>
          <w:highlight w:val="none"/>
        </w:rPr>
        <w:drawing>
          <wp:inline distT="0" distB="0" distL="0" distR="0">
            <wp:extent cx="1216660" cy="1025525"/>
            <wp:effectExtent l="0" t="0" r="0" b="0"/>
            <wp:docPr id="156" name="图片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312"/>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a:xfrm>
                      <a:off x="0" y="0"/>
                      <a:ext cx="1216660" cy="1025525"/>
                    </a:xfrm>
                    <a:prstGeom prst="rect">
                      <a:avLst/>
                    </a:prstGeom>
                    <a:noFill/>
                    <a:ln>
                      <a:noFill/>
                    </a:ln>
                    <a:effectLst/>
                  </pic:spPr>
                </pic:pic>
              </a:graphicData>
            </a:graphic>
          </wp:inline>
        </w:drawing>
      </w:r>
    </w:p>
    <w:p>
      <w:pPr>
        <w:spacing w:line="312" w:lineRule="auto"/>
        <w:jc w:val="center"/>
        <w:rPr>
          <w:sz w:val="18"/>
          <w:szCs w:val="21"/>
          <w:highlight w:val="none"/>
        </w:rPr>
      </w:pPr>
      <w:r>
        <w:rPr>
          <w:sz w:val="18"/>
          <w:szCs w:val="21"/>
          <w:highlight w:val="none"/>
        </w:rPr>
        <w:t>（a）局部嵌缝剖面示意图      （b）局部嵌缝立面示意图</w:t>
      </w:r>
    </w:p>
    <w:p>
      <w:pPr>
        <w:spacing w:line="312" w:lineRule="auto"/>
        <w:jc w:val="center"/>
        <w:rPr>
          <w:sz w:val="21"/>
          <w:szCs w:val="21"/>
          <w:highlight w:val="none"/>
        </w:rPr>
      </w:pPr>
      <w:r>
        <w:rPr>
          <w:sz w:val="21"/>
          <w:szCs w:val="21"/>
          <w:highlight w:val="none"/>
        </w:rPr>
        <w:t>图5.5.1-2  高延性混凝土面层嵌缝示意图</w:t>
      </w:r>
    </w:p>
    <w:p>
      <w:pPr>
        <w:spacing w:line="312" w:lineRule="auto"/>
        <w:jc w:val="center"/>
        <w:rPr>
          <w:sz w:val="18"/>
          <w:szCs w:val="21"/>
          <w:highlight w:val="none"/>
        </w:rPr>
      </w:pPr>
      <w:r>
        <w:rPr>
          <w:sz w:val="18"/>
          <w:szCs w:val="21"/>
          <w:highlight w:val="none"/>
        </w:rPr>
        <w:t>1——高延性混凝土嵌缝；2——高延性混凝土面层</w:t>
      </w:r>
    </w:p>
    <w:p>
      <w:pPr>
        <w:spacing w:line="312" w:lineRule="auto"/>
        <w:ind w:firstLine="482" w:firstLineChars="200"/>
        <w:rPr>
          <w:rFonts w:hint="eastAsia" w:eastAsia="宋体"/>
          <w:sz w:val="24"/>
          <w:szCs w:val="28"/>
          <w:highlight w:val="none"/>
          <w:lang w:eastAsia="zh-CN"/>
        </w:rPr>
      </w:pPr>
      <w:r>
        <w:rPr>
          <w:b/>
          <w:bCs/>
          <w:sz w:val="24"/>
          <w:szCs w:val="28"/>
          <w:highlight w:val="none"/>
        </w:rPr>
        <w:t>5</w:t>
      </w:r>
      <w:r>
        <w:rPr>
          <w:sz w:val="24"/>
          <w:szCs w:val="28"/>
          <w:highlight w:val="none"/>
        </w:rPr>
        <w:t xml:space="preserve">  采用高延性混凝土加固时，应采取措施防止面层端部剥离破坏。如在墙上开槽将面层端部嵌入墙内或采用嵌缝、L形倒角的形式加强端部锚固</w:t>
      </w:r>
      <w:r>
        <w:rPr>
          <w:rFonts w:hint="eastAsia"/>
          <w:sz w:val="24"/>
          <w:szCs w:val="28"/>
          <w:highlight w:val="none"/>
          <w:lang w:eastAsia="zh-CN"/>
        </w:rPr>
        <w:t>；</w:t>
      </w:r>
    </w:p>
    <w:p>
      <w:pPr>
        <w:spacing w:line="312" w:lineRule="auto"/>
        <w:ind w:firstLine="482" w:firstLineChars="200"/>
        <w:rPr>
          <w:rFonts w:hint="eastAsia" w:eastAsia="宋体"/>
          <w:sz w:val="24"/>
          <w:szCs w:val="28"/>
          <w:highlight w:val="none"/>
          <w:lang w:eastAsia="zh-CN"/>
        </w:rPr>
      </w:pPr>
      <w:r>
        <w:rPr>
          <w:b/>
          <w:bCs/>
          <w:sz w:val="24"/>
          <w:szCs w:val="28"/>
          <w:highlight w:val="none"/>
        </w:rPr>
        <w:t>6</w:t>
      </w:r>
      <w:r>
        <w:rPr>
          <w:sz w:val="24"/>
          <w:szCs w:val="28"/>
          <w:highlight w:val="none"/>
        </w:rPr>
        <w:t xml:space="preserve">  高延性混凝土加固遇门窗洞口时，单面加固宜将面层延伸至洞口侧边锚固，双面加固宜将两侧的面层在洞口处闭合（图5.5.1-3）</w:t>
      </w:r>
      <w:r>
        <w:rPr>
          <w:rFonts w:hint="eastAsia"/>
          <w:sz w:val="24"/>
          <w:szCs w:val="28"/>
          <w:highlight w:val="none"/>
          <w:lang w:eastAsia="zh-CN"/>
        </w:rPr>
        <w:t>；</w:t>
      </w:r>
    </w:p>
    <w:p>
      <w:pPr>
        <w:snapToGrid w:val="0"/>
        <w:spacing w:line="312" w:lineRule="auto"/>
        <w:jc w:val="center"/>
        <w:rPr>
          <w:sz w:val="24"/>
          <w:szCs w:val="28"/>
          <w:highlight w:val="none"/>
        </w:rPr>
      </w:pPr>
      <w:r>
        <w:rPr>
          <w:sz w:val="24"/>
          <w:szCs w:val="28"/>
          <w:highlight w:val="none"/>
        </w:rPr>
        <w:drawing>
          <wp:inline distT="0" distB="0" distL="0" distR="0">
            <wp:extent cx="2273935" cy="643890"/>
            <wp:effectExtent l="0" t="0" r="0" b="0"/>
            <wp:docPr id="157"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55"/>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a:xfrm>
                      <a:off x="0" y="0"/>
                      <a:ext cx="2273935" cy="643890"/>
                    </a:xfrm>
                    <a:prstGeom prst="rect">
                      <a:avLst/>
                    </a:prstGeom>
                    <a:noFill/>
                    <a:ln>
                      <a:noFill/>
                    </a:ln>
                  </pic:spPr>
                </pic:pic>
              </a:graphicData>
            </a:graphic>
          </wp:inline>
        </w:drawing>
      </w:r>
    </w:p>
    <w:p>
      <w:pPr>
        <w:spacing w:line="312" w:lineRule="auto"/>
        <w:jc w:val="center"/>
        <w:rPr>
          <w:sz w:val="21"/>
          <w:szCs w:val="28"/>
          <w:highlight w:val="none"/>
        </w:rPr>
      </w:pPr>
      <w:r>
        <w:rPr>
          <w:sz w:val="18"/>
          <w:szCs w:val="21"/>
          <w:highlight w:val="none"/>
        </w:rPr>
        <w:t>（a）面层双面加固</w:t>
      </w:r>
    </w:p>
    <w:p>
      <w:pPr>
        <w:snapToGrid w:val="0"/>
        <w:spacing w:line="312" w:lineRule="auto"/>
        <w:jc w:val="center"/>
        <w:rPr>
          <w:sz w:val="24"/>
          <w:szCs w:val="28"/>
          <w:highlight w:val="none"/>
        </w:rPr>
      </w:pPr>
      <w:r>
        <w:rPr>
          <w:sz w:val="24"/>
          <w:szCs w:val="28"/>
          <w:highlight w:val="none"/>
        </w:rPr>
        <w:drawing>
          <wp:inline distT="0" distB="0" distL="0" distR="0">
            <wp:extent cx="2154555" cy="572770"/>
            <wp:effectExtent l="0" t="0" r="0" b="0"/>
            <wp:docPr id="158"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56"/>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a:xfrm>
                      <a:off x="0" y="0"/>
                      <a:ext cx="2154555" cy="572770"/>
                    </a:xfrm>
                    <a:prstGeom prst="rect">
                      <a:avLst/>
                    </a:prstGeom>
                    <a:noFill/>
                    <a:ln>
                      <a:noFill/>
                    </a:ln>
                  </pic:spPr>
                </pic:pic>
              </a:graphicData>
            </a:graphic>
          </wp:inline>
        </w:drawing>
      </w:r>
    </w:p>
    <w:p>
      <w:pPr>
        <w:spacing w:line="312" w:lineRule="auto"/>
        <w:jc w:val="center"/>
        <w:rPr>
          <w:sz w:val="21"/>
          <w:szCs w:val="28"/>
          <w:highlight w:val="none"/>
        </w:rPr>
      </w:pPr>
      <w:r>
        <w:rPr>
          <w:sz w:val="18"/>
          <w:szCs w:val="21"/>
          <w:highlight w:val="none"/>
        </w:rPr>
        <w:t>（b）面层单面加固</w:t>
      </w:r>
    </w:p>
    <w:p>
      <w:pPr>
        <w:spacing w:line="312" w:lineRule="auto"/>
        <w:jc w:val="center"/>
        <w:rPr>
          <w:sz w:val="21"/>
          <w:szCs w:val="21"/>
          <w:highlight w:val="none"/>
        </w:rPr>
      </w:pPr>
      <w:r>
        <w:rPr>
          <w:sz w:val="21"/>
          <w:szCs w:val="21"/>
          <w:highlight w:val="none"/>
        </w:rPr>
        <w:t>图5.5.1-3  加固门窗洞口做法</w:t>
      </w:r>
    </w:p>
    <w:p>
      <w:pPr>
        <w:spacing w:line="312" w:lineRule="auto"/>
        <w:jc w:val="center"/>
        <w:rPr>
          <w:sz w:val="18"/>
          <w:szCs w:val="21"/>
          <w:highlight w:val="none"/>
        </w:rPr>
      </w:pPr>
      <w:r>
        <w:rPr>
          <w:sz w:val="18"/>
          <w:szCs w:val="21"/>
          <w:highlight w:val="none"/>
        </w:rPr>
        <w:t>1——高延性混凝土</w:t>
      </w:r>
    </w:p>
    <w:p>
      <w:pPr>
        <w:spacing w:line="312" w:lineRule="auto"/>
        <w:ind w:firstLine="482" w:firstLineChars="200"/>
        <w:rPr>
          <w:rFonts w:hint="eastAsia"/>
          <w:sz w:val="24"/>
          <w:szCs w:val="28"/>
          <w:highlight w:val="none"/>
        </w:rPr>
      </w:pPr>
      <w:r>
        <w:rPr>
          <w:b/>
          <w:bCs/>
          <w:sz w:val="24"/>
          <w:szCs w:val="28"/>
          <w:highlight w:val="none"/>
        </w:rPr>
        <w:t>7</w:t>
      </w:r>
      <w:r>
        <w:rPr>
          <w:sz w:val="24"/>
          <w:szCs w:val="28"/>
          <w:highlight w:val="none"/>
        </w:rPr>
        <w:t xml:space="preserve">  高延性混凝土加固</w:t>
      </w:r>
      <w:r>
        <w:rPr>
          <w:rFonts w:hint="eastAsia"/>
          <w:sz w:val="24"/>
          <w:szCs w:val="28"/>
          <w:highlight w:val="none"/>
        </w:rPr>
        <w:t>空斗墙</w:t>
      </w:r>
      <w:r>
        <w:rPr>
          <w:sz w:val="24"/>
          <w:szCs w:val="28"/>
          <w:highlight w:val="none"/>
        </w:rPr>
        <w:t>时，</w:t>
      </w:r>
      <w:r>
        <w:rPr>
          <w:rFonts w:hint="eastAsia"/>
          <w:sz w:val="24"/>
          <w:szCs w:val="28"/>
          <w:highlight w:val="none"/>
        </w:rPr>
        <w:t>应采用双面加固</w:t>
      </w:r>
      <w:r>
        <w:rPr>
          <w:sz w:val="24"/>
          <w:szCs w:val="28"/>
          <w:highlight w:val="none"/>
        </w:rPr>
        <w:t>。</w:t>
      </w:r>
      <w:r>
        <w:rPr>
          <w:rFonts w:hint="eastAsia"/>
          <w:sz w:val="24"/>
          <w:szCs w:val="28"/>
          <w:highlight w:val="none"/>
        </w:rPr>
        <w:t>当加固面层中配置钢筋时，</w:t>
      </w:r>
      <w:r>
        <w:rPr>
          <w:sz w:val="24"/>
          <w:szCs w:val="28"/>
          <w:highlight w:val="none"/>
        </w:rPr>
        <w:t>S形拉结筋和L形锚筋</w:t>
      </w:r>
      <w:r>
        <w:rPr>
          <w:rFonts w:hint="eastAsia"/>
          <w:sz w:val="24"/>
          <w:szCs w:val="28"/>
          <w:highlight w:val="none"/>
        </w:rPr>
        <w:t>所在位置的斗砖内部空洞，应采用灌浆料灌注填实。</w:t>
      </w:r>
    </w:p>
    <w:p>
      <w:pPr>
        <w:keepNext w:val="0"/>
        <w:keepLines w:val="0"/>
        <w:pageBreakBefore w:val="0"/>
        <w:widowControl w:val="0"/>
        <w:kinsoku/>
        <w:wordWrap/>
        <w:overflowPunct/>
        <w:topLinePunct w:val="0"/>
        <w:autoSpaceDE/>
        <w:autoSpaceDN/>
        <w:bidi w:val="0"/>
        <w:adjustRightInd/>
        <w:snapToGrid w:val="0"/>
        <w:spacing w:line="312" w:lineRule="auto"/>
        <w:textAlignment w:val="auto"/>
        <w:rPr>
          <w:rFonts w:hint="eastAsia" w:ascii="楷体" w:hAnsi="楷体" w:eastAsia="楷体" w:cs="楷体"/>
          <w:sz w:val="24"/>
          <w:szCs w:val="24"/>
          <w:highlight w:val="none"/>
          <w:u w:val="single"/>
        </w:rPr>
      </w:pPr>
      <w:r>
        <w:rPr>
          <w:rFonts w:hint="eastAsia" w:ascii="楷体" w:hAnsi="楷体" w:eastAsia="楷体" w:cs="楷体"/>
          <w:b w:val="0"/>
          <w:bCs/>
          <w:sz w:val="24"/>
          <w:szCs w:val="24"/>
          <w:highlight w:val="none"/>
          <w:u w:val="single"/>
        </w:rPr>
        <w:t>【条文说明】</w:t>
      </w:r>
      <w:r>
        <w:rPr>
          <w:rFonts w:hint="eastAsia" w:ascii="楷体" w:hAnsi="楷体" w:eastAsia="楷体" w:cs="楷体"/>
          <w:sz w:val="24"/>
          <w:szCs w:val="24"/>
          <w:highlight w:val="none"/>
          <w:u w:val="single"/>
        </w:rPr>
        <w:t>高延性混凝土加固砌体结构一般不需要在面层中配置钢筋，当墙体承载量相差较大或损伤严重时，适当增加面层厚度，但面层厚度较厚时为了充分发挥高延性混凝土的性能优势，可以在面层中配置钢筋，形成配筋高延性混凝土面层，更大程度提高砌体结构的承载能力和整体性。</w:t>
      </w:r>
    </w:p>
    <w:p>
      <w:pPr>
        <w:keepNext w:val="0"/>
        <w:keepLines w:val="0"/>
        <w:pageBreakBefore w:val="0"/>
        <w:widowControl w:val="0"/>
        <w:kinsoku/>
        <w:wordWrap/>
        <w:overflowPunct/>
        <w:topLinePunct w:val="0"/>
        <w:autoSpaceDE/>
        <w:autoSpaceDN/>
        <w:bidi w:val="0"/>
        <w:adjustRightInd/>
        <w:snapToGrid w:val="0"/>
        <w:spacing w:line="312" w:lineRule="auto"/>
        <w:ind w:firstLine="480" w:firstLineChars="200"/>
        <w:textAlignment w:val="auto"/>
        <w:rPr>
          <w:rFonts w:hint="eastAsia" w:ascii="楷体" w:hAnsi="楷体" w:eastAsia="楷体" w:cs="楷体"/>
          <w:sz w:val="24"/>
          <w:szCs w:val="24"/>
          <w:highlight w:val="none"/>
          <w:u w:val="single"/>
        </w:rPr>
      </w:pPr>
      <w:r>
        <w:rPr>
          <w:rFonts w:hint="eastAsia" w:ascii="楷体" w:hAnsi="楷体" w:eastAsia="楷体" w:cs="楷体"/>
          <w:sz w:val="24"/>
          <w:szCs w:val="24"/>
          <w:highlight w:val="none"/>
          <w:u w:val="single"/>
        </w:rPr>
        <w:t>砂浆强度较低时，为了更好的提高高延性混凝土面层与原墙体的共同工作能力，建议在高延性混凝土面层与墙体之间采用局部嵌缝等方式进行处理。对面层端部应采取嵌固措施防止面层剥离。遇到门窗洞口时，应将面层延伸至洞口侧边锚固，提高加固的整体性。</w:t>
      </w:r>
    </w:p>
    <w:p>
      <w:pPr>
        <w:spacing w:line="312" w:lineRule="auto"/>
        <w:rPr>
          <w:sz w:val="24"/>
          <w:szCs w:val="28"/>
          <w:highlight w:val="none"/>
        </w:rPr>
      </w:pPr>
      <w:r>
        <w:rPr>
          <w:b/>
          <w:bCs/>
          <w:sz w:val="24"/>
          <w:szCs w:val="28"/>
          <w:highlight w:val="none"/>
        </w:rPr>
        <w:t>5.5.2</w:t>
      </w:r>
      <w:r>
        <w:rPr>
          <w:sz w:val="24"/>
          <w:szCs w:val="28"/>
          <w:highlight w:val="none"/>
        </w:rPr>
        <w:t xml:space="preserve">  高延性混凝土受压加固</w:t>
      </w:r>
      <w:r>
        <w:rPr>
          <w:rFonts w:hint="eastAsia"/>
          <w:sz w:val="24"/>
          <w:szCs w:val="28"/>
          <w:highlight w:val="none"/>
        </w:rPr>
        <w:t>砌体</w:t>
      </w:r>
      <w:r>
        <w:rPr>
          <w:sz w:val="24"/>
          <w:szCs w:val="28"/>
          <w:highlight w:val="none"/>
        </w:rPr>
        <w:t>构件尚应符合</w:t>
      </w:r>
      <w:r>
        <w:rPr>
          <w:rFonts w:hint="eastAsia"/>
          <w:sz w:val="24"/>
          <w:szCs w:val="28"/>
          <w:highlight w:val="none"/>
        </w:rPr>
        <w:t>下列</w:t>
      </w:r>
      <w:r>
        <w:rPr>
          <w:sz w:val="24"/>
          <w:szCs w:val="28"/>
          <w:highlight w:val="none"/>
        </w:rPr>
        <w:t>要求：</w:t>
      </w:r>
    </w:p>
    <w:p>
      <w:pPr>
        <w:spacing w:line="312" w:lineRule="auto"/>
        <w:ind w:firstLine="482" w:firstLineChars="200"/>
        <w:rPr>
          <w:b/>
          <w:sz w:val="24"/>
          <w:szCs w:val="28"/>
          <w:highlight w:val="none"/>
        </w:rPr>
      </w:pPr>
      <w:r>
        <w:rPr>
          <w:b/>
          <w:bCs/>
          <w:sz w:val="24"/>
          <w:szCs w:val="28"/>
          <w:highlight w:val="none"/>
        </w:rPr>
        <w:t>1</w:t>
      </w:r>
      <w:r>
        <w:rPr>
          <w:sz w:val="24"/>
          <w:szCs w:val="28"/>
          <w:highlight w:val="none"/>
        </w:rPr>
        <w:t xml:space="preserve">  高延性混凝土面层受压加固砌体构件，宜采用双面加固，面层厚度不宜小于15mm；当采用单面加固时，面层厚度不宜小于20mm</w:t>
      </w:r>
      <w:r>
        <w:rPr>
          <w:rFonts w:hint="eastAsia"/>
          <w:sz w:val="24"/>
          <w:szCs w:val="28"/>
          <w:highlight w:val="none"/>
        </w:rPr>
        <w:t>。</w:t>
      </w:r>
      <w:r>
        <w:rPr>
          <w:sz w:val="24"/>
          <w:szCs w:val="28"/>
          <w:highlight w:val="none"/>
        </w:rPr>
        <w:t>下列情况宜采用高延性混凝土双面加固：</w:t>
      </w:r>
    </w:p>
    <w:p>
      <w:pPr>
        <w:pStyle w:val="105"/>
        <w:spacing w:line="312" w:lineRule="auto"/>
        <w:ind w:firstLineChars="0"/>
        <w:rPr>
          <w:rFonts w:cs="Times New Roman"/>
          <w:sz w:val="24"/>
          <w:szCs w:val="24"/>
          <w:highlight w:val="none"/>
        </w:rPr>
      </w:pPr>
      <w:r>
        <w:rPr>
          <w:rFonts w:cs="Times New Roman"/>
          <w:sz w:val="24"/>
          <w:szCs w:val="24"/>
          <w:highlight w:val="none"/>
        </w:rPr>
        <w:t>1）原砌筑砂浆强度不大于1.0MPa；</w:t>
      </w:r>
    </w:p>
    <w:p>
      <w:pPr>
        <w:pStyle w:val="105"/>
        <w:spacing w:line="312" w:lineRule="auto"/>
        <w:ind w:firstLineChars="0"/>
        <w:rPr>
          <w:rFonts w:cs="Times New Roman"/>
          <w:sz w:val="24"/>
          <w:szCs w:val="24"/>
          <w:highlight w:val="none"/>
        </w:rPr>
      </w:pPr>
      <w:r>
        <w:rPr>
          <w:rFonts w:cs="Times New Roman"/>
          <w:sz w:val="24"/>
          <w:szCs w:val="24"/>
          <w:highlight w:val="none"/>
        </w:rPr>
        <w:t>2）采用高延性混凝土加固偏心受压构件。</w:t>
      </w:r>
    </w:p>
    <w:p>
      <w:pPr>
        <w:spacing w:line="312" w:lineRule="auto"/>
        <w:ind w:firstLine="482" w:firstLineChars="200"/>
        <w:rPr>
          <w:sz w:val="24"/>
          <w:szCs w:val="28"/>
          <w:highlight w:val="none"/>
        </w:rPr>
      </w:pPr>
      <w:r>
        <w:rPr>
          <w:b/>
          <w:bCs/>
          <w:sz w:val="24"/>
          <w:szCs w:val="28"/>
          <w:highlight w:val="none"/>
        </w:rPr>
        <w:t>2</w:t>
      </w:r>
      <w:r>
        <w:rPr>
          <w:sz w:val="24"/>
          <w:szCs w:val="28"/>
          <w:highlight w:val="none"/>
        </w:rPr>
        <w:t xml:space="preserve">  配筋高延性混凝土面层中纵向钢筋的</w:t>
      </w:r>
      <w:r>
        <w:rPr>
          <w:rFonts w:hint="eastAsia"/>
          <w:sz w:val="24"/>
          <w:szCs w:val="28"/>
          <w:highlight w:val="none"/>
        </w:rPr>
        <w:t>上下端应在有配筋的混凝土梁垫、梁、板或牛腿内可靠锚固；当为底层时，下端应在基础内可靠锚固</w:t>
      </w:r>
      <w:r>
        <w:rPr>
          <w:sz w:val="24"/>
          <w:szCs w:val="28"/>
          <w:highlight w:val="none"/>
        </w:rPr>
        <w:t>；</w:t>
      </w:r>
    </w:p>
    <w:p>
      <w:pPr>
        <w:spacing w:line="312" w:lineRule="auto"/>
        <w:ind w:firstLine="482" w:firstLineChars="200"/>
        <w:rPr>
          <w:sz w:val="24"/>
          <w:szCs w:val="28"/>
          <w:highlight w:val="none"/>
        </w:rPr>
      </w:pPr>
      <w:r>
        <w:rPr>
          <w:b/>
          <w:bCs/>
          <w:sz w:val="24"/>
          <w:szCs w:val="28"/>
          <w:highlight w:val="none"/>
        </w:rPr>
        <w:t>3</w:t>
      </w:r>
      <w:r>
        <w:rPr>
          <w:sz w:val="24"/>
          <w:szCs w:val="28"/>
          <w:highlight w:val="none"/>
        </w:rPr>
        <w:t xml:space="preserve">  采用高延性混凝土面层</w:t>
      </w:r>
      <w:r>
        <w:rPr>
          <w:rFonts w:hint="eastAsia"/>
          <w:sz w:val="24"/>
          <w:szCs w:val="28"/>
          <w:highlight w:val="none"/>
        </w:rPr>
        <w:t>进行砌体受压</w:t>
      </w:r>
      <w:r>
        <w:rPr>
          <w:sz w:val="24"/>
          <w:szCs w:val="28"/>
          <w:highlight w:val="none"/>
        </w:rPr>
        <w:t>加固，当面层厚度大于20mm时，宜采用拉结筋增强面层与墙体的可靠拉结</w:t>
      </w:r>
      <w:r>
        <w:rPr>
          <w:rFonts w:hint="eastAsia"/>
          <w:sz w:val="24"/>
          <w:szCs w:val="28"/>
          <w:highlight w:val="none"/>
        </w:rPr>
        <w:t>（图5.5.2-1），拉结筋的间距不宜大于600mm</w:t>
      </w:r>
      <w:r>
        <w:rPr>
          <w:rFonts w:hint="eastAsia"/>
          <w:sz w:val="24"/>
          <w:szCs w:val="28"/>
          <w:highlight w:val="none"/>
          <w:lang w:eastAsia="zh-CN"/>
        </w:rPr>
        <w:t>，</w:t>
      </w:r>
      <w:r>
        <w:rPr>
          <w:rFonts w:hint="eastAsia" w:ascii="宋体" w:hAnsi="宋体" w:eastAsia="宋体" w:cs="宋体"/>
          <w:color w:val="000000"/>
          <w:kern w:val="0"/>
          <w:sz w:val="24"/>
          <w:szCs w:val="24"/>
          <w:highlight w:val="none"/>
          <w:lang w:val="en-US" w:eastAsia="zh-CN"/>
        </w:rPr>
        <w:t>且宜为梅花状布置。</w:t>
      </w:r>
      <w:r>
        <w:rPr>
          <w:sz w:val="24"/>
          <w:szCs w:val="28"/>
          <w:highlight w:val="none"/>
        </w:rPr>
        <w:t>。双面加固时宜采用直径6mm的S形拉结筋，单面加固时宜采用直径6mm的L形拉结筋，单面加固时，应在原墙体上钻孔将L形钢筋锚入墙内，锚入深度不小于120mm，孔洞应采用</w:t>
      </w:r>
      <w:r>
        <w:rPr>
          <w:rFonts w:hint="eastAsia"/>
          <w:sz w:val="24"/>
          <w:szCs w:val="28"/>
          <w:highlight w:val="none"/>
        </w:rPr>
        <w:t>结构</w:t>
      </w:r>
      <w:r>
        <w:rPr>
          <w:sz w:val="24"/>
          <w:szCs w:val="28"/>
          <w:highlight w:val="none"/>
        </w:rPr>
        <w:t>胶粘剂灌注填实；</w:t>
      </w:r>
    </w:p>
    <w:p>
      <w:pPr>
        <w:snapToGrid w:val="0"/>
        <w:spacing w:line="312" w:lineRule="auto"/>
        <w:jc w:val="center"/>
        <w:rPr>
          <w:sz w:val="21"/>
          <w:szCs w:val="21"/>
          <w:highlight w:val="none"/>
        </w:rPr>
      </w:pPr>
      <w:r>
        <w:rPr>
          <w:sz w:val="21"/>
          <w:szCs w:val="21"/>
          <w:highlight w:val="none"/>
        </w:rPr>
        <w:drawing>
          <wp:inline distT="0" distB="0" distL="0" distR="0">
            <wp:extent cx="1327785" cy="1153160"/>
            <wp:effectExtent l="0" t="0" r="0" b="0"/>
            <wp:docPr id="159"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96"/>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a:xfrm>
                      <a:off x="0" y="0"/>
                      <a:ext cx="1327785" cy="1153160"/>
                    </a:xfrm>
                    <a:prstGeom prst="rect">
                      <a:avLst/>
                    </a:prstGeom>
                    <a:noFill/>
                    <a:ln>
                      <a:noFill/>
                    </a:ln>
                  </pic:spPr>
                </pic:pic>
              </a:graphicData>
            </a:graphic>
          </wp:inline>
        </w:drawing>
      </w:r>
      <w:r>
        <w:rPr>
          <w:sz w:val="21"/>
          <w:szCs w:val="21"/>
          <w:highlight w:val="none"/>
        </w:rPr>
        <w:t xml:space="preserve">    </w:t>
      </w:r>
      <w:r>
        <w:rPr>
          <w:sz w:val="21"/>
          <w:szCs w:val="21"/>
          <w:highlight w:val="none"/>
        </w:rPr>
        <w:drawing>
          <wp:inline distT="0" distB="0" distL="0" distR="0">
            <wp:extent cx="1605915" cy="755650"/>
            <wp:effectExtent l="0" t="0" r="0" b="0"/>
            <wp:docPr id="160"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97"/>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a:xfrm>
                      <a:off x="0" y="0"/>
                      <a:ext cx="1605915" cy="755650"/>
                    </a:xfrm>
                    <a:prstGeom prst="rect">
                      <a:avLst/>
                    </a:prstGeom>
                    <a:noFill/>
                    <a:ln>
                      <a:noFill/>
                    </a:ln>
                  </pic:spPr>
                </pic:pic>
              </a:graphicData>
            </a:graphic>
          </wp:inline>
        </w:drawing>
      </w:r>
    </w:p>
    <w:p>
      <w:pPr>
        <w:spacing w:line="312" w:lineRule="auto"/>
        <w:jc w:val="center"/>
        <w:rPr>
          <w:sz w:val="18"/>
          <w:szCs w:val="21"/>
          <w:highlight w:val="none"/>
        </w:rPr>
      </w:pPr>
      <w:r>
        <w:rPr>
          <w:sz w:val="18"/>
          <w:szCs w:val="21"/>
          <w:highlight w:val="none"/>
        </w:rPr>
        <w:t>（a）双面加固                    （b）单面加固</w:t>
      </w:r>
    </w:p>
    <w:p>
      <w:pPr>
        <w:snapToGrid w:val="0"/>
        <w:spacing w:line="312" w:lineRule="auto"/>
        <w:jc w:val="center"/>
        <w:rPr>
          <w:sz w:val="21"/>
          <w:szCs w:val="21"/>
          <w:highlight w:val="none"/>
        </w:rPr>
      </w:pPr>
      <w:r>
        <w:rPr>
          <w:sz w:val="21"/>
          <w:szCs w:val="21"/>
          <w:highlight w:val="none"/>
        </w:rPr>
        <w:drawing>
          <wp:inline distT="0" distB="0" distL="0" distR="0">
            <wp:extent cx="389890" cy="819150"/>
            <wp:effectExtent l="0" t="0" r="0" b="0"/>
            <wp:docPr id="16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53"/>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a:xfrm>
                      <a:off x="0" y="0"/>
                      <a:ext cx="389890" cy="819150"/>
                    </a:xfrm>
                    <a:prstGeom prst="rect">
                      <a:avLst/>
                    </a:prstGeom>
                    <a:noFill/>
                    <a:ln>
                      <a:noFill/>
                    </a:ln>
                  </pic:spPr>
                </pic:pic>
              </a:graphicData>
            </a:graphic>
          </wp:inline>
        </w:drawing>
      </w:r>
      <w:r>
        <w:rPr>
          <w:sz w:val="21"/>
          <w:szCs w:val="21"/>
          <w:highlight w:val="none"/>
        </w:rPr>
        <w:t xml:space="preserve">                     </w:t>
      </w:r>
      <w:r>
        <w:rPr>
          <w:sz w:val="21"/>
          <w:szCs w:val="21"/>
          <w:highlight w:val="none"/>
        </w:rPr>
        <w:drawing>
          <wp:inline distT="0" distB="0" distL="0" distR="0">
            <wp:extent cx="397510" cy="476885"/>
            <wp:effectExtent l="0" t="0" r="0" b="0"/>
            <wp:docPr id="162"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54"/>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a:xfrm>
                      <a:off x="0" y="0"/>
                      <a:ext cx="397510" cy="476885"/>
                    </a:xfrm>
                    <a:prstGeom prst="rect">
                      <a:avLst/>
                    </a:prstGeom>
                    <a:noFill/>
                    <a:ln>
                      <a:noFill/>
                    </a:ln>
                  </pic:spPr>
                </pic:pic>
              </a:graphicData>
            </a:graphic>
          </wp:inline>
        </w:drawing>
      </w:r>
    </w:p>
    <w:p>
      <w:pPr>
        <w:spacing w:line="312" w:lineRule="auto"/>
        <w:jc w:val="center"/>
        <w:rPr>
          <w:sz w:val="18"/>
          <w:szCs w:val="21"/>
          <w:highlight w:val="none"/>
        </w:rPr>
      </w:pPr>
      <w:r>
        <w:rPr>
          <w:sz w:val="18"/>
          <w:szCs w:val="21"/>
          <w:highlight w:val="none"/>
        </w:rPr>
        <w:t>（c）S形钢筋               （d）L形钢筋</w:t>
      </w:r>
    </w:p>
    <w:p>
      <w:pPr>
        <w:spacing w:line="312" w:lineRule="auto"/>
        <w:jc w:val="center"/>
        <w:rPr>
          <w:sz w:val="21"/>
          <w:szCs w:val="21"/>
          <w:highlight w:val="none"/>
        </w:rPr>
      </w:pPr>
      <w:r>
        <w:rPr>
          <w:sz w:val="21"/>
          <w:szCs w:val="21"/>
          <w:highlight w:val="none"/>
        </w:rPr>
        <w:t>图5.5.2-1  高延性混凝土面层设置拉结筋时的构造做法</w:t>
      </w:r>
    </w:p>
    <w:p>
      <w:pPr>
        <w:spacing w:line="312" w:lineRule="auto"/>
        <w:jc w:val="center"/>
        <w:rPr>
          <w:sz w:val="18"/>
          <w:szCs w:val="21"/>
          <w:highlight w:val="none"/>
        </w:rPr>
      </w:pPr>
      <w:r>
        <w:rPr>
          <w:sz w:val="18"/>
          <w:szCs w:val="21"/>
          <w:highlight w:val="none"/>
        </w:rPr>
        <w:t>1——S形钢筋；2——L形钢筋；3——高延性混凝土面层</w:t>
      </w:r>
    </w:p>
    <w:p>
      <w:pPr>
        <w:spacing w:line="312" w:lineRule="auto"/>
        <w:ind w:firstLine="482" w:firstLineChars="200"/>
        <w:rPr>
          <w:sz w:val="24"/>
          <w:szCs w:val="28"/>
          <w:highlight w:val="none"/>
        </w:rPr>
      </w:pPr>
      <w:r>
        <w:rPr>
          <w:b/>
          <w:bCs/>
          <w:sz w:val="24"/>
          <w:szCs w:val="28"/>
          <w:highlight w:val="none"/>
        </w:rPr>
        <w:t>4</w:t>
      </w:r>
      <w:r>
        <w:rPr>
          <w:sz w:val="24"/>
          <w:szCs w:val="28"/>
          <w:highlight w:val="none"/>
        </w:rPr>
        <w:t xml:space="preserve">  当窗间墙高宽比大于4时，应采用高延性混凝土四面</w:t>
      </w:r>
      <w:r>
        <w:rPr>
          <w:rFonts w:hint="eastAsia"/>
          <w:sz w:val="24"/>
          <w:szCs w:val="28"/>
          <w:highlight w:val="none"/>
        </w:rPr>
        <w:t>围套</w:t>
      </w:r>
      <w:r>
        <w:rPr>
          <w:sz w:val="24"/>
          <w:szCs w:val="28"/>
          <w:highlight w:val="none"/>
        </w:rPr>
        <w:t>加固的形式进行加固（如图5.5.2-2），面层厚度不宜小于20mm。高延性混凝土面层厚度大于30mm时，应设置</w:t>
      </w:r>
      <w:r>
        <w:rPr>
          <w:rFonts w:hint="default"/>
          <w:sz w:val="24"/>
          <w:szCs w:val="28"/>
          <w:highlight w:val="none"/>
          <w:lang w:val="en-US"/>
        </w:rPr>
        <w:t>竖</w:t>
      </w:r>
      <w:r>
        <w:rPr>
          <w:sz w:val="24"/>
          <w:szCs w:val="28"/>
          <w:highlight w:val="none"/>
        </w:rPr>
        <w:t>向钢筋和水平闭合钢筋，</w:t>
      </w:r>
      <w:r>
        <w:rPr>
          <w:rFonts w:hint="default"/>
          <w:sz w:val="24"/>
          <w:szCs w:val="28"/>
          <w:highlight w:val="none"/>
          <w:lang w:val="en-US"/>
        </w:rPr>
        <w:t>竖</w:t>
      </w:r>
      <w:r>
        <w:rPr>
          <w:sz w:val="24"/>
          <w:szCs w:val="28"/>
          <w:highlight w:val="none"/>
        </w:rPr>
        <w:t>向钢筋和水平钢筋间距均不大于300mm，</w:t>
      </w:r>
      <w:r>
        <w:rPr>
          <w:rFonts w:hint="default"/>
          <w:sz w:val="24"/>
          <w:szCs w:val="28"/>
          <w:highlight w:val="none"/>
          <w:lang w:val="en-US"/>
        </w:rPr>
        <w:t>竖</w:t>
      </w:r>
      <w:r>
        <w:rPr>
          <w:sz w:val="24"/>
          <w:szCs w:val="28"/>
          <w:highlight w:val="none"/>
        </w:rPr>
        <w:t>向钢筋直径不</w:t>
      </w:r>
      <w:r>
        <w:rPr>
          <w:rFonts w:hint="eastAsia"/>
          <w:sz w:val="24"/>
          <w:szCs w:val="28"/>
          <w:highlight w:val="none"/>
        </w:rPr>
        <w:t>应</w:t>
      </w:r>
      <w:r>
        <w:rPr>
          <w:sz w:val="24"/>
          <w:szCs w:val="28"/>
          <w:highlight w:val="none"/>
        </w:rPr>
        <w:t>小于8mm，水平闭合钢筋直径不</w:t>
      </w:r>
      <w:r>
        <w:rPr>
          <w:rFonts w:hint="eastAsia"/>
          <w:sz w:val="24"/>
          <w:szCs w:val="28"/>
          <w:highlight w:val="none"/>
        </w:rPr>
        <w:t>应</w:t>
      </w:r>
      <w:r>
        <w:rPr>
          <w:sz w:val="24"/>
          <w:szCs w:val="28"/>
          <w:highlight w:val="none"/>
        </w:rPr>
        <w:t>小于6mm；</w:t>
      </w:r>
      <w:r>
        <w:rPr>
          <w:rFonts w:hint="eastAsia"/>
          <w:sz w:val="24"/>
          <w:szCs w:val="28"/>
          <w:highlight w:val="none"/>
        </w:rPr>
        <w:t>拉结筋的设置应符合第5.5.1条的规定。</w:t>
      </w:r>
    </w:p>
    <w:p>
      <w:pPr>
        <w:snapToGrid w:val="0"/>
        <w:spacing w:line="312" w:lineRule="auto"/>
        <w:jc w:val="center"/>
        <w:rPr>
          <w:sz w:val="24"/>
          <w:szCs w:val="28"/>
          <w:highlight w:val="none"/>
        </w:rPr>
      </w:pPr>
      <w:r>
        <w:rPr>
          <w:sz w:val="24"/>
          <w:szCs w:val="28"/>
          <w:highlight w:val="none"/>
        </w:rPr>
        <w:drawing>
          <wp:inline distT="0" distB="0" distL="114300" distR="114300">
            <wp:extent cx="1388110" cy="1151890"/>
            <wp:effectExtent l="0" t="0" r="0" b="6350"/>
            <wp:docPr id="27"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90"/>
                    <pic:cNvPicPr>
                      <a:picLocks noChangeAspect="1"/>
                    </pic:cNvPicPr>
                  </pic:nvPicPr>
                  <pic:blipFill>
                    <a:blip r:embed="rId315"/>
                    <a:stretch>
                      <a:fillRect/>
                    </a:stretch>
                  </pic:blipFill>
                  <pic:spPr>
                    <a:xfrm>
                      <a:off x="0" y="0"/>
                      <a:ext cx="1388110" cy="1151890"/>
                    </a:xfrm>
                    <a:prstGeom prst="rect">
                      <a:avLst/>
                    </a:prstGeom>
                    <a:noFill/>
                    <a:ln>
                      <a:noFill/>
                    </a:ln>
                  </pic:spPr>
                </pic:pic>
              </a:graphicData>
            </a:graphic>
          </wp:inline>
        </w:drawing>
      </w:r>
      <w:r>
        <w:rPr>
          <w:sz w:val="24"/>
          <w:szCs w:val="28"/>
          <w:highlight w:val="none"/>
        </w:rPr>
        <w:t xml:space="preserve">       </w:t>
      </w:r>
      <w:r>
        <w:rPr>
          <w:sz w:val="24"/>
          <w:szCs w:val="28"/>
          <w:highlight w:val="none"/>
        </w:rPr>
        <w:drawing>
          <wp:inline distT="0" distB="0" distL="0" distR="0">
            <wp:extent cx="1590040" cy="866775"/>
            <wp:effectExtent l="0" t="0" r="0" b="0"/>
            <wp:docPr id="164"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98"/>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a:xfrm>
                      <a:off x="0" y="0"/>
                      <a:ext cx="1590040" cy="866775"/>
                    </a:xfrm>
                    <a:prstGeom prst="rect">
                      <a:avLst/>
                    </a:prstGeom>
                    <a:noFill/>
                    <a:ln>
                      <a:noFill/>
                    </a:ln>
                  </pic:spPr>
                </pic:pic>
              </a:graphicData>
            </a:graphic>
          </wp:inline>
        </w:drawing>
      </w:r>
    </w:p>
    <w:p>
      <w:pPr>
        <w:spacing w:line="312" w:lineRule="auto"/>
        <w:jc w:val="center"/>
        <w:rPr>
          <w:sz w:val="18"/>
          <w:szCs w:val="18"/>
          <w:highlight w:val="none"/>
        </w:rPr>
      </w:pPr>
      <w:r>
        <w:rPr>
          <w:sz w:val="18"/>
          <w:szCs w:val="18"/>
          <w:highlight w:val="none"/>
        </w:rPr>
        <w:t>（a）面层加固              （b）配筋面层加固</w:t>
      </w:r>
    </w:p>
    <w:p>
      <w:pPr>
        <w:spacing w:line="312" w:lineRule="auto"/>
        <w:jc w:val="center"/>
        <w:rPr>
          <w:sz w:val="21"/>
          <w:szCs w:val="28"/>
          <w:highlight w:val="none"/>
        </w:rPr>
      </w:pPr>
      <w:r>
        <w:rPr>
          <w:sz w:val="21"/>
          <w:szCs w:val="28"/>
          <w:highlight w:val="none"/>
        </w:rPr>
        <w:t>图5.5.2-2  高宽比大于4的窗间墙四面</w:t>
      </w:r>
      <w:r>
        <w:rPr>
          <w:rFonts w:hint="eastAsia"/>
          <w:sz w:val="21"/>
          <w:szCs w:val="28"/>
          <w:highlight w:val="none"/>
        </w:rPr>
        <w:t>围套</w:t>
      </w:r>
      <w:r>
        <w:rPr>
          <w:sz w:val="21"/>
          <w:szCs w:val="28"/>
          <w:highlight w:val="none"/>
        </w:rPr>
        <w:t>加固做法</w:t>
      </w:r>
    </w:p>
    <w:p>
      <w:pPr>
        <w:spacing w:line="312" w:lineRule="auto"/>
        <w:jc w:val="center"/>
        <w:rPr>
          <w:sz w:val="18"/>
          <w:szCs w:val="18"/>
          <w:highlight w:val="none"/>
        </w:rPr>
      </w:pPr>
      <w:r>
        <w:rPr>
          <w:sz w:val="18"/>
          <w:szCs w:val="18"/>
          <w:highlight w:val="none"/>
        </w:rPr>
        <w:t>1——高延性混凝土面层；2——竖向钢筋；3——水平闭合钢筋；</w:t>
      </w:r>
      <w:r>
        <w:rPr>
          <w:rFonts w:hint="eastAsia"/>
          <w:sz w:val="18"/>
          <w:szCs w:val="18"/>
          <w:highlight w:val="none"/>
        </w:rPr>
        <w:t>4</w:t>
      </w:r>
      <w:r>
        <w:rPr>
          <w:sz w:val="18"/>
          <w:szCs w:val="18"/>
          <w:highlight w:val="none"/>
        </w:rPr>
        <w:t>——</w:t>
      </w:r>
      <w:r>
        <w:rPr>
          <w:rFonts w:hint="eastAsia"/>
          <w:sz w:val="18"/>
          <w:szCs w:val="18"/>
          <w:highlight w:val="none"/>
        </w:rPr>
        <w:t>拉结筋</w:t>
      </w:r>
    </w:p>
    <w:p>
      <w:pPr>
        <w:pStyle w:val="2"/>
        <w:keepNext w:val="0"/>
        <w:keepLines w:val="0"/>
        <w:pageBreakBefore w:val="0"/>
        <w:widowControl w:val="0"/>
        <w:kinsoku/>
        <w:wordWrap/>
        <w:overflowPunct/>
        <w:topLinePunct w:val="0"/>
        <w:autoSpaceDE/>
        <w:autoSpaceDN/>
        <w:bidi w:val="0"/>
        <w:adjustRightInd/>
        <w:snapToGrid/>
        <w:spacing w:after="0" w:line="312" w:lineRule="auto"/>
        <w:ind w:firstLine="482" w:firstLineChars="200"/>
        <w:textAlignment w:val="auto"/>
        <w:rPr>
          <w:rFonts w:hint="eastAsia" w:eastAsia="宋体"/>
          <w:sz w:val="24"/>
          <w:szCs w:val="28"/>
          <w:highlight w:val="none"/>
          <w:lang w:eastAsia="zh-CN"/>
        </w:rPr>
      </w:pPr>
      <w:r>
        <w:rPr>
          <w:rFonts w:ascii="Times New Roman" w:hAnsi="Times New Roman" w:eastAsia="宋体" w:cs="Times New Roman"/>
          <w:b/>
          <w:bCs/>
          <w:kern w:val="2"/>
          <w:sz w:val="24"/>
          <w:szCs w:val="28"/>
          <w:highlight w:val="none"/>
          <w:lang w:val="en-US" w:eastAsia="zh-CN" w:bidi="ar-SA"/>
        </w:rPr>
        <w:t xml:space="preserve">5  </w:t>
      </w:r>
      <w:r>
        <w:rPr>
          <w:sz w:val="24"/>
          <w:szCs w:val="28"/>
          <w:highlight w:val="none"/>
        </w:rPr>
        <w:t>独立承重砖柱应采用高延性混凝土围套加固</w:t>
      </w:r>
      <w:r>
        <w:rPr>
          <w:rFonts w:hint="default"/>
          <w:sz w:val="24"/>
          <w:szCs w:val="28"/>
          <w:highlight w:val="none"/>
        </w:rPr>
        <w:t>，并宜采用配筋高延性混凝土面层加固。当采用高延性混凝土面层加固时，</w:t>
      </w:r>
      <w:r>
        <w:rPr>
          <w:sz w:val="24"/>
          <w:szCs w:val="28"/>
          <w:highlight w:val="none"/>
        </w:rPr>
        <w:t>面层厚度不宜小于20mm；当面层厚度大于30mm时，应配置</w:t>
      </w:r>
      <w:r>
        <w:rPr>
          <w:rFonts w:hint="default"/>
          <w:sz w:val="24"/>
          <w:szCs w:val="28"/>
          <w:highlight w:val="none"/>
          <w:lang w:val="en-US"/>
        </w:rPr>
        <w:t>竖向</w:t>
      </w:r>
      <w:r>
        <w:rPr>
          <w:sz w:val="24"/>
          <w:szCs w:val="28"/>
          <w:highlight w:val="none"/>
        </w:rPr>
        <w:t>钢筋和闭合箍筋，</w:t>
      </w:r>
      <w:r>
        <w:rPr>
          <w:rFonts w:hint="default"/>
          <w:sz w:val="24"/>
          <w:szCs w:val="28"/>
          <w:highlight w:val="none"/>
          <w:lang w:val="en-US"/>
        </w:rPr>
        <w:t>竖</w:t>
      </w:r>
      <w:r>
        <w:rPr>
          <w:sz w:val="24"/>
          <w:szCs w:val="28"/>
          <w:highlight w:val="none"/>
        </w:rPr>
        <w:t>向钢筋宜采用HRB400级钢筋、直径不应小于1</w:t>
      </w:r>
      <w:r>
        <w:rPr>
          <w:rFonts w:hint="default"/>
          <w:sz w:val="24"/>
          <w:szCs w:val="28"/>
          <w:highlight w:val="none"/>
          <w:lang w:val="en-US" w:eastAsia="zh-CN"/>
        </w:rPr>
        <w:t>2</w:t>
      </w:r>
      <w:r>
        <w:rPr>
          <w:sz w:val="24"/>
          <w:szCs w:val="28"/>
          <w:highlight w:val="none"/>
        </w:rPr>
        <w:t>mm</w:t>
      </w:r>
      <w:r>
        <w:rPr>
          <w:rFonts w:hint="default"/>
          <w:sz w:val="24"/>
          <w:szCs w:val="28"/>
          <w:highlight w:val="none"/>
          <w:lang w:eastAsia="zh-CN"/>
        </w:rPr>
        <w:t>，</w:t>
      </w:r>
      <w:r>
        <w:rPr>
          <w:rFonts w:hint="default"/>
          <w:sz w:val="24"/>
          <w:szCs w:val="28"/>
          <w:highlight w:val="none"/>
          <w:lang w:val="en-US" w:eastAsia="zh-CN"/>
        </w:rPr>
        <w:t>其净间距不应小于30mm</w:t>
      </w:r>
      <w:r>
        <w:rPr>
          <w:rFonts w:hint="default"/>
          <w:sz w:val="24"/>
          <w:szCs w:val="28"/>
          <w:highlight w:val="none"/>
          <w:lang w:eastAsia="zh-CN"/>
        </w:rPr>
        <w:t>。</w:t>
      </w:r>
      <w:r>
        <w:rPr>
          <w:sz w:val="24"/>
          <w:szCs w:val="28"/>
          <w:highlight w:val="none"/>
        </w:rPr>
        <w:t>闭合箍筋的直径不应小于</w:t>
      </w:r>
      <w:r>
        <w:rPr>
          <w:rFonts w:hint="default"/>
          <w:sz w:val="24"/>
          <w:szCs w:val="28"/>
          <w:highlight w:val="none"/>
          <w:lang w:val="en-US"/>
        </w:rPr>
        <w:t>6</w:t>
      </w:r>
      <w:r>
        <w:rPr>
          <w:sz w:val="24"/>
          <w:szCs w:val="28"/>
          <w:highlight w:val="none"/>
        </w:rPr>
        <w:t>mm、间距不应大于1</w:t>
      </w:r>
      <w:r>
        <w:rPr>
          <w:rFonts w:hint="default"/>
          <w:sz w:val="24"/>
          <w:szCs w:val="28"/>
          <w:highlight w:val="none"/>
          <w:lang w:val="en-US"/>
        </w:rPr>
        <w:t>5</w:t>
      </w:r>
      <w:r>
        <w:rPr>
          <w:sz w:val="24"/>
          <w:szCs w:val="28"/>
          <w:highlight w:val="none"/>
        </w:rPr>
        <w:t>0mm，</w:t>
      </w:r>
      <w:r>
        <w:rPr>
          <w:rFonts w:hint="default"/>
          <w:sz w:val="24"/>
          <w:szCs w:val="28"/>
          <w:highlight w:val="none"/>
          <w:lang w:val="en-US" w:eastAsia="zh-CN"/>
        </w:rPr>
        <w:t>柱的两端各500mm范围内，箍筋应加密，其间距应取为100mm，</w:t>
      </w:r>
      <w:r>
        <w:rPr>
          <w:sz w:val="24"/>
          <w:szCs w:val="28"/>
          <w:highlight w:val="none"/>
        </w:rPr>
        <w:t>具体配筋应根据实际工程由计算确定（图5.5.2-3）；</w:t>
      </w:r>
      <w:r>
        <w:rPr>
          <w:rFonts w:hint="default"/>
          <w:sz w:val="24"/>
          <w:szCs w:val="28"/>
          <w:highlight w:val="none"/>
        </w:rPr>
        <w:t>若加固后的构件截面高度h≥500mm,尚应在截面两侧加设竖向构造钢筋，并相应设置拉结钢筋作为箍筋，拉结筋的直径不应小于6mm，肢距不应大于500mm</w:t>
      </w:r>
      <w:r>
        <w:rPr>
          <w:rFonts w:hint="eastAsia"/>
          <w:sz w:val="24"/>
          <w:szCs w:val="28"/>
          <w:highlight w:val="none"/>
          <w:lang w:eastAsia="zh-CN"/>
        </w:rPr>
        <w:t>。</w:t>
      </w:r>
    </w:p>
    <w:p>
      <w:pPr>
        <w:spacing w:line="312" w:lineRule="auto"/>
        <w:jc w:val="center"/>
        <w:rPr>
          <w:sz w:val="24"/>
          <w:szCs w:val="28"/>
          <w:highlight w:val="none"/>
        </w:rPr>
      </w:pPr>
      <w:r>
        <w:rPr>
          <w:sz w:val="24"/>
          <w:szCs w:val="28"/>
          <w:highlight w:val="none"/>
        </w:rPr>
        <w:drawing>
          <wp:inline distT="0" distB="0" distL="114300" distR="114300">
            <wp:extent cx="1310640" cy="1188085"/>
            <wp:effectExtent l="0" t="0" r="0" b="635"/>
            <wp:docPr id="28"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91"/>
                    <pic:cNvPicPr>
                      <a:picLocks noChangeAspect="1"/>
                    </pic:cNvPicPr>
                  </pic:nvPicPr>
                  <pic:blipFill>
                    <a:blip r:embed="rId317"/>
                    <a:stretch>
                      <a:fillRect/>
                    </a:stretch>
                  </pic:blipFill>
                  <pic:spPr>
                    <a:xfrm>
                      <a:off x="0" y="0"/>
                      <a:ext cx="1310640" cy="1188085"/>
                    </a:xfrm>
                    <a:prstGeom prst="rect">
                      <a:avLst/>
                    </a:prstGeom>
                    <a:noFill/>
                    <a:ln>
                      <a:noFill/>
                    </a:ln>
                  </pic:spPr>
                </pic:pic>
              </a:graphicData>
            </a:graphic>
          </wp:inline>
        </w:drawing>
      </w:r>
      <w:r>
        <w:rPr>
          <w:sz w:val="24"/>
          <w:szCs w:val="28"/>
          <w:highlight w:val="none"/>
        </w:rPr>
        <w:t xml:space="preserve">     </w:t>
      </w:r>
      <w:r>
        <w:rPr>
          <w:sz w:val="24"/>
          <w:szCs w:val="28"/>
          <w:highlight w:val="none"/>
        </w:rPr>
        <w:drawing>
          <wp:inline distT="0" distB="0" distL="0" distR="0">
            <wp:extent cx="1304290" cy="898525"/>
            <wp:effectExtent l="0" t="0" r="0" b="0"/>
            <wp:docPr id="166"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48"/>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a:xfrm>
                      <a:off x="0" y="0"/>
                      <a:ext cx="1304290" cy="898525"/>
                    </a:xfrm>
                    <a:prstGeom prst="rect">
                      <a:avLst/>
                    </a:prstGeom>
                    <a:noFill/>
                    <a:ln>
                      <a:noFill/>
                    </a:ln>
                  </pic:spPr>
                </pic:pic>
              </a:graphicData>
            </a:graphic>
          </wp:inline>
        </w:drawing>
      </w:r>
    </w:p>
    <w:p>
      <w:pPr>
        <w:spacing w:line="312" w:lineRule="auto"/>
        <w:jc w:val="center"/>
        <w:rPr>
          <w:sz w:val="18"/>
          <w:szCs w:val="21"/>
          <w:highlight w:val="none"/>
        </w:rPr>
      </w:pPr>
      <w:r>
        <w:rPr>
          <w:sz w:val="18"/>
          <w:szCs w:val="21"/>
          <w:highlight w:val="none"/>
        </w:rPr>
        <w:t>（a）面层加固                 （b）配筋面层加固</w:t>
      </w:r>
    </w:p>
    <w:p>
      <w:pPr>
        <w:spacing w:line="312" w:lineRule="auto"/>
        <w:jc w:val="center"/>
        <w:rPr>
          <w:sz w:val="21"/>
          <w:szCs w:val="21"/>
          <w:highlight w:val="none"/>
        </w:rPr>
      </w:pPr>
      <w:r>
        <w:rPr>
          <w:sz w:val="21"/>
          <w:szCs w:val="21"/>
          <w:highlight w:val="none"/>
        </w:rPr>
        <w:t>图5.5.2-3  加固独立砖柱做法示意图</w:t>
      </w:r>
    </w:p>
    <w:p>
      <w:pPr>
        <w:spacing w:line="312" w:lineRule="auto"/>
        <w:jc w:val="center"/>
        <w:rPr>
          <w:sz w:val="18"/>
          <w:szCs w:val="21"/>
          <w:highlight w:val="none"/>
        </w:rPr>
      </w:pPr>
      <w:r>
        <w:rPr>
          <w:sz w:val="18"/>
          <w:szCs w:val="21"/>
          <w:highlight w:val="none"/>
        </w:rPr>
        <w:t>1——高延性混凝土；2——竖向钢筋；3——闭合箍筋</w:t>
      </w:r>
    </w:p>
    <w:p>
      <w:pPr>
        <w:spacing w:line="312" w:lineRule="auto"/>
        <w:ind w:firstLine="482" w:firstLineChars="200"/>
        <w:rPr>
          <w:sz w:val="24"/>
          <w:szCs w:val="28"/>
          <w:highlight w:val="none"/>
        </w:rPr>
      </w:pPr>
      <w:r>
        <w:rPr>
          <w:b/>
          <w:bCs/>
          <w:sz w:val="24"/>
          <w:szCs w:val="28"/>
          <w:highlight w:val="none"/>
        </w:rPr>
        <w:t>6</w:t>
      </w:r>
      <w:r>
        <w:rPr>
          <w:sz w:val="24"/>
          <w:szCs w:val="28"/>
          <w:highlight w:val="none"/>
        </w:rPr>
        <w:t xml:space="preserve">  </w:t>
      </w:r>
      <w:r>
        <w:rPr>
          <w:rFonts w:hint="eastAsia"/>
          <w:sz w:val="24"/>
          <w:szCs w:val="28"/>
          <w:highlight w:val="none"/>
        </w:rPr>
        <w:t>受压加固时，</w:t>
      </w:r>
      <w:r>
        <w:rPr>
          <w:sz w:val="24"/>
          <w:szCs w:val="28"/>
          <w:highlight w:val="none"/>
        </w:rPr>
        <w:t>底层墙体的高延性混凝土面层，应向下延伸至基础顶面。</w:t>
      </w:r>
    </w:p>
    <w:p>
      <w:pPr>
        <w:spacing w:line="312" w:lineRule="auto"/>
        <w:rPr>
          <w:b/>
          <w:bCs/>
          <w:sz w:val="24"/>
          <w:szCs w:val="28"/>
          <w:highlight w:val="none"/>
        </w:rPr>
      </w:pPr>
      <w:r>
        <w:rPr>
          <w:rFonts w:hint="eastAsia" w:ascii="楷体" w:hAnsi="楷体" w:eastAsia="楷体" w:cs="楷体"/>
          <w:b w:val="0"/>
          <w:bCs/>
          <w:sz w:val="24"/>
          <w:szCs w:val="24"/>
          <w:highlight w:val="none"/>
          <w:u w:val="single"/>
        </w:rPr>
        <w:t>【条文说明】</w:t>
      </w:r>
      <w:r>
        <w:rPr>
          <w:rFonts w:hint="eastAsia" w:ascii="楷体" w:hAnsi="楷体" w:eastAsia="楷体" w:cs="楷体"/>
          <w:sz w:val="24"/>
          <w:szCs w:val="24"/>
          <w:highlight w:val="none"/>
          <w:u w:val="single"/>
        </w:rPr>
        <w:t>高延性混凝土受压加固时，加固面层适当增加，且宜采用双面加固，当原砌筑砂浆强度很低或为偏心受压时，为保证加固的整体性，宜采用双面加固，若实际条件只能做单面加固时，应对该加固部位适当加强处理。当面层较厚时，宜采用拉结筋增强面层与墙体的可靠拉结，提高对面层的横向约束，防止砌体构件受压时面层横向变形剥离。</w:t>
      </w:r>
    </w:p>
    <w:p>
      <w:pPr>
        <w:spacing w:line="312" w:lineRule="auto"/>
        <w:rPr>
          <w:sz w:val="24"/>
          <w:szCs w:val="28"/>
          <w:highlight w:val="none"/>
        </w:rPr>
      </w:pPr>
      <w:r>
        <w:rPr>
          <w:b/>
          <w:bCs/>
          <w:sz w:val="24"/>
          <w:szCs w:val="28"/>
          <w:highlight w:val="none"/>
        </w:rPr>
        <w:t>5.5.3</w:t>
      </w:r>
      <w:r>
        <w:rPr>
          <w:sz w:val="24"/>
          <w:szCs w:val="28"/>
          <w:highlight w:val="none"/>
        </w:rPr>
        <w:t xml:space="preserve">  采用高延性混凝土面层或配筋高延性混凝土面层对</w:t>
      </w:r>
      <w:r>
        <w:rPr>
          <w:rFonts w:hint="eastAsia"/>
          <w:sz w:val="24"/>
          <w:szCs w:val="28"/>
          <w:highlight w:val="none"/>
        </w:rPr>
        <w:t>砌体构件</w:t>
      </w:r>
      <w:r>
        <w:rPr>
          <w:sz w:val="24"/>
          <w:szCs w:val="28"/>
          <w:highlight w:val="none"/>
        </w:rPr>
        <w:t>进行抗剪和抗震加固时，应符合以下要求：</w:t>
      </w:r>
    </w:p>
    <w:p>
      <w:pPr>
        <w:spacing w:line="312" w:lineRule="auto"/>
        <w:ind w:firstLine="482" w:firstLineChars="200"/>
        <w:rPr>
          <w:sz w:val="24"/>
          <w:szCs w:val="28"/>
          <w:highlight w:val="none"/>
        </w:rPr>
      </w:pPr>
      <w:r>
        <w:rPr>
          <w:b/>
          <w:bCs/>
          <w:sz w:val="24"/>
          <w:szCs w:val="28"/>
          <w:highlight w:val="none"/>
        </w:rPr>
        <w:t>1</w:t>
      </w:r>
      <w:r>
        <w:rPr>
          <w:sz w:val="24"/>
          <w:szCs w:val="28"/>
          <w:highlight w:val="none"/>
        </w:rPr>
        <w:t xml:space="preserve">  高延性混凝土面层加固受剪构件，宜采用双面加固，面层厚度不应小于10mm；当采用单面加固时，面层厚度不应小于15mm；</w:t>
      </w:r>
    </w:p>
    <w:p>
      <w:pPr>
        <w:spacing w:line="312" w:lineRule="auto"/>
        <w:ind w:firstLine="482" w:firstLineChars="200"/>
        <w:rPr>
          <w:sz w:val="24"/>
          <w:szCs w:val="28"/>
          <w:highlight w:val="none"/>
        </w:rPr>
      </w:pPr>
      <w:r>
        <w:rPr>
          <w:b/>
          <w:bCs/>
          <w:sz w:val="24"/>
          <w:szCs w:val="28"/>
          <w:highlight w:val="none"/>
        </w:rPr>
        <w:t>2</w:t>
      </w:r>
      <w:r>
        <w:rPr>
          <w:sz w:val="24"/>
          <w:szCs w:val="28"/>
          <w:highlight w:val="none"/>
        </w:rPr>
        <w:t xml:space="preserve">  底层外墙墙体的高延性混凝土面层，在室外宜伸入地面以下200mm或伸至地圈梁顶面；</w:t>
      </w:r>
    </w:p>
    <w:p>
      <w:pPr>
        <w:spacing w:line="312" w:lineRule="auto"/>
        <w:ind w:firstLine="482" w:firstLineChars="200"/>
        <w:rPr>
          <w:sz w:val="24"/>
          <w:szCs w:val="28"/>
          <w:highlight w:val="none"/>
        </w:rPr>
      </w:pPr>
      <w:r>
        <w:rPr>
          <w:b/>
          <w:bCs/>
          <w:sz w:val="24"/>
          <w:szCs w:val="28"/>
          <w:highlight w:val="none"/>
        </w:rPr>
        <w:t>3</w:t>
      </w:r>
      <w:r>
        <w:rPr>
          <w:sz w:val="24"/>
          <w:szCs w:val="28"/>
          <w:highlight w:val="none"/>
        </w:rPr>
        <w:t xml:space="preserve">  独立砖柱的抗剪及抗震加固方法同第5.5.2条第5款有关规定；</w:t>
      </w:r>
    </w:p>
    <w:p>
      <w:pPr>
        <w:spacing w:line="312" w:lineRule="auto"/>
        <w:ind w:firstLine="482" w:firstLineChars="200"/>
        <w:rPr>
          <w:rFonts w:hint="default" w:eastAsia="宋体"/>
          <w:b w:val="0"/>
          <w:bCs w:val="0"/>
          <w:sz w:val="24"/>
          <w:szCs w:val="28"/>
          <w:highlight w:val="none"/>
          <w:lang w:val="en-US" w:eastAsia="zh-CN"/>
        </w:rPr>
      </w:pPr>
      <w:r>
        <w:rPr>
          <w:b/>
          <w:bCs/>
          <w:sz w:val="24"/>
          <w:szCs w:val="28"/>
          <w:highlight w:val="none"/>
        </w:rPr>
        <w:t>4</w:t>
      </w:r>
      <w:r>
        <w:rPr>
          <w:sz w:val="24"/>
          <w:szCs w:val="28"/>
          <w:highlight w:val="none"/>
        </w:rPr>
        <w:t xml:space="preserve">  底层的配筋高延性混凝土面层在室外地面下宜加厚并伸入地面以下500mm</w:t>
      </w:r>
      <w:r>
        <w:rPr>
          <w:rFonts w:hint="default"/>
          <w:b w:val="0"/>
          <w:bCs w:val="0"/>
          <w:sz w:val="24"/>
          <w:szCs w:val="28"/>
          <w:highlight w:val="none"/>
        </w:rPr>
        <w:t>或埋深小于500mm的基础圈梁底</w:t>
      </w:r>
      <w:r>
        <w:rPr>
          <w:rFonts w:hint="default"/>
          <w:b w:val="0"/>
          <w:bCs w:val="0"/>
          <w:sz w:val="24"/>
          <w:szCs w:val="28"/>
          <w:highlight w:val="none"/>
          <w:lang w:val="en-US" w:eastAsia="zh-CN"/>
        </w:rPr>
        <w:t>。</w:t>
      </w:r>
    </w:p>
    <w:p>
      <w:pPr>
        <w:spacing w:line="312" w:lineRule="auto"/>
        <w:rPr>
          <w:sz w:val="24"/>
          <w:szCs w:val="28"/>
          <w:highlight w:val="none"/>
        </w:rPr>
      </w:pPr>
      <w:r>
        <w:rPr>
          <w:b/>
          <w:bCs/>
          <w:sz w:val="24"/>
          <w:szCs w:val="28"/>
          <w:highlight w:val="none"/>
        </w:rPr>
        <w:t xml:space="preserve">5.5.4 </w:t>
      </w:r>
      <w:r>
        <w:rPr>
          <w:sz w:val="24"/>
          <w:szCs w:val="28"/>
          <w:highlight w:val="none"/>
        </w:rPr>
        <w:t xml:space="preserve"> 当圈梁和构造柱设置不满足要求时，可采用高延性混凝土-砌体组合圈梁和高延性混凝土-砌体组合构造柱对房屋进行整体性加固（图</w:t>
      </w:r>
      <w:r>
        <w:rPr>
          <w:rFonts w:hint="eastAsia"/>
          <w:sz w:val="24"/>
          <w:szCs w:val="28"/>
          <w:highlight w:val="none"/>
        </w:rPr>
        <w:t>5.5.4</w:t>
      </w:r>
      <w:r>
        <w:rPr>
          <w:sz w:val="24"/>
          <w:szCs w:val="28"/>
          <w:highlight w:val="none"/>
        </w:rPr>
        <w:t>），整体性加固应符合下列规定：</w:t>
      </w:r>
    </w:p>
    <w:p>
      <w:pPr>
        <w:spacing w:line="312" w:lineRule="auto"/>
        <w:ind w:firstLine="482" w:firstLineChars="200"/>
        <w:rPr>
          <w:sz w:val="24"/>
          <w:szCs w:val="28"/>
          <w:highlight w:val="none"/>
        </w:rPr>
      </w:pPr>
      <w:r>
        <w:rPr>
          <w:b/>
          <w:bCs/>
          <w:sz w:val="24"/>
          <w:szCs w:val="28"/>
          <w:highlight w:val="none"/>
        </w:rPr>
        <w:t>1</w:t>
      </w:r>
      <w:r>
        <w:rPr>
          <w:sz w:val="24"/>
          <w:szCs w:val="28"/>
          <w:highlight w:val="none"/>
        </w:rPr>
        <w:t xml:space="preserve">  组合圈梁高度不小于350mm，面层厚度不应小于40mm；</w:t>
      </w:r>
    </w:p>
    <w:p>
      <w:pPr>
        <w:spacing w:line="312" w:lineRule="auto"/>
        <w:ind w:firstLine="482" w:firstLineChars="200"/>
        <w:rPr>
          <w:sz w:val="24"/>
          <w:szCs w:val="28"/>
          <w:highlight w:val="none"/>
        </w:rPr>
      </w:pPr>
      <w:r>
        <w:rPr>
          <w:b/>
          <w:bCs/>
          <w:sz w:val="24"/>
          <w:szCs w:val="28"/>
          <w:highlight w:val="none"/>
        </w:rPr>
        <w:t>2</w:t>
      </w:r>
      <w:r>
        <w:rPr>
          <w:sz w:val="24"/>
          <w:szCs w:val="28"/>
          <w:highlight w:val="none"/>
        </w:rPr>
        <w:t xml:space="preserve">  高延性混凝土-砌体组合构造柱的面层厚度不应小于40mm，且配筋面层在墙体拐角处应加宽不小于150mm；</w:t>
      </w:r>
    </w:p>
    <w:p>
      <w:pPr>
        <w:spacing w:line="312" w:lineRule="auto"/>
        <w:ind w:firstLine="482" w:firstLineChars="200"/>
        <w:rPr>
          <w:sz w:val="24"/>
          <w:szCs w:val="28"/>
          <w:highlight w:val="none"/>
        </w:rPr>
      </w:pPr>
      <w:r>
        <w:rPr>
          <w:b/>
          <w:sz w:val="24"/>
          <w:szCs w:val="28"/>
          <w:highlight w:val="none"/>
        </w:rPr>
        <w:t xml:space="preserve">3  </w:t>
      </w:r>
      <w:r>
        <w:rPr>
          <w:sz w:val="24"/>
          <w:szCs w:val="28"/>
          <w:highlight w:val="none"/>
        </w:rPr>
        <w:t>组合圈梁和组合构造柱的纵筋宜采用HRB400级钢筋，箍筋宜采用HPB300级钢筋；组合圈梁的纵筋和箍筋直径不小于10mm和6mm，组合构造柱的纵筋和箍筋直径不小于12mm和8mm，箍筋间距不宜大于300mm。</w:t>
      </w:r>
    </w:p>
    <w:p>
      <w:pPr>
        <w:pStyle w:val="2"/>
        <w:rPr>
          <w:sz w:val="32"/>
          <w:szCs w:val="32"/>
          <w:highlight w:val="none"/>
        </w:rPr>
      </w:pPr>
    </w:p>
    <w:p>
      <w:pPr>
        <w:spacing w:line="312" w:lineRule="auto"/>
        <w:jc w:val="center"/>
        <w:rPr>
          <w:sz w:val="24"/>
          <w:szCs w:val="28"/>
          <w:highlight w:val="none"/>
        </w:rPr>
      </w:pPr>
      <w:r>
        <w:rPr>
          <w:sz w:val="24"/>
          <w:szCs w:val="28"/>
          <w:highlight w:val="none"/>
        </w:rPr>
        <w:drawing>
          <wp:inline distT="0" distB="0" distL="0" distR="0">
            <wp:extent cx="1073150" cy="1296035"/>
            <wp:effectExtent l="0" t="0" r="0" b="0"/>
            <wp:docPr id="167" name="图片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365"/>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a:xfrm>
                      <a:off x="0" y="0"/>
                      <a:ext cx="1073150" cy="1296035"/>
                    </a:xfrm>
                    <a:prstGeom prst="rect">
                      <a:avLst/>
                    </a:prstGeom>
                    <a:noFill/>
                    <a:ln>
                      <a:noFill/>
                    </a:ln>
                  </pic:spPr>
                </pic:pic>
              </a:graphicData>
            </a:graphic>
          </wp:inline>
        </w:drawing>
      </w:r>
      <w:r>
        <w:rPr>
          <w:b/>
          <w:sz w:val="24"/>
          <w:szCs w:val="28"/>
          <w:highlight w:val="none"/>
        </w:rPr>
        <w:t xml:space="preserve">           </w:t>
      </w:r>
      <w:r>
        <w:rPr>
          <w:sz w:val="24"/>
          <w:szCs w:val="28"/>
          <w:highlight w:val="none"/>
        </w:rPr>
        <w:drawing>
          <wp:inline distT="0" distB="0" distL="0" distR="0">
            <wp:extent cx="1471295" cy="1510665"/>
            <wp:effectExtent l="0" t="0" r="0" b="0"/>
            <wp:docPr id="168" name="图片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366"/>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a:xfrm>
                      <a:off x="0" y="0"/>
                      <a:ext cx="1471295" cy="1510665"/>
                    </a:xfrm>
                    <a:prstGeom prst="rect">
                      <a:avLst/>
                    </a:prstGeom>
                    <a:noFill/>
                    <a:ln>
                      <a:noFill/>
                    </a:ln>
                  </pic:spPr>
                </pic:pic>
              </a:graphicData>
            </a:graphic>
          </wp:inline>
        </w:drawing>
      </w:r>
    </w:p>
    <w:p>
      <w:pPr>
        <w:spacing w:line="312" w:lineRule="auto"/>
        <w:jc w:val="center"/>
        <w:rPr>
          <w:sz w:val="21"/>
          <w:szCs w:val="21"/>
          <w:highlight w:val="none"/>
        </w:rPr>
      </w:pPr>
      <w:r>
        <w:rPr>
          <w:sz w:val="21"/>
          <w:szCs w:val="21"/>
          <w:highlight w:val="none"/>
        </w:rPr>
        <w:t>（a）组合圈梁                    （b）组合构造柱1</w:t>
      </w:r>
    </w:p>
    <w:p>
      <w:pPr>
        <w:spacing w:line="312" w:lineRule="auto"/>
        <w:jc w:val="center"/>
        <w:rPr>
          <w:sz w:val="24"/>
          <w:szCs w:val="28"/>
          <w:highlight w:val="none"/>
        </w:rPr>
      </w:pPr>
      <w:r>
        <w:rPr>
          <w:sz w:val="24"/>
          <w:szCs w:val="28"/>
          <w:highlight w:val="none"/>
        </w:rPr>
        <w:t xml:space="preserve">    </w:t>
      </w:r>
      <w:r>
        <w:rPr>
          <w:sz w:val="24"/>
          <w:szCs w:val="28"/>
          <w:highlight w:val="none"/>
        </w:rPr>
        <w:drawing>
          <wp:inline distT="0" distB="0" distL="0" distR="0">
            <wp:extent cx="1248410" cy="1184910"/>
            <wp:effectExtent l="0" t="0" r="0" b="0"/>
            <wp:docPr id="169" name="图片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311"/>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a:xfrm>
                      <a:off x="0" y="0"/>
                      <a:ext cx="1248410" cy="1184910"/>
                    </a:xfrm>
                    <a:prstGeom prst="rect">
                      <a:avLst/>
                    </a:prstGeom>
                    <a:noFill/>
                    <a:ln>
                      <a:noFill/>
                    </a:ln>
                  </pic:spPr>
                </pic:pic>
              </a:graphicData>
            </a:graphic>
          </wp:inline>
        </w:drawing>
      </w:r>
      <w:r>
        <w:rPr>
          <w:sz w:val="24"/>
          <w:szCs w:val="28"/>
          <w:highlight w:val="none"/>
        </w:rPr>
        <w:t xml:space="preserve"> </w:t>
      </w:r>
    </w:p>
    <w:p>
      <w:pPr>
        <w:spacing w:line="312" w:lineRule="auto"/>
        <w:jc w:val="center"/>
        <w:rPr>
          <w:sz w:val="21"/>
          <w:szCs w:val="21"/>
          <w:highlight w:val="none"/>
        </w:rPr>
      </w:pPr>
      <w:r>
        <w:rPr>
          <w:sz w:val="21"/>
          <w:szCs w:val="21"/>
          <w:highlight w:val="none"/>
        </w:rPr>
        <w:t xml:space="preserve">（c）组合构造柱2                </w:t>
      </w:r>
    </w:p>
    <w:p>
      <w:pPr>
        <w:spacing w:line="312" w:lineRule="auto"/>
        <w:jc w:val="center"/>
        <w:rPr>
          <w:sz w:val="21"/>
          <w:szCs w:val="21"/>
          <w:highlight w:val="none"/>
        </w:rPr>
      </w:pPr>
      <w:r>
        <w:rPr>
          <w:sz w:val="21"/>
          <w:szCs w:val="21"/>
          <w:highlight w:val="none"/>
        </w:rPr>
        <w:t>图5.5.4 高延性混凝土-砌体组合圈梁及组合构造柱做法示意图</w:t>
      </w:r>
    </w:p>
    <w:p>
      <w:pPr>
        <w:spacing w:line="312" w:lineRule="auto"/>
        <w:jc w:val="center"/>
        <w:rPr>
          <w:sz w:val="21"/>
          <w:szCs w:val="21"/>
          <w:highlight w:val="none"/>
        </w:rPr>
      </w:pPr>
      <w:r>
        <w:rPr>
          <w:sz w:val="21"/>
          <w:szCs w:val="21"/>
          <w:highlight w:val="none"/>
        </w:rPr>
        <w:t>1——高延性混凝土；2——组合圈梁纵筋；3——双面搭接焊；4——组合圈梁闭合箍筋；5——组合构造柱纵筋；6——组合构造柱闭合箍筋</w:t>
      </w:r>
    </w:p>
    <w:p>
      <w:pPr>
        <w:spacing w:before="72" w:beforeLines="30" w:after="72" w:afterLines="30"/>
        <w:jc w:val="center"/>
        <w:outlineLvl w:val="0"/>
        <w:rPr>
          <w:sz w:val="21"/>
          <w:szCs w:val="21"/>
          <w:highlight w:val="none"/>
        </w:rPr>
      </w:pPr>
    </w:p>
    <w:p>
      <w:pPr>
        <w:spacing w:line="312" w:lineRule="auto"/>
        <w:rPr>
          <w:rFonts w:hint="eastAsia" w:ascii="楷体" w:hAnsi="楷体" w:eastAsia="楷体" w:cs="楷体"/>
          <w:sz w:val="24"/>
          <w:szCs w:val="24"/>
          <w:highlight w:val="none"/>
          <w:u w:val="single"/>
        </w:rPr>
      </w:pPr>
      <w:r>
        <w:rPr>
          <w:rFonts w:hint="eastAsia" w:ascii="楷体" w:hAnsi="楷体" w:eastAsia="楷体" w:cs="楷体"/>
          <w:b w:val="0"/>
          <w:bCs/>
          <w:sz w:val="24"/>
          <w:szCs w:val="24"/>
          <w:highlight w:val="none"/>
          <w:u w:val="single"/>
        </w:rPr>
        <w:t>【条文说明】</w:t>
      </w:r>
      <w:r>
        <w:rPr>
          <w:rFonts w:hint="eastAsia" w:ascii="楷体" w:hAnsi="楷体" w:eastAsia="楷体" w:cs="楷体"/>
          <w:sz w:val="24"/>
          <w:szCs w:val="24"/>
          <w:highlight w:val="none"/>
          <w:u w:val="single"/>
        </w:rPr>
        <w:t>当砌体结构构造柱或圈梁抗震构造措施不足时，可采用高延性混凝土-砌体组合圈梁和高延性混凝土-砌体组合构造柱对房屋进行整体性加固，解决其抗震构造措施不足的问题。这样处理，施工方便快捷，且对原有建筑的使用空间占用较少。</w:t>
      </w:r>
    </w:p>
    <w:p>
      <w:pPr>
        <w:pStyle w:val="2"/>
        <w:rPr>
          <w:sz w:val="32"/>
          <w:szCs w:val="32"/>
          <w:highlight w:val="none"/>
        </w:rPr>
      </w:pPr>
    </w:p>
    <w:p>
      <w:pPr>
        <w:spacing w:before="72" w:beforeLines="30" w:after="72" w:afterLines="30"/>
        <w:jc w:val="center"/>
        <w:outlineLvl w:val="0"/>
        <w:rPr>
          <w:rFonts w:eastAsia="黑体"/>
          <w:sz w:val="28"/>
          <w:szCs w:val="28"/>
          <w:highlight w:val="none"/>
        </w:rPr>
      </w:pPr>
      <w:r>
        <w:rPr>
          <w:sz w:val="18"/>
          <w:szCs w:val="18"/>
          <w:highlight w:val="none"/>
        </w:rPr>
        <w:br w:type="page"/>
      </w:r>
      <w:bookmarkStart w:id="1266" w:name="_Toc29988"/>
      <w:bookmarkStart w:id="1267" w:name="_Toc22378"/>
      <w:bookmarkStart w:id="1268" w:name="_Toc31981907"/>
      <w:bookmarkStart w:id="1269" w:name="_Toc24116"/>
      <w:bookmarkStart w:id="1270" w:name="_Toc1992"/>
      <w:bookmarkStart w:id="1271" w:name="_Toc27307674"/>
      <w:bookmarkStart w:id="1272" w:name="_Toc12497"/>
      <w:bookmarkStart w:id="1273" w:name="_Toc18602337"/>
      <w:bookmarkStart w:id="1274" w:name="_Toc32220300"/>
      <w:bookmarkStart w:id="1275" w:name="_Toc46170073"/>
      <w:bookmarkStart w:id="1276" w:name="_Toc27306529"/>
      <w:r>
        <w:rPr>
          <w:rFonts w:hint="eastAsia" w:eastAsia="黑体"/>
          <w:b/>
          <w:bCs/>
          <w:sz w:val="28"/>
          <w:szCs w:val="28"/>
          <w:highlight w:val="none"/>
        </w:rPr>
        <w:t>6</w:t>
      </w:r>
      <w:r>
        <w:rPr>
          <w:rFonts w:eastAsia="黑体"/>
          <w:sz w:val="28"/>
          <w:szCs w:val="28"/>
          <w:highlight w:val="none"/>
        </w:rPr>
        <w:t xml:space="preserve">  施工</w:t>
      </w:r>
      <w:bookmarkEnd w:id="1266"/>
      <w:bookmarkEnd w:id="1267"/>
      <w:bookmarkEnd w:id="1268"/>
      <w:bookmarkEnd w:id="1269"/>
      <w:bookmarkEnd w:id="1270"/>
      <w:bookmarkEnd w:id="1271"/>
      <w:bookmarkEnd w:id="1272"/>
      <w:bookmarkEnd w:id="1273"/>
      <w:bookmarkEnd w:id="1274"/>
      <w:bookmarkEnd w:id="1275"/>
      <w:bookmarkEnd w:id="1276"/>
    </w:p>
    <w:p>
      <w:pPr>
        <w:spacing w:line="360" w:lineRule="auto"/>
        <w:jc w:val="center"/>
        <w:outlineLvl w:val="1"/>
        <w:rPr>
          <w:rFonts w:eastAsia="黑体"/>
          <w:sz w:val="24"/>
          <w:szCs w:val="28"/>
          <w:highlight w:val="none"/>
        </w:rPr>
      </w:pPr>
      <w:bookmarkStart w:id="1277" w:name="_Toc27307675"/>
      <w:bookmarkStart w:id="1278" w:name="_Toc18602338"/>
      <w:bookmarkStart w:id="1279" w:name="_Toc27306530"/>
      <w:bookmarkStart w:id="1280" w:name="_Toc32220301"/>
      <w:bookmarkStart w:id="1281" w:name="_Toc6890"/>
      <w:bookmarkStart w:id="1282" w:name="_Toc31981908"/>
      <w:bookmarkStart w:id="1283" w:name="_Toc22978"/>
      <w:bookmarkStart w:id="1284" w:name="_Toc24274"/>
      <w:bookmarkStart w:id="1285" w:name="_Toc46170074"/>
      <w:bookmarkStart w:id="1286" w:name="_Toc30002"/>
      <w:bookmarkStart w:id="1287" w:name="_Toc16372"/>
      <w:r>
        <w:rPr>
          <w:rFonts w:hint="eastAsia" w:eastAsia="黑体"/>
          <w:b/>
          <w:bCs/>
          <w:sz w:val="24"/>
          <w:szCs w:val="28"/>
          <w:highlight w:val="none"/>
        </w:rPr>
        <w:t>6</w:t>
      </w:r>
      <w:r>
        <w:rPr>
          <w:rFonts w:eastAsia="黑体"/>
          <w:b/>
          <w:bCs/>
          <w:sz w:val="24"/>
          <w:szCs w:val="28"/>
          <w:highlight w:val="none"/>
        </w:rPr>
        <w:t>.1</w:t>
      </w:r>
      <w:r>
        <w:rPr>
          <w:rFonts w:eastAsia="黑体"/>
          <w:sz w:val="24"/>
          <w:szCs w:val="28"/>
          <w:highlight w:val="none"/>
        </w:rPr>
        <w:t xml:space="preserve">  </w:t>
      </w:r>
      <w:bookmarkEnd w:id="1277"/>
      <w:bookmarkEnd w:id="1278"/>
      <w:bookmarkEnd w:id="1279"/>
      <w:r>
        <w:rPr>
          <w:rFonts w:eastAsia="黑体"/>
          <w:sz w:val="24"/>
          <w:szCs w:val="28"/>
          <w:highlight w:val="none"/>
        </w:rPr>
        <w:t>一般规定</w:t>
      </w:r>
      <w:bookmarkEnd w:id="1280"/>
      <w:bookmarkEnd w:id="1281"/>
      <w:bookmarkEnd w:id="1282"/>
      <w:bookmarkEnd w:id="1283"/>
      <w:bookmarkEnd w:id="1284"/>
      <w:bookmarkEnd w:id="1285"/>
      <w:bookmarkEnd w:id="1286"/>
      <w:bookmarkEnd w:id="1287"/>
    </w:p>
    <w:p>
      <w:pPr>
        <w:spacing w:line="312" w:lineRule="auto"/>
        <w:rPr>
          <w:sz w:val="24"/>
          <w:szCs w:val="28"/>
          <w:highlight w:val="none"/>
        </w:rPr>
      </w:pPr>
      <w:bookmarkStart w:id="1288" w:name="_Toc27306531"/>
      <w:bookmarkStart w:id="1289" w:name="_Toc27307676"/>
      <w:bookmarkStart w:id="1290" w:name="_Toc25690647"/>
      <w:bookmarkStart w:id="1291" w:name="_Toc27307536"/>
      <w:bookmarkStart w:id="1292" w:name="_Toc25690918"/>
      <w:bookmarkStart w:id="1293" w:name="_Toc27306670"/>
      <w:r>
        <w:rPr>
          <w:rFonts w:hint="eastAsia"/>
          <w:b/>
          <w:sz w:val="24"/>
          <w:szCs w:val="28"/>
          <w:highlight w:val="none"/>
        </w:rPr>
        <w:t>6</w:t>
      </w:r>
      <w:r>
        <w:rPr>
          <w:b/>
          <w:sz w:val="24"/>
          <w:szCs w:val="28"/>
          <w:highlight w:val="none"/>
        </w:rPr>
        <w:t>.1.</w:t>
      </w:r>
      <w:r>
        <w:rPr>
          <w:rFonts w:hint="eastAsia"/>
          <w:b/>
          <w:sz w:val="24"/>
          <w:szCs w:val="28"/>
          <w:highlight w:val="none"/>
        </w:rPr>
        <w:t>1</w:t>
      </w:r>
      <w:r>
        <w:rPr>
          <w:b/>
          <w:sz w:val="24"/>
          <w:szCs w:val="28"/>
          <w:highlight w:val="none"/>
        </w:rPr>
        <w:t xml:space="preserve">  </w:t>
      </w:r>
      <w:r>
        <w:rPr>
          <w:sz w:val="24"/>
          <w:szCs w:val="28"/>
          <w:highlight w:val="none"/>
        </w:rPr>
        <w:t>高延性混凝土</w:t>
      </w:r>
      <w:r>
        <w:rPr>
          <w:rFonts w:hint="eastAsia"/>
          <w:sz w:val="24"/>
          <w:szCs w:val="28"/>
          <w:highlight w:val="none"/>
        </w:rPr>
        <w:t>加固砌体结构</w:t>
      </w:r>
      <w:r>
        <w:rPr>
          <w:sz w:val="24"/>
          <w:szCs w:val="28"/>
          <w:highlight w:val="none"/>
        </w:rPr>
        <w:t>的施工工序宜符合下列规定：</w:t>
      </w:r>
    </w:p>
    <w:p>
      <w:pPr>
        <w:spacing w:line="312" w:lineRule="auto"/>
        <w:ind w:firstLine="482" w:firstLineChars="200"/>
        <w:rPr>
          <w:sz w:val="24"/>
          <w:szCs w:val="28"/>
          <w:highlight w:val="none"/>
        </w:rPr>
      </w:pPr>
      <w:r>
        <w:rPr>
          <w:b/>
          <w:sz w:val="24"/>
          <w:szCs w:val="28"/>
          <w:highlight w:val="none"/>
        </w:rPr>
        <w:t>1</w:t>
      </w:r>
      <w:r>
        <w:rPr>
          <w:sz w:val="24"/>
          <w:szCs w:val="28"/>
          <w:highlight w:val="none"/>
        </w:rPr>
        <w:t xml:space="preserve">  清理原构件表面装饰层；</w:t>
      </w:r>
    </w:p>
    <w:p>
      <w:pPr>
        <w:spacing w:line="312" w:lineRule="auto"/>
        <w:ind w:firstLine="482" w:firstLineChars="200"/>
        <w:rPr>
          <w:sz w:val="24"/>
          <w:szCs w:val="28"/>
          <w:highlight w:val="none"/>
        </w:rPr>
      </w:pPr>
      <w:r>
        <w:rPr>
          <w:b/>
          <w:sz w:val="24"/>
          <w:szCs w:val="28"/>
          <w:highlight w:val="none"/>
        </w:rPr>
        <w:t>2</w:t>
      </w:r>
      <w:r>
        <w:rPr>
          <w:sz w:val="24"/>
          <w:szCs w:val="28"/>
          <w:highlight w:val="none"/>
        </w:rPr>
        <w:t xml:space="preserve">  砌体表面</w:t>
      </w:r>
      <w:r>
        <w:rPr>
          <w:rFonts w:hint="eastAsia"/>
          <w:sz w:val="24"/>
          <w:szCs w:val="28"/>
          <w:highlight w:val="none"/>
        </w:rPr>
        <w:t>嵌缝部位灰缝剔凿</w:t>
      </w:r>
      <w:r>
        <w:rPr>
          <w:sz w:val="24"/>
          <w:szCs w:val="28"/>
          <w:highlight w:val="none"/>
        </w:rPr>
        <w:t>；</w:t>
      </w:r>
    </w:p>
    <w:p>
      <w:pPr>
        <w:spacing w:line="312" w:lineRule="auto"/>
        <w:ind w:firstLine="482" w:firstLineChars="200"/>
        <w:rPr>
          <w:sz w:val="24"/>
          <w:szCs w:val="28"/>
          <w:highlight w:val="none"/>
        </w:rPr>
      </w:pPr>
      <w:r>
        <w:rPr>
          <w:b/>
          <w:sz w:val="24"/>
          <w:szCs w:val="28"/>
          <w:highlight w:val="none"/>
        </w:rPr>
        <w:t>3</w:t>
      </w:r>
      <w:r>
        <w:rPr>
          <w:sz w:val="24"/>
          <w:szCs w:val="28"/>
          <w:highlight w:val="none"/>
        </w:rPr>
        <w:t xml:space="preserve">  安装钢筋网、拉结</w:t>
      </w:r>
      <w:r>
        <w:rPr>
          <w:rFonts w:hint="eastAsia"/>
          <w:sz w:val="24"/>
          <w:szCs w:val="28"/>
          <w:highlight w:val="none"/>
        </w:rPr>
        <w:t>筋</w:t>
      </w:r>
      <w:r>
        <w:rPr>
          <w:sz w:val="24"/>
          <w:szCs w:val="28"/>
          <w:highlight w:val="none"/>
        </w:rPr>
        <w:t>；</w:t>
      </w:r>
    </w:p>
    <w:p>
      <w:pPr>
        <w:spacing w:line="312" w:lineRule="auto"/>
        <w:ind w:firstLine="482" w:firstLineChars="200"/>
        <w:rPr>
          <w:sz w:val="24"/>
          <w:szCs w:val="28"/>
          <w:highlight w:val="none"/>
        </w:rPr>
      </w:pPr>
      <w:r>
        <w:rPr>
          <w:b/>
          <w:sz w:val="24"/>
          <w:szCs w:val="28"/>
          <w:highlight w:val="none"/>
        </w:rPr>
        <w:t>4</w:t>
      </w:r>
      <w:r>
        <w:rPr>
          <w:sz w:val="24"/>
          <w:szCs w:val="28"/>
          <w:highlight w:val="none"/>
        </w:rPr>
        <w:t xml:space="preserve">  清理浮灰；</w:t>
      </w:r>
    </w:p>
    <w:p>
      <w:pPr>
        <w:spacing w:line="312" w:lineRule="auto"/>
        <w:ind w:firstLine="482" w:firstLineChars="200"/>
        <w:rPr>
          <w:sz w:val="24"/>
          <w:szCs w:val="28"/>
          <w:highlight w:val="none"/>
        </w:rPr>
      </w:pPr>
      <w:r>
        <w:rPr>
          <w:rFonts w:hint="eastAsia"/>
          <w:b/>
          <w:sz w:val="24"/>
          <w:szCs w:val="28"/>
          <w:highlight w:val="none"/>
        </w:rPr>
        <w:t>5</w:t>
      </w:r>
      <w:r>
        <w:rPr>
          <w:sz w:val="24"/>
          <w:szCs w:val="28"/>
          <w:highlight w:val="none"/>
        </w:rPr>
        <w:t xml:space="preserve">  制作灰饼；</w:t>
      </w:r>
    </w:p>
    <w:p>
      <w:pPr>
        <w:spacing w:line="312" w:lineRule="auto"/>
        <w:ind w:firstLine="482" w:firstLineChars="200"/>
        <w:rPr>
          <w:sz w:val="24"/>
          <w:szCs w:val="28"/>
          <w:highlight w:val="none"/>
        </w:rPr>
      </w:pPr>
      <w:r>
        <w:rPr>
          <w:rFonts w:hint="eastAsia"/>
          <w:b/>
          <w:sz w:val="24"/>
          <w:szCs w:val="28"/>
          <w:highlight w:val="none"/>
        </w:rPr>
        <w:t>6</w:t>
      </w:r>
      <w:r>
        <w:rPr>
          <w:sz w:val="24"/>
          <w:szCs w:val="28"/>
          <w:highlight w:val="none"/>
        </w:rPr>
        <w:t xml:space="preserve">  浇水润湿构件表面；</w:t>
      </w:r>
    </w:p>
    <w:p>
      <w:pPr>
        <w:spacing w:line="312" w:lineRule="auto"/>
        <w:ind w:firstLine="482" w:firstLineChars="200"/>
        <w:rPr>
          <w:sz w:val="24"/>
          <w:szCs w:val="28"/>
          <w:highlight w:val="none"/>
        </w:rPr>
      </w:pPr>
      <w:r>
        <w:rPr>
          <w:b/>
          <w:sz w:val="24"/>
          <w:szCs w:val="28"/>
          <w:highlight w:val="none"/>
        </w:rPr>
        <w:t>7</w:t>
      </w:r>
      <w:r>
        <w:rPr>
          <w:sz w:val="24"/>
          <w:szCs w:val="28"/>
          <w:highlight w:val="none"/>
        </w:rPr>
        <w:t xml:space="preserve">  </w:t>
      </w:r>
      <w:r>
        <w:rPr>
          <w:rFonts w:hint="eastAsia"/>
          <w:sz w:val="24"/>
          <w:szCs w:val="28"/>
          <w:highlight w:val="none"/>
        </w:rPr>
        <w:t>压抹（喷涂）高延性混凝土；</w:t>
      </w:r>
    </w:p>
    <w:p>
      <w:pPr>
        <w:spacing w:line="312" w:lineRule="auto"/>
        <w:ind w:firstLine="482" w:firstLineChars="200"/>
        <w:rPr>
          <w:sz w:val="24"/>
          <w:szCs w:val="28"/>
          <w:highlight w:val="none"/>
        </w:rPr>
      </w:pPr>
      <w:r>
        <w:rPr>
          <w:b/>
          <w:sz w:val="24"/>
          <w:szCs w:val="28"/>
          <w:highlight w:val="none"/>
        </w:rPr>
        <w:t>8</w:t>
      </w:r>
      <w:r>
        <w:rPr>
          <w:sz w:val="24"/>
          <w:szCs w:val="28"/>
          <w:highlight w:val="none"/>
        </w:rPr>
        <w:t xml:space="preserve">  养护。</w:t>
      </w:r>
    </w:p>
    <w:p>
      <w:pPr>
        <w:spacing w:line="312" w:lineRule="auto"/>
        <w:ind w:firstLine="420" w:firstLineChars="200"/>
        <w:rPr>
          <w:sz w:val="21"/>
          <w:szCs w:val="28"/>
          <w:highlight w:val="none"/>
        </w:rPr>
      </w:pPr>
      <w:r>
        <w:rPr>
          <w:sz w:val="21"/>
          <w:szCs w:val="28"/>
          <w:highlight w:val="none"/>
        </w:rPr>
        <w:t>注：“安装钢筋网、拉结</w:t>
      </w:r>
      <w:r>
        <w:rPr>
          <w:rFonts w:hint="eastAsia"/>
          <w:sz w:val="21"/>
          <w:szCs w:val="28"/>
          <w:highlight w:val="none"/>
        </w:rPr>
        <w:t>筋</w:t>
      </w:r>
      <w:r>
        <w:rPr>
          <w:sz w:val="21"/>
          <w:szCs w:val="28"/>
          <w:highlight w:val="none"/>
        </w:rPr>
        <w:t>”的工序只在设计方案中有钢筋网</w:t>
      </w:r>
      <w:r>
        <w:rPr>
          <w:rFonts w:hint="eastAsia"/>
          <w:sz w:val="21"/>
          <w:szCs w:val="28"/>
          <w:highlight w:val="none"/>
        </w:rPr>
        <w:t>和</w:t>
      </w:r>
      <w:r>
        <w:rPr>
          <w:sz w:val="21"/>
          <w:szCs w:val="28"/>
          <w:highlight w:val="none"/>
        </w:rPr>
        <w:t>拉结</w:t>
      </w:r>
      <w:r>
        <w:rPr>
          <w:rFonts w:hint="eastAsia"/>
          <w:sz w:val="21"/>
          <w:szCs w:val="28"/>
          <w:highlight w:val="none"/>
        </w:rPr>
        <w:t>筋</w:t>
      </w:r>
      <w:r>
        <w:rPr>
          <w:sz w:val="21"/>
          <w:szCs w:val="28"/>
          <w:highlight w:val="none"/>
        </w:rPr>
        <w:t>时进行。</w:t>
      </w:r>
    </w:p>
    <w:p>
      <w:pPr>
        <w:pStyle w:val="2"/>
        <w:keepNext w:val="0"/>
        <w:keepLines w:val="0"/>
        <w:pageBreakBefore w:val="0"/>
        <w:widowControl w:val="0"/>
        <w:kinsoku/>
        <w:wordWrap/>
        <w:overflowPunct/>
        <w:topLinePunct w:val="0"/>
        <w:autoSpaceDE/>
        <w:autoSpaceDN/>
        <w:bidi w:val="0"/>
        <w:adjustRightInd/>
        <w:snapToGrid/>
        <w:spacing w:after="0" w:line="312" w:lineRule="auto"/>
        <w:textAlignment w:val="auto"/>
        <w:rPr>
          <w:rFonts w:hint="eastAsia" w:ascii="楷体" w:hAnsi="楷体" w:eastAsia="楷体" w:cs="楷体"/>
          <w:kern w:val="2"/>
          <w:sz w:val="24"/>
          <w:szCs w:val="24"/>
          <w:highlight w:val="none"/>
          <w:u w:val="single"/>
          <w:lang w:val="en-US" w:eastAsia="zh-CN" w:bidi="ar-SA"/>
        </w:rPr>
      </w:pPr>
      <w:r>
        <w:rPr>
          <w:rFonts w:hint="eastAsia" w:ascii="楷体" w:hAnsi="楷体" w:eastAsia="楷体" w:cs="楷体"/>
          <w:b w:val="0"/>
          <w:bCs/>
          <w:sz w:val="24"/>
          <w:szCs w:val="24"/>
          <w:highlight w:val="none"/>
          <w:u w:val="single"/>
        </w:rPr>
        <w:t>【条文说明】</w:t>
      </w:r>
      <w:r>
        <w:rPr>
          <w:rFonts w:hint="eastAsia" w:ascii="楷体" w:hAnsi="楷体" w:eastAsia="楷体" w:cs="楷体"/>
          <w:kern w:val="2"/>
          <w:sz w:val="24"/>
          <w:szCs w:val="24"/>
          <w:highlight w:val="none"/>
          <w:u w:val="single"/>
          <w:lang w:val="en-US" w:eastAsia="zh-CN" w:bidi="ar-SA"/>
        </w:rPr>
        <w:t>采用高延性混凝土加固砌体结构一般不需要配置钢筋，施工工序少，施工方法主要为人工压抹，施工方法简单。但高延性混凝土加固砌体结构主要是利用高延性混凝土的性能优势提高砌体的整体性和承载能力，因此在施工过程中应注意加固面的清理要干净，并要养护到位，保证高延性混凝土材料性能的可靠。</w:t>
      </w:r>
    </w:p>
    <w:p>
      <w:pPr>
        <w:spacing w:line="312" w:lineRule="auto"/>
        <w:rPr>
          <w:sz w:val="24"/>
          <w:szCs w:val="28"/>
          <w:highlight w:val="none"/>
        </w:rPr>
      </w:pPr>
      <w:r>
        <w:rPr>
          <w:rFonts w:hint="eastAsia"/>
          <w:b/>
          <w:sz w:val="24"/>
          <w:szCs w:val="28"/>
          <w:highlight w:val="none"/>
        </w:rPr>
        <w:t>6</w:t>
      </w:r>
      <w:r>
        <w:rPr>
          <w:b/>
          <w:sz w:val="24"/>
          <w:szCs w:val="28"/>
          <w:highlight w:val="none"/>
        </w:rPr>
        <w:t>.1.</w:t>
      </w:r>
      <w:r>
        <w:rPr>
          <w:rFonts w:hint="eastAsia"/>
          <w:b/>
          <w:sz w:val="24"/>
          <w:szCs w:val="28"/>
          <w:highlight w:val="none"/>
        </w:rPr>
        <w:t>2</w:t>
      </w:r>
      <w:r>
        <w:rPr>
          <w:b/>
          <w:sz w:val="24"/>
          <w:szCs w:val="28"/>
          <w:highlight w:val="none"/>
        </w:rPr>
        <w:t xml:space="preserve">  </w:t>
      </w:r>
      <w:r>
        <w:rPr>
          <w:sz w:val="24"/>
          <w:szCs w:val="28"/>
          <w:highlight w:val="none"/>
        </w:rPr>
        <w:t>高延性混凝土</w:t>
      </w:r>
      <w:r>
        <w:rPr>
          <w:rFonts w:hint="eastAsia"/>
          <w:sz w:val="24"/>
          <w:szCs w:val="28"/>
          <w:highlight w:val="none"/>
        </w:rPr>
        <w:t>加固砌体结构</w:t>
      </w:r>
      <w:r>
        <w:rPr>
          <w:sz w:val="24"/>
          <w:szCs w:val="28"/>
          <w:highlight w:val="none"/>
        </w:rPr>
        <w:t>应按下列规定进行施工质量控制：</w:t>
      </w:r>
    </w:p>
    <w:p>
      <w:pPr>
        <w:spacing w:line="312" w:lineRule="auto"/>
        <w:ind w:firstLine="482" w:firstLineChars="200"/>
        <w:rPr>
          <w:sz w:val="24"/>
          <w:szCs w:val="28"/>
          <w:highlight w:val="none"/>
        </w:rPr>
      </w:pPr>
      <w:r>
        <w:rPr>
          <w:b/>
          <w:sz w:val="24"/>
          <w:szCs w:val="28"/>
          <w:highlight w:val="none"/>
        </w:rPr>
        <w:t>1</w:t>
      </w:r>
      <w:r>
        <w:rPr>
          <w:sz w:val="24"/>
          <w:szCs w:val="28"/>
          <w:highlight w:val="none"/>
        </w:rPr>
        <w:t xml:space="preserve">  结构加固设计单位应向施工单位进行技术交底；施工单位应编制施工组织设计和</w:t>
      </w:r>
      <w:r>
        <w:rPr>
          <w:rFonts w:hint="eastAsia"/>
          <w:sz w:val="24"/>
          <w:szCs w:val="28"/>
          <w:highlight w:val="none"/>
        </w:rPr>
        <w:t>专项</w:t>
      </w:r>
      <w:r>
        <w:rPr>
          <w:sz w:val="24"/>
          <w:szCs w:val="28"/>
          <w:highlight w:val="none"/>
        </w:rPr>
        <w:t>施工方案，经审查批准后组织实施；</w:t>
      </w:r>
    </w:p>
    <w:p>
      <w:pPr>
        <w:spacing w:line="312" w:lineRule="auto"/>
        <w:ind w:firstLine="482" w:firstLineChars="200"/>
        <w:rPr>
          <w:rFonts w:hint="eastAsia" w:eastAsia="宋体"/>
          <w:sz w:val="24"/>
          <w:szCs w:val="28"/>
          <w:highlight w:val="none"/>
          <w:lang w:eastAsia="zh-CN"/>
        </w:rPr>
      </w:pPr>
      <w:r>
        <w:rPr>
          <w:rFonts w:hint="eastAsia"/>
          <w:b/>
          <w:sz w:val="24"/>
          <w:szCs w:val="28"/>
          <w:highlight w:val="none"/>
        </w:rPr>
        <w:t>2</w:t>
      </w:r>
      <w:r>
        <w:rPr>
          <w:sz w:val="24"/>
          <w:szCs w:val="28"/>
          <w:highlight w:val="none"/>
        </w:rPr>
        <w:t xml:space="preserve">  </w:t>
      </w:r>
      <w:r>
        <w:rPr>
          <w:rFonts w:hint="eastAsia"/>
          <w:sz w:val="24"/>
          <w:szCs w:val="28"/>
          <w:highlight w:val="none"/>
        </w:rPr>
        <w:t>用于加固的钢筋及高延性混凝土材料进场时，应分别按《建筑结构加固工程施工质量验收规范》GB 50550及本标准7.1.1的规定进行进场检查和见证取样复验</w:t>
      </w:r>
      <w:r>
        <w:rPr>
          <w:rFonts w:hint="eastAsia"/>
          <w:sz w:val="24"/>
          <w:szCs w:val="28"/>
          <w:highlight w:val="none"/>
          <w:lang w:eastAsia="zh-CN"/>
        </w:rPr>
        <w:t>。</w:t>
      </w:r>
      <w:r>
        <w:rPr>
          <w:rFonts w:hint="eastAsia"/>
          <w:sz w:val="24"/>
          <w:szCs w:val="28"/>
          <w:highlight w:val="none"/>
        </w:rPr>
        <w:t>材料送样应经监理工程师签封</w:t>
      </w:r>
      <w:r>
        <w:rPr>
          <w:rFonts w:hint="eastAsia"/>
          <w:sz w:val="24"/>
          <w:szCs w:val="28"/>
          <w:highlight w:val="none"/>
          <w:lang w:eastAsia="zh-CN"/>
        </w:rPr>
        <w:t>，</w:t>
      </w:r>
      <w:r>
        <w:rPr>
          <w:rFonts w:hint="eastAsia"/>
          <w:sz w:val="24"/>
          <w:szCs w:val="28"/>
          <w:highlight w:val="none"/>
        </w:rPr>
        <w:t>复验不合格的材料不得使用</w:t>
      </w:r>
      <w:r>
        <w:rPr>
          <w:rFonts w:hint="eastAsia"/>
          <w:sz w:val="24"/>
          <w:szCs w:val="28"/>
          <w:highlight w:val="none"/>
          <w:lang w:eastAsia="zh-CN"/>
        </w:rPr>
        <w:t>，</w:t>
      </w:r>
      <w:r>
        <w:rPr>
          <w:rFonts w:hint="eastAsia"/>
          <w:sz w:val="24"/>
          <w:szCs w:val="28"/>
          <w:highlight w:val="none"/>
        </w:rPr>
        <w:t>施工单位或生产厂家自行抽样、送检的委托检验报告无效</w:t>
      </w:r>
      <w:r>
        <w:rPr>
          <w:rFonts w:hint="eastAsia"/>
          <w:sz w:val="24"/>
          <w:szCs w:val="28"/>
          <w:highlight w:val="none"/>
          <w:lang w:eastAsia="zh-CN"/>
        </w:rPr>
        <w:t>；</w:t>
      </w:r>
    </w:p>
    <w:p>
      <w:pPr>
        <w:spacing w:line="312" w:lineRule="auto"/>
        <w:ind w:firstLine="482" w:firstLineChars="200"/>
        <w:rPr>
          <w:sz w:val="24"/>
          <w:szCs w:val="28"/>
          <w:highlight w:val="none"/>
        </w:rPr>
      </w:pPr>
      <w:r>
        <w:rPr>
          <w:rFonts w:hint="eastAsia"/>
          <w:b/>
          <w:bCs/>
          <w:sz w:val="24"/>
          <w:szCs w:val="28"/>
          <w:highlight w:val="none"/>
          <w:lang w:val="en-US" w:eastAsia="zh-CN"/>
        </w:rPr>
        <w:t>3</w:t>
      </w:r>
      <w:r>
        <w:rPr>
          <w:rFonts w:hint="eastAsia"/>
          <w:sz w:val="24"/>
          <w:szCs w:val="28"/>
          <w:highlight w:val="none"/>
          <w:lang w:val="en-US" w:eastAsia="zh-CN"/>
        </w:rPr>
        <w:t xml:space="preserve">  </w:t>
      </w:r>
      <w:r>
        <w:rPr>
          <w:sz w:val="24"/>
          <w:szCs w:val="28"/>
          <w:highlight w:val="none"/>
        </w:rPr>
        <w:t>加固施工前，应对原结构、构件进行清理、修整和支护；清理、修整和支护的具体要求应符合现行国家标准《建筑结构加固工程施工质量验收规范》GB 50550的有关规定；</w:t>
      </w:r>
    </w:p>
    <w:p>
      <w:pPr>
        <w:spacing w:line="312" w:lineRule="auto"/>
        <w:ind w:firstLine="482" w:firstLineChars="200"/>
        <w:rPr>
          <w:sz w:val="24"/>
          <w:szCs w:val="28"/>
          <w:highlight w:val="none"/>
        </w:rPr>
      </w:pPr>
      <w:r>
        <w:rPr>
          <w:rFonts w:hint="eastAsia"/>
          <w:b/>
          <w:sz w:val="24"/>
          <w:szCs w:val="28"/>
          <w:highlight w:val="none"/>
          <w:lang w:val="en-US" w:eastAsia="zh-CN"/>
        </w:rPr>
        <w:t>4</w:t>
      </w:r>
      <w:r>
        <w:rPr>
          <w:sz w:val="24"/>
          <w:szCs w:val="28"/>
          <w:highlight w:val="none"/>
        </w:rPr>
        <w:t xml:space="preserve">  加固工程的每道工序均应按</w:t>
      </w:r>
      <w:r>
        <w:rPr>
          <w:rFonts w:hint="eastAsia"/>
          <w:sz w:val="24"/>
          <w:szCs w:val="28"/>
          <w:highlight w:val="none"/>
        </w:rPr>
        <w:t>本标准</w:t>
      </w:r>
      <w:r>
        <w:rPr>
          <w:sz w:val="24"/>
          <w:szCs w:val="28"/>
          <w:highlight w:val="none"/>
        </w:rPr>
        <w:t>及国家现行相关标准的规定进行质量控制；每道工序完成后应进行检查验收；合格后方允许进行下一道工序的施工；</w:t>
      </w:r>
    </w:p>
    <w:p>
      <w:pPr>
        <w:spacing w:line="312" w:lineRule="auto"/>
        <w:ind w:firstLine="482" w:firstLineChars="200"/>
        <w:rPr>
          <w:sz w:val="24"/>
          <w:szCs w:val="28"/>
          <w:highlight w:val="none"/>
        </w:rPr>
      </w:pPr>
      <w:r>
        <w:rPr>
          <w:rFonts w:hint="eastAsia"/>
          <w:b/>
          <w:sz w:val="24"/>
          <w:szCs w:val="28"/>
          <w:highlight w:val="none"/>
          <w:lang w:val="en-US" w:eastAsia="zh-CN"/>
        </w:rPr>
        <w:t>5</w:t>
      </w:r>
      <w:r>
        <w:rPr>
          <w:sz w:val="24"/>
          <w:szCs w:val="28"/>
          <w:highlight w:val="none"/>
        </w:rPr>
        <w:t xml:space="preserve">  相关各专业工种交接时，应进行交接检验，并应经监理工程师</w:t>
      </w:r>
      <w:r>
        <w:rPr>
          <w:rFonts w:hint="eastAsia"/>
          <w:sz w:val="24"/>
          <w:szCs w:val="28"/>
          <w:highlight w:val="none"/>
          <w:lang w:val="en-US" w:eastAsia="zh-CN"/>
        </w:rPr>
        <w:t>或</w:t>
      </w:r>
      <w:r>
        <w:rPr>
          <w:rFonts w:hint="eastAsia"/>
          <w:sz w:val="24"/>
          <w:szCs w:val="28"/>
          <w:highlight w:val="none"/>
        </w:rPr>
        <w:t>业主</w:t>
      </w:r>
      <w:r>
        <w:rPr>
          <w:rFonts w:hint="eastAsia"/>
          <w:sz w:val="24"/>
          <w:szCs w:val="28"/>
          <w:highlight w:val="none"/>
          <w:lang w:val="en-US" w:eastAsia="zh-CN"/>
        </w:rPr>
        <w:t>等</w:t>
      </w:r>
      <w:r>
        <w:rPr>
          <w:rFonts w:hint="eastAsia"/>
          <w:sz w:val="24"/>
          <w:szCs w:val="28"/>
          <w:highlight w:val="none"/>
        </w:rPr>
        <w:t>相关人员</w:t>
      </w:r>
      <w:r>
        <w:rPr>
          <w:sz w:val="24"/>
          <w:szCs w:val="28"/>
          <w:highlight w:val="none"/>
        </w:rPr>
        <w:t>检查认可。</w:t>
      </w:r>
    </w:p>
    <w:p>
      <w:pPr>
        <w:spacing w:line="312" w:lineRule="auto"/>
        <w:rPr>
          <w:rFonts w:hint="eastAsia" w:ascii="楷体" w:hAnsi="楷体" w:eastAsia="楷体" w:cs="楷体"/>
          <w:sz w:val="24"/>
          <w:szCs w:val="24"/>
          <w:highlight w:val="none"/>
          <w:u w:val="single"/>
        </w:rPr>
      </w:pPr>
      <w:r>
        <w:rPr>
          <w:rFonts w:hint="eastAsia" w:ascii="楷体" w:hAnsi="楷体" w:eastAsia="楷体" w:cs="楷体"/>
          <w:b w:val="0"/>
          <w:bCs/>
          <w:sz w:val="24"/>
          <w:szCs w:val="24"/>
          <w:highlight w:val="none"/>
          <w:u w:val="single"/>
        </w:rPr>
        <w:t>【条文说明】</w:t>
      </w:r>
      <w:r>
        <w:rPr>
          <w:rFonts w:hint="eastAsia" w:ascii="楷体" w:hAnsi="楷体" w:eastAsia="楷体" w:cs="楷体"/>
          <w:sz w:val="24"/>
          <w:szCs w:val="24"/>
          <w:highlight w:val="none"/>
          <w:u w:val="single"/>
        </w:rPr>
        <w:t>本条较具体的规定了高延性混凝土加固砌体结构工程施工质量控制的重点内容。施工单位每道工序完成后，除了应进行自检并应由专职质量检验员检查外，还强调了工序交接检查，上道工序应满足下道工序的施工条件和要求；同样，相关专业工序之间也应进行中间交接检查，使各工序间和各相关专业工程之间形成一个有机的整体。</w:t>
      </w:r>
    </w:p>
    <w:p>
      <w:pPr>
        <w:spacing w:line="312" w:lineRule="auto"/>
        <w:ind w:firstLine="480" w:firstLineChars="200"/>
        <w:rPr>
          <w:rFonts w:hint="eastAsia" w:ascii="楷体" w:hAnsi="楷体" w:eastAsia="楷体" w:cs="楷体"/>
          <w:sz w:val="24"/>
          <w:szCs w:val="24"/>
          <w:highlight w:val="none"/>
          <w:u w:val="single"/>
        </w:rPr>
      </w:pPr>
      <w:r>
        <w:rPr>
          <w:rFonts w:hint="eastAsia" w:ascii="楷体" w:hAnsi="楷体" w:eastAsia="楷体" w:cs="楷体"/>
          <w:sz w:val="24"/>
          <w:szCs w:val="24"/>
          <w:highlight w:val="none"/>
          <w:u w:val="single"/>
        </w:rPr>
        <w:t>高延性混凝土加固砌体结构时的基面处理方法和要求与《建筑结构加固工程施工质量验收规范》GB 50550中钢筋网-砂浆面层的要求一致。对于未涉及的其他验收内容，可以参照国家现行有关标准的规定进行验收，本章不再赘述。</w:t>
      </w:r>
    </w:p>
    <w:p>
      <w:pPr>
        <w:spacing w:line="312" w:lineRule="auto"/>
        <w:rPr>
          <w:sz w:val="24"/>
          <w:szCs w:val="24"/>
          <w:highlight w:val="none"/>
        </w:rPr>
      </w:pPr>
      <w:r>
        <w:rPr>
          <w:rFonts w:hint="eastAsia"/>
          <w:b/>
          <w:sz w:val="24"/>
          <w:szCs w:val="24"/>
          <w:highlight w:val="none"/>
        </w:rPr>
        <w:t xml:space="preserve">6.1.3  </w:t>
      </w:r>
      <w:r>
        <w:rPr>
          <w:rFonts w:hint="eastAsia"/>
          <w:sz w:val="24"/>
          <w:szCs w:val="24"/>
          <w:highlight w:val="none"/>
        </w:rPr>
        <w:t>建筑结构加固施工的全过程，应按照现行国家标准《建筑结构加固工程施工质量验收规范》GB 50550的有关规定采取可靠的安全措施。</w:t>
      </w:r>
    </w:p>
    <w:p>
      <w:pPr>
        <w:spacing w:line="360" w:lineRule="auto"/>
        <w:jc w:val="center"/>
        <w:outlineLvl w:val="1"/>
        <w:rPr>
          <w:rFonts w:eastAsia="黑体"/>
          <w:sz w:val="24"/>
          <w:szCs w:val="28"/>
          <w:highlight w:val="none"/>
        </w:rPr>
      </w:pPr>
      <w:bookmarkStart w:id="1294" w:name="_Toc5255"/>
      <w:bookmarkStart w:id="1295" w:name="_Toc26466"/>
      <w:bookmarkStart w:id="1296" w:name="_Toc27703"/>
      <w:bookmarkStart w:id="1297" w:name="_Toc32220302"/>
      <w:bookmarkStart w:id="1298" w:name="_Toc31631"/>
      <w:bookmarkStart w:id="1299" w:name="_Toc2010"/>
      <w:bookmarkStart w:id="1300" w:name="_Toc31981909"/>
      <w:bookmarkStart w:id="1301" w:name="_Toc46170075"/>
      <w:r>
        <w:rPr>
          <w:rFonts w:hint="eastAsia" w:eastAsia="黑体"/>
          <w:b/>
          <w:bCs/>
          <w:sz w:val="24"/>
          <w:szCs w:val="28"/>
          <w:highlight w:val="none"/>
        </w:rPr>
        <w:t>6</w:t>
      </w:r>
      <w:r>
        <w:rPr>
          <w:rFonts w:eastAsia="黑体"/>
          <w:b/>
          <w:bCs/>
          <w:sz w:val="24"/>
          <w:szCs w:val="28"/>
          <w:highlight w:val="none"/>
        </w:rPr>
        <w:t xml:space="preserve">.2 </w:t>
      </w:r>
      <w:r>
        <w:rPr>
          <w:rFonts w:eastAsia="黑体"/>
          <w:sz w:val="24"/>
          <w:szCs w:val="28"/>
          <w:highlight w:val="none"/>
        </w:rPr>
        <w:t xml:space="preserve"> 施工准备</w:t>
      </w:r>
      <w:bookmarkEnd w:id="1294"/>
      <w:bookmarkEnd w:id="1295"/>
      <w:bookmarkEnd w:id="1296"/>
      <w:bookmarkEnd w:id="1297"/>
      <w:bookmarkEnd w:id="1298"/>
      <w:bookmarkEnd w:id="1299"/>
      <w:bookmarkEnd w:id="1300"/>
      <w:bookmarkEnd w:id="1301"/>
    </w:p>
    <w:p>
      <w:pPr>
        <w:spacing w:line="312" w:lineRule="auto"/>
        <w:jc w:val="left"/>
        <w:rPr>
          <w:sz w:val="24"/>
          <w:szCs w:val="28"/>
          <w:highlight w:val="none"/>
        </w:rPr>
      </w:pPr>
      <w:r>
        <w:rPr>
          <w:rFonts w:hint="eastAsia"/>
          <w:b/>
          <w:sz w:val="24"/>
          <w:szCs w:val="28"/>
          <w:highlight w:val="none"/>
        </w:rPr>
        <w:t>6</w:t>
      </w:r>
      <w:r>
        <w:rPr>
          <w:b/>
          <w:sz w:val="24"/>
          <w:szCs w:val="28"/>
          <w:highlight w:val="none"/>
        </w:rPr>
        <w:t>.2.</w:t>
      </w:r>
      <w:r>
        <w:rPr>
          <w:rFonts w:hint="eastAsia"/>
          <w:b/>
          <w:sz w:val="24"/>
          <w:szCs w:val="28"/>
          <w:highlight w:val="none"/>
        </w:rPr>
        <w:t>1</w:t>
      </w:r>
      <w:r>
        <w:rPr>
          <w:sz w:val="24"/>
          <w:szCs w:val="28"/>
          <w:highlight w:val="none"/>
        </w:rPr>
        <w:t xml:space="preserve">  加固施工使用的机具应满足施工需要，且性能应稳定可靠。</w:t>
      </w:r>
    </w:p>
    <w:p>
      <w:pPr>
        <w:spacing w:line="312" w:lineRule="auto"/>
        <w:jc w:val="left"/>
        <w:rPr>
          <w:sz w:val="24"/>
          <w:szCs w:val="28"/>
          <w:highlight w:val="none"/>
        </w:rPr>
      </w:pPr>
      <w:r>
        <w:rPr>
          <w:rFonts w:hint="eastAsia"/>
          <w:b/>
          <w:sz w:val="24"/>
          <w:szCs w:val="28"/>
          <w:highlight w:val="none"/>
        </w:rPr>
        <w:t>6</w:t>
      </w:r>
      <w:r>
        <w:rPr>
          <w:b/>
          <w:sz w:val="24"/>
          <w:szCs w:val="28"/>
          <w:highlight w:val="none"/>
        </w:rPr>
        <w:t>.2.</w:t>
      </w:r>
      <w:r>
        <w:rPr>
          <w:rFonts w:hint="eastAsia"/>
          <w:b/>
          <w:sz w:val="24"/>
          <w:szCs w:val="28"/>
          <w:highlight w:val="none"/>
        </w:rPr>
        <w:t>2</w:t>
      </w:r>
      <w:r>
        <w:rPr>
          <w:sz w:val="24"/>
          <w:szCs w:val="28"/>
          <w:highlight w:val="none"/>
        </w:rPr>
        <w:t xml:space="preserve">  加固施工过程中应做好安全防护工作，作业人员应正确使用安全防护用品。</w:t>
      </w:r>
    </w:p>
    <w:p>
      <w:pPr>
        <w:spacing w:line="312" w:lineRule="auto"/>
        <w:jc w:val="left"/>
        <w:rPr>
          <w:sz w:val="24"/>
          <w:szCs w:val="28"/>
          <w:highlight w:val="none"/>
        </w:rPr>
      </w:pPr>
      <w:r>
        <w:rPr>
          <w:rFonts w:hint="eastAsia"/>
          <w:b/>
          <w:sz w:val="24"/>
          <w:szCs w:val="28"/>
          <w:highlight w:val="none"/>
        </w:rPr>
        <w:t>6</w:t>
      </w:r>
      <w:r>
        <w:rPr>
          <w:b/>
          <w:sz w:val="24"/>
          <w:szCs w:val="28"/>
          <w:highlight w:val="none"/>
        </w:rPr>
        <w:t>.2.</w:t>
      </w:r>
      <w:r>
        <w:rPr>
          <w:rFonts w:hint="eastAsia"/>
          <w:b/>
          <w:sz w:val="24"/>
          <w:szCs w:val="28"/>
          <w:highlight w:val="none"/>
        </w:rPr>
        <w:t>3</w:t>
      </w:r>
      <w:r>
        <w:rPr>
          <w:b/>
          <w:sz w:val="24"/>
          <w:szCs w:val="28"/>
          <w:highlight w:val="none"/>
        </w:rPr>
        <w:t xml:space="preserve"> </w:t>
      </w:r>
      <w:r>
        <w:rPr>
          <w:sz w:val="24"/>
          <w:szCs w:val="28"/>
          <w:highlight w:val="none"/>
        </w:rPr>
        <w:t xml:space="preserve"> 施工单位技术人员应仔细阅读设计文件和相关产品使用说明书</w:t>
      </w:r>
      <w:r>
        <w:rPr>
          <w:rFonts w:hint="eastAsia"/>
          <w:sz w:val="24"/>
          <w:szCs w:val="28"/>
          <w:highlight w:val="none"/>
        </w:rPr>
        <w:t>；</w:t>
      </w:r>
      <w:r>
        <w:rPr>
          <w:sz w:val="24"/>
          <w:szCs w:val="28"/>
          <w:highlight w:val="none"/>
        </w:rPr>
        <w:t>施工单位应在施工前对施工人员</w:t>
      </w:r>
      <w:r>
        <w:rPr>
          <w:rFonts w:hint="eastAsia"/>
          <w:sz w:val="24"/>
          <w:szCs w:val="28"/>
          <w:highlight w:val="none"/>
        </w:rPr>
        <w:t>进行</w:t>
      </w:r>
      <w:r>
        <w:rPr>
          <w:sz w:val="24"/>
          <w:szCs w:val="28"/>
          <w:highlight w:val="none"/>
        </w:rPr>
        <w:t>安全质量技术交底，并应经培训掌握施工操作要领。</w:t>
      </w:r>
    </w:p>
    <w:p>
      <w:pPr>
        <w:spacing w:line="312" w:lineRule="auto"/>
        <w:rPr>
          <w:rFonts w:hint="eastAsia" w:ascii="楷体" w:hAnsi="楷体" w:eastAsia="楷体" w:cs="楷体"/>
          <w:sz w:val="24"/>
          <w:szCs w:val="24"/>
          <w:highlight w:val="none"/>
          <w:u w:val="single"/>
        </w:rPr>
      </w:pPr>
      <w:r>
        <w:rPr>
          <w:rFonts w:hint="eastAsia" w:ascii="楷体" w:hAnsi="楷体" w:eastAsia="楷体" w:cs="楷体"/>
          <w:b w:val="0"/>
          <w:bCs/>
          <w:sz w:val="24"/>
          <w:szCs w:val="24"/>
          <w:highlight w:val="none"/>
          <w:u w:val="single"/>
        </w:rPr>
        <w:t>【条文说明】</w:t>
      </w:r>
      <w:r>
        <w:rPr>
          <w:rFonts w:hint="eastAsia" w:ascii="楷体" w:hAnsi="楷体" w:eastAsia="楷体" w:cs="楷体"/>
          <w:sz w:val="24"/>
          <w:szCs w:val="24"/>
          <w:highlight w:val="none"/>
          <w:u w:val="single"/>
        </w:rPr>
        <w:t>施工单位要认真熟悉图纸等资料，参加相关单位组织的设计交底，并结合施工情况给出合理建议。加固专项施工方案很重要，在正式施工前，需针对该加固技术的特点和施工条件，认真做好专项施工方案的编制，并向有关人员进行安全质量技术交底。</w:t>
      </w:r>
    </w:p>
    <w:p>
      <w:pPr>
        <w:spacing w:line="312" w:lineRule="auto"/>
        <w:jc w:val="left"/>
        <w:rPr>
          <w:sz w:val="24"/>
          <w:szCs w:val="28"/>
          <w:highlight w:val="none"/>
        </w:rPr>
      </w:pPr>
      <w:r>
        <w:rPr>
          <w:rFonts w:hint="eastAsia"/>
          <w:b/>
          <w:sz w:val="24"/>
          <w:szCs w:val="28"/>
          <w:highlight w:val="none"/>
        </w:rPr>
        <w:t>6</w:t>
      </w:r>
      <w:r>
        <w:rPr>
          <w:b/>
          <w:sz w:val="24"/>
          <w:szCs w:val="28"/>
          <w:highlight w:val="none"/>
        </w:rPr>
        <w:t>.2.</w:t>
      </w:r>
      <w:r>
        <w:rPr>
          <w:rFonts w:hint="eastAsia"/>
          <w:b/>
          <w:sz w:val="24"/>
          <w:szCs w:val="28"/>
          <w:highlight w:val="none"/>
        </w:rPr>
        <w:t>4</w:t>
      </w:r>
      <w:r>
        <w:rPr>
          <w:sz w:val="24"/>
          <w:szCs w:val="28"/>
          <w:highlight w:val="none"/>
        </w:rPr>
        <w:t xml:space="preserve">  </w:t>
      </w:r>
      <w:r>
        <w:rPr>
          <w:rFonts w:hint="eastAsia"/>
          <w:sz w:val="24"/>
          <w:szCs w:val="28"/>
          <w:highlight w:val="none"/>
        </w:rPr>
        <w:t>受压砌体</w:t>
      </w:r>
      <w:r>
        <w:rPr>
          <w:sz w:val="24"/>
          <w:szCs w:val="28"/>
          <w:highlight w:val="none"/>
        </w:rPr>
        <w:t>加固时应卸除</w:t>
      </w:r>
      <w:r>
        <w:rPr>
          <w:rFonts w:hint="eastAsia"/>
          <w:sz w:val="24"/>
          <w:szCs w:val="28"/>
          <w:highlight w:val="none"/>
        </w:rPr>
        <w:t>其上的</w:t>
      </w:r>
      <w:r>
        <w:rPr>
          <w:sz w:val="24"/>
          <w:szCs w:val="28"/>
          <w:highlight w:val="none"/>
        </w:rPr>
        <w:t>活荷载，必要时应设置临时</w:t>
      </w:r>
      <w:r>
        <w:rPr>
          <w:rFonts w:hint="eastAsia"/>
          <w:sz w:val="24"/>
          <w:szCs w:val="28"/>
          <w:highlight w:val="none"/>
        </w:rPr>
        <w:t>卸荷</w:t>
      </w:r>
      <w:r>
        <w:rPr>
          <w:sz w:val="24"/>
          <w:szCs w:val="28"/>
          <w:highlight w:val="none"/>
        </w:rPr>
        <w:t>支撑。</w:t>
      </w:r>
    </w:p>
    <w:p>
      <w:pPr>
        <w:spacing w:line="312" w:lineRule="auto"/>
        <w:jc w:val="left"/>
        <w:rPr>
          <w:sz w:val="24"/>
          <w:szCs w:val="28"/>
          <w:highlight w:val="none"/>
        </w:rPr>
      </w:pPr>
      <w:r>
        <w:rPr>
          <w:rFonts w:hint="eastAsia"/>
          <w:b/>
          <w:sz w:val="24"/>
          <w:szCs w:val="28"/>
          <w:highlight w:val="none"/>
        </w:rPr>
        <w:t>6</w:t>
      </w:r>
      <w:r>
        <w:rPr>
          <w:b/>
          <w:sz w:val="24"/>
          <w:szCs w:val="28"/>
          <w:highlight w:val="none"/>
        </w:rPr>
        <w:t>.2.</w:t>
      </w:r>
      <w:r>
        <w:rPr>
          <w:rFonts w:hint="eastAsia"/>
          <w:b/>
          <w:sz w:val="24"/>
          <w:szCs w:val="28"/>
          <w:highlight w:val="none"/>
        </w:rPr>
        <w:t>5</w:t>
      </w:r>
      <w:r>
        <w:rPr>
          <w:sz w:val="24"/>
          <w:szCs w:val="28"/>
          <w:highlight w:val="none"/>
        </w:rPr>
        <w:t xml:space="preserve">  施工操作脚手架应符合施工方案要求，搭设完成并经验收合格后方可使用。</w:t>
      </w:r>
    </w:p>
    <w:p>
      <w:pPr>
        <w:spacing w:line="312" w:lineRule="auto"/>
        <w:jc w:val="left"/>
        <w:rPr>
          <w:sz w:val="24"/>
          <w:szCs w:val="28"/>
          <w:highlight w:val="none"/>
        </w:rPr>
      </w:pPr>
      <w:r>
        <w:rPr>
          <w:rFonts w:hint="eastAsia"/>
          <w:b/>
          <w:sz w:val="24"/>
          <w:szCs w:val="28"/>
          <w:highlight w:val="none"/>
        </w:rPr>
        <w:t>6</w:t>
      </w:r>
      <w:r>
        <w:rPr>
          <w:b/>
          <w:sz w:val="24"/>
          <w:szCs w:val="28"/>
          <w:highlight w:val="none"/>
        </w:rPr>
        <w:t>.2.</w:t>
      </w:r>
      <w:r>
        <w:rPr>
          <w:rFonts w:hint="eastAsia"/>
          <w:b/>
          <w:sz w:val="24"/>
          <w:szCs w:val="28"/>
          <w:highlight w:val="none"/>
        </w:rPr>
        <w:t>6</w:t>
      </w:r>
      <w:r>
        <w:rPr>
          <w:b/>
          <w:sz w:val="24"/>
          <w:szCs w:val="28"/>
          <w:highlight w:val="none"/>
        </w:rPr>
        <w:t xml:space="preserve"> </w:t>
      </w:r>
      <w:r>
        <w:rPr>
          <w:sz w:val="24"/>
          <w:szCs w:val="28"/>
          <w:highlight w:val="none"/>
        </w:rPr>
        <w:t xml:space="preserve"> 宜在施工现场加固构件旁采用相同材料和施工工艺制作施工样板。</w:t>
      </w:r>
    </w:p>
    <w:p>
      <w:pPr>
        <w:spacing w:line="312" w:lineRule="auto"/>
        <w:rPr>
          <w:rFonts w:hint="eastAsia" w:ascii="楷体" w:hAnsi="楷体" w:eastAsia="楷体" w:cs="楷体"/>
          <w:sz w:val="24"/>
          <w:szCs w:val="24"/>
          <w:highlight w:val="none"/>
          <w:u w:val="single"/>
        </w:rPr>
      </w:pPr>
      <w:r>
        <w:rPr>
          <w:rFonts w:hint="eastAsia" w:ascii="楷体" w:hAnsi="楷体" w:eastAsia="楷体" w:cs="楷体"/>
          <w:b w:val="0"/>
          <w:bCs/>
          <w:sz w:val="24"/>
          <w:szCs w:val="24"/>
          <w:highlight w:val="none"/>
          <w:u w:val="single"/>
        </w:rPr>
        <w:t>【条文说明】</w:t>
      </w:r>
      <w:r>
        <w:rPr>
          <w:rFonts w:hint="eastAsia" w:ascii="楷体" w:hAnsi="楷体" w:eastAsia="楷体" w:cs="楷体"/>
          <w:sz w:val="24"/>
          <w:szCs w:val="24"/>
          <w:highlight w:val="none"/>
          <w:u w:val="single"/>
        </w:rPr>
        <w:t>为了确保不同的施工人员对高延性混凝土加固砌体结构技术施工操作认知的一致性，保证不同人员施工操作规范准确，宜在现场大面积施工之前制作施工样板，便于参照、比对和技术交底。</w:t>
      </w:r>
    </w:p>
    <w:bookmarkEnd w:id="1288"/>
    <w:bookmarkEnd w:id="1289"/>
    <w:bookmarkEnd w:id="1290"/>
    <w:bookmarkEnd w:id="1291"/>
    <w:bookmarkEnd w:id="1292"/>
    <w:bookmarkEnd w:id="1293"/>
    <w:p>
      <w:pPr>
        <w:spacing w:line="360" w:lineRule="auto"/>
        <w:jc w:val="center"/>
        <w:outlineLvl w:val="1"/>
        <w:rPr>
          <w:rFonts w:eastAsia="黑体"/>
          <w:sz w:val="24"/>
          <w:szCs w:val="28"/>
          <w:highlight w:val="none"/>
        </w:rPr>
      </w:pPr>
      <w:bookmarkStart w:id="1302" w:name="_Toc5613"/>
      <w:bookmarkStart w:id="1303" w:name="_Toc31981910"/>
      <w:bookmarkStart w:id="1304" w:name="_Toc14919"/>
      <w:bookmarkStart w:id="1305" w:name="_Toc3227"/>
      <w:bookmarkStart w:id="1306" w:name="_Toc46170076"/>
      <w:bookmarkStart w:id="1307" w:name="_Toc11830"/>
      <w:bookmarkStart w:id="1308" w:name="_Toc2247"/>
      <w:bookmarkStart w:id="1309" w:name="_Toc32220303"/>
      <w:bookmarkStart w:id="1310" w:name="_Toc46170077"/>
      <w:bookmarkStart w:id="1311" w:name="_Toc32220304"/>
      <w:r>
        <w:rPr>
          <w:rFonts w:hint="eastAsia" w:eastAsia="黑体"/>
          <w:b/>
          <w:bCs/>
          <w:sz w:val="24"/>
          <w:szCs w:val="28"/>
          <w:highlight w:val="none"/>
        </w:rPr>
        <w:t>6</w:t>
      </w:r>
      <w:r>
        <w:rPr>
          <w:rFonts w:eastAsia="黑体"/>
          <w:b/>
          <w:bCs/>
          <w:sz w:val="24"/>
          <w:szCs w:val="28"/>
          <w:highlight w:val="none"/>
        </w:rPr>
        <w:t>.3</w:t>
      </w:r>
      <w:r>
        <w:rPr>
          <w:rFonts w:eastAsia="黑体"/>
          <w:sz w:val="24"/>
          <w:szCs w:val="28"/>
          <w:highlight w:val="none"/>
        </w:rPr>
        <w:t xml:space="preserve">  过程控制</w:t>
      </w:r>
      <w:bookmarkEnd w:id="1302"/>
      <w:bookmarkEnd w:id="1303"/>
      <w:bookmarkEnd w:id="1304"/>
      <w:bookmarkEnd w:id="1305"/>
      <w:bookmarkEnd w:id="1306"/>
      <w:bookmarkEnd w:id="1307"/>
      <w:bookmarkEnd w:id="1308"/>
      <w:bookmarkEnd w:id="1309"/>
    </w:p>
    <w:p>
      <w:pPr>
        <w:spacing w:line="312" w:lineRule="auto"/>
        <w:jc w:val="left"/>
        <w:rPr>
          <w:sz w:val="24"/>
          <w:szCs w:val="28"/>
          <w:highlight w:val="none"/>
        </w:rPr>
      </w:pPr>
      <w:bookmarkStart w:id="1312" w:name="_Toc31485"/>
      <w:bookmarkStart w:id="1313" w:name="_Toc7116"/>
      <w:r>
        <w:rPr>
          <w:rFonts w:hint="eastAsia"/>
          <w:b/>
          <w:sz w:val="24"/>
          <w:szCs w:val="28"/>
          <w:highlight w:val="none"/>
        </w:rPr>
        <w:t>6</w:t>
      </w:r>
      <w:r>
        <w:rPr>
          <w:b/>
          <w:sz w:val="24"/>
          <w:szCs w:val="28"/>
          <w:highlight w:val="none"/>
        </w:rPr>
        <w:t>.</w:t>
      </w:r>
      <w:r>
        <w:rPr>
          <w:rFonts w:hint="eastAsia"/>
          <w:b/>
          <w:sz w:val="24"/>
          <w:szCs w:val="28"/>
          <w:highlight w:val="none"/>
        </w:rPr>
        <w:t>3.1</w:t>
      </w:r>
      <w:r>
        <w:rPr>
          <w:sz w:val="24"/>
          <w:szCs w:val="28"/>
          <w:highlight w:val="none"/>
        </w:rPr>
        <w:t xml:space="preserve">  原砌体构件表面碱蚀严重时，应先清除松散部分并用高延性混凝土修补，已松动的勾缝砂浆应剔除。在清理、修整原结构、构件过程中发现的裂缝和损伤，应逐个予以修补，当修补有困难时，应进行局部拆砌或置换。</w:t>
      </w:r>
    </w:p>
    <w:p>
      <w:pPr>
        <w:pStyle w:val="2"/>
        <w:keepNext w:val="0"/>
        <w:keepLines w:val="0"/>
        <w:pageBreakBefore w:val="0"/>
        <w:widowControl w:val="0"/>
        <w:kinsoku/>
        <w:wordWrap/>
        <w:overflowPunct/>
        <w:topLinePunct w:val="0"/>
        <w:autoSpaceDE/>
        <w:autoSpaceDN/>
        <w:bidi w:val="0"/>
        <w:adjustRightInd/>
        <w:snapToGrid/>
        <w:spacing w:after="0" w:line="312" w:lineRule="auto"/>
        <w:textAlignment w:val="auto"/>
        <w:rPr>
          <w:rFonts w:hint="eastAsia" w:ascii="楷体" w:hAnsi="楷体" w:eastAsia="楷体" w:cs="楷体"/>
          <w:kern w:val="2"/>
          <w:sz w:val="24"/>
          <w:szCs w:val="24"/>
          <w:highlight w:val="none"/>
          <w:u w:val="single"/>
          <w:lang w:val="en-US" w:eastAsia="zh-CN" w:bidi="ar-SA"/>
        </w:rPr>
      </w:pPr>
      <w:r>
        <w:rPr>
          <w:rFonts w:hint="eastAsia" w:ascii="楷体" w:hAnsi="楷体" w:eastAsia="楷体" w:cs="楷体"/>
          <w:b w:val="0"/>
          <w:bCs/>
          <w:sz w:val="24"/>
          <w:szCs w:val="24"/>
          <w:highlight w:val="none"/>
          <w:u w:val="single"/>
        </w:rPr>
        <w:t>【条文说明】</w:t>
      </w:r>
      <w:r>
        <w:rPr>
          <w:rFonts w:hint="eastAsia" w:ascii="楷体" w:hAnsi="楷体" w:eastAsia="楷体" w:cs="楷体"/>
          <w:kern w:val="2"/>
          <w:sz w:val="24"/>
          <w:szCs w:val="24"/>
          <w:highlight w:val="none"/>
          <w:u w:val="single"/>
          <w:lang w:val="en-US" w:eastAsia="zh-CN" w:bidi="ar-SA"/>
        </w:rPr>
        <w:t>高延性混凝土加固技术，主要是利用高延性混凝土的性能优势以及加固面层与原构件之间良好的协同工作能力来提高结构构件的整体性和承载能力，因此在施工过程中应注意加固面的清理要干净，保证高延性混凝土与原构件之间的共同工作性能。</w:t>
      </w:r>
    </w:p>
    <w:p>
      <w:pPr>
        <w:spacing w:line="312" w:lineRule="auto"/>
        <w:rPr>
          <w:sz w:val="24"/>
          <w:szCs w:val="28"/>
          <w:highlight w:val="none"/>
        </w:rPr>
      </w:pPr>
      <w:r>
        <w:rPr>
          <w:rFonts w:hint="eastAsia"/>
          <w:b/>
          <w:sz w:val="24"/>
          <w:szCs w:val="28"/>
          <w:highlight w:val="none"/>
        </w:rPr>
        <w:t>6</w:t>
      </w:r>
      <w:r>
        <w:rPr>
          <w:b/>
          <w:sz w:val="24"/>
          <w:szCs w:val="28"/>
          <w:highlight w:val="none"/>
        </w:rPr>
        <w:t>.</w:t>
      </w:r>
      <w:r>
        <w:rPr>
          <w:rFonts w:hint="eastAsia"/>
          <w:b/>
          <w:sz w:val="24"/>
          <w:szCs w:val="28"/>
          <w:highlight w:val="none"/>
        </w:rPr>
        <w:t>3.2</w:t>
      </w:r>
      <w:r>
        <w:rPr>
          <w:sz w:val="24"/>
          <w:szCs w:val="28"/>
          <w:highlight w:val="none"/>
        </w:rPr>
        <w:t xml:space="preserve">  当设计需要增设钢筋、拉结</w:t>
      </w:r>
      <w:r>
        <w:rPr>
          <w:rFonts w:hint="eastAsia"/>
          <w:sz w:val="24"/>
          <w:szCs w:val="28"/>
          <w:highlight w:val="none"/>
        </w:rPr>
        <w:t>筋</w:t>
      </w:r>
      <w:r>
        <w:rPr>
          <w:sz w:val="24"/>
          <w:szCs w:val="28"/>
          <w:highlight w:val="none"/>
        </w:rPr>
        <w:t>时，其制作和安装应符合现行国家标准《建筑结构加固工程施工质量验收规范》GB 50550对钢筋网安装工程的有关规定。</w:t>
      </w:r>
    </w:p>
    <w:p>
      <w:pPr>
        <w:spacing w:line="312" w:lineRule="auto"/>
        <w:rPr>
          <w:sz w:val="24"/>
          <w:szCs w:val="28"/>
          <w:highlight w:val="none"/>
        </w:rPr>
      </w:pPr>
      <w:r>
        <w:rPr>
          <w:rFonts w:hint="eastAsia"/>
          <w:b/>
          <w:sz w:val="24"/>
          <w:szCs w:val="28"/>
          <w:highlight w:val="none"/>
        </w:rPr>
        <w:t>6</w:t>
      </w:r>
      <w:r>
        <w:rPr>
          <w:b/>
          <w:sz w:val="24"/>
          <w:szCs w:val="28"/>
          <w:highlight w:val="none"/>
        </w:rPr>
        <w:t>.</w:t>
      </w:r>
      <w:r>
        <w:rPr>
          <w:rFonts w:hint="eastAsia"/>
          <w:b/>
          <w:sz w:val="24"/>
          <w:szCs w:val="28"/>
          <w:highlight w:val="none"/>
        </w:rPr>
        <w:t>3.3</w:t>
      </w:r>
      <w:r>
        <w:rPr>
          <w:sz w:val="24"/>
          <w:szCs w:val="28"/>
          <w:highlight w:val="none"/>
        </w:rPr>
        <w:t xml:space="preserve">  高延性混凝土应在工厂采用干混料预拌方式制备，在施工现场</w:t>
      </w:r>
      <w:r>
        <w:rPr>
          <w:rFonts w:hint="eastAsia"/>
          <w:sz w:val="24"/>
          <w:szCs w:val="28"/>
          <w:highlight w:val="none"/>
        </w:rPr>
        <w:t>严格</w:t>
      </w:r>
      <w:r>
        <w:rPr>
          <w:sz w:val="24"/>
          <w:szCs w:val="28"/>
          <w:highlight w:val="none"/>
        </w:rPr>
        <w:t>按产品使用说明书</w:t>
      </w:r>
      <w:r>
        <w:rPr>
          <w:rFonts w:hint="eastAsia"/>
          <w:sz w:val="24"/>
          <w:szCs w:val="28"/>
          <w:highlight w:val="none"/>
        </w:rPr>
        <w:t>要求的配合比</w:t>
      </w:r>
      <w:r>
        <w:rPr>
          <w:sz w:val="24"/>
          <w:szCs w:val="28"/>
          <w:highlight w:val="none"/>
        </w:rPr>
        <w:t>加水搅拌而成，应采用强制式搅拌机搅拌，搅拌机转速不宜小于45r/min，宜按以下顺序进行搅拌：先加水，在搅拌过程中加入</w:t>
      </w:r>
      <w:r>
        <w:rPr>
          <w:rFonts w:hint="eastAsia"/>
          <w:sz w:val="24"/>
          <w:szCs w:val="28"/>
          <w:highlight w:val="none"/>
        </w:rPr>
        <w:t>成品</w:t>
      </w:r>
      <w:r>
        <w:rPr>
          <w:sz w:val="24"/>
          <w:szCs w:val="28"/>
          <w:highlight w:val="none"/>
        </w:rPr>
        <w:t>干混料并搅拌均匀后加入纤维，</w:t>
      </w:r>
      <w:r>
        <w:rPr>
          <w:rFonts w:hint="eastAsia"/>
          <w:sz w:val="24"/>
          <w:szCs w:val="28"/>
          <w:highlight w:val="none"/>
        </w:rPr>
        <w:t>继续搅拌，至</w:t>
      </w:r>
      <w:r>
        <w:rPr>
          <w:sz w:val="24"/>
          <w:szCs w:val="28"/>
          <w:highlight w:val="none"/>
        </w:rPr>
        <w:t>纤维分散均匀、手摸无聚团后停止搅拌。</w:t>
      </w:r>
      <w:r>
        <w:rPr>
          <w:rFonts w:hint="eastAsia"/>
          <w:sz w:val="24"/>
          <w:szCs w:val="28"/>
          <w:highlight w:val="none"/>
        </w:rPr>
        <w:t>搅拌完成的拌合物，宜在40min之内且拌合物初凝前完成使用。</w:t>
      </w:r>
    </w:p>
    <w:p>
      <w:pPr>
        <w:pStyle w:val="2"/>
        <w:keepNext w:val="0"/>
        <w:keepLines w:val="0"/>
        <w:pageBreakBefore w:val="0"/>
        <w:widowControl w:val="0"/>
        <w:kinsoku/>
        <w:wordWrap/>
        <w:overflowPunct/>
        <w:topLinePunct w:val="0"/>
        <w:autoSpaceDE/>
        <w:autoSpaceDN/>
        <w:bidi w:val="0"/>
        <w:adjustRightInd/>
        <w:snapToGrid/>
        <w:spacing w:after="0" w:line="312" w:lineRule="auto"/>
        <w:textAlignment w:val="auto"/>
        <w:rPr>
          <w:rFonts w:hint="eastAsia" w:ascii="楷体" w:hAnsi="楷体" w:eastAsia="楷体" w:cs="楷体"/>
          <w:kern w:val="2"/>
          <w:sz w:val="24"/>
          <w:szCs w:val="24"/>
          <w:highlight w:val="none"/>
          <w:u w:val="single"/>
          <w:lang w:val="en-US" w:eastAsia="zh-CN" w:bidi="ar-SA"/>
        </w:rPr>
      </w:pPr>
      <w:r>
        <w:rPr>
          <w:rFonts w:hint="eastAsia" w:ascii="楷体" w:hAnsi="楷体" w:eastAsia="楷体" w:cs="楷体"/>
          <w:b w:val="0"/>
          <w:bCs/>
          <w:sz w:val="24"/>
          <w:szCs w:val="24"/>
          <w:highlight w:val="none"/>
          <w:u w:val="single"/>
        </w:rPr>
        <w:t>【条文说明】</w:t>
      </w:r>
      <w:r>
        <w:rPr>
          <w:rFonts w:hint="eastAsia" w:ascii="楷体" w:hAnsi="楷体" w:eastAsia="楷体" w:cs="楷体"/>
          <w:kern w:val="2"/>
          <w:sz w:val="24"/>
          <w:szCs w:val="24"/>
          <w:highlight w:val="none"/>
          <w:u w:val="single"/>
          <w:lang w:val="en-US" w:eastAsia="zh-CN" w:bidi="ar-SA"/>
        </w:rPr>
        <w:t>为了保证纤维均匀分散在高延性混凝土基体中，宜采用纤维后掺法，将不含纤维的干混料加水搅拌均匀以后，再加入纤维搅拌，使纤维完全分散均匀无结块。为保证纤维分散均匀，要采用强制式搅拌机进行搅拌。</w:t>
      </w:r>
    </w:p>
    <w:p>
      <w:pPr>
        <w:spacing w:line="312" w:lineRule="auto"/>
        <w:rPr>
          <w:sz w:val="24"/>
          <w:szCs w:val="28"/>
          <w:highlight w:val="none"/>
        </w:rPr>
      </w:pPr>
      <w:r>
        <w:rPr>
          <w:rFonts w:hint="eastAsia"/>
          <w:b/>
          <w:bCs/>
          <w:sz w:val="24"/>
          <w:szCs w:val="28"/>
          <w:highlight w:val="none"/>
        </w:rPr>
        <w:t>6</w:t>
      </w:r>
      <w:r>
        <w:rPr>
          <w:b/>
          <w:bCs/>
          <w:sz w:val="24"/>
          <w:szCs w:val="28"/>
          <w:highlight w:val="none"/>
        </w:rPr>
        <w:t>.</w:t>
      </w:r>
      <w:r>
        <w:rPr>
          <w:rFonts w:hint="eastAsia"/>
          <w:b/>
          <w:bCs/>
          <w:sz w:val="24"/>
          <w:szCs w:val="28"/>
          <w:highlight w:val="none"/>
        </w:rPr>
        <w:t>3.4</w:t>
      </w:r>
      <w:r>
        <w:rPr>
          <w:sz w:val="24"/>
          <w:szCs w:val="28"/>
          <w:highlight w:val="none"/>
        </w:rPr>
        <w:t xml:space="preserve">  高延性混凝土拌合物应具有良好的和易性，且不</w:t>
      </w:r>
      <w:r>
        <w:rPr>
          <w:rFonts w:hint="eastAsia"/>
          <w:sz w:val="24"/>
          <w:szCs w:val="28"/>
          <w:highlight w:val="none"/>
          <w:lang w:val="en-US" w:eastAsia="zh-CN"/>
        </w:rPr>
        <w:t>应</w:t>
      </w:r>
      <w:r>
        <w:rPr>
          <w:sz w:val="24"/>
          <w:szCs w:val="28"/>
          <w:highlight w:val="none"/>
        </w:rPr>
        <w:t>离析</w:t>
      </w:r>
      <w:r>
        <w:rPr>
          <w:rFonts w:hint="eastAsia"/>
          <w:sz w:val="24"/>
          <w:szCs w:val="28"/>
          <w:highlight w:val="none"/>
        </w:rPr>
        <w:t>和</w:t>
      </w:r>
      <w:r>
        <w:rPr>
          <w:sz w:val="24"/>
          <w:szCs w:val="28"/>
          <w:highlight w:val="none"/>
        </w:rPr>
        <w:t>泌水，纤维分散均匀</w:t>
      </w:r>
      <w:r>
        <w:rPr>
          <w:rFonts w:hint="eastAsia"/>
          <w:sz w:val="24"/>
          <w:szCs w:val="28"/>
          <w:highlight w:val="none"/>
        </w:rPr>
        <w:t>、</w:t>
      </w:r>
      <w:r>
        <w:rPr>
          <w:sz w:val="24"/>
          <w:szCs w:val="28"/>
          <w:highlight w:val="none"/>
        </w:rPr>
        <w:t>手摸无结团，使用过程中不得受冻，</w:t>
      </w:r>
      <w:r>
        <w:rPr>
          <w:rFonts w:hint="eastAsia"/>
          <w:sz w:val="24"/>
          <w:szCs w:val="28"/>
          <w:highlight w:val="none"/>
        </w:rPr>
        <w:t>且不得随意增加用水量和减少纤维掺量</w:t>
      </w:r>
      <w:r>
        <w:rPr>
          <w:sz w:val="24"/>
          <w:szCs w:val="28"/>
          <w:highlight w:val="none"/>
        </w:rPr>
        <w:t>。</w:t>
      </w:r>
    </w:p>
    <w:p>
      <w:pPr>
        <w:pStyle w:val="2"/>
        <w:keepNext w:val="0"/>
        <w:keepLines w:val="0"/>
        <w:pageBreakBefore w:val="0"/>
        <w:widowControl w:val="0"/>
        <w:kinsoku/>
        <w:wordWrap/>
        <w:overflowPunct/>
        <w:topLinePunct w:val="0"/>
        <w:autoSpaceDE/>
        <w:autoSpaceDN/>
        <w:bidi w:val="0"/>
        <w:adjustRightInd/>
        <w:snapToGrid/>
        <w:spacing w:after="0" w:line="312" w:lineRule="auto"/>
        <w:textAlignment w:val="auto"/>
        <w:rPr>
          <w:rFonts w:hint="eastAsia" w:ascii="楷体" w:hAnsi="楷体" w:eastAsia="楷体" w:cs="楷体"/>
          <w:kern w:val="2"/>
          <w:sz w:val="24"/>
          <w:szCs w:val="24"/>
          <w:highlight w:val="none"/>
          <w:u w:val="single"/>
          <w:lang w:val="en-US" w:eastAsia="zh-CN" w:bidi="ar-SA"/>
        </w:rPr>
      </w:pPr>
      <w:r>
        <w:rPr>
          <w:rFonts w:hint="eastAsia" w:ascii="楷体" w:hAnsi="楷体" w:eastAsia="楷体" w:cs="楷体"/>
          <w:b w:val="0"/>
          <w:bCs/>
          <w:sz w:val="24"/>
          <w:szCs w:val="24"/>
          <w:highlight w:val="none"/>
          <w:u w:val="single"/>
        </w:rPr>
        <w:t>【条文说明】</w:t>
      </w:r>
      <w:r>
        <w:rPr>
          <w:rFonts w:hint="eastAsia" w:ascii="楷体" w:hAnsi="楷体" w:eastAsia="楷体" w:cs="楷体"/>
          <w:kern w:val="2"/>
          <w:sz w:val="24"/>
          <w:szCs w:val="24"/>
          <w:highlight w:val="none"/>
          <w:u w:val="single"/>
          <w:lang w:val="en-US" w:eastAsia="zh-CN" w:bidi="ar-SA"/>
        </w:rPr>
        <w:t>高延性混凝土的配制应注意调配拌合物的和易性，并使其不离析、泌水，还应当注意纤维在基体材料中的分散性，保证纤维不聚团。</w:t>
      </w:r>
    </w:p>
    <w:p>
      <w:pPr>
        <w:spacing w:line="312" w:lineRule="auto"/>
        <w:rPr>
          <w:sz w:val="24"/>
          <w:szCs w:val="28"/>
          <w:highlight w:val="none"/>
        </w:rPr>
      </w:pPr>
      <w:r>
        <w:rPr>
          <w:rFonts w:hint="eastAsia"/>
          <w:b/>
          <w:sz w:val="24"/>
          <w:szCs w:val="28"/>
          <w:highlight w:val="none"/>
        </w:rPr>
        <w:t>6</w:t>
      </w:r>
      <w:r>
        <w:rPr>
          <w:b/>
          <w:sz w:val="24"/>
          <w:szCs w:val="28"/>
          <w:highlight w:val="none"/>
        </w:rPr>
        <w:t>.</w:t>
      </w:r>
      <w:r>
        <w:rPr>
          <w:rFonts w:hint="eastAsia"/>
          <w:b/>
          <w:sz w:val="24"/>
          <w:szCs w:val="28"/>
          <w:highlight w:val="none"/>
        </w:rPr>
        <w:t>3.5</w:t>
      </w:r>
      <w:r>
        <w:rPr>
          <w:b/>
          <w:sz w:val="24"/>
          <w:szCs w:val="28"/>
          <w:highlight w:val="none"/>
        </w:rPr>
        <w:t xml:space="preserve">  </w:t>
      </w:r>
      <w:r>
        <w:rPr>
          <w:sz w:val="24"/>
          <w:szCs w:val="28"/>
          <w:highlight w:val="none"/>
        </w:rPr>
        <w:t>用于结构加固的高延性混凝土，其拌合物稠度</w:t>
      </w:r>
      <w:r>
        <w:rPr>
          <w:rFonts w:hint="eastAsia"/>
          <w:sz w:val="24"/>
          <w:szCs w:val="28"/>
          <w:highlight w:val="none"/>
        </w:rPr>
        <w:t>应符合本标准第4.2.2条的规定</w:t>
      </w:r>
      <w:r>
        <w:rPr>
          <w:sz w:val="24"/>
          <w:szCs w:val="28"/>
          <w:highlight w:val="none"/>
        </w:rPr>
        <w:t>。</w:t>
      </w:r>
    </w:p>
    <w:p>
      <w:pPr>
        <w:spacing w:line="312" w:lineRule="auto"/>
        <w:rPr>
          <w:sz w:val="24"/>
          <w:szCs w:val="28"/>
          <w:highlight w:val="none"/>
        </w:rPr>
      </w:pPr>
      <w:r>
        <w:rPr>
          <w:rFonts w:hint="eastAsia"/>
          <w:b/>
          <w:sz w:val="24"/>
          <w:szCs w:val="28"/>
          <w:highlight w:val="none"/>
        </w:rPr>
        <w:t>6</w:t>
      </w:r>
      <w:r>
        <w:rPr>
          <w:b/>
          <w:sz w:val="24"/>
          <w:szCs w:val="28"/>
          <w:highlight w:val="none"/>
        </w:rPr>
        <w:t>.</w:t>
      </w:r>
      <w:r>
        <w:rPr>
          <w:rFonts w:hint="eastAsia"/>
          <w:b/>
          <w:sz w:val="24"/>
          <w:szCs w:val="28"/>
          <w:highlight w:val="none"/>
        </w:rPr>
        <w:t>3.6</w:t>
      </w:r>
      <w:r>
        <w:rPr>
          <w:sz w:val="24"/>
          <w:szCs w:val="28"/>
          <w:highlight w:val="none"/>
        </w:rPr>
        <w:t xml:space="preserve">  构件拐角处及加腋部位的高延性混凝土应连续施工，面层厚度较大时，可分层压抹或喷射施工，单次压抹厚度不宜超过15mm，单次喷射厚度不宜超过20mm，且应在</w:t>
      </w:r>
      <w:r>
        <w:rPr>
          <w:rFonts w:hint="eastAsia"/>
          <w:sz w:val="24"/>
          <w:szCs w:val="28"/>
          <w:highlight w:val="none"/>
        </w:rPr>
        <w:t>高延性混凝土初凝前进行后</w:t>
      </w:r>
      <w:r>
        <w:rPr>
          <w:sz w:val="24"/>
          <w:szCs w:val="28"/>
          <w:highlight w:val="none"/>
        </w:rPr>
        <w:t>一层高延性混凝土压抹或喷射施工。</w:t>
      </w:r>
    </w:p>
    <w:p>
      <w:pPr>
        <w:spacing w:line="312" w:lineRule="auto"/>
        <w:rPr>
          <w:sz w:val="24"/>
          <w:szCs w:val="28"/>
          <w:highlight w:val="none"/>
        </w:rPr>
      </w:pPr>
      <w:r>
        <w:rPr>
          <w:rFonts w:hint="eastAsia"/>
          <w:b/>
          <w:sz w:val="24"/>
          <w:szCs w:val="28"/>
          <w:highlight w:val="none"/>
        </w:rPr>
        <w:t>6</w:t>
      </w:r>
      <w:r>
        <w:rPr>
          <w:b/>
          <w:sz w:val="24"/>
          <w:szCs w:val="28"/>
          <w:highlight w:val="none"/>
        </w:rPr>
        <w:t>.</w:t>
      </w:r>
      <w:r>
        <w:rPr>
          <w:rFonts w:hint="eastAsia"/>
          <w:b/>
          <w:sz w:val="24"/>
          <w:szCs w:val="28"/>
          <w:highlight w:val="none"/>
        </w:rPr>
        <w:t>3.7</w:t>
      </w:r>
      <w:r>
        <w:rPr>
          <w:sz w:val="24"/>
          <w:szCs w:val="28"/>
          <w:highlight w:val="none"/>
        </w:rPr>
        <w:t xml:space="preserve">  高延性混凝土面层或配筋高延性混凝土面层施工完成后，应在高延性混凝土终凝后及时对其进行保湿养护，养护时间不应少于7d。日平均气温低于10℃时，养护时间不宜少于14d。</w:t>
      </w:r>
    </w:p>
    <w:p>
      <w:pPr>
        <w:spacing w:line="360" w:lineRule="auto"/>
        <w:jc w:val="center"/>
        <w:outlineLvl w:val="1"/>
        <w:rPr>
          <w:rFonts w:eastAsia="黑体"/>
          <w:sz w:val="24"/>
          <w:szCs w:val="28"/>
          <w:highlight w:val="none"/>
        </w:rPr>
      </w:pPr>
      <w:bookmarkStart w:id="1314" w:name="_Toc11853"/>
      <w:bookmarkStart w:id="1315" w:name="_Toc6338"/>
      <w:bookmarkStart w:id="1316" w:name="_Toc11980"/>
      <w:r>
        <w:rPr>
          <w:rFonts w:hint="eastAsia" w:eastAsia="黑体"/>
          <w:b/>
          <w:bCs/>
          <w:sz w:val="24"/>
          <w:szCs w:val="28"/>
          <w:highlight w:val="none"/>
        </w:rPr>
        <w:t>6</w:t>
      </w:r>
      <w:r>
        <w:rPr>
          <w:rFonts w:eastAsia="黑体"/>
          <w:b/>
          <w:bCs/>
          <w:sz w:val="24"/>
          <w:szCs w:val="28"/>
          <w:highlight w:val="none"/>
        </w:rPr>
        <w:t>.</w:t>
      </w:r>
      <w:r>
        <w:rPr>
          <w:rFonts w:hint="eastAsia" w:eastAsia="黑体"/>
          <w:b/>
          <w:bCs/>
          <w:sz w:val="24"/>
          <w:szCs w:val="28"/>
          <w:highlight w:val="none"/>
        </w:rPr>
        <w:t>4</w:t>
      </w:r>
      <w:r>
        <w:rPr>
          <w:rFonts w:eastAsia="黑体"/>
          <w:sz w:val="24"/>
          <w:szCs w:val="28"/>
          <w:highlight w:val="none"/>
        </w:rPr>
        <w:t xml:space="preserve">  季节性施工</w:t>
      </w:r>
      <w:bookmarkEnd w:id="1310"/>
      <w:bookmarkEnd w:id="1311"/>
      <w:bookmarkEnd w:id="1312"/>
      <w:bookmarkEnd w:id="1313"/>
      <w:bookmarkEnd w:id="1314"/>
      <w:bookmarkEnd w:id="1315"/>
      <w:bookmarkEnd w:id="1316"/>
    </w:p>
    <w:p>
      <w:pPr>
        <w:spacing w:line="312" w:lineRule="auto"/>
        <w:rPr>
          <w:sz w:val="24"/>
          <w:szCs w:val="28"/>
          <w:highlight w:val="none"/>
        </w:rPr>
      </w:pPr>
      <w:r>
        <w:rPr>
          <w:rFonts w:hint="eastAsia"/>
          <w:b/>
          <w:sz w:val="24"/>
          <w:szCs w:val="28"/>
          <w:highlight w:val="none"/>
        </w:rPr>
        <w:t>6</w:t>
      </w:r>
      <w:r>
        <w:rPr>
          <w:b/>
          <w:sz w:val="24"/>
          <w:szCs w:val="28"/>
          <w:highlight w:val="none"/>
        </w:rPr>
        <w:t>.</w:t>
      </w:r>
      <w:r>
        <w:rPr>
          <w:rFonts w:hint="eastAsia"/>
          <w:b/>
          <w:sz w:val="24"/>
          <w:szCs w:val="28"/>
          <w:highlight w:val="none"/>
        </w:rPr>
        <w:t>4</w:t>
      </w:r>
      <w:r>
        <w:rPr>
          <w:b/>
          <w:sz w:val="24"/>
          <w:szCs w:val="28"/>
          <w:highlight w:val="none"/>
        </w:rPr>
        <w:t>.1</w:t>
      </w:r>
      <w:r>
        <w:rPr>
          <w:sz w:val="24"/>
          <w:szCs w:val="28"/>
          <w:highlight w:val="none"/>
        </w:rPr>
        <w:t xml:space="preserve">  </w:t>
      </w:r>
      <w:r>
        <w:rPr>
          <w:rFonts w:hint="eastAsia"/>
          <w:sz w:val="24"/>
          <w:szCs w:val="28"/>
          <w:highlight w:val="none"/>
        </w:rPr>
        <w:t>高延性混凝土</w:t>
      </w:r>
      <w:r>
        <w:rPr>
          <w:sz w:val="24"/>
          <w:szCs w:val="28"/>
          <w:highlight w:val="none"/>
        </w:rPr>
        <w:t>施工时环境温度不宜低于5℃。</w:t>
      </w:r>
    </w:p>
    <w:p>
      <w:pPr>
        <w:spacing w:line="312" w:lineRule="auto"/>
        <w:rPr>
          <w:sz w:val="24"/>
          <w:szCs w:val="28"/>
          <w:highlight w:val="none"/>
        </w:rPr>
      </w:pPr>
      <w:r>
        <w:rPr>
          <w:rFonts w:hint="eastAsia"/>
          <w:b/>
          <w:sz w:val="24"/>
          <w:szCs w:val="28"/>
          <w:highlight w:val="none"/>
        </w:rPr>
        <w:t>6</w:t>
      </w:r>
      <w:r>
        <w:rPr>
          <w:b/>
          <w:sz w:val="24"/>
          <w:szCs w:val="28"/>
          <w:highlight w:val="none"/>
        </w:rPr>
        <w:t>.</w:t>
      </w:r>
      <w:r>
        <w:rPr>
          <w:rFonts w:hint="eastAsia"/>
          <w:b/>
          <w:sz w:val="24"/>
          <w:szCs w:val="28"/>
          <w:highlight w:val="none"/>
        </w:rPr>
        <w:t>4</w:t>
      </w:r>
      <w:r>
        <w:rPr>
          <w:b/>
          <w:sz w:val="24"/>
          <w:szCs w:val="28"/>
          <w:highlight w:val="none"/>
        </w:rPr>
        <w:t>.2</w:t>
      </w:r>
      <w:r>
        <w:rPr>
          <w:sz w:val="24"/>
          <w:szCs w:val="28"/>
          <w:highlight w:val="none"/>
        </w:rPr>
        <w:t xml:space="preserve">  冬期施工应符合现行行业标准《建筑工程冬期施工规程》JGJ/T 104的有关规定。冬期施工应制定有针对性的施工方案，并对相关人员进行施工培训。</w:t>
      </w:r>
    </w:p>
    <w:p>
      <w:pPr>
        <w:spacing w:line="312" w:lineRule="auto"/>
        <w:rPr>
          <w:sz w:val="24"/>
          <w:szCs w:val="28"/>
          <w:highlight w:val="none"/>
        </w:rPr>
      </w:pPr>
      <w:r>
        <w:rPr>
          <w:rFonts w:hint="eastAsia"/>
          <w:b/>
          <w:sz w:val="24"/>
          <w:szCs w:val="28"/>
          <w:highlight w:val="none"/>
        </w:rPr>
        <w:t>6</w:t>
      </w:r>
      <w:r>
        <w:rPr>
          <w:b/>
          <w:sz w:val="24"/>
          <w:szCs w:val="28"/>
          <w:highlight w:val="none"/>
        </w:rPr>
        <w:t>.</w:t>
      </w:r>
      <w:r>
        <w:rPr>
          <w:rFonts w:hint="eastAsia"/>
          <w:b/>
          <w:sz w:val="24"/>
          <w:szCs w:val="28"/>
          <w:highlight w:val="none"/>
        </w:rPr>
        <w:t>4</w:t>
      </w:r>
      <w:r>
        <w:rPr>
          <w:b/>
          <w:sz w:val="24"/>
          <w:szCs w:val="28"/>
          <w:highlight w:val="none"/>
        </w:rPr>
        <w:t>.</w:t>
      </w:r>
      <w:r>
        <w:rPr>
          <w:rFonts w:hint="eastAsia"/>
          <w:b/>
          <w:sz w:val="24"/>
          <w:szCs w:val="28"/>
          <w:highlight w:val="none"/>
        </w:rPr>
        <w:t>3</w:t>
      </w:r>
      <w:r>
        <w:rPr>
          <w:sz w:val="24"/>
          <w:szCs w:val="28"/>
          <w:highlight w:val="none"/>
        </w:rPr>
        <w:t xml:space="preserve">  </w:t>
      </w:r>
      <w:r>
        <w:rPr>
          <w:rFonts w:hint="eastAsia"/>
          <w:sz w:val="24"/>
          <w:szCs w:val="28"/>
          <w:highlight w:val="none"/>
        </w:rPr>
        <w:t>高延性混凝土</w:t>
      </w:r>
      <w:r>
        <w:rPr>
          <w:sz w:val="24"/>
          <w:szCs w:val="28"/>
          <w:highlight w:val="none"/>
        </w:rPr>
        <w:t>冬期施工时，应适当缩短</w:t>
      </w:r>
      <w:r>
        <w:rPr>
          <w:rFonts w:hint="eastAsia"/>
          <w:sz w:val="24"/>
          <w:szCs w:val="28"/>
          <w:highlight w:val="none"/>
        </w:rPr>
        <w:t>高延性混凝土</w:t>
      </w:r>
      <w:r>
        <w:rPr>
          <w:sz w:val="24"/>
          <w:szCs w:val="28"/>
          <w:highlight w:val="none"/>
        </w:rPr>
        <w:t>凝结时间，但应经试配确定。</w:t>
      </w:r>
      <w:r>
        <w:rPr>
          <w:rFonts w:hint="eastAsia"/>
          <w:sz w:val="24"/>
          <w:szCs w:val="28"/>
          <w:highlight w:val="none"/>
        </w:rPr>
        <w:t>高延性混凝土</w:t>
      </w:r>
      <w:r>
        <w:rPr>
          <w:sz w:val="24"/>
          <w:szCs w:val="28"/>
          <w:highlight w:val="none"/>
        </w:rPr>
        <w:t>拌合物的储存容器应采取保温措施。</w:t>
      </w:r>
    </w:p>
    <w:p>
      <w:pPr>
        <w:spacing w:line="312" w:lineRule="auto"/>
        <w:rPr>
          <w:rFonts w:hint="eastAsia" w:ascii="楷体" w:hAnsi="楷体" w:eastAsia="楷体" w:cs="楷体"/>
          <w:sz w:val="24"/>
          <w:szCs w:val="24"/>
          <w:highlight w:val="none"/>
          <w:u w:val="single"/>
          <w:lang w:val="en-US" w:eastAsia="zh-CN"/>
        </w:rPr>
      </w:pPr>
      <w:r>
        <w:rPr>
          <w:rFonts w:hint="eastAsia" w:ascii="楷体" w:hAnsi="楷体" w:eastAsia="楷体" w:cs="楷体"/>
          <w:b w:val="0"/>
          <w:bCs/>
          <w:sz w:val="24"/>
          <w:szCs w:val="24"/>
          <w:highlight w:val="none"/>
          <w:u w:val="single"/>
        </w:rPr>
        <w:t>【条文说明】</w:t>
      </w:r>
      <w:r>
        <w:rPr>
          <w:rFonts w:hint="eastAsia" w:ascii="楷体" w:hAnsi="楷体" w:eastAsia="楷体" w:cs="楷体"/>
          <w:sz w:val="24"/>
          <w:szCs w:val="24"/>
          <w:highlight w:val="none"/>
          <w:u w:val="single"/>
          <w:lang w:val="en-US" w:eastAsia="zh-CN"/>
        </w:rPr>
        <w:t>6.4.1、6.4.2、6.4.3  《建筑工程冬期施工规程》中关于冬期施工期限划分原则是：根据当地多年气象资料统计，当室外日平均气温连续5d稳定低于5℃即进入冬期施工，当室外日平均气温连续5d高于5℃即解除冬期施工。但是，当未进入冬期施工期前，突遇寒流侵袭气温骤降至0℃以下时，为防止负温产生受冻，亦应按冬期施工的相关要求对工程采取应急防护措施。</w:t>
      </w:r>
    </w:p>
    <w:p>
      <w:pPr>
        <w:spacing w:line="312" w:lineRule="auto"/>
        <w:rPr>
          <w:sz w:val="24"/>
          <w:szCs w:val="28"/>
          <w:highlight w:val="none"/>
        </w:rPr>
      </w:pPr>
      <w:r>
        <w:rPr>
          <w:rFonts w:hint="eastAsia"/>
          <w:b/>
          <w:sz w:val="24"/>
          <w:szCs w:val="28"/>
          <w:highlight w:val="none"/>
        </w:rPr>
        <w:t>6</w:t>
      </w:r>
      <w:r>
        <w:rPr>
          <w:b/>
          <w:sz w:val="24"/>
          <w:szCs w:val="28"/>
          <w:highlight w:val="none"/>
        </w:rPr>
        <w:t>.</w:t>
      </w:r>
      <w:r>
        <w:rPr>
          <w:rFonts w:hint="eastAsia"/>
          <w:b/>
          <w:sz w:val="24"/>
          <w:szCs w:val="28"/>
          <w:highlight w:val="none"/>
        </w:rPr>
        <w:t>4</w:t>
      </w:r>
      <w:r>
        <w:rPr>
          <w:b/>
          <w:sz w:val="24"/>
          <w:szCs w:val="28"/>
          <w:highlight w:val="none"/>
        </w:rPr>
        <w:t>.</w:t>
      </w:r>
      <w:r>
        <w:rPr>
          <w:rFonts w:hint="eastAsia"/>
          <w:b/>
          <w:sz w:val="24"/>
          <w:szCs w:val="28"/>
          <w:highlight w:val="none"/>
        </w:rPr>
        <w:t>4</w:t>
      </w:r>
      <w:r>
        <w:rPr>
          <w:sz w:val="24"/>
          <w:szCs w:val="28"/>
          <w:highlight w:val="none"/>
        </w:rPr>
        <w:t xml:space="preserve">  雨天不宜进行外墙</w:t>
      </w:r>
      <w:r>
        <w:rPr>
          <w:rFonts w:hint="eastAsia"/>
          <w:sz w:val="24"/>
          <w:szCs w:val="28"/>
          <w:highlight w:val="none"/>
        </w:rPr>
        <w:t>高延性混凝土</w:t>
      </w:r>
      <w:r>
        <w:rPr>
          <w:sz w:val="24"/>
          <w:szCs w:val="28"/>
          <w:highlight w:val="none"/>
        </w:rPr>
        <w:t>施工，如施工时，应采取防雨措施，且</w:t>
      </w:r>
      <w:r>
        <w:rPr>
          <w:rFonts w:hint="eastAsia"/>
          <w:sz w:val="24"/>
          <w:szCs w:val="28"/>
          <w:highlight w:val="none"/>
        </w:rPr>
        <w:t>高延性混凝土</w:t>
      </w:r>
      <w:r>
        <w:rPr>
          <w:sz w:val="24"/>
          <w:szCs w:val="28"/>
          <w:highlight w:val="none"/>
        </w:rPr>
        <w:t>终凝前不应受雨淋。</w:t>
      </w:r>
    </w:p>
    <w:p>
      <w:pPr>
        <w:spacing w:line="312" w:lineRule="auto"/>
        <w:rPr>
          <w:sz w:val="24"/>
          <w:szCs w:val="28"/>
          <w:highlight w:val="none"/>
        </w:rPr>
      </w:pPr>
      <w:r>
        <w:rPr>
          <w:rFonts w:hint="eastAsia"/>
          <w:b/>
          <w:sz w:val="24"/>
          <w:szCs w:val="28"/>
          <w:highlight w:val="none"/>
        </w:rPr>
        <w:t>6</w:t>
      </w:r>
      <w:r>
        <w:rPr>
          <w:b/>
          <w:sz w:val="24"/>
          <w:szCs w:val="28"/>
          <w:highlight w:val="none"/>
        </w:rPr>
        <w:t>.</w:t>
      </w:r>
      <w:r>
        <w:rPr>
          <w:rFonts w:hint="eastAsia"/>
          <w:b/>
          <w:sz w:val="24"/>
          <w:szCs w:val="28"/>
          <w:highlight w:val="none"/>
        </w:rPr>
        <w:t>4</w:t>
      </w:r>
      <w:r>
        <w:rPr>
          <w:b/>
          <w:sz w:val="24"/>
          <w:szCs w:val="28"/>
          <w:highlight w:val="none"/>
        </w:rPr>
        <w:t>.</w:t>
      </w:r>
      <w:r>
        <w:rPr>
          <w:rFonts w:hint="eastAsia"/>
          <w:b/>
          <w:sz w:val="24"/>
          <w:szCs w:val="28"/>
          <w:highlight w:val="none"/>
        </w:rPr>
        <w:t>5</w:t>
      </w:r>
      <w:r>
        <w:rPr>
          <w:sz w:val="24"/>
          <w:szCs w:val="28"/>
          <w:highlight w:val="none"/>
        </w:rPr>
        <w:t xml:space="preserve">  在高温、多风、空气干燥的季节进行室内</w:t>
      </w:r>
      <w:r>
        <w:rPr>
          <w:rFonts w:hint="eastAsia"/>
          <w:sz w:val="24"/>
          <w:szCs w:val="28"/>
          <w:highlight w:val="none"/>
        </w:rPr>
        <w:t>高延性混凝土</w:t>
      </w:r>
      <w:r>
        <w:rPr>
          <w:sz w:val="24"/>
          <w:szCs w:val="28"/>
          <w:highlight w:val="none"/>
        </w:rPr>
        <w:t>施工时，宜对门窗进行封闭。</w:t>
      </w:r>
    </w:p>
    <w:p>
      <w:pPr>
        <w:spacing w:line="312" w:lineRule="auto"/>
        <w:rPr>
          <w:sz w:val="24"/>
          <w:szCs w:val="28"/>
          <w:highlight w:val="none"/>
        </w:rPr>
      </w:pPr>
      <w:r>
        <w:rPr>
          <w:rFonts w:hint="eastAsia"/>
          <w:b/>
          <w:sz w:val="24"/>
          <w:szCs w:val="28"/>
          <w:highlight w:val="none"/>
        </w:rPr>
        <w:t>6</w:t>
      </w:r>
      <w:r>
        <w:rPr>
          <w:b/>
          <w:sz w:val="24"/>
          <w:szCs w:val="28"/>
          <w:highlight w:val="none"/>
        </w:rPr>
        <w:t>.</w:t>
      </w:r>
      <w:r>
        <w:rPr>
          <w:rFonts w:hint="eastAsia"/>
          <w:b/>
          <w:sz w:val="24"/>
          <w:szCs w:val="28"/>
          <w:highlight w:val="none"/>
        </w:rPr>
        <w:t>4</w:t>
      </w:r>
      <w:r>
        <w:rPr>
          <w:b/>
          <w:sz w:val="24"/>
          <w:szCs w:val="28"/>
          <w:highlight w:val="none"/>
        </w:rPr>
        <w:t>.</w:t>
      </w:r>
      <w:r>
        <w:rPr>
          <w:rFonts w:hint="eastAsia"/>
          <w:b/>
          <w:sz w:val="24"/>
          <w:szCs w:val="28"/>
          <w:highlight w:val="none"/>
        </w:rPr>
        <w:t>6</w:t>
      </w:r>
      <w:r>
        <w:rPr>
          <w:sz w:val="24"/>
          <w:szCs w:val="28"/>
          <w:highlight w:val="none"/>
        </w:rPr>
        <w:t xml:space="preserve">  夏季施工时，</w:t>
      </w:r>
      <w:r>
        <w:rPr>
          <w:rFonts w:hint="eastAsia"/>
          <w:sz w:val="24"/>
          <w:szCs w:val="28"/>
          <w:highlight w:val="none"/>
        </w:rPr>
        <w:t>高延性混凝土</w:t>
      </w:r>
      <w:r>
        <w:rPr>
          <w:sz w:val="24"/>
          <w:szCs w:val="28"/>
          <w:highlight w:val="none"/>
        </w:rPr>
        <w:t>应随拌随用，压抹</w:t>
      </w:r>
      <w:r>
        <w:rPr>
          <w:rFonts w:hint="eastAsia"/>
          <w:sz w:val="24"/>
          <w:szCs w:val="28"/>
          <w:highlight w:val="none"/>
        </w:rPr>
        <w:t>高延性混凝土</w:t>
      </w:r>
      <w:r>
        <w:rPr>
          <w:sz w:val="24"/>
          <w:szCs w:val="28"/>
          <w:highlight w:val="none"/>
        </w:rPr>
        <w:t>时应控制好各层压抹的间隔时间。</w:t>
      </w:r>
    </w:p>
    <w:p>
      <w:pPr>
        <w:spacing w:line="312" w:lineRule="auto"/>
        <w:rPr>
          <w:sz w:val="24"/>
          <w:szCs w:val="28"/>
          <w:highlight w:val="none"/>
        </w:rPr>
      </w:pPr>
      <w:r>
        <w:rPr>
          <w:rFonts w:hint="eastAsia"/>
          <w:b/>
          <w:sz w:val="24"/>
          <w:szCs w:val="28"/>
          <w:highlight w:val="none"/>
        </w:rPr>
        <w:t>6</w:t>
      </w:r>
      <w:r>
        <w:rPr>
          <w:b/>
          <w:sz w:val="24"/>
          <w:szCs w:val="28"/>
          <w:highlight w:val="none"/>
        </w:rPr>
        <w:t>.</w:t>
      </w:r>
      <w:r>
        <w:rPr>
          <w:rFonts w:hint="eastAsia"/>
          <w:b/>
          <w:sz w:val="24"/>
          <w:szCs w:val="28"/>
          <w:highlight w:val="none"/>
        </w:rPr>
        <w:t>4</w:t>
      </w:r>
      <w:r>
        <w:rPr>
          <w:b/>
          <w:sz w:val="24"/>
          <w:szCs w:val="28"/>
          <w:highlight w:val="none"/>
        </w:rPr>
        <w:t>.</w:t>
      </w:r>
      <w:r>
        <w:rPr>
          <w:rFonts w:hint="eastAsia"/>
          <w:b/>
          <w:sz w:val="24"/>
          <w:szCs w:val="28"/>
          <w:highlight w:val="none"/>
        </w:rPr>
        <w:t>7</w:t>
      </w:r>
      <w:r>
        <w:rPr>
          <w:sz w:val="24"/>
          <w:szCs w:val="28"/>
          <w:highlight w:val="none"/>
        </w:rPr>
        <w:t xml:space="preserve">  夏季气温高于30℃时，外墙</w:t>
      </w:r>
      <w:r>
        <w:rPr>
          <w:rFonts w:hint="eastAsia"/>
          <w:sz w:val="24"/>
          <w:szCs w:val="28"/>
          <w:highlight w:val="none"/>
        </w:rPr>
        <w:t>高延性混凝土</w:t>
      </w:r>
      <w:r>
        <w:rPr>
          <w:sz w:val="24"/>
          <w:szCs w:val="28"/>
          <w:highlight w:val="none"/>
        </w:rPr>
        <w:t>面层应采取遮阳措施，并应加强</w:t>
      </w:r>
      <w:r>
        <w:rPr>
          <w:rFonts w:hint="eastAsia"/>
          <w:sz w:val="24"/>
          <w:szCs w:val="28"/>
          <w:highlight w:val="none"/>
        </w:rPr>
        <w:t>浇水</w:t>
      </w:r>
      <w:r>
        <w:rPr>
          <w:sz w:val="24"/>
          <w:szCs w:val="28"/>
          <w:highlight w:val="none"/>
        </w:rPr>
        <w:t>养护。</w:t>
      </w:r>
    </w:p>
    <w:p>
      <w:pPr>
        <w:spacing w:line="312" w:lineRule="auto"/>
        <w:jc w:val="center"/>
        <w:rPr>
          <w:sz w:val="21"/>
          <w:szCs w:val="21"/>
          <w:highlight w:val="none"/>
        </w:rPr>
      </w:pPr>
    </w:p>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p>
      <w:pPr>
        <w:spacing w:line="312" w:lineRule="auto"/>
        <w:rPr>
          <w:highlight w:val="none"/>
        </w:rPr>
      </w:pPr>
    </w:p>
    <w:p>
      <w:pPr>
        <w:spacing w:before="72" w:beforeLines="30" w:after="72" w:afterLines="30"/>
        <w:jc w:val="center"/>
        <w:outlineLvl w:val="0"/>
        <w:rPr>
          <w:rFonts w:eastAsia="黑体"/>
          <w:sz w:val="28"/>
          <w:szCs w:val="28"/>
          <w:highlight w:val="none"/>
        </w:rPr>
      </w:pPr>
      <w:r>
        <w:rPr>
          <w:highlight w:val="none"/>
        </w:rPr>
        <w:br w:type="page"/>
      </w:r>
      <w:bookmarkStart w:id="1317" w:name="_Toc28246"/>
      <w:bookmarkStart w:id="1318" w:name="_Toc28513"/>
      <w:bookmarkStart w:id="1319" w:name="_Toc70169838"/>
      <w:bookmarkStart w:id="1320" w:name="_Toc17171"/>
      <w:bookmarkStart w:id="1321" w:name="_Toc67761373"/>
      <w:bookmarkStart w:id="1322" w:name="_Toc67761447"/>
      <w:bookmarkStart w:id="1323" w:name="_Toc54112325"/>
      <w:bookmarkStart w:id="1324" w:name="_Toc66105603"/>
      <w:r>
        <w:rPr>
          <w:rFonts w:hint="eastAsia" w:eastAsia="黑体"/>
          <w:b/>
          <w:sz w:val="28"/>
          <w:szCs w:val="28"/>
          <w:highlight w:val="none"/>
        </w:rPr>
        <w:t>7</w:t>
      </w:r>
      <w:r>
        <w:rPr>
          <w:rFonts w:eastAsia="黑体"/>
          <w:sz w:val="28"/>
          <w:szCs w:val="28"/>
          <w:highlight w:val="none"/>
        </w:rPr>
        <w:t xml:space="preserve">  </w:t>
      </w:r>
      <w:r>
        <w:rPr>
          <w:rFonts w:hint="eastAsia" w:eastAsia="黑体"/>
          <w:sz w:val="28"/>
          <w:szCs w:val="28"/>
          <w:highlight w:val="none"/>
        </w:rPr>
        <w:t>质量</w:t>
      </w:r>
      <w:r>
        <w:rPr>
          <w:rFonts w:eastAsia="黑体"/>
          <w:sz w:val="28"/>
          <w:szCs w:val="28"/>
          <w:highlight w:val="none"/>
        </w:rPr>
        <w:t>验收</w:t>
      </w:r>
      <w:bookmarkEnd w:id="1317"/>
      <w:bookmarkEnd w:id="1318"/>
      <w:bookmarkEnd w:id="1319"/>
      <w:bookmarkEnd w:id="1320"/>
      <w:bookmarkEnd w:id="1321"/>
      <w:bookmarkEnd w:id="1322"/>
    </w:p>
    <w:p>
      <w:pPr>
        <w:spacing w:line="360" w:lineRule="auto"/>
        <w:jc w:val="center"/>
        <w:outlineLvl w:val="1"/>
        <w:rPr>
          <w:rFonts w:eastAsia="黑体"/>
          <w:sz w:val="24"/>
          <w:szCs w:val="28"/>
          <w:highlight w:val="none"/>
        </w:rPr>
      </w:pPr>
      <w:bookmarkStart w:id="1325" w:name="_Toc67761448"/>
      <w:bookmarkStart w:id="1326" w:name="_Toc67761374"/>
      <w:bookmarkStart w:id="1327" w:name="_Toc70169839"/>
      <w:bookmarkStart w:id="1328" w:name="_Toc3929"/>
      <w:bookmarkStart w:id="1329" w:name="_Toc18141"/>
      <w:bookmarkStart w:id="1330" w:name="_Toc13853"/>
      <w:r>
        <w:rPr>
          <w:rFonts w:eastAsia="黑体"/>
          <w:b/>
          <w:sz w:val="24"/>
          <w:szCs w:val="28"/>
          <w:highlight w:val="none"/>
        </w:rPr>
        <w:t>7.1</w:t>
      </w:r>
      <w:r>
        <w:rPr>
          <w:rFonts w:eastAsia="黑体"/>
          <w:sz w:val="24"/>
          <w:szCs w:val="28"/>
          <w:highlight w:val="none"/>
        </w:rPr>
        <w:t xml:space="preserve">  </w:t>
      </w:r>
      <w:bookmarkEnd w:id="1325"/>
      <w:bookmarkEnd w:id="1326"/>
      <w:bookmarkEnd w:id="1327"/>
      <w:r>
        <w:rPr>
          <w:rFonts w:hint="eastAsia" w:eastAsia="黑体"/>
          <w:sz w:val="24"/>
          <w:szCs w:val="28"/>
          <w:highlight w:val="none"/>
        </w:rPr>
        <w:t>一般规定</w:t>
      </w:r>
      <w:bookmarkEnd w:id="1328"/>
      <w:bookmarkEnd w:id="1329"/>
      <w:bookmarkEnd w:id="1330"/>
    </w:p>
    <w:bookmarkEnd w:id="1323"/>
    <w:bookmarkEnd w:id="1324"/>
    <w:p>
      <w:pPr>
        <w:spacing w:line="312" w:lineRule="auto"/>
        <w:rPr>
          <w:sz w:val="24"/>
          <w:szCs w:val="28"/>
          <w:highlight w:val="none"/>
        </w:rPr>
      </w:pPr>
      <w:bookmarkStart w:id="1331" w:name="_Toc54112327"/>
      <w:bookmarkStart w:id="1332" w:name="_Toc53159476"/>
      <w:bookmarkStart w:id="1333" w:name="_Toc53160766"/>
      <w:r>
        <w:rPr>
          <w:rFonts w:hint="eastAsia"/>
          <w:b/>
          <w:bCs/>
          <w:sz w:val="24"/>
          <w:szCs w:val="28"/>
          <w:highlight w:val="none"/>
        </w:rPr>
        <w:t>7.1.1</w:t>
      </w:r>
      <w:r>
        <w:rPr>
          <w:rFonts w:hint="eastAsia"/>
          <w:sz w:val="24"/>
          <w:szCs w:val="28"/>
          <w:highlight w:val="none"/>
        </w:rPr>
        <w:t xml:space="preserve">  </w:t>
      </w:r>
      <w:r>
        <w:rPr>
          <w:sz w:val="24"/>
          <w:szCs w:val="28"/>
          <w:highlight w:val="none"/>
        </w:rPr>
        <w:t>高延性混凝土材料进场时，</w:t>
      </w:r>
      <w:r>
        <w:rPr>
          <w:rFonts w:hint="eastAsia"/>
          <w:sz w:val="24"/>
          <w:szCs w:val="28"/>
          <w:highlight w:val="none"/>
        </w:rPr>
        <w:t>应进行进场检查和见证取样复验，复验合格后方可用于施工，进场</w:t>
      </w:r>
      <w:r>
        <w:rPr>
          <w:sz w:val="24"/>
          <w:szCs w:val="28"/>
          <w:highlight w:val="none"/>
        </w:rPr>
        <w:t>检查和复验</w:t>
      </w:r>
      <w:r>
        <w:rPr>
          <w:rFonts w:hint="eastAsia"/>
          <w:sz w:val="24"/>
          <w:szCs w:val="28"/>
          <w:highlight w:val="none"/>
        </w:rPr>
        <w:t>应符合下列规定</w:t>
      </w:r>
      <w:r>
        <w:rPr>
          <w:sz w:val="24"/>
          <w:szCs w:val="28"/>
          <w:highlight w:val="none"/>
        </w:rPr>
        <w:t>：</w:t>
      </w:r>
    </w:p>
    <w:p>
      <w:pPr>
        <w:spacing w:line="312" w:lineRule="auto"/>
        <w:ind w:firstLine="422"/>
        <w:rPr>
          <w:rFonts w:hint="eastAsia" w:eastAsia="宋体"/>
          <w:sz w:val="24"/>
          <w:szCs w:val="28"/>
          <w:highlight w:val="none"/>
          <w:lang w:eastAsia="zh-CN"/>
        </w:rPr>
      </w:pPr>
      <w:r>
        <w:rPr>
          <w:b/>
          <w:bCs/>
          <w:sz w:val="24"/>
          <w:szCs w:val="28"/>
          <w:highlight w:val="none"/>
        </w:rPr>
        <w:t xml:space="preserve">1 </w:t>
      </w:r>
      <w:r>
        <w:rPr>
          <w:sz w:val="24"/>
          <w:szCs w:val="28"/>
          <w:highlight w:val="none"/>
        </w:rPr>
        <w:t xml:space="preserve"> 高延性混凝土材料进场时应检查产品使用说明书、出厂检验报告（或产品合格证）、产品性能全项检验报告或型式检验报告等质量证明文件。全项检验报告应包含</w:t>
      </w:r>
      <w:r>
        <w:rPr>
          <w:rFonts w:hint="eastAsia"/>
          <w:sz w:val="24"/>
          <w:szCs w:val="28"/>
          <w:highlight w:val="none"/>
        </w:rPr>
        <w:t>本标准</w:t>
      </w:r>
      <w:r>
        <w:rPr>
          <w:sz w:val="24"/>
          <w:szCs w:val="28"/>
          <w:highlight w:val="none"/>
        </w:rPr>
        <w:t>第4.</w:t>
      </w:r>
      <w:r>
        <w:rPr>
          <w:rFonts w:hint="eastAsia"/>
          <w:sz w:val="24"/>
          <w:szCs w:val="28"/>
          <w:highlight w:val="none"/>
        </w:rPr>
        <w:t>3</w:t>
      </w:r>
      <w:r>
        <w:rPr>
          <w:sz w:val="24"/>
          <w:szCs w:val="28"/>
          <w:highlight w:val="none"/>
        </w:rPr>
        <w:t>.1条和4.</w:t>
      </w:r>
      <w:r>
        <w:rPr>
          <w:rFonts w:hint="eastAsia"/>
          <w:sz w:val="24"/>
          <w:szCs w:val="28"/>
          <w:highlight w:val="none"/>
        </w:rPr>
        <w:t>4.1</w:t>
      </w:r>
      <w:r>
        <w:rPr>
          <w:sz w:val="24"/>
          <w:szCs w:val="28"/>
          <w:highlight w:val="none"/>
        </w:rPr>
        <w:t>条规定的所有力学性能和耐久性能检验项目，且检验结果应满足</w:t>
      </w:r>
      <w:r>
        <w:rPr>
          <w:rFonts w:hint="eastAsia"/>
          <w:sz w:val="24"/>
          <w:szCs w:val="28"/>
          <w:highlight w:val="none"/>
        </w:rPr>
        <w:t>本标准</w:t>
      </w:r>
      <w:r>
        <w:rPr>
          <w:sz w:val="24"/>
          <w:szCs w:val="28"/>
          <w:highlight w:val="none"/>
        </w:rPr>
        <w:t>的相关规定</w:t>
      </w:r>
      <w:r>
        <w:rPr>
          <w:rFonts w:hint="eastAsia"/>
          <w:sz w:val="24"/>
          <w:szCs w:val="28"/>
          <w:highlight w:val="none"/>
          <w:lang w:eastAsia="zh-CN"/>
        </w:rPr>
        <w:t>。</w:t>
      </w:r>
    </w:p>
    <w:p>
      <w:pPr>
        <w:spacing w:line="312" w:lineRule="auto"/>
        <w:ind w:firstLine="422"/>
        <w:rPr>
          <w:sz w:val="24"/>
          <w:szCs w:val="28"/>
          <w:highlight w:val="none"/>
        </w:rPr>
      </w:pPr>
      <w:r>
        <w:rPr>
          <w:b/>
          <w:bCs/>
          <w:sz w:val="24"/>
          <w:szCs w:val="28"/>
          <w:highlight w:val="none"/>
        </w:rPr>
        <w:t xml:space="preserve">2 </w:t>
      </w:r>
      <w:r>
        <w:rPr>
          <w:sz w:val="24"/>
          <w:szCs w:val="28"/>
          <w:highlight w:val="none"/>
        </w:rPr>
        <w:t xml:space="preserve"> 高延性混凝土材料进场后应见证取样复验其等效弯曲韧性、等效弯曲强度、</w:t>
      </w:r>
      <w:r>
        <w:rPr>
          <w:rFonts w:hint="eastAsia"/>
          <w:sz w:val="24"/>
          <w:szCs w:val="28"/>
          <w:highlight w:val="none"/>
        </w:rPr>
        <w:t>抗拉强度、</w:t>
      </w:r>
      <w:r>
        <w:rPr>
          <w:sz w:val="24"/>
          <w:szCs w:val="28"/>
          <w:highlight w:val="none"/>
        </w:rPr>
        <w:t>抗折强度和立方体抗压强度，检验合格后方可用于施工，进场复验的检验和评定方法应符合</w:t>
      </w:r>
      <w:r>
        <w:rPr>
          <w:rFonts w:hint="eastAsia"/>
          <w:sz w:val="24"/>
          <w:szCs w:val="28"/>
          <w:highlight w:val="none"/>
        </w:rPr>
        <w:t>本标准</w:t>
      </w:r>
      <w:r>
        <w:rPr>
          <w:sz w:val="24"/>
          <w:szCs w:val="28"/>
          <w:highlight w:val="none"/>
        </w:rPr>
        <w:t>附录</w:t>
      </w:r>
      <w:r>
        <w:rPr>
          <w:rFonts w:hint="eastAsia"/>
          <w:sz w:val="24"/>
          <w:szCs w:val="28"/>
          <w:highlight w:val="none"/>
        </w:rPr>
        <w:t>B</w:t>
      </w:r>
      <w:r>
        <w:rPr>
          <w:sz w:val="24"/>
          <w:szCs w:val="28"/>
          <w:highlight w:val="none"/>
        </w:rPr>
        <w:t>的有关规定。</w:t>
      </w:r>
    </w:p>
    <w:p>
      <w:pPr>
        <w:spacing w:line="312" w:lineRule="auto"/>
        <w:ind w:firstLine="422"/>
        <w:rPr>
          <w:rFonts w:hint="eastAsia" w:eastAsia="宋体"/>
          <w:sz w:val="24"/>
          <w:szCs w:val="28"/>
          <w:highlight w:val="none"/>
          <w:lang w:eastAsia="zh-CN"/>
        </w:rPr>
      </w:pPr>
      <w:r>
        <w:rPr>
          <w:rFonts w:hint="eastAsia"/>
          <w:sz w:val="24"/>
          <w:szCs w:val="28"/>
          <w:highlight w:val="none"/>
        </w:rPr>
        <w:t>检查数量：</w:t>
      </w:r>
      <w:r>
        <w:rPr>
          <w:sz w:val="24"/>
          <w:szCs w:val="28"/>
          <w:highlight w:val="none"/>
        </w:rPr>
        <w:t>按同一厂家、同一生产批次、同一进场时间每</w:t>
      </w:r>
      <w:r>
        <w:rPr>
          <w:rFonts w:hint="eastAsia"/>
          <w:sz w:val="24"/>
          <w:szCs w:val="28"/>
          <w:highlight w:val="none"/>
        </w:rPr>
        <w:t>10</w:t>
      </w:r>
      <w:r>
        <w:rPr>
          <w:sz w:val="24"/>
          <w:szCs w:val="28"/>
          <w:highlight w:val="none"/>
        </w:rPr>
        <w:t>0t（成品干混料和纤维）为一个检验批，不足</w:t>
      </w:r>
      <w:r>
        <w:rPr>
          <w:rFonts w:hint="eastAsia"/>
          <w:sz w:val="24"/>
          <w:szCs w:val="28"/>
          <w:highlight w:val="none"/>
        </w:rPr>
        <w:t>10</w:t>
      </w:r>
      <w:r>
        <w:rPr>
          <w:sz w:val="24"/>
          <w:szCs w:val="28"/>
          <w:highlight w:val="none"/>
        </w:rPr>
        <w:t>0t按一个检验批计</w:t>
      </w:r>
      <w:r>
        <w:rPr>
          <w:rFonts w:hint="eastAsia"/>
          <w:sz w:val="24"/>
          <w:szCs w:val="28"/>
          <w:highlight w:val="none"/>
        </w:rPr>
        <w:t>，</w:t>
      </w:r>
      <w:r>
        <w:rPr>
          <w:sz w:val="24"/>
          <w:szCs w:val="28"/>
          <w:highlight w:val="none"/>
        </w:rPr>
        <w:t>每一批次留置不应少于1组，每组3个</w:t>
      </w:r>
      <w:r>
        <w:rPr>
          <w:rFonts w:hint="eastAsia"/>
          <w:sz w:val="24"/>
          <w:szCs w:val="28"/>
          <w:highlight w:val="none"/>
          <w:lang w:eastAsia="zh-CN"/>
        </w:rPr>
        <w:t>试件。</w:t>
      </w:r>
    </w:p>
    <w:p>
      <w:pPr>
        <w:spacing w:line="312" w:lineRule="auto"/>
        <w:ind w:firstLine="422"/>
        <w:rPr>
          <w:sz w:val="24"/>
          <w:szCs w:val="28"/>
          <w:highlight w:val="none"/>
        </w:rPr>
      </w:pPr>
      <w:r>
        <w:rPr>
          <w:rFonts w:hint="eastAsia"/>
          <w:sz w:val="24"/>
          <w:szCs w:val="28"/>
          <w:highlight w:val="none"/>
        </w:rPr>
        <w:t>检验方法：检查质量证明文件和见证取样复验报告。</w:t>
      </w:r>
    </w:p>
    <w:p>
      <w:pPr>
        <w:spacing w:line="312" w:lineRule="auto"/>
        <w:rPr>
          <w:rFonts w:hint="eastAsia" w:ascii="楷体" w:hAnsi="楷体" w:eastAsia="楷体" w:cs="楷体"/>
          <w:kern w:val="2"/>
          <w:sz w:val="24"/>
          <w:szCs w:val="24"/>
          <w:highlight w:val="none"/>
          <w:u w:val="single"/>
          <w:lang w:val="en-US" w:eastAsia="zh-CN" w:bidi="ar-SA"/>
        </w:rPr>
      </w:pPr>
      <w:r>
        <w:rPr>
          <w:rFonts w:hint="eastAsia" w:ascii="楷体" w:hAnsi="楷体" w:eastAsia="楷体" w:cs="楷体"/>
          <w:b w:val="0"/>
          <w:bCs/>
          <w:sz w:val="24"/>
          <w:szCs w:val="24"/>
          <w:highlight w:val="none"/>
          <w:u w:val="single"/>
        </w:rPr>
        <w:t>【条文说明】</w:t>
      </w:r>
      <w:r>
        <w:rPr>
          <w:rFonts w:hint="eastAsia" w:ascii="楷体" w:hAnsi="楷体" w:eastAsia="楷体" w:cs="楷体"/>
          <w:kern w:val="2"/>
          <w:sz w:val="24"/>
          <w:szCs w:val="24"/>
          <w:highlight w:val="none"/>
          <w:u w:val="single"/>
          <w:lang w:val="en-US" w:eastAsia="zh-CN" w:bidi="ar-SA"/>
        </w:rPr>
        <w:t>高延性混凝土的质量对于相应的工程质量，有着直接的重要影响，使用前应对进场的材料进行见证取样复验其性能，复验合格后方可用于实际工程施工。</w:t>
      </w:r>
    </w:p>
    <w:p>
      <w:pPr>
        <w:spacing w:line="312" w:lineRule="auto"/>
        <w:rPr>
          <w:rFonts w:hint="eastAsia"/>
          <w:sz w:val="24"/>
          <w:szCs w:val="24"/>
          <w:highlight w:val="none"/>
        </w:rPr>
      </w:pPr>
      <w:r>
        <w:rPr>
          <w:rFonts w:hint="eastAsia"/>
          <w:b/>
          <w:sz w:val="24"/>
          <w:szCs w:val="28"/>
          <w:highlight w:val="none"/>
        </w:rPr>
        <w:t xml:space="preserve">7.1.2  </w:t>
      </w:r>
      <w:r>
        <w:rPr>
          <w:sz w:val="24"/>
          <w:szCs w:val="28"/>
          <w:highlight w:val="none"/>
        </w:rPr>
        <w:t>高</w:t>
      </w:r>
      <w:r>
        <w:rPr>
          <w:rFonts w:hint="eastAsia"/>
          <w:sz w:val="24"/>
          <w:szCs w:val="28"/>
          <w:highlight w:val="none"/>
        </w:rPr>
        <w:t>延</w:t>
      </w:r>
      <w:r>
        <w:rPr>
          <w:sz w:val="24"/>
          <w:szCs w:val="28"/>
          <w:highlight w:val="none"/>
        </w:rPr>
        <w:t>性混凝土</w:t>
      </w:r>
      <w:r>
        <w:rPr>
          <w:rFonts w:hint="eastAsia"/>
          <w:sz w:val="24"/>
          <w:szCs w:val="28"/>
          <w:highlight w:val="none"/>
        </w:rPr>
        <w:t>加固砌体结构的</w:t>
      </w:r>
      <w:r>
        <w:rPr>
          <w:rFonts w:hint="eastAsia"/>
          <w:sz w:val="24"/>
          <w:szCs w:val="24"/>
          <w:highlight w:val="none"/>
        </w:rPr>
        <w:t>施工质量检验，应以加固的</w:t>
      </w:r>
      <w:r>
        <w:rPr>
          <w:sz w:val="24"/>
          <w:szCs w:val="24"/>
          <w:highlight w:val="none"/>
        </w:rPr>
        <w:t>50个自然间（大面积房间和走廊按30m</w:t>
      </w:r>
      <w:r>
        <w:rPr>
          <w:sz w:val="24"/>
          <w:szCs w:val="24"/>
          <w:highlight w:val="none"/>
          <w:vertAlign w:val="superscript"/>
        </w:rPr>
        <w:t>2</w:t>
      </w:r>
      <w:r>
        <w:rPr>
          <w:sz w:val="24"/>
          <w:szCs w:val="24"/>
          <w:highlight w:val="none"/>
        </w:rPr>
        <w:t>为一间）</w:t>
      </w:r>
      <w:r>
        <w:rPr>
          <w:rFonts w:hint="eastAsia"/>
          <w:sz w:val="24"/>
          <w:szCs w:val="24"/>
          <w:highlight w:val="none"/>
        </w:rPr>
        <w:t>为一个检验批</w:t>
      </w:r>
      <w:r>
        <w:rPr>
          <w:sz w:val="24"/>
          <w:szCs w:val="24"/>
          <w:highlight w:val="none"/>
        </w:rPr>
        <w:t>，不足50间的也划分为一个检验批</w:t>
      </w:r>
      <w:r>
        <w:rPr>
          <w:rFonts w:hint="eastAsia"/>
          <w:sz w:val="24"/>
          <w:szCs w:val="24"/>
          <w:highlight w:val="none"/>
        </w:rPr>
        <w:t>。</w:t>
      </w:r>
    </w:p>
    <w:p>
      <w:pPr>
        <w:pStyle w:val="2"/>
        <w:keepNext w:val="0"/>
        <w:keepLines w:val="0"/>
        <w:pageBreakBefore w:val="0"/>
        <w:widowControl w:val="0"/>
        <w:kinsoku/>
        <w:wordWrap/>
        <w:overflowPunct/>
        <w:topLinePunct w:val="0"/>
        <w:autoSpaceDE/>
        <w:autoSpaceDN/>
        <w:bidi w:val="0"/>
        <w:adjustRightInd/>
        <w:snapToGrid/>
        <w:spacing w:after="0" w:line="312" w:lineRule="auto"/>
        <w:textAlignment w:val="auto"/>
        <w:rPr>
          <w:rFonts w:hint="eastAsia" w:ascii="楷体" w:hAnsi="楷体" w:eastAsia="楷体" w:cs="楷体"/>
          <w:kern w:val="2"/>
          <w:sz w:val="24"/>
          <w:szCs w:val="24"/>
          <w:highlight w:val="none"/>
          <w:u w:val="single"/>
          <w:lang w:val="en-US" w:eastAsia="zh-CN" w:bidi="ar-SA"/>
        </w:rPr>
      </w:pPr>
      <w:r>
        <w:rPr>
          <w:rFonts w:hint="eastAsia" w:ascii="楷体" w:hAnsi="楷体" w:eastAsia="楷体" w:cs="楷体"/>
          <w:b w:val="0"/>
          <w:bCs/>
          <w:sz w:val="24"/>
          <w:szCs w:val="24"/>
          <w:highlight w:val="none"/>
          <w:u w:val="single"/>
        </w:rPr>
        <w:t>【条文说明】</w:t>
      </w:r>
      <w:r>
        <w:rPr>
          <w:rFonts w:hint="eastAsia" w:ascii="楷体" w:hAnsi="楷体" w:eastAsia="楷体" w:cs="楷体"/>
          <w:kern w:val="2"/>
          <w:sz w:val="24"/>
          <w:szCs w:val="24"/>
          <w:highlight w:val="none"/>
          <w:u w:val="single"/>
          <w:lang w:val="en-US" w:eastAsia="zh-CN" w:bidi="ar-SA"/>
        </w:rPr>
        <w:t>高延性混凝土加固砌体结构的施工质量检验应按规定的检验批，按照批次抽样数量规定进行检验，确定其施工质量是否满足设计和本标准有关规定。</w:t>
      </w:r>
    </w:p>
    <w:p>
      <w:pPr>
        <w:spacing w:line="312" w:lineRule="auto"/>
        <w:rPr>
          <w:sz w:val="24"/>
          <w:szCs w:val="28"/>
          <w:highlight w:val="none"/>
        </w:rPr>
      </w:pPr>
      <w:r>
        <w:rPr>
          <w:b/>
          <w:bCs/>
          <w:sz w:val="24"/>
          <w:szCs w:val="28"/>
          <w:highlight w:val="none"/>
        </w:rPr>
        <w:t>7.</w:t>
      </w:r>
      <w:r>
        <w:rPr>
          <w:rFonts w:hint="eastAsia"/>
          <w:b/>
          <w:bCs/>
          <w:sz w:val="24"/>
          <w:szCs w:val="28"/>
          <w:highlight w:val="none"/>
        </w:rPr>
        <w:t>1</w:t>
      </w:r>
      <w:r>
        <w:rPr>
          <w:b/>
          <w:bCs/>
          <w:sz w:val="24"/>
          <w:szCs w:val="28"/>
          <w:highlight w:val="none"/>
        </w:rPr>
        <w:t>.</w:t>
      </w:r>
      <w:r>
        <w:rPr>
          <w:rFonts w:hint="eastAsia"/>
          <w:b/>
          <w:bCs/>
          <w:sz w:val="24"/>
          <w:szCs w:val="28"/>
          <w:highlight w:val="none"/>
        </w:rPr>
        <w:t>3</w:t>
      </w:r>
      <w:r>
        <w:rPr>
          <w:b/>
          <w:bCs/>
          <w:sz w:val="24"/>
          <w:szCs w:val="28"/>
          <w:highlight w:val="none"/>
        </w:rPr>
        <w:t xml:space="preserve"> </w:t>
      </w:r>
      <w:r>
        <w:rPr>
          <w:sz w:val="24"/>
          <w:szCs w:val="28"/>
          <w:highlight w:val="none"/>
        </w:rPr>
        <w:t xml:space="preserve"> 高延性混凝土标准养护60d龄期的力学性能应满足</w:t>
      </w:r>
      <w:r>
        <w:rPr>
          <w:rFonts w:hint="eastAsia"/>
          <w:sz w:val="24"/>
          <w:szCs w:val="28"/>
          <w:highlight w:val="none"/>
        </w:rPr>
        <w:t>本标准</w:t>
      </w:r>
      <w:r>
        <w:rPr>
          <w:sz w:val="24"/>
          <w:szCs w:val="28"/>
          <w:highlight w:val="none"/>
        </w:rPr>
        <w:t>表4.</w:t>
      </w:r>
      <w:r>
        <w:rPr>
          <w:rFonts w:hint="eastAsia"/>
          <w:sz w:val="24"/>
          <w:szCs w:val="28"/>
          <w:highlight w:val="none"/>
        </w:rPr>
        <w:t>3</w:t>
      </w:r>
      <w:r>
        <w:rPr>
          <w:sz w:val="24"/>
          <w:szCs w:val="28"/>
          <w:highlight w:val="none"/>
        </w:rPr>
        <w:t>.1的要求，同时应符合设计要求</w:t>
      </w:r>
      <w:r>
        <w:rPr>
          <w:rFonts w:hint="eastAsia"/>
          <w:sz w:val="24"/>
          <w:szCs w:val="28"/>
          <w:highlight w:val="none"/>
        </w:rPr>
        <w:t>。</w:t>
      </w:r>
      <w:r>
        <w:rPr>
          <w:sz w:val="24"/>
          <w:szCs w:val="28"/>
          <w:highlight w:val="none"/>
        </w:rPr>
        <w:t>用于检查高延性混凝土力学性能的</w:t>
      </w:r>
      <w:r>
        <w:rPr>
          <w:rFonts w:hint="eastAsia"/>
          <w:sz w:val="24"/>
          <w:szCs w:val="28"/>
          <w:highlight w:val="none"/>
          <w:lang w:eastAsia="zh-CN"/>
        </w:rPr>
        <w:t>试件</w:t>
      </w:r>
      <w:r>
        <w:rPr>
          <w:sz w:val="24"/>
          <w:szCs w:val="28"/>
          <w:highlight w:val="none"/>
        </w:rPr>
        <w:t>，应在监理工程师见证下，在施工现场</w:t>
      </w:r>
      <w:r>
        <w:rPr>
          <w:rFonts w:hint="eastAsia"/>
          <w:sz w:val="24"/>
          <w:szCs w:val="28"/>
          <w:highlight w:val="none"/>
        </w:rPr>
        <w:t>高延性混凝土拌合物中</w:t>
      </w:r>
      <w:r>
        <w:rPr>
          <w:sz w:val="24"/>
          <w:szCs w:val="28"/>
          <w:highlight w:val="none"/>
        </w:rPr>
        <w:t>随机抽取，并按</w:t>
      </w:r>
      <w:r>
        <w:rPr>
          <w:rFonts w:hint="eastAsia"/>
          <w:sz w:val="24"/>
          <w:szCs w:val="28"/>
          <w:highlight w:val="none"/>
        </w:rPr>
        <w:t>本标准</w:t>
      </w:r>
      <w:r>
        <w:rPr>
          <w:sz w:val="24"/>
          <w:szCs w:val="28"/>
          <w:highlight w:val="none"/>
        </w:rPr>
        <w:t>第</w:t>
      </w:r>
      <w:r>
        <w:rPr>
          <w:rFonts w:hint="eastAsia"/>
          <w:sz w:val="24"/>
          <w:szCs w:val="28"/>
          <w:highlight w:val="none"/>
        </w:rPr>
        <w:t>4.3.2</w:t>
      </w:r>
      <w:r>
        <w:rPr>
          <w:rFonts w:hint="eastAsia"/>
          <w:sz w:val="24"/>
          <w:szCs w:val="28"/>
          <w:highlight w:val="none"/>
          <w:lang w:eastAsia="zh-CN"/>
        </w:rPr>
        <w:t>、</w:t>
      </w:r>
      <w:r>
        <w:rPr>
          <w:rFonts w:hint="eastAsia"/>
          <w:sz w:val="24"/>
          <w:szCs w:val="28"/>
          <w:highlight w:val="none"/>
          <w:lang w:val="en-US" w:eastAsia="zh-CN"/>
        </w:rPr>
        <w:t>4.3.3</w:t>
      </w:r>
      <w:r>
        <w:rPr>
          <w:sz w:val="24"/>
          <w:szCs w:val="28"/>
          <w:highlight w:val="none"/>
        </w:rPr>
        <w:t>条的规定进行</w:t>
      </w:r>
      <w:r>
        <w:rPr>
          <w:rFonts w:hint="eastAsia"/>
          <w:sz w:val="24"/>
          <w:szCs w:val="28"/>
          <w:highlight w:val="none"/>
          <w:lang w:eastAsia="zh-CN"/>
        </w:rPr>
        <w:t>试件</w:t>
      </w:r>
      <w:r>
        <w:rPr>
          <w:sz w:val="24"/>
          <w:szCs w:val="28"/>
          <w:highlight w:val="none"/>
        </w:rPr>
        <w:t>制作和养护。</w:t>
      </w:r>
    </w:p>
    <w:p>
      <w:pPr>
        <w:spacing w:line="312" w:lineRule="auto"/>
        <w:ind w:firstLine="422"/>
        <w:rPr>
          <w:rFonts w:hint="eastAsia" w:eastAsia="宋体"/>
          <w:sz w:val="24"/>
          <w:szCs w:val="28"/>
          <w:highlight w:val="none"/>
          <w:lang w:eastAsia="zh-CN"/>
        </w:rPr>
      </w:pPr>
      <w:r>
        <w:rPr>
          <w:rFonts w:hint="eastAsia"/>
          <w:sz w:val="24"/>
          <w:szCs w:val="28"/>
          <w:highlight w:val="none"/>
        </w:rPr>
        <w:t>检查数量：按第7.1.2条规定划分</w:t>
      </w:r>
      <w:r>
        <w:rPr>
          <w:sz w:val="24"/>
          <w:szCs w:val="28"/>
          <w:highlight w:val="none"/>
        </w:rPr>
        <w:t>检验批，每一批次留置不应少于3组，每组3个</w:t>
      </w:r>
      <w:r>
        <w:rPr>
          <w:rFonts w:hint="eastAsia"/>
          <w:sz w:val="24"/>
          <w:szCs w:val="28"/>
          <w:highlight w:val="none"/>
          <w:lang w:eastAsia="zh-CN"/>
        </w:rPr>
        <w:t>试件。</w:t>
      </w:r>
    </w:p>
    <w:p>
      <w:pPr>
        <w:spacing w:line="312" w:lineRule="auto"/>
        <w:ind w:firstLine="422"/>
        <w:rPr>
          <w:rFonts w:hint="eastAsia" w:eastAsia="宋体"/>
          <w:sz w:val="24"/>
          <w:szCs w:val="28"/>
          <w:highlight w:val="none"/>
          <w:lang w:eastAsia="zh-CN"/>
        </w:rPr>
      </w:pPr>
      <w:r>
        <w:rPr>
          <w:rFonts w:hint="eastAsia"/>
          <w:sz w:val="24"/>
          <w:szCs w:val="28"/>
          <w:highlight w:val="none"/>
        </w:rPr>
        <w:t>检验方法：检查60d标准养护</w:t>
      </w:r>
      <w:r>
        <w:rPr>
          <w:rFonts w:hint="eastAsia"/>
          <w:sz w:val="24"/>
          <w:szCs w:val="28"/>
          <w:highlight w:val="none"/>
          <w:lang w:eastAsia="zh-CN"/>
        </w:rPr>
        <w:t>试件</w:t>
      </w:r>
      <w:r>
        <w:rPr>
          <w:rFonts w:hint="eastAsia"/>
          <w:sz w:val="24"/>
          <w:szCs w:val="28"/>
          <w:highlight w:val="none"/>
        </w:rPr>
        <w:t>的检验报告</w:t>
      </w:r>
      <w:r>
        <w:rPr>
          <w:rFonts w:hint="eastAsia"/>
          <w:sz w:val="24"/>
          <w:szCs w:val="28"/>
          <w:highlight w:val="none"/>
          <w:lang w:eastAsia="zh-CN"/>
        </w:rPr>
        <w:t>。</w:t>
      </w:r>
    </w:p>
    <w:p>
      <w:pPr>
        <w:spacing w:line="312" w:lineRule="auto"/>
        <w:rPr>
          <w:rFonts w:hint="eastAsia" w:ascii="楷体" w:hAnsi="楷体" w:eastAsia="楷体" w:cs="楷体"/>
          <w:kern w:val="2"/>
          <w:sz w:val="24"/>
          <w:szCs w:val="24"/>
          <w:highlight w:val="none"/>
          <w:u w:val="single"/>
          <w:lang w:val="en-US" w:eastAsia="zh-CN" w:bidi="ar-SA"/>
        </w:rPr>
      </w:pPr>
      <w:r>
        <w:rPr>
          <w:rFonts w:hint="eastAsia" w:ascii="楷体" w:hAnsi="楷体" w:eastAsia="楷体" w:cs="楷体"/>
          <w:b w:val="0"/>
          <w:bCs/>
          <w:sz w:val="24"/>
          <w:szCs w:val="24"/>
          <w:highlight w:val="none"/>
          <w:u w:val="single"/>
        </w:rPr>
        <w:t>【条文说明】</w:t>
      </w:r>
      <w:r>
        <w:rPr>
          <w:rFonts w:hint="eastAsia" w:ascii="楷体" w:hAnsi="楷体" w:eastAsia="楷体" w:cs="楷体"/>
          <w:kern w:val="2"/>
          <w:sz w:val="24"/>
          <w:szCs w:val="24"/>
          <w:highlight w:val="none"/>
          <w:u w:val="single"/>
          <w:lang w:val="en-US" w:eastAsia="zh-CN" w:bidi="ar-SA"/>
        </w:rPr>
        <w:t>通过60d标准养护试件检验来评定施工现场实际使用的高延性混凝土材料最终的性能是否符合本标准规定及设计要求。施工现场抽检时每一批次留置不应少于3组，即3组100mm</w:t>
      </w:r>
      <w:r>
        <w:rPr>
          <w:rFonts w:hint="eastAsia" w:ascii="楷体" w:hAnsi="楷体" w:eastAsia="楷体" w:cs="楷体"/>
          <w:kern w:val="2"/>
          <w:sz w:val="24"/>
          <w:szCs w:val="24"/>
          <w:highlight w:val="none"/>
          <w:u w:val="single"/>
          <w:lang w:val="en-US" w:eastAsia="zh-CN" w:bidi="ar-SA"/>
        </w:rPr>
        <w:sym w:font="Symbol" w:char="F0B4"/>
      </w:r>
      <w:r>
        <w:rPr>
          <w:rFonts w:hint="eastAsia" w:ascii="楷体" w:hAnsi="楷体" w:eastAsia="楷体" w:cs="楷体"/>
          <w:kern w:val="2"/>
          <w:sz w:val="24"/>
          <w:szCs w:val="24"/>
          <w:highlight w:val="none"/>
          <w:u w:val="single"/>
          <w:lang w:val="en-US" w:eastAsia="zh-CN" w:bidi="ar-SA"/>
        </w:rPr>
        <w:t xml:space="preserve">100mm </w:t>
      </w:r>
      <w:r>
        <w:rPr>
          <w:rFonts w:hint="eastAsia" w:ascii="楷体" w:hAnsi="楷体" w:eastAsia="楷体" w:cs="楷体"/>
          <w:kern w:val="2"/>
          <w:sz w:val="24"/>
          <w:szCs w:val="24"/>
          <w:highlight w:val="none"/>
          <w:u w:val="single"/>
          <w:lang w:val="en-US" w:eastAsia="zh-CN" w:bidi="ar-SA"/>
        </w:rPr>
        <w:sym w:font="Symbol" w:char="F0B4"/>
      </w:r>
      <w:r>
        <w:rPr>
          <w:rFonts w:hint="eastAsia" w:ascii="楷体" w:hAnsi="楷体" w:eastAsia="楷体" w:cs="楷体"/>
          <w:kern w:val="2"/>
          <w:sz w:val="24"/>
          <w:szCs w:val="24"/>
          <w:highlight w:val="none"/>
          <w:u w:val="single"/>
          <w:lang w:val="en-US" w:eastAsia="zh-CN" w:bidi="ar-SA"/>
        </w:rPr>
        <w:t>100mm立方体试件；6组40mm</w:t>
      </w:r>
      <w:r>
        <w:rPr>
          <w:rFonts w:hint="eastAsia" w:ascii="楷体" w:hAnsi="楷体" w:eastAsia="楷体" w:cs="楷体"/>
          <w:kern w:val="2"/>
          <w:sz w:val="24"/>
          <w:szCs w:val="24"/>
          <w:highlight w:val="none"/>
          <w:u w:val="single"/>
          <w:lang w:val="en-US" w:eastAsia="zh-CN" w:bidi="ar-SA"/>
        </w:rPr>
        <w:sym w:font="Symbol" w:char="F0B4"/>
      </w:r>
      <w:r>
        <w:rPr>
          <w:rFonts w:hint="eastAsia" w:ascii="楷体" w:hAnsi="楷体" w:eastAsia="楷体" w:cs="楷体"/>
          <w:kern w:val="2"/>
          <w:sz w:val="24"/>
          <w:szCs w:val="24"/>
          <w:highlight w:val="none"/>
          <w:u w:val="single"/>
          <w:lang w:val="en-US" w:eastAsia="zh-CN" w:bidi="ar-SA"/>
        </w:rPr>
        <w:t xml:space="preserve">40mm </w:t>
      </w:r>
      <w:r>
        <w:rPr>
          <w:rFonts w:hint="eastAsia" w:ascii="楷体" w:hAnsi="楷体" w:eastAsia="楷体" w:cs="楷体"/>
          <w:kern w:val="2"/>
          <w:sz w:val="24"/>
          <w:szCs w:val="24"/>
          <w:highlight w:val="none"/>
          <w:u w:val="single"/>
          <w:lang w:val="en-US" w:eastAsia="zh-CN" w:bidi="ar-SA"/>
        </w:rPr>
        <w:sym w:font="Symbol" w:char="F0B4"/>
      </w:r>
      <w:r>
        <w:rPr>
          <w:rFonts w:hint="eastAsia" w:ascii="楷体" w:hAnsi="楷体" w:eastAsia="楷体" w:cs="楷体"/>
          <w:kern w:val="2"/>
          <w:sz w:val="24"/>
          <w:szCs w:val="24"/>
          <w:highlight w:val="none"/>
          <w:u w:val="single"/>
          <w:lang w:val="en-US" w:eastAsia="zh-CN" w:bidi="ar-SA"/>
        </w:rPr>
        <w:t>160mm的棱柱体试件（其中3组测试抗折强度，另外3组测试等效弯曲强度和等效弯曲韧性）。</w:t>
      </w:r>
    </w:p>
    <w:p>
      <w:pPr>
        <w:spacing w:line="312" w:lineRule="auto"/>
        <w:rPr>
          <w:sz w:val="24"/>
          <w:szCs w:val="28"/>
          <w:highlight w:val="none"/>
        </w:rPr>
      </w:pPr>
      <w:r>
        <w:rPr>
          <w:b/>
          <w:sz w:val="24"/>
          <w:szCs w:val="28"/>
          <w:highlight w:val="none"/>
        </w:rPr>
        <w:t>7.</w:t>
      </w:r>
      <w:r>
        <w:rPr>
          <w:rFonts w:hint="eastAsia"/>
          <w:b/>
          <w:sz w:val="24"/>
          <w:szCs w:val="28"/>
          <w:highlight w:val="none"/>
        </w:rPr>
        <w:t>1</w:t>
      </w:r>
      <w:r>
        <w:rPr>
          <w:b/>
          <w:sz w:val="24"/>
          <w:szCs w:val="28"/>
          <w:highlight w:val="none"/>
        </w:rPr>
        <w:t>.</w:t>
      </w:r>
      <w:r>
        <w:rPr>
          <w:rFonts w:hint="eastAsia"/>
          <w:b/>
          <w:sz w:val="24"/>
          <w:szCs w:val="28"/>
          <w:highlight w:val="none"/>
        </w:rPr>
        <w:t>4</w:t>
      </w:r>
      <w:r>
        <w:rPr>
          <w:b/>
          <w:sz w:val="24"/>
          <w:szCs w:val="28"/>
          <w:highlight w:val="none"/>
        </w:rPr>
        <w:t xml:space="preserve"> </w:t>
      </w:r>
      <w:r>
        <w:rPr>
          <w:sz w:val="24"/>
          <w:szCs w:val="28"/>
          <w:highlight w:val="none"/>
        </w:rPr>
        <w:t xml:space="preserve"> 检验批抽样样本及</w:t>
      </w:r>
      <w:r>
        <w:rPr>
          <w:rFonts w:hint="eastAsia"/>
          <w:sz w:val="24"/>
          <w:szCs w:val="28"/>
          <w:highlight w:val="none"/>
          <w:lang w:eastAsia="zh-CN"/>
        </w:rPr>
        <w:t>试件</w:t>
      </w:r>
      <w:r>
        <w:rPr>
          <w:sz w:val="24"/>
          <w:szCs w:val="28"/>
          <w:highlight w:val="none"/>
        </w:rPr>
        <w:t>留置均应随机抽取，并应满足分布均匀、具有代表性的要求。检验批合格质量标准应符合下列规定：</w:t>
      </w:r>
    </w:p>
    <w:p>
      <w:pPr>
        <w:spacing w:line="312" w:lineRule="auto"/>
        <w:ind w:firstLine="482" w:firstLineChars="200"/>
        <w:rPr>
          <w:sz w:val="24"/>
          <w:szCs w:val="28"/>
          <w:highlight w:val="none"/>
        </w:rPr>
      </w:pPr>
      <w:r>
        <w:rPr>
          <w:b/>
          <w:sz w:val="24"/>
          <w:szCs w:val="28"/>
          <w:highlight w:val="none"/>
        </w:rPr>
        <w:t>1</w:t>
      </w:r>
      <w:r>
        <w:rPr>
          <w:sz w:val="24"/>
          <w:szCs w:val="28"/>
          <w:highlight w:val="none"/>
        </w:rPr>
        <w:t xml:space="preserve">  主控项目的质量经抽样检验合格；</w:t>
      </w:r>
    </w:p>
    <w:p>
      <w:pPr>
        <w:spacing w:line="312" w:lineRule="auto"/>
        <w:ind w:firstLine="482" w:firstLineChars="200"/>
        <w:rPr>
          <w:sz w:val="24"/>
          <w:szCs w:val="28"/>
          <w:highlight w:val="none"/>
        </w:rPr>
      </w:pPr>
      <w:r>
        <w:rPr>
          <w:b/>
          <w:sz w:val="24"/>
          <w:szCs w:val="28"/>
          <w:highlight w:val="none"/>
        </w:rPr>
        <w:t>2</w:t>
      </w:r>
      <w:r>
        <w:rPr>
          <w:sz w:val="24"/>
          <w:szCs w:val="28"/>
          <w:highlight w:val="none"/>
        </w:rPr>
        <w:t xml:space="preserve">  一般项目的质量经抽样检验合格；当采用</w:t>
      </w:r>
      <w:r>
        <w:rPr>
          <w:rFonts w:hint="eastAsia"/>
          <w:sz w:val="24"/>
          <w:szCs w:val="28"/>
          <w:highlight w:val="none"/>
        </w:rPr>
        <w:t>计数</w:t>
      </w:r>
      <w:r>
        <w:rPr>
          <w:sz w:val="24"/>
          <w:szCs w:val="28"/>
          <w:highlight w:val="none"/>
        </w:rPr>
        <w:t>检验时，</w:t>
      </w:r>
      <w:r>
        <w:rPr>
          <w:rFonts w:hint="eastAsia"/>
          <w:sz w:val="24"/>
          <w:szCs w:val="28"/>
          <w:highlight w:val="none"/>
        </w:rPr>
        <w:t>除本标准</w:t>
      </w:r>
      <w:r>
        <w:rPr>
          <w:sz w:val="24"/>
          <w:szCs w:val="28"/>
          <w:highlight w:val="none"/>
        </w:rPr>
        <w:t>另有规定外，其抽检合格点率应不低于80%，且不得有严重缺陷；</w:t>
      </w:r>
    </w:p>
    <w:p>
      <w:pPr>
        <w:spacing w:line="312" w:lineRule="auto"/>
        <w:ind w:firstLine="482" w:firstLineChars="200"/>
        <w:rPr>
          <w:sz w:val="24"/>
          <w:szCs w:val="28"/>
          <w:highlight w:val="none"/>
        </w:rPr>
      </w:pPr>
      <w:r>
        <w:rPr>
          <w:b/>
          <w:sz w:val="24"/>
          <w:szCs w:val="28"/>
          <w:highlight w:val="none"/>
        </w:rPr>
        <w:t>3</w:t>
      </w:r>
      <w:r>
        <w:rPr>
          <w:sz w:val="24"/>
          <w:szCs w:val="28"/>
          <w:highlight w:val="none"/>
        </w:rPr>
        <w:t xml:space="preserve">  具有完整的施工操作依据、质量检查记录及质量证明文件。</w:t>
      </w:r>
    </w:p>
    <w:p>
      <w:pPr>
        <w:spacing w:line="312" w:lineRule="auto"/>
        <w:rPr>
          <w:sz w:val="24"/>
          <w:szCs w:val="28"/>
          <w:highlight w:val="none"/>
        </w:rPr>
      </w:pPr>
      <w:r>
        <w:rPr>
          <w:b/>
          <w:sz w:val="24"/>
          <w:szCs w:val="28"/>
          <w:highlight w:val="none"/>
        </w:rPr>
        <w:t>7.</w:t>
      </w:r>
      <w:r>
        <w:rPr>
          <w:rFonts w:hint="eastAsia"/>
          <w:b/>
          <w:sz w:val="24"/>
          <w:szCs w:val="28"/>
          <w:highlight w:val="none"/>
        </w:rPr>
        <w:t>1.5</w:t>
      </w:r>
      <w:r>
        <w:rPr>
          <w:sz w:val="24"/>
          <w:szCs w:val="28"/>
          <w:highlight w:val="none"/>
        </w:rPr>
        <w:t xml:space="preserve">  分项工程合格质量标准应符合下列规定：</w:t>
      </w:r>
    </w:p>
    <w:p>
      <w:pPr>
        <w:spacing w:line="312" w:lineRule="auto"/>
        <w:ind w:firstLine="482" w:firstLineChars="200"/>
        <w:rPr>
          <w:sz w:val="24"/>
          <w:szCs w:val="28"/>
          <w:highlight w:val="none"/>
        </w:rPr>
      </w:pPr>
      <w:r>
        <w:rPr>
          <w:b/>
          <w:sz w:val="24"/>
          <w:szCs w:val="28"/>
          <w:highlight w:val="none"/>
        </w:rPr>
        <w:t>1</w:t>
      </w:r>
      <w:r>
        <w:rPr>
          <w:sz w:val="24"/>
          <w:szCs w:val="28"/>
          <w:highlight w:val="none"/>
        </w:rPr>
        <w:t xml:space="preserve">  分项工程所含的各检验批，其质量均符合</w:t>
      </w:r>
      <w:r>
        <w:rPr>
          <w:rFonts w:hint="eastAsia"/>
          <w:sz w:val="24"/>
          <w:szCs w:val="28"/>
          <w:highlight w:val="none"/>
        </w:rPr>
        <w:t>本标准</w:t>
      </w:r>
      <w:r>
        <w:rPr>
          <w:sz w:val="24"/>
          <w:szCs w:val="28"/>
          <w:highlight w:val="none"/>
        </w:rPr>
        <w:t>的合格质量规定；</w:t>
      </w:r>
    </w:p>
    <w:p>
      <w:pPr>
        <w:spacing w:line="312" w:lineRule="auto"/>
        <w:ind w:firstLine="482" w:firstLineChars="200"/>
        <w:rPr>
          <w:sz w:val="24"/>
          <w:szCs w:val="28"/>
          <w:highlight w:val="none"/>
        </w:rPr>
      </w:pPr>
      <w:r>
        <w:rPr>
          <w:b/>
          <w:sz w:val="24"/>
          <w:szCs w:val="28"/>
          <w:highlight w:val="none"/>
        </w:rPr>
        <w:t>2</w:t>
      </w:r>
      <w:r>
        <w:rPr>
          <w:sz w:val="24"/>
          <w:szCs w:val="28"/>
          <w:highlight w:val="none"/>
        </w:rPr>
        <w:t xml:space="preserve">  分项工程所含的各检验批，其质量验收记录和有关证明文件完整。</w:t>
      </w:r>
    </w:p>
    <w:p>
      <w:pPr>
        <w:spacing w:line="312" w:lineRule="auto"/>
        <w:rPr>
          <w:rFonts w:hint="eastAsia" w:ascii="楷体" w:hAnsi="楷体" w:eastAsia="楷体" w:cs="楷体"/>
          <w:kern w:val="2"/>
          <w:sz w:val="24"/>
          <w:szCs w:val="24"/>
          <w:highlight w:val="none"/>
          <w:u w:val="single"/>
          <w:lang w:val="en-US" w:eastAsia="zh-CN" w:bidi="ar-SA"/>
        </w:rPr>
      </w:pPr>
      <w:r>
        <w:rPr>
          <w:rFonts w:hint="eastAsia" w:ascii="楷体" w:hAnsi="楷体" w:eastAsia="楷体" w:cs="楷体"/>
          <w:b w:val="0"/>
          <w:bCs/>
          <w:sz w:val="24"/>
          <w:szCs w:val="24"/>
          <w:highlight w:val="none"/>
          <w:u w:val="single"/>
        </w:rPr>
        <w:t>【条文说明】</w:t>
      </w:r>
      <w:r>
        <w:rPr>
          <w:rFonts w:hint="eastAsia" w:ascii="楷体" w:hAnsi="楷体" w:eastAsia="楷体" w:cs="楷体"/>
          <w:kern w:val="2"/>
          <w:sz w:val="24"/>
          <w:szCs w:val="24"/>
          <w:highlight w:val="none"/>
          <w:u w:val="single"/>
          <w:lang w:val="en-US" w:eastAsia="zh-CN" w:bidi="ar-SA"/>
        </w:rPr>
        <w:t>7.1.4、7.1.5  这两条规定根据现行国家标准《建筑工程施工质量验收统一标准》GB 50300关于建筑工程质量验收原则制定，具体可参照该标准有关条文说明。</w:t>
      </w:r>
    </w:p>
    <w:p>
      <w:pPr>
        <w:spacing w:line="312" w:lineRule="auto"/>
        <w:rPr>
          <w:rFonts w:hint="eastAsia"/>
          <w:sz w:val="24"/>
          <w:szCs w:val="28"/>
          <w:highlight w:val="none"/>
        </w:rPr>
      </w:pPr>
      <w:r>
        <w:rPr>
          <w:rFonts w:hint="eastAsia"/>
          <w:b/>
          <w:sz w:val="24"/>
          <w:szCs w:val="28"/>
          <w:highlight w:val="none"/>
        </w:rPr>
        <w:t xml:space="preserve">7.1.6  </w:t>
      </w:r>
      <w:r>
        <w:rPr>
          <w:rFonts w:hint="eastAsia"/>
          <w:sz w:val="24"/>
          <w:szCs w:val="28"/>
          <w:highlight w:val="none"/>
        </w:rPr>
        <w:t>本章未涉及到的施工质量验收项目，应符合现行国家标准《建筑工程施工质量验收统一标准》GB 50300和</w:t>
      </w:r>
      <w:r>
        <w:rPr>
          <w:sz w:val="24"/>
          <w:szCs w:val="28"/>
          <w:highlight w:val="none"/>
        </w:rPr>
        <w:t>《建筑结构加固工程施工质量验收规范》GB 50550</w:t>
      </w:r>
      <w:r>
        <w:rPr>
          <w:rFonts w:hint="eastAsia"/>
          <w:sz w:val="24"/>
          <w:szCs w:val="28"/>
          <w:highlight w:val="none"/>
        </w:rPr>
        <w:t>等标准的规定。</w:t>
      </w:r>
    </w:p>
    <w:p>
      <w:pPr>
        <w:spacing w:line="360" w:lineRule="auto"/>
        <w:jc w:val="center"/>
        <w:outlineLvl w:val="1"/>
        <w:rPr>
          <w:rFonts w:eastAsia="黑体"/>
          <w:sz w:val="24"/>
          <w:szCs w:val="28"/>
          <w:highlight w:val="none"/>
        </w:rPr>
      </w:pPr>
      <w:bookmarkStart w:id="1334" w:name="_Toc66105606"/>
      <w:bookmarkStart w:id="1335" w:name="_Toc67761450"/>
      <w:bookmarkStart w:id="1336" w:name="_Toc67761376"/>
      <w:bookmarkStart w:id="1337" w:name="_Toc70169841"/>
      <w:bookmarkStart w:id="1338" w:name="_Toc16484"/>
      <w:bookmarkStart w:id="1339" w:name="_Toc14870"/>
      <w:bookmarkStart w:id="1340" w:name="_Toc9743"/>
      <w:r>
        <w:rPr>
          <w:rFonts w:eastAsia="黑体"/>
          <w:b/>
          <w:sz w:val="24"/>
          <w:szCs w:val="28"/>
          <w:highlight w:val="none"/>
        </w:rPr>
        <w:t>7.</w:t>
      </w:r>
      <w:r>
        <w:rPr>
          <w:rFonts w:hint="eastAsia" w:eastAsia="黑体"/>
          <w:b/>
          <w:sz w:val="24"/>
          <w:szCs w:val="28"/>
          <w:highlight w:val="none"/>
        </w:rPr>
        <w:t>2</w:t>
      </w:r>
      <w:r>
        <w:rPr>
          <w:rFonts w:eastAsia="黑体"/>
          <w:b/>
          <w:sz w:val="24"/>
          <w:szCs w:val="28"/>
          <w:highlight w:val="none"/>
        </w:rPr>
        <w:t xml:space="preserve"> </w:t>
      </w:r>
      <w:r>
        <w:rPr>
          <w:rFonts w:eastAsia="黑体"/>
          <w:sz w:val="24"/>
          <w:szCs w:val="28"/>
          <w:highlight w:val="none"/>
        </w:rPr>
        <w:t xml:space="preserve"> </w:t>
      </w:r>
      <w:bookmarkEnd w:id="1331"/>
      <w:bookmarkEnd w:id="1332"/>
      <w:bookmarkEnd w:id="1333"/>
      <w:bookmarkEnd w:id="1334"/>
      <w:bookmarkEnd w:id="1335"/>
      <w:bookmarkEnd w:id="1336"/>
      <w:bookmarkEnd w:id="1337"/>
      <w:bookmarkStart w:id="1341" w:name="_Toc25690653"/>
      <w:bookmarkStart w:id="1342" w:name="_Toc27306537"/>
      <w:bookmarkStart w:id="1343" w:name="_Toc27307682"/>
      <w:bookmarkStart w:id="1344" w:name="_Toc27307542"/>
      <w:bookmarkStart w:id="1345" w:name="_Toc27306676"/>
      <w:bookmarkStart w:id="1346" w:name="_Toc25690924"/>
      <w:r>
        <w:rPr>
          <w:rFonts w:eastAsia="黑体"/>
          <w:sz w:val="24"/>
          <w:szCs w:val="28"/>
          <w:highlight w:val="none"/>
        </w:rPr>
        <w:t>主控项目</w:t>
      </w:r>
      <w:bookmarkEnd w:id="1338"/>
      <w:bookmarkEnd w:id="1339"/>
      <w:bookmarkEnd w:id="1340"/>
      <w:bookmarkEnd w:id="1341"/>
      <w:bookmarkEnd w:id="1342"/>
      <w:bookmarkEnd w:id="1343"/>
      <w:bookmarkEnd w:id="1344"/>
      <w:bookmarkEnd w:id="1345"/>
      <w:bookmarkEnd w:id="1346"/>
    </w:p>
    <w:p>
      <w:pPr>
        <w:spacing w:line="312" w:lineRule="auto"/>
        <w:rPr>
          <w:sz w:val="24"/>
          <w:szCs w:val="28"/>
          <w:highlight w:val="none"/>
        </w:rPr>
      </w:pPr>
      <w:r>
        <w:rPr>
          <w:b/>
          <w:sz w:val="24"/>
          <w:szCs w:val="28"/>
          <w:highlight w:val="none"/>
        </w:rPr>
        <w:t>7.</w:t>
      </w:r>
      <w:r>
        <w:rPr>
          <w:rFonts w:hint="eastAsia"/>
          <w:b/>
          <w:sz w:val="24"/>
          <w:szCs w:val="28"/>
          <w:highlight w:val="none"/>
        </w:rPr>
        <w:t>2.1</w:t>
      </w:r>
      <w:r>
        <w:rPr>
          <w:sz w:val="24"/>
          <w:szCs w:val="28"/>
          <w:highlight w:val="none"/>
        </w:rPr>
        <w:t xml:space="preserve">  高延性混凝土面层外观质量不应有严重缺陷。硬化后高延性混凝土面层的严重缺陷应按表7.</w:t>
      </w:r>
      <w:r>
        <w:rPr>
          <w:rFonts w:hint="eastAsia"/>
          <w:sz w:val="24"/>
          <w:szCs w:val="28"/>
          <w:highlight w:val="none"/>
        </w:rPr>
        <w:t>2.1</w:t>
      </w:r>
      <w:r>
        <w:rPr>
          <w:sz w:val="24"/>
          <w:szCs w:val="28"/>
          <w:highlight w:val="none"/>
        </w:rPr>
        <w:t>进行检查和评定。对已出现的问题应由施工单位提出处理方案，经业主（监理单位）和设计单位共同认可后进行处理并应重新检查、验收。</w:t>
      </w:r>
    </w:p>
    <w:p>
      <w:pPr>
        <w:spacing w:line="312" w:lineRule="auto"/>
        <w:ind w:firstLine="480" w:firstLineChars="200"/>
        <w:rPr>
          <w:rFonts w:hint="eastAsia" w:eastAsia="宋体"/>
          <w:sz w:val="24"/>
          <w:szCs w:val="28"/>
          <w:highlight w:val="none"/>
          <w:lang w:eastAsia="zh-CN"/>
        </w:rPr>
      </w:pPr>
      <w:r>
        <w:rPr>
          <w:rFonts w:hAnsi="宋体"/>
          <w:sz w:val="24"/>
          <w:szCs w:val="28"/>
          <w:highlight w:val="none"/>
        </w:rPr>
        <w:t>检查数量：全数检查</w:t>
      </w:r>
      <w:r>
        <w:rPr>
          <w:rFonts w:hint="eastAsia" w:hAnsi="宋体"/>
          <w:sz w:val="24"/>
          <w:szCs w:val="28"/>
          <w:highlight w:val="none"/>
          <w:lang w:eastAsia="zh-CN"/>
        </w:rPr>
        <w:t>。</w:t>
      </w:r>
    </w:p>
    <w:p>
      <w:pPr>
        <w:spacing w:line="312" w:lineRule="auto"/>
        <w:ind w:firstLine="480" w:firstLineChars="200"/>
        <w:rPr>
          <w:sz w:val="24"/>
          <w:szCs w:val="28"/>
          <w:highlight w:val="none"/>
        </w:rPr>
      </w:pPr>
      <w:r>
        <w:rPr>
          <w:rFonts w:hAnsi="宋体"/>
          <w:sz w:val="24"/>
          <w:szCs w:val="28"/>
          <w:highlight w:val="none"/>
        </w:rPr>
        <w:t>检验方法：</w:t>
      </w:r>
      <w:r>
        <w:rPr>
          <w:sz w:val="24"/>
          <w:szCs w:val="28"/>
          <w:highlight w:val="none"/>
        </w:rPr>
        <w:t>观察、检查技术处理方案及施工记录。</w:t>
      </w:r>
    </w:p>
    <w:p>
      <w:pPr>
        <w:snapToGrid w:val="0"/>
        <w:spacing w:before="120" w:beforeLines="50" w:line="312" w:lineRule="auto"/>
        <w:jc w:val="center"/>
        <w:rPr>
          <w:sz w:val="21"/>
          <w:szCs w:val="28"/>
          <w:highlight w:val="none"/>
        </w:rPr>
      </w:pPr>
      <w:r>
        <w:rPr>
          <w:rFonts w:eastAsia="黑体"/>
          <w:sz w:val="21"/>
          <w:szCs w:val="28"/>
          <w:highlight w:val="none"/>
        </w:rPr>
        <w:t>表</w:t>
      </w:r>
      <w:r>
        <w:rPr>
          <w:sz w:val="21"/>
          <w:szCs w:val="28"/>
          <w:highlight w:val="none"/>
        </w:rPr>
        <w:t>7</w:t>
      </w:r>
      <w:r>
        <w:rPr>
          <w:rFonts w:hint="eastAsia"/>
          <w:sz w:val="21"/>
          <w:szCs w:val="28"/>
          <w:highlight w:val="none"/>
        </w:rPr>
        <w:t>.2.1</w:t>
      </w:r>
      <w:r>
        <w:rPr>
          <w:rFonts w:eastAsia="黑体"/>
          <w:sz w:val="21"/>
          <w:szCs w:val="28"/>
          <w:highlight w:val="none"/>
        </w:rPr>
        <w:t xml:space="preserve"> 高延性混凝土面层外观质量缺陷</w:t>
      </w:r>
    </w:p>
    <w:tbl>
      <w:tblPr>
        <w:tblStyle w:val="23"/>
        <w:tblW w:w="0" w:type="auto"/>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28" w:type="dxa"/>
          <w:left w:w="57" w:type="dxa"/>
          <w:bottom w:w="28" w:type="dxa"/>
          <w:right w:w="57" w:type="dxa"/>
        </w:tblCellMar>
      </w:tblPr>
      <w:tblGrid>
        <w:gridCol w:w="1290"/>
        <w:gridCol w:w="2591"/>
        <w:gridCol w:w="1984"/>
        <w:gridCol w:w="1871"/>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28" w:type="dxa"/>
            <w:left w:w="57" w:type="dxa"/>
            <w:bottom w:w="28" w:type="dxa"/>
            <w:right w:w="57" w:type="dxa"/>
          </w:tblCellMar>
        </w:tblPrEx>
        <w:trPr>
          <w:trHeight w:val="372" w:hRule="atLeast"/>
          <w:tblHeader/>
          <w:jc w:val="center"/>
        </w:trPr>
        <w:tc>
          <w:tcPr>
            <w:tcW w:w="1290"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21"/>
                <w:szCs w:val="28"/>
                <w:highlight w:val="none"/>
              </w:rPr>
            </w:pPr>
            <w:r>
              <w:rPr>
                <w:sz w:val="21"/>
                <w:szCs w:val="28"/>
                <w:highlight w:val="none"/>
              </w:rPr>
              <w:t>名称</w:t>
            </w:r>
          </w:p>
        </w:tc>
        <w:tc>
          <w:tcPr>
            <w:tcW w:w="259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21"/>
                <w:szCs w:val="28"/>
                <w:highlight w:val="none"/>
              </w:rPr>
            </w:pPr>
            <w:r>
              <w:rPr>
                <w:sz w:val="21"/>
                <w:szCs w:val="28"/>
                <w:highlight w:val="none"/>
              </w:rPr>
              <w:t>现象</w:t>
            </w:r>
          </w:p>
        </w:tc>
        <w:tc>
          <w:tcPr>
            <w:tcW w:w="1984"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21"/>
                <w:szCs w:val="28"/>
                <w:highlight w:val="none"/>
              </w:rPr>
            </w:pPr>
            <w:r>
              <w:rPr>
                <w:sz w:val="21"/>
                <w:szCs w:val="28"/>
                <w:highlight w:val="none"/>
              </w:rPr>
              <w:t>严重缺陷</w:t>
            </w:r>
          </w:p>
        </w:tc>
        <w:tc>
          <w:tcPr>
            <w:tcW w:w="187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21"/>
                <w:szCs w:val="28"/>
                <w:highlight w:val="none"/>
              </w:rPr>
            </w:pPr>
            <w:r>
              <w:rPr>
                <w:sz w:val="21"/>
                <w:szCs w:val="28"/>
                <w:highlight w:val="none"/>
              </w:rPr>
              <w:t>一般缺陷</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28" w:type="dxa"/>
            <w:left w:w="57" w:type="dxa"/>
            <w:bottom w:w="28" w:type="dxa"/>
            <w:right w:w="57" w:type="dxa"/>
          </w:tblCellMar>
        </w:tblPrEx>
        <w:trPr>
          <w:trHeight w:val="340" w:hRule="atLeast"/>
          <w:jc w:val="center"/>
        </w:trPr>
        <w:tc>
          <w:tcPr>
            <w:tcW w:w="1290"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21"/>
                <w:szCs w:val="28"/>
                <w:highlight w:val="none"/>
              </w:rPr>
            </w:pPr>
            <w:r>
              <w:rPr>
                <w:sz w:val="21"/>
                <w:szCs w:val="28"/>
                <w:highlight w:val="none"/>
              </w:rPr>
              <w:t>露筋</w:t>
            </w:r>
          </w:p>
        </w:tc>
        <w:tc>
          <w:tcPr>
            <w:tcW w:w="259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sz w:val="21"/>
                <w:szCs w:val="28"/>
                <w:highlight w:val="none"/>
              </w:rPr>
            </w:pPr>
            <w:r>
              <w:rPr>
                <w:sz w:val="21"/>
                <w:szCs w:val="28"/>
                <w:highlight w:val="none"/>
              </w:rPr>
              <w:t>钢筋网或拉结件未被高延性混凝土包裹而外露</w:t>
            </w:r>
          </w:p>
        </w:tc>
        <w:tc>
          <w:tcPr>
            <w:tcW w:w="1984"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sz w:val="21"/>
                <w:szCs w:val="28"/>
                <w:highlight w:val="none"/>
              </w:rPr>
            </w:pPr>
            <w:r>
              <w:rPr>
                <w:sz w:val="21"/>
                <w:szCs w:val="28"/>
                <w:highlight w:val="none"/>
              </w:rPr>
              <w:t>受力钢筋外露</w:t>
            </w:r>
          </w:p>
        </w:tc>
        <w:tc>
          <w:tcPr>
            <w:tcW w:w="187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sz w:val="21"/>
                <w:szCs w:val="28"/>
                <w:highlight w:val="none"/>
              </w:rPr>
            </w:pPr>
            <w:r>
              <w:rPr>
                <w:sz w:val="21"/>
                <w:szCs w:val="28"/>
                <w:highlight w:val="none"/>
              </w:rPr>
              <w:t>按构造要求设置的钢筋有少量外露</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28" w:type="dxa"/>
            <w:left w:w="57" w:type="dxa"/>
            <w:bottom w:w="28" w:type="dxa"/>
            <w:right w:w="57" w:type="dxa"/>
          </w:tblCellMar>
        </w:tblPrEx>
        <w:trPr>
          <w:trHeight w:val="340" w:hRule="atLeast"/>
          <w:jc w:val="center"/>
        </w:trPr>
        <w:tc>
          <w:tcPr>
            <w:tcW w:w="1290"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21"/>
                <w:szCs w:val="28"/>
                <w:highlight w:val="none"/>
              </w:rPr>
            </w:pPr>
            <w:r>
              <w:rPr>
                <w:sz w:val="21"/>
                <w:szCs w:val="28"/>
                <w:highlight w:val="none"/>
              </w:rPr>
              <w:t>疏松</w:t>
            </w:r>
          </w:p>
        </w:tc>
        <w:tc>
          <w:tcPr>
            <w:tcW w:w="259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sz w:val="21"/>
                <w:szCs w:val="28"/>
                <w:highlight w:val="none"/>
              </w:rPr>
            </w:pPr>
            <w:r>
              <w:rPr>
                <w:sz w:val="21"/>
                <w:szCs w:val="28"/>
                <w:highlight w:val="none"/>
              </w:rPr>
              <w:t>高延性混凝土局部不密实</w:t>
            </w:r>
          </w:p>
        </w:tc>
        <w:tc>
          <w:tcPr>
            <w:tcW w:w="1984"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sz w:val="21"/>
                <w:szCs w:val="28"/>
                <w:highlight w:val="none"/>
              </w:rPr>
            </w:pPr>
            <w:r>
              <w:rPr>
                <w:sz w:val="21"/>
                <w:szCs w:val="28"/>
                <w:highlight w:val="none"/>
              </w:rPr>
              <w:t>构件主要受力部位有疏松</w:t>
            </w:r>
          </w:p>
        </w:tc>
        <w:tc>
          <w:tcPr>
            <w:tcW w:w="187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sz w:val="21"/>
                <w:szCs w:val="28"/>
                <w:highlight w:val="none"/>
              </w:rPr>
            </w:pPr>
            <w:r>
              <w:rPr>
                <w:sz w:val="21"/>
                <w:szCs w:val="28"/>
                <w:highlight w:val="none"/>
              </w:rPr>
              <w:t>其他部位有少量疏松</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28" w:type="dxa"/>
            <w:left w:w="57" w:type="dxa"/>
            <w:bottom w:w="28" w:type="dxa"/>
            <w:right w:w="57" w:type="dxa"/>
          </w:tblCellMar>
        </w:tblPrEx>
        <w:trPr>
          <w:trHeight w:val="340" w:hRule="atLeast"/>
          <w:jc w:val="center"/>
        </w:trPr>
        <w:tc>
          <w:tcPr>
            <w:tcW w:w="1290"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21"/>
                <w:szCs w:val="28"/>
                <w:highlight w:val="none"/>
              </w:rPr>
            </w:pPr>
            <w:r>
              <w:rPr>
                <w:sz w:val="21"/>
                <w:szCs w:val="28"/>
                <w:highlight w:val="none"/>
              </w:rPr>
              <w:t>夹杂异物</w:t>
            </w:r>
          </w:p>
        </w:tc>
        <w:tc>
          <w:tcPr>
            <w:tcW w:w="259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sz w:val="21"/>
                <w:szCs w:val="28"/>
                <w:highlight w:val="none"/>
              </w:rPr>
            </w:pPr>
            <w:r>
              <w:rPr>
                <w:sz w:val="21"/>
                <w:szCs w:val="28"/>
                <w:highlight w:val="none"/>
              </w:rPr>
              <w:t>高延性混凝土中夹有异物</w:t>
            </w:r>
          </w:p>
        </w:tc>
        <w:tc>
          <w:tcPr>
            <w:tcW w:w="1984"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sz w:val="21"/>
                <w:szCs w:val="28"/>
                <w:highlight w:val="none"/>
              </w:rPr>
            </w:pPr>
            <w:r>
              <w:rPr>
                <w:sz w:val="21"/>
                <w:szCs w:val="28"/>
                <w:highlight w:val="none"/>
              </w:rPr>
              <w:t>构件主要受力部位夹有异物</w:t>
            </w:r>
          </w:p>
        </w:tc>
        <w:tc>
          <w:tcPr>
            <w:tcW w:w="187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sz w:val="21"/>
                <w:szCs w:val="28"/>
                <w:highlight w:val="none"/>
              </w:rPr>
            </w:pPr>
            <w:r>
              <w:rPr>
                <w:sz w:val="21"/>
                <w:szCs w:val="28"/>
                <w:highlight w:val="none"/>
              </w:rPr>
              <w:t>其他部位夹有少量异物</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28" w:type="dxa"/>
            <w:left w:w="57" w:type="dxa"/>
            <w:bottom w:w="28" w:type="dxa"/>
            <w:right w:w="57" w:type="dxa"/>
          </w:tblCellMar>
        </w:tblPrEx>
        <w:trPr>
          <w:trHeight w:val="340" w:hRule="atLeast"/>
          <w:jc w:val="center"/>
        </w:trPr>
        <w:tc>
          <w:tcPr>
            <w:tcW w:w="1290"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21"/>
                <w:szCs w:val="28"/>
                <w:highlight w:val="none"/>
              </w:rPr>
            </w:pPr>
            <w:r>
              <w:rPr>
                <w:sz w:val="21"/>
                <w:szCs w:val="28"/>
                <w:highlight w:val="none"/>
              </w:rPr>
              <w:t>硬化（或固化）不良</w:t>
            </w:r>
          </w:p>
        </w:tc>
        <w:tc>
          <w:tcPr>
            <w:tcW w:w="259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sz w:val="21"/>
                <w:szCs w:val="28"/>
                <w:highlight w:val="none"/>
              </w:rPr>
            </w:pPr>
            <w:r>
              <w:rPr>
                <w:sz w:val="21"/>
                <w:szCs w:val="28"/>
                <w:highlight w:val="none"/>
              </w:rPr>
              <w:t>高延性混凝土材料失效，致使面层不硬化（或</w:t>
            </w:r>
            <w:r>
              <w:rPr>
                <w:rFonts w:hint="eastAsia"/>
                <w:sz w:val="21"/>
                <w:szCs w:val="28"/>
                <w:highlight w:val="none"/>
              </w:rPr>
              <w:t>不</w:t>
            </w:r>
            <w:r>
              <w:rPr>
                <w:sz w:val="21"/>
                <w:szCs w:val="28"/>
                <w:highlight w:val="none"/>
              </w:rPr>
              <w:t>固化）</w:t>
            </w:r>
          </w:p>
        </w:tc>
        <w:tc>
          <w:tcPr>
            <w:tcW w:w="1984"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sz w:val="21"/>
                <w:szCs w:val="28"/>
                <w:highlight w:val="none"/>
              </w:rPr>
            </w:pPr>
            <w:r>
              <w:rPr>
                <w:sz w:val="21"/>
                <w:szCs w:val="28"/>
                <w:highlight w:val="none"/>
              </w:rPr>
              <w:t>任何部位不硬化（或</w:t>
            </w:r>
            <w:r>
              <w:rPr>
                <w:rFonts w:hint="eastAsia"/>
                <w:sz w:val="21"/>
                <w:szCs w:val="28"/>
                <w:highlight w:val="none"/>
              </w:rPr>
              <w:t>不</w:t>
            </w:r>
            <w:r>
              <w:rPr>
                <w:sz w:val="21"/>
                <w:szCs w:val="28"/>
                <w:highlight w:val="none"/>
              </w:rPr>
              <w:t>固化）</w:t>
            </w:r>
          </w:p>
        </w:tc>
        <w:tc>
          <w:tcPr>
            <w:tcW w:w="187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eastAsia="宋体"/>
                <w:sz w:val="21"/>
                <w:szCs w:val="28"/>
                <w:highlight w:val="none"/>
                <w:lang w:eastAsia="zh-CN"/>
              </w:rPr>
            </w:pPr>
            <w:r>
              <w:rPr>
                <w:rFonts w:hint="eastAsia"/>
                <w:sz w:val="21"/>
                <w:szCs w:val="28"/>
                <w:highlight w:val="none"/>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28" w:type="dxa"/>
            <w:left w:w="57" w:type="dxa"/>
            <w:bottom w:w="28" w:type="dxa"/>
            <w:right w:w="57" w:type="dxa"/>
          </w:tblCellMar>
        </w:tblPrEx>
        <w:trPr>
          <w:trHeight w:val="340" w:hRule="atLeast"/>
          <w:jc w:val="center"/>
        </w:trPr>
        <w:tc>
          <w:tcPr>
            <w:tcW w:w="1290"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21"/>
                <w:szCs w:val="28"/>
                <w:highlight w:val="none"/>
              </w:rPr>
            </w:pPr>
            <w:r>
              <w:rPr>
                <w:sz w:val="21"/>
                <w:szCs w:val="28"/>
                <w:highlight w:val="none"/>
              </w:rPr>
              <w:t>裂缝</w:t>
            </w:r>
          </w:p>
        </w:tc>
        <w:tc>
          <w:tcPr>
            <w:tcW w:w="259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sz w:val="21"/>
                <w:szCs w:val="28"/>
                <w:highlight w:val="none"/>
              </w:rPr>
            </w:pPr>
            <w:r>
              <w:rPr>
                <w:sz w:val="21"/>
                <w:szCs w:val="28"/>
                <w:highlight w:val="none"/>
              </w:rPr>
              <w:t>缝隙从高延性混凝土面层表面延伸至内部</w:t>
            </w:r>
          </w:p>
        </w:tc>
        <w:tc>
          <w:tcPr>
            <w:tcW w:w="1984"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sz w:val="21"/>
                <w:szCs w:val="28"/>
                <w:highlight w:val="none"/>
              </w:rPr>
            </w:pPr>
            <w:r>
              <w:rPr>
                <w:rFonts w:hint="eastAsia"/>
                <w:sz w:val="21"/>
                <w:szCs w:val="28"/>
                <w:highlight w:val="none"/>
              </w:rPr>
              <w:t>构件有影响结构性能或使用功能的裂缝</w:t>
            </w:r>
          </w:p>
        </w:tc>
        <w:tc>
          <w:tcPr>
            <w:tcW w:w="187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sz w:val="21"/>
                <w:szCs w:val="28"/>
                <w:highlight w:val="none"/>
              </w:rPr>
            </w:pPr>
            <w:r>
              <w:rPr>
                <w:sz w:val="21"/>
                <w:szCs w:val="28"/>
                <w:highlight w:val="none"/>
              </w:rPr>
              <w:t>仅有表面细裂纹</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28" w:type="dxa"/>
            <w:left w:w="57" w:type="dxa"/>
            <w:bottom w:w="28" w:type="dxa"/>
            <w:right w:w="57" w:type="dxa"/>
          </w:tblCellMar>
        </w:tblPrEx>
        <w:trPr>
          <w:trHeight w:val="340" w:hRule="atLeast"/>
          <w:jc w:val="center"/>
        </w:trPr>
        <w:tc>
          <w:tcPr>
            <w:tcW w:w="1290"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21"/>
                <w:szCs w:val="28"/>
                <w:highlight w:val="none"/>
              </w:rPr>
            </w:pPr>
            <w:r>
              <w:rPr>
                <w:sz w:val="21"/>
                <w:szCs w:val="28"/>
                <w:highlight w:val="none"/>
              </w:rPr>
              <w:t>连接部位缺陷</w:t>
            </w:r>
          </w:p>
        </w:tc>
        <w:tc>
          <w:tcPr>
            <w:tcW w:w="259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sz w:val="21"/>
                <w:szCs w:val="28"/>
                <w:highlight w:val="none"/>
              </w:rPr>
            </w:pPr>
            <w:r>
              <w:rPr>
                <w:sz w:val="21"/>
                <w:szCs w:val="28"/>
                <w:highlight w:val="none"/>
              </w:rPr>
              <w:t>构件端部连接处高延性混凝土面层分离或锚固件与面层之间松动、脱落</w:t>
            </w:r>
          </w:p>
        </w:tc>
        <w:tc>
          <w:tcPr>
            <w:tcW w:w="1984"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sz w:val="21"/>
                <w:szCs w:val="28"/>
                <w:highlight w:val="none"/>
              </w:rPr>
            </w:pPr>
            <w:r>
              <w:rPr>
                <w:sz w:val="21"/>
                <w:szCs w:val="28"/>
                <w:highlight w:val="none"/>
              </w:rPr>
              <w:t>连接部位有影响结构传力性能的缺陷</w:t>
            </w:r>
          </w:p>
        </w:tc>
        <w:tc>
          <w:tcPr>
            <w:tcW w:w="187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sz w:val="21"/>
                <w:szCs w:val="28"/>
                <w:highlight w:val="none"/>
              </w:rPr>
            </w:pPr>
            <w:r>
              <w:rPr>
                <w:sz w:val="21"/>
                <w:szCs w:val="28"/>
                <w:highlight w:val="none"/>
              </w:rPr>
              <w:t>连接部位有轻微影响或不影响传力性能的缺陷</w:t>
            </w:r>
          </w:p>
        </w:tc>
      </w:tr>
    </w:tbl>
    <w:p>
      <w:pPr>
        <w:spacing w:line="312" w:lineRule="auto"/>
        <w:rPr>
          <w:sz w:val="24"/>
          <w:szCs w:val="28"/>
          <w:highlight w:val="none"/>
        </w:rPr>
      </w:pPr>
      <w:r>
        <w:rPr>
          <w:b/>
          <w:sz w:val="24"/>
          <w:szCs w:val="28"/>
          <w:highlight w:val="none"/>
        </w:rPr>
        <w:t>7.</w:t>
      </w:r>
      <w:r>
        <w:rPr>
          <w:rFonts w:hint="eastAsia"/>
          <w:b/>
          <w:sz w:val="24"/>
          <w:szCs w:val="28"/>
          <w:highlight w:val="none"/>
        </w:rPr>
        <w:t>2.2</w:t>
      </w:r>
      <w:r>
        <w:rPr>
          <w:b/>
          <w:sz w:val="24"/>
          <w:szCs w:val="28"/>
          <w:highlight w:val="none"/>
        </w:rPr>
        <w:t xml:space="preserve"> </w:t>
      </w:r>
      <w:r>
        <w:rPr>
          <w:sz w:val="24"/>
          <w:szCs w:val="28"/>
          <w:highlight w:val="none"/>
        </w:rPr>
        <w:t xml:space="preserve"> 高延性混凝土与基材界面粘结的施工质量，可采用现场锤击法或其他探测法进行探查。</w:t>
      </w:r>
      <w:r>
        <w:rPr>
          <w:rFonts w:hint="eastAsia"/>
          <w:sz w:val="24"/>
          <w:szCs w:val="28"/>
          <w:highlight w:val="none"/>
        </w:rPr>
        <w:t>构件有效粘结面积与构件总粘结面积之比的百分率不小于90%时，判定为合格。</w:t>
      </w:r>
    </w:p>
    <w:p>
      <w:pPr>
        <w:spacing w:line="312" w:lineRule="auto"/>
        <w:ind w:firstLine="480" w:firstLineChars="200"/>
        <w:rPr>
          <w:sz w:val="24"/>
          <w:szCs w:val="28"/>
          <w:highlight w:val="none"/>
        </w:rPr>
      </w:pPr>
      <w:r>
        <w:rPr>
          <w:sz w:val="24"/>
          <w:szCs w:val="28"/>
          <w:highlight w:val="none"/>
        </w:rPr>
        <w:t>检查数量：每一检验批抽取</w:t>
      </w:r>
      <w:r>
        <w:rPr>
          <w:rFonts w:hint="eastAsia"/>
          <w:sz w:val="24"/>
          <w:szCs w:val="28"/>
          <w:highlight w:val="none"/>
        </w:rPr>
        <w:t>加固构件的</w:t>
      </w:r>
      <w:r>
        <w:rPr>
          <w:sz w:val="24"/>
          <w:szCs w:val="28"/>
          <w:highlight w:val="none"/>
        </w:rPr>
        <w:t>5%，且不少于5</w:t>
      </w:r>
      <w:r>
        <w:rPr>
          <w:rFonts w:hint="eastAsia"/>
          <w:sz w:val="24"/>
          <w:szCs w:val="28"/>
          <w:highlight w:val="none"/>
        </w:rPr>
        <w:t>个构件</w:t>
      </w:r>
      <w:r>
        <w:rPr>
          <w:sz w:val="24"/>
          <w:szCs w:val="28"/>
          <w:highlight w:val="none"/>
        </w:rPr>
        <w:t>；</w:t>
      </w:r>
      <w:r>
        <w:rPr>
          <w:rFonts w:hint="eastAsia"/>
          <w:sz w:val="24"/>
          <w:szCs w:val="28"/>
          <w:highlight w:val="none"/>
        </w:rPr>
        <w:t>不足5个构件时全部检查。</w:t>
      </w:r>
    </w:p>
    <w:p>
      <w:pPr>
        <w:spacing w:line="312" w:lineRule="auto"/>
        <w:ind w:firstLine="480" w:firstLineChars="200"/>
        <w:rPr>
          <w:sz w:val="24"/>
          <w:szCs w:val="28"/>
          <w:highlight w:val="none"/>
        </w:rPr>
      </w:pPr>
      <w:r>
        <w:rPr>
          <w:sz w:val="24"/>
          <w:szCs w:val="28"/>
          <w:highlight w:val="none"/>
        </w:rPr>
        <w:t>检验方法：用小锤轻击或其他探测方法查空鼓。</w:t>
      </w:r>
    </w:p>
    <w:p>
      <w:pPr>
        <w:spacing w:line="312" w:lineRule="auto"/>
        <w:rPr>
          <w:rFonts w:hint="eastAsia" w:ascii="楷体" w:hAnsi="楷体" w:eastAsia="楷体" w:cs="楷体"/>
          <w:kern w:val="2"/>
          <w:sz w:val="24"/>
          <w:szCs w:val="24"/>
          <w:highlight w:val="none"/>
          <w:u w:val="single"/>
          <w:lang w:val="en-US" w:eastAsia="zh-CN" w:bidi="ar-SA"/>
        </w:rPr>
      </w:pPr>
      <w:r>
        <w:rPr>
          <w:rFonts w:hint="eastAsia" w:ascii="楷体" w:hAnsi="楷体" w:eastAsia="楷体" w:cs="楷体"/>
          <w:b w:val="0"/>
          <w:bCs/>
          <w:sz w:val="24"/>
          <w:szCs w:val="24"/>
          <w:highlight w:val="none"/>
          <w:u w:val="single"/>
        </w:rPr>
        <w:t>【条文说明】</w:t>
      </w:r>
      <w:r>
        <w:rPr>
          <w:rFonts w:hint="eastAsia" w:ascii="楷体" w:hAnsi="楷体" w:eastAsia="楷体" w:cs="楷体"/>
          <w:kern w:val="2"/>
          <w:sz w:val="24"/>
          <w:szCs w:val="24"/>
          <w:highlight w:val="none"/>
          <w:u w:val="single"/>
          <w:lang w:val="en-US" w:eastAsia="zh-CN" w:bidi="ar-SA"/>
        </w:rPr>
        <w:t>高延性混凝土与被加固构件之间的粘结状况对加固层与原构件之间的共同工作起到重要作用，控制粘结空鼓率属于重要的检验项目。</w:t>
      </w:r>
    </w:p>
    <w:p>
      <w:pPr>
        <w:spacing w:line="312" w:lineRule="auto"/>
        <w:rPr>
          <w:sz w:val="24"/>
          <w:szCs w:val="28"/>
          <w:highlight w:val="none"/>
        </w:rPr>
      </w:pPr>
      <w:r>
        <w:rPr>
          <w:b/>
          <w:sz w:val="24"/>
          <w:szCs w:val="28"/>
          <w:highlight w:val="none"/>
        </w:rPr>
        <w:t>7.</w:t>
      </w:r>
      <w:r>
        <w:rPr>
          <w:rFonts w:hint="eastAsia"/>
          <w:b/>
          <w:sz w:val="24"/>
          <w:szCs w:val="28"/>
          <w:highlight w:val="none"/>
        </w:rPr>
        <w:t>2.3</w:t>
      </w:r>
      <w:r>
        <w:rPr>
          <w:sz w:val="24"/>
          <w:szCs w:val="28"/>
          <w:highlight w:val="none"/>
        </w:rPr>
        <w:t xml:space="preserve">  高延性混凝土面层或配筋高延性混凝土面层的厚度不应小于设计要求，</w:t>
      </w:r>
      <w:r>
        <w:rPr>
          <w:rFonts w:hint="eastAsia"/>
          <w:sz w:val="24"/>
          <w:szCs w:val="28"/>
          <w:highlight w:val="none"/>
        </w:rPr>
        <w:t>并应符合本标准的相关规定</w:t>
      </w:r>
      <w:r>
        <w:rPr>
          <w:rFonts w:hint="eastAsia"/>
          <w:sz w:val="24"/>
          <w:szCs w:val="28"/>
          <w:highlight w:val="none"/>
          <w:lang w:eastAsia="zh-CN"/>
        </w:rPr>
        <w:t>，</w:t>
      </w:r>
      <w:r>
        <w:rPr>
          <w:sz w:val="24"/>
          <w:szCs w:val="28"/>
          <w:highlight w:val="none"/>
        </w:rPr>
        <w:t>且面层厚度仅允许出现正偏差、无负偏差进行合格判定，抽样合格率不应小于90%。</w:t>
      </w:r>
    </w:p>
    <w:p>
      <w:pPr>
        <w:spacing w:line="312" w:lineRule="auto"/>
        <w:ind w:firstLine="480" w:firstLineChars="200"/>
        <w:rPr>
          <w:sz w:val="24"/>
          <w:szCs w:val="28"/>
          <w:highlight w:val="none"/>
        </w:rPr>
      </w:pPr>
      <w:r>
        <w:rPr>
          <w:sz w:val="24"/>
          <w:szCs w:val="28"/>
          <w:highlight w:val="none"/>
        </w:rPr>
        <w:t>检查数量：每一检验批抽取</w:t>
      </w:r>
      <w:r>
        <w:rPr>
          <w:rFonts w:hint="eastAsia"/>
          <w:sz w:val="24"/>
          <w:szCs w:val="28"/>
          <w:highlight w:val="none"/>
        </w:rPr>
        <w:t>加固构件的</w:t>
      </w:r>
      <w:r>
        <w:rPr>
          <w:sz w:val="24"/>
          <w:szCs w:val="28"/>
          <w:highlight w:val="none"/>
        </w:rPr>
        <w:t>5%，且不少于5</w:t>
      </w:r>
      <w:r>
        <w:rPr>
          <w:rFonts w:hint="eastAsia"/>
          <w:sz w:val="24"/>
          <w:szCs w:val="28"/>
          <w:highlight w:val="none"/>
        </w:rPr>
        <w:t>个构件</w:t>
      </w:r>
      <w:r>
        <w:rPr>
          <w:sz w:val="24"/>
          <w:szCs w:val="28"/>
          <w:highlight w:val="none"/>
        </w:rPr>
        <w:t>；</w:t>
      </w:r>
      <w:r>
        <w:rPr>
          <w:rFonts w:hint="eastAsia"/>
          <w:sz w:val="24"/>
          <w:szCs w:val="28"/>
          <w:highlight w:val="none"/>
        </w:rPr>
        <w:t>不足5个构件时全部检查；每个构件检查点应不少于3处。</w:t>
      </w:r>
    </w:p>
    <w:p>
      <w:pPr>
        <w:spacing w:line="312" w:lineRule="auto"/>
        <w:ind w:firstLine="480" w:firstLineChars="200"/>
        <w:rPr>
          <w:sz w:val="24"/>
          <w:szCs w:val="28"/>
          <w:highlight w:val="none"/>
        </w:rPr>
      </w:pPr>
      <w:r>
        <w:rPr>
          <w:sz w:val="24"/>
          <w:szCs w:val="28"/>
          <w:highlight w:val="none"/>
        </w:rPr>
        <w:t>检验方法：局部凿开后用钢尺测量。</w:t>
      </w:r>
    </w:p>
    <w:p>
      <w:pPr>
        <w:spacing w:line="312" w:lineRule="auto"/>
        <w:ind w:firstLine="440" w:firstLineChars="200"/>
        <w:rPr>
          <w:sz w:val="22"/>
          <w:szCs w:val="28"/>
          <w:highlight w:val="none"/>
        </w:rPr>
      </w:pPr>
      <w:r>
        <w:rPr>
          <w:sz w:val="22"/>
          <w:szCs w:val="28"/>
          <w:highlight w:val="none"/>
        </w:rPr>
        <w:t>注：面层厚度检验的检测误差不应大于1mm。</w:t>
      </w:r>
    </w:p>
    <w:p>
      <w:pPr>
        <w:pStyle w:val="2"/>
        <w:keepNext w:val="0"/>
        <w:keepLines w:val="0"/>
        <w:pageBreakBefore w:val="0"/>
        <w:widowControl w:val="0"/>
        <w:kinsoku/>
        <w:wordWrap/>
        <w:overflowPunct/>
        <w:topLinePunct w:val="0"/>
        <w:autoSpaceDE/>
        <w:autoSpaceDN/>
        <w:bidi w:val="0"/>
        <w:adjustRightInd/>
        <w:snapToGrid/>
        <w:spacing w:after="0" w:line="312" w:lineRule="auto"/>
        <w:textAlignment w:val="auto"/>
        <w:rPr>
          <w:rFonts w:hint="eastAsia" w:ascii="楷体" w:hAnsi="楷体" w:eastAsia="楷体" w:cs="楷体"/>
          <w:kern w:val="2"/>
          <w:sz w:val="24"/>
          <w:szCs w:val="24"/>
          <w:highlight w:val="none"/>
          <w:u w:val="single"/>
          <w:lang w:val="en-US" w:eastAsia="zh-CN" w:bidi="ar-SA"/>
        </w:rPr>
      </w:pPr>
      <w:r>
        <w:rPr>
          <w:rFonts w:hint="eastAsia" w:ascii="楷体" w:hAnsi="楷体" w:eastAsia="楷体" w:cs="楷体"/>
          <w:b w:val="0"/>
          <w:bCs/>
          <w:sz w:val="24"/>
          <w:szCs w:val="24"/>
          <w:highlight w:val="none"/>
          <w:u w:val="single"/>
        </w:rPr>
        <w:t>【条文说明】</w:t>
      </w:r>
      <w:r>
        <w:rPr>
          <w:rFonts w:hint="eastAsia" w:ascii="楷体" w:hAnsi="楷体" w:eastAsia="楷体" w:cs="楷体"/>
          <w:kern w:val="2"/>
          <w:sz w:val="24"/>
          <w:szCs w:val="24"/>
          <w:highlight w:val="none"/>
          <w:u w:val="single"/>
          <w:lang w:val="en-US" w:eastAsia="zh-CN" w:bidi="ar-SA"/>
        </w:rPr>
        <w:t>高延性混凝土面层的厚度决定了加固层可以提供的承载力大小，因此，为了保证加固效果，加固层厚度不应小于设计厚度，即不应出现负偏差。</w:t>
      </w:r>
    </w:p>
    <w:p>
      <w:pPr>
        <w:spacing w:line="312" w:lineRule="auto"/>
        <w:rPr>
          <w:sz w:val="24"/>
          <w:szCs w:val="28"/>
          <w:highlight w:val="none"/>
        </w:rPr>
      </w:pPr>
      <w:bookmarkStart w:id="1347" w:name="_Toc27306677"/>
      <w:bookmarkStart w:id="1348" w:name="_Toc25690654"/>
      <w:bookmarkStart w:id="1349" w:name="_Toc27306538"/>
      <w:bookmarkStart w:id="1350" w:name="_Toc27307683"/>
      <w:bookmarkStart w:id="1351" w:name="_Toc25690925"/>
      <w:bookmarkStart w:id="1352" w:name="_Toc27307543"/>
      <w:r>
        <w:rPr>
          <w:b/>
          <w:sz w:val="24"/>
          <w:szCs w:val="28"/>
          <w:highlight w:val="none"/>
        </w:rPr>
        <w:t>7.</w:t>
      </w:r>
      <w:r>
        <w:rPr>
          <w:rFonts w:hint="eastAsia"/>
          <w:b/>
          <w:sz w:val="24"/>
          <w:szCs w:val="28"/>
          <w:highlight w:val="none"/>
        </w:rPr>
        <w:t>2.4</w:t>
      </w:r>
      <w:r>
        <w:rPr>
          <w:sz w:val="24"/>
          <w:szCs w:val="28"/>
          <w:highlight w:val="none"/>
        </w:rPr>
        <w:t xml:space="preserve">  新增钢筋</w:t>
      </w:r>
      <w:r>
        <w:rPr>
          <w:rFonts w:hint="eastAsia"/>
          <w:sz w:val="24"/>
          <w:szCs w:val="28"/>
          <w:highlight w:val="none"/>
        </w:rPr>
        <w:t>的</w:t>
      </w:r>
      <w:r>
        <w:rPr>
          <w:sz w:val="24"/>
          <w:szCs w:val="28"/>
          <w:highlight w:val="none"/>
        </w:rPr>
        <w:t>连接、安装应符合设计文件、</w:t>
      </w:r>
      <w:r>
        <w:rPr>
          <w:rFonts w:hint="eastAsia"/>
          <w:sz w:val="24"/>
          <w:szCs w:val="28"/>
          <w:highlight w:val="none"/>
        </w:rPr>
        <w:t>现行国家标准</w:t>
      </w:r>
      <w:r>
        <w:rPr>
          <w:sz w:val="24"/>
          <w:szCs w:val="28"/>
          <w:highlight w:val="none"/>
        </w:rPr>
        <w:t>《混凝土结构工程施工质量验收规范》GB 50204及</w:t>
      </w:r>
      <w:r>
        <w:rPr>
          <w:rFonts w:hint="eastAsia"/>
          <w:sz w:val="24"/>
          <w:szCs w:val="28"/>
          <w:highlight w:val="none"/>
        </w:rPr>
        <w:t>本标准</w:t>
      </w:r>
      <w:r>
        <w:rPr>
          <w:sz w:val="24"/>
          <w:szCs w:val="28"/>
          <w:highlight w:val="none"/>
        </w:rPr>
        <w:t>的相关要求；并应在高延性混凝土施工前进行隐蔽工程验收。</w:t>
      </w:r>
    </w:p>
    <w:p>
      <w:pPr>
        <w:spacing w:line="312" w:lineRule="auto"/>
        <w:ind w:firstLine="480" w:firstLineChars="200"/>
        <w:rPr>
          <w:sz w:val="24"/>
          <w:szCs w:val="28"/>
          <w:highlight w:val="none"/>
        </w:rPr>
      </w:pPr>
      <w:r>
        <w:rPr>
          <w:sz w:val="24"/>
          <w:szCs w:val="28"/>
          <w:highlight w:val="none"/>
        </w:rPr>
        <w:t>检查数量：全数检查。</w:t>
      </w:r>
    </w:p>
    <w:p>
      <w:pPr>
        <w:spacing w:line="312" w:lineRule="auto"/>
        <w:ind w:firstLine="480" w:firstLineChars="200"/>
        <w:rPr>
          <w:sz w:val="24"/>
          <w:szCs w:val="28"/>
          <w:highlight w:val="none"/>
        </w:rPr>
      </w:pPr>
      <w:r>
        <w:rPr>
          <w:sz w:val="24"/>
          <w:szCs w:val="28"/>
          <w:highlight w:val="none"/>
        </w:rPr>
        <w:t>检验方法：尺量检查；观察检查；核查隐蔽工程验收记录。</w:t>
      </w:r>
    </w:p>
    <w:p>
      <w:pPr>
        <w:spacing w:line="312" w:lineRule="auto"/>
        <w:rPr>
          <w:sz w:val="24"/>
          <w:szCs w:val="28"/>
          <w:highlight w:val="none"/>
        </w:rPr>
      </w:pPr>
      <w:r>
        <w:rPr>
          <w:b/>
          <w:sz w:val="24"/>
          <w:szCs w:val="28"/>
          <w:highlight w:val="none"/>
        </w:rPr>
        <w:t>7.</w:t>
      </w:r>
      <w:r>
        <w:rPr>
          <w:rFonts w:hint="eastAsia"/>
          <w:b/>
          <w:sz w:val="24"/>
          <w:szCs w:val="28"/>
          <w:highlight w:val="none"/>
        </w:rPr>
        <w:t>2.5</w:t>
      </w:r>
      <w:r>
        <w:rPr>
          <w:sz w:val="24"/>
          <w:szCs w:val="28"/>
          <w:highlight w:val="none"/>
        </w:rPr>
        <w:t xml:space="preserve">  高延性混凝土面层中配置钢筋时，应对钢筋的保护层厚度进行检测，可采用局部凿开检查法或非破损探测法。检测时，应按钢筋网保护层厚度仅允许有5mm正偏差、无负偏差进行合格判定。</w:t>
      </w:r>
    </w:p>
    <w:p>
      <w:pPr>
        <w:spacing w:line="312" w:lineRule="auto"/>
        <w:ind w:firstLine="480" w:firstLineChars="200"/>
        <w:rPr>
          <w:sz w:val="24"/>
          <w:szCs w:val="28"/>
          <w:highlight w:val="none"/>
        </w:rPr>
      </w:pPr>
      <w:r>
        <w:rPr>
          <w:sz w:val="24"/>
          <w:szCs w:val="28"/>
          <w:highlight w:val="none"/>
        </w:rPr>
        <w:t>检查数量：每一检验批抽取</w:t>
      </w:r>
      <w:r>
        <w:rPr>
          <w:rFonts w:hint="eastAsia"/>
          <w:sz w:val="24"/>
          <w:szCs w:val="28"/>
          <w:highlight w:val="none"/>
        </w:rPr>
        <w:t>加固构件的</w:t>
      </w:r>
      <w:r>
        <w:rPr>
          <w:sz w:val="24"/>
          <w:szCs w:val="28"/>
          <w:highlight w:val="none"/>
        </w:rPr>
        <w:t>5%，且不少于5</w:t>
      </w:r>
      <w:r>
        <w:rPr>
          <w:rFonts w:hint="eastAsia"/>
          <w:sz w:val="24"/>
          <w:szCs w:val="28"/>
          <w:highlight w:val="none"/>
        </w:rPr>
        <w:t>个构件</w:t>
      </w:r>
      <w:r>
        <w:rPr>
          <w:sz w:val="24"/>
          <w:szCs w:val="28"/>
          <w:highlight w:val="none"/>
        </w:rPr>
        <w:t>；</w:t>
      </w:r>
      <w:r>
        <w:rPr>
          <w:rFonts w:hint="eastAsia"/>
          <w:sz w:val="24"/>
          <w:szCs w:val="28"/>
          <w:highlight w:val="none"/>
        </w:rPr>
        <w:t>不足5个构件时全部检查。</w:t>
      </w:r>
    </w:p>
    <w:p>
      <w:pPr>
        <w:spacing w:line="312" w:lineRule="auto"/>
        <w:ind w:firstLine="480" w:firstLineChars="200"/>
        <w:rPr>
          <w:sz w:val="24"/>
          <w:szCs w:val="28"/>
          <w:highlight w:val="none"/>
        </w:rPr>
      </w:pPr>
      <w:r>
        <w:rPr>
          <w:sz w:val="24"/>
          <w:szCs w:val="28"/>
          <w:highlight w:val="none"/>
        </w:rPr>
        <w:t>检验方法：局部凿开后用钢尺测量，或采用非破损探测方法检测。</w:t>
      </w:r>
    </w:p>
    <w:p>
      <w:pPr>
        <w:spacing w:line="312" w:lineRule="auto"/>
        <w:ind w:firstLine="420" w:firstLineChars="200"/>
        <w:rPr>
          <w:sz w:val="21"/>
          <w:szCs w:val="28"/>
          <w:highlight w:val="none"/>
        </w:rPr>
      </w:pPr>
      <w:r>
        <w:rPr>
          <w:sz w:val="21"/>
          <w:szCs w:val="28"/>
          <w:highlight w:val="none"/>
        </w:rPr>
        <w:t>注：钢筋保护层厚度检验的检测误差不应大于1mm。</w:t>
      </w:r>
    </w:p>
    <w:p>
      <w:pPr>
        <w:pStyle w:val="2"/>
      </w:pPr>
    </w:p>
    <w:bookmarkEnd w:id="1347"/>
    <w:bookmarkEnd w:id="1348"/>
    <w:bookmarkEnd w:id="1349"/>
    <w:bookmarkEnd w:id="1350"/>
    <w:bookmarkEnd w:id="1351"/>
    <w:bookmarkEnd w:id="1352"/>
    <w:p>
      <w:pPr>
        <w:spacing w:line="360" w:lineRule="auto"/>
        <w:jc w:val="center"/>
        <w:outlineLvl w:val="1"/>
        <w:rPr>
          <w:rFonts w:eastAsia="黑体"/>
          <w:sz w:val="24"/>
          <w:szCs w:val="28"/>
          <w:highlight w:val="none"/>
        </w:rPr>
      </w:pPr>
      <w:bookmarkStart w:id="1353" w:name="_Toc875"/>
      <w:bookmarkStart w:id="1354" w:name="_Toc17690"/>
      <w:bookmarkStart w:id="1355" w:name="_Toc892"/>
      <w:r>
        <w:rPr>
          <w:rFonts w:eastAsia="黑体"/>
          <w:b/>
          <w:sz w:val="24"/>
          <w:szCs w:val="28"/>
          <w:highlight w:val="none"/>
        </w:rPr>
        <w:t>7.</w:t>
      </w:r>
      <w:r>
        <w:rPr>
          <w:rFonts w:hint="eastAsia" w:eastAsia="黑体"/>
          <w:b/>
          <w:sz w:val="24"/>
          <w:szCs w:val="28"/>
          <w:highlight w:val="none"/>
        </w:rPr>
        <w:t>3</w:t>
      </w:r>
      <w:r>
        <w:rPr>
          <w:rFonts w:eastAsia="黑体"/>
          <w:b/>
          <w:sz w:val="24"/>
          <w:szCs w:val="28"/>
          <w:highlight w:val="none"/>
        </w:rPr>
        <w:t xml:space="preserve"> </w:t>
      </w:r>
      <w:r>
        <w:rPr>
          <w:rFonts w:eastAsia="黑体"/>
          <w:sz w:val="24"/>
          <w:szCs w:val="28"/>
          <w:highlight w:val="none"/>
        </w:rPr>
        <w:t xml:space="preserve"> </w:t>
      </w:r>
      <w:r>
        <w:rPr>
          <w:rFonts w:hint="eastAsia" w:eastAsia="黑体"/>
          <w:sz w:val="24"/>
          <w:szCs w:val="28"/>
          <w:highlight w:val="none"/>
        </w:rPr>
        <w:t>一般</w:t>
      </w:r>
      <w:r>
        <w:rPr>
          <w:rFonts w:eastAsia="黑体"/>
          <w:sz w:val="24"/>
          <w:szCs w:val="28"/>
          <w:highlight w:val="none"/>
        </w:rPr>
        <w:t>项目</w:t>
      </w:r>
      <w:bookmarkEnd w:id="1353"/>
      <w:bookmarkEnd w:id="1354"/>
      <w:bookmarkEnd w:id="1355"/>
    </w:p>
    <w:p>
      <w:pPr>
        <w:spacing w:line="312" w:lineRule="auto"/>
        <w:rPr>
          <w:sz w:val="24"/>
          <w:szCs w:val="28"/>
          <w:highlight w:val="none"/>
        </w:rPr>
      </w:pPr>
      <w:r>
        <w:rPr>
          <w:b/>
          <w:sz w:val="24"/>
          <w:szCs w:val="28"/>
          <w:highlight w:val="none"/>
        </w:rPr>
        <w:t>7.3.1</w:t>
      </w:r>
      <w:r>
        <w:rPr>
          <w:sz w:val="24"/>
          <w:szCs w:val="28"/>
          <w:highlight w:val="none"/>
        </w:rPr>
        <w:t xml:space="preserve">  高延性混凝土面层外观质量不宜有一般缺陷。对已出现的一般缺陷，应由施工单位按技术处理方案进行处理，并重新检查验收。</w:t>
      </w:r>
    </w:p>
    <w:p>
      <w:pPr>
        <w:spacing w:line="312" w:lineRule="auto"/>
        <w:ind w:firstLine="480" w:firstLineChars="200"/>
        <w:rPr>
          <w:rFonts w:hint="eastAsia" w:eastAsia="宋体"/>
          <w:sz w:val="24"/>
          <w:szCs w:val="28"/>
          <w:highlight w:val="none"/>
          <w:lang w:eastAsia="zh-CN"/>
        </w:rPr>
      </w:pPr>
      <w:r>
        <w:rPr>
          <w:sz w:val="24"/>
          <w:szCs w:val="28"/>
          <w:highlight w:val="none"/>
        </w:rPr>
        <w:t>检查数量：全数检查</w:t>
      </w:r>
      <w:r>
        <w:rPr>
          <w:rFonts w:hint="eastAsia"/>
          <w:sz w:val="24"/>
          <w:szCs w:val="28"/>
          <w:highlight w:val="none"/>
          <w:lang w:eastAsia="zh-CN"/>
        </w:rPr>
        <w:t>。</w:t>
      </w:r>
    </w:p>
    <w:p>
      <w:pPr>
        <w:spacing w:line="312" w:lineRule="auto"/>
        <w:ind w:firstLine="480" w:firstLineChars="200"/>
        <w:rPr>
          <w:sz w:val="24"/>
          <w:szCs w:val="28"/>
          <w:highlight w:val="none"/>
        </w:rPr>
      </w:pPr>
      <w:r>
        <w:rPr>
          <w:sz w:val="24"/>
          <w:szCs w:val="28"/>
          <w:highlight w:val="none"/>
        </w:rPr>
        <w:t>检验方法：观察、量测并检查技术处理方案。</w:t>
      </w:r>
    </w:p>
    <w:p>
      <w:pPr>
        <w:spacing w:line="360" w:lineRule="auto"/>
        <w:rPr>
          <w:sz w:val="24"/>
          <w:szCs w:val="28"/>
          <w:highlight w:val="none"/>
        </w:rPr>
      </w:pPr>
      <w:r>
        <w:rPr>
          <w:rFonts w:hint="eastAsia"/>
          <w:b/>
          <w:sz w:val="24"/>
          <w:szCs w:val="28"/>
          <w:highlight w:val="none"/>
        </w:rPr>
        <w:t>7.3.2</w:t>
      </w:r>
      <w:r>
        <w:rPr>
          <w:sz w:val="24"/>
          <w:szCs w:val="28"/>
          <w:highlight w:val="none"/>
        </w:rPr>
        <w:t xml:space="preserve">  高延性混凝土抹压面层的端部嵌缝、L型倒角、门窗洞口部位加固等构造做法应符合设计要求。</w:t>
      </w:r>
    </w:p>
    <w:p>
      <w:pPr>
        <w:spacing w:line="360" w:lineRule="auto"/>
        <w:ind w:firstLine="480" w:firstLineChars="200"/>
        <w:rPr>
          <w:sz w:val="24"/>
          <w:szCs w:val="28"/>
          <w:highlight w:val="none"/>
        </w:rPr>
      </w:pPr>
      <w:r>
        <w:rPr>
          <w:sz w:val="24"/>
          <w:szCs w:val="28"/>
          <w:highlight w:val="none"/>
        </w:rPr>
        <w:t>检查数量：全数检查。</w:t>
      </w:r>
    </w:p>
    <w:p>
      <w:pPr>
        <w:spacing w:line="360" w:lineRule="auto"/>
        <w:ind w:firstLine="480" w:firstLineChars="200"/>
        <w:rPr>
          <w:sz w:val="24"/>
          <w:szCs w:val="28"/>
          <w:highlight w:val="none"/>
        </w:rPr>
      </w:pPr>
      <w:r>
        <w:rPr>
          <w:sz w:val="24"/>
          <w:szCs w:val="28"/>
          <w:highlight w:val="none"/>
        </w:rPr>
        <w:t>检验方法：尺量检查；观察检查。</w:t>
      </w:r>
    </w:p>
    <w:p>
      <w:pPr>
        <w:spacing w:line="360" w:lineRule="auto"/>
        <w:rPr>
          <w:sz w:val="24"/>
          <w:szCs w:val="28"/>
          <w:highlight w:val="none"/>
        </w:rPr>
      </w:pPr>
      <w:r>
        <w:rPr>
          <w:rFonts w:hint="eastAsia"/>
          <w:b/>
          <w:sz w:val="24"/>
          <w:szCs w:val="28"/>
          <w:highlight w:val="none"/>
        </w:rPr>
        <w:t>7.3.3</w:t>
      </w:r>
      <w:r>
        <w:rPr>
          <w:b/>
          <w:sz w:val="24"/>
          <w:szCs w:val="28"/>
          <w:highlight w:val="none"/>
        </w:rPr>
        <w:t xml:space="preserve"> </w:t>
      </w:r>
      <w:r>
        <w:rPr>
          <w:sz w:val="24"/>
          <w:szCs w:val="28"/>
          <w:highlight w:val="none"/>
        </w:rPr>
        <w:t xml:space="preserve"> 高延性混凝土抹压面层与墙体之间采用局部嵌缝的方式处理时，嵌缝的部位、范围、深度应符合设计要求，并应进行隐蔽工程验收。</w:t>
      </w:r>
    </w:p>
    <w:p>
      <w:pPr>
        <w:spacing w:line="360" w:lineRule="auto"/>
        <w:ind w:firstLine="480" w:firstLineChars="200"/>
        <w:rPr>
          <w:sz w:val="24"/>
          <w:szCs w:val="28"/>
          <w:highlight w:val="none"/>
        </w:rPr>
      </w:pPr>
      <w:r>
        <w:rPr>
          <w:sz w:val="24"/>
          <w:szCs w:val="28"/>
          <w:highlight w:val="none"/>
        </w:rPr>
        <w:t>检查数量：全数检查。</w:t>
      </w:r>
    </w:p>
    <w:p>
      <w:pPr>
        <w:spacing w:line="360" w:lineRule="auto"/>
        <w:ind w:firstLine="480" w:firstLineChars="200"/>
        <w:rPr>
          <w:sz w:val="24"/>
          <w:szCs w:val="28"/>
          <w:highlight w:val="none"/>
        </w:rPr>
      </w:pPr>
      <w:r>
        <w:rPr>
          <w:sz w:val="24"/>
          <w:szCs w:val="28"/>
          <w:highlight w:val="none"/>
        </w:rPr>
        <w:t>检验方法：尺量检查；观察检查。</w:t>
      </w:r>
    </w:p>
    <w:p>
      <w:pPr>
        <w:spacing w:line="360" w:lineRule="auto"/>
        <w:rPr>
          <w:sz w:val="24"/>
          <w:szCs w:val="28"/>
          <w:highlight w:val="none"/>
        </w:rPr>
      </w:pPr>
      <w:r>
        <w:rPr>
          <w:rFonts w:hint="eastAsia"/>
          <w:b/>
          <w:sz w:val="24"/>
          <w:szCs w:val="28"/>
          <w:highlight w:val="none"/>
        </w:rPr>
        <w:t>7.3.4</w:t>
      </w:r>
      <w:r>
        <w:rPr>
          <w:sz w:val="24"/>
          <w:szCs w:val="28"/>
          <w:highlight w:val="none"/>
        </w:rPr>
        <w:t xml:space="preserve">  对砌体基层的清理、修补、剔槽、钻孔等处理应符合设计要求，加固部位的砌体表面应清洁、干净，不应有松散或风化的块体、砂浆、浮灰等杂物，并应提前浇水湿润。</w:t>
      </w:r>
    </w:p>
    <w:p>
      <w:pPr>
        <w:spacing w:line="360" w:lineRule="auto"/>
        <w:ind w:firstLine="480" w:firstLineChars="200"/>
        <w:rPr>
          <w:sz w:val="24"/>
          <w:szCs w:val="28"/>
          <w:highlight w:val="none"/>
        </w:rPr>
      </w:pPr>
      <w:r>
        <w:rPr>
          <w:sz w:val="24"/>
          <w:szCs w:val="28"/>
          <w:highlight w:val="none"/>
        </w:rPr>
        <w:t>检查数量：全数检查。</w:t>
      </w:r>
    </w:p>
    <w:p>
      <w:pPr>
        <w:spacing w:line="360" w:lineRule="auto"/>
        <w:ind w:firstLine="480" w:firstLineChars="200"/>
        <w:rPr>
          <w:sz w:val="24"/>
          <w:szCs w:val="28"/>
          <w:highlight w:val="none"/>
        </w:rPr>
      </w:pPr>
      <w:r>
        <w:rPr>
          <w:sz w:val="24"/>
          <w:szCs w:val="28"/>
          <w:highlight w:val="none"/>
        </w:rPr>
        <w:t>检验方法：尺量检查；观察检查。</w:t>
      </w:r>
    </w:p>
    <w:p>
      <w:pPr>
        <w:spacing w:line="360" w:lineRule="auto"/>
        <w:rPr>
          <w:sz w:val="24"/>
          <w:szCs w:val="28"/>
          <w:highlight w:val="none"/>
        </w:rPr>
      </w:pPr>
      <w:r>
        <w:rPr>
          <w:rFonts w:hint="eastAsia"/>
          <w:b/>
          <w:sz w:val="24"/>
          <w:szCs w:val="28"/>
          <w:highlight w:val="none"/>
        </w:rPr>
        <w:t>7.3.5</w:t>
      </w:r>
      <w:r>
        <w:rPr>
          <w:b/>
          <w:sz w:val="24"/>
          <w:szCs w:val="28"/>
          <w:highlight w:val="none"/>
        </w:rPr>
        <w:t xml:space="preserve"> </w:t>
      </w:r>
      <w:r>
        <w:rPr>
          <w:sz w:val="24"/>
          <w:szCs w:val="28"/>
          <w:highlight w:val="none"/>
        </w:rPr>
        <w:t xml:space="preserve"> 高延性混凝土表面应平整、洁净，表面平整度</w:t>
      </w:r>
      <w:r>
        <w:rPr>
          <w:rFonts w:hint="eastAsia"/>
          <w:sz w:val="24"/>
          <w:szCs w:val="28"/>
          <w:highlight w:val="none"/>
        </w:rPr>
        <w:t>不应大</w:t>
      </w:r>
      <w:r>
        <w:rPr>
          <w:sz w:val="24"/>
          <w:szCs w:val="28"/>
          <w:highlight w:val="none"/>
        </w:rPr>
        <w:t>于8mm，且抽样合格率不应小于85%。</w:t>
      </w:r>
    </w:p>
    <w:p>
      <w:pPr>
        <w:spacing w:line="312" w:lineRule="auto"/>
        <w:ind w:firstLine="480" w:firstLineChars="200"/>
        <w:rPr>
          <w:rFonts w:hint="eastAsia" w:eastAsia="宋体"/>
          <w:sz w:val="24"/>
          <w:szCs w:val="28"/>
          <w:highlight w:val="none"/>
          <w:lang w:eastAsia="zh-CN"/>
        </w:rPr>
      </w:pPr>
      <w:r>
        <w:rPr>
          <w:sz w:val="24"/>
          <w:szCs w:val="28"/>
          <w:highlight w:val="none"/>
        </w:rPr>
        <w:t>检查数量：每一检验批抽取5%，且不少于5处</w:t>
      </w:r>
      <w:r>
        <w:rPr>
          <w:rFonts w:hint="eastAsia"/>
          <w:sz w:val="24"/>
          <w:szCs w:val="28"/>
          <w:highlight w:val="none"/>
          <w:lang w:eastAsia="zh-CN"/>
        </w:rPr>
        <w:t>。</w:t>
      </w:r>
    </w:p>
    <w:p>
      <w:pPr>
        <w:spacing w:line="312" w:lineRule="auto"/>
        <w:ind w:firstLine="480" w:firstLineChars="200"/>
        <w:rPr>
          <w:sz w:val="24"/>
          <w:szCs w:val="28"/>
          <w:highlight w:val="none"/>
        </w:rPr>
      </w:pPr>
      <w:r>
        <w:rPr>
          <w:sz w:val="24"/>
          <w:szCs w:val="28"/>
          <w:highlight w:val="none"/>
        </w:rPr>
        <w:t>检验方法：用2m靠尺及楔形塞尺检查。</w:t>
      </w:r>
    </w:p>
    <w:p>
      <w:pPr>
        <w:spacing w:line="312" w:lineRule="auto"/>
        <w:rPr>
          <w:highlight w:val="none"/>
        </w:rPr>
      </w:pPr>
    </w:p>
    <w:p>
      <w:pPr>
        <w:spacing w:before="72" w:beforeLines="30" w:after="72" w:afterLines="30"/>
        <w:jc w:val="center"/>
        <w:outlineLvl w:val="0"/>
        <w:rPr>
          <w:rFonts w:eastAsia="黑体"/>
          <w:sz w:val="28"/>
          <w:szCs w:val="28"/>
          <w:highlight w:val="none"/>
        </w:rPr>
      </w:pPr>
      <w:r>
        <w:rPr>
          <w:highlight w:val="none"/>
        </w:rPr>
        <w:br w:type="page"/>
      </w:r>
      <w:bookmarkStart w:id="1356" w:name="_Toc38358420"/>
      <w:bookmarkStart w:id="1357" w:name="_Toc63348874"/>
      <w:bookmarkStart w:id="1358" w:name="_Toc67330618"/>
      <w:bookmarkStart w:id="1359" w:name="_Toc532464298"/>
      <w:bookmarkStart w:id="1360" w:name="_Toc63348950"/>
      <w:bookmarkStart w:id="1361" w:name="_Toc32848358"/>
      <w:bookmarkStart w:id="1362" w:name="_Toc48210042"/>
      <w:bookmarkStart w:id="1363" w:name="_Toc20323"/>
      <w:bookmarkStart w:id="1364" w:name="_Toc19545390"/>
      <w:bookmarkStart w:id="1365" w:name="_Toc25690956"/>
      <w:bookmarkStart w:id="1366" w:name="_Toc12830"/>
      <w:bookmarkStart w:id="1367" w:name="_Toc48210374"/>
      <w:bookmarkStart w:id="1368" w:name="_Toc519684080"/>
      <w:bookmarkStart w:id="1369" w:name="_Toc25070712"/>
      <w:bookmarkStart w:id="1370" w:name="_Toc2587"/>
      <w:bookmarkStart w:id="1371" w:name="_Toc54255571"/>
      <w:bookmarkStart w:id="1372" w:name="_Toc445666222"/>
      <w:bookmarkStart w:id="1373" w:name="_Toc48138906"/>
      <w:bookmarkStart w:id="1374" w:name="_Toc38352794"/>
      <w:bookmarkStart w:id="1375" w:name="_Toc54256675"/>
      <w:bookmarkStart w:id="1376" w:name="_Toc32865106"/>
      <w:bookmarkStart w:id="1377" w:name="_Toc70169842"/>
      <w:bookmarkStart w:id="1378" w:name="_Toc48138984"/>
      <w:bookmarkStart w:id="1379" w:name="_Toc535475940"/>
      <w:bookmarkStart w:id="1380" w:name="_Toc535338388"/>
      <w:bookmarkStart w:id="1381" w:name="_Toc48210151"/>
      <w:bookmarkStart w:id="1382" w:name="_Toc52264514"/>
      <w:bookmarkStart w:id="1383" w:name="_Toc445664201"/>
      <w:bookmarkStart w:id="1384" w:name="_Toc450148298"/>
      <w:bookmarkStart w:id="1385" w:name="_Toc511722952"/>
      <w:bookmarkStart w:id="1386" w:name="_Toc19545393"/>
      <w:r>
        <w:rPr>
          <w:rFonts w:eastAsia="黑体"/>
          <w:sz w:val="28"/>
          <w:szCs w:val="28"/>
          <w:highlight w:val="none"/>
        </w:rPr>
        <w:t>附录</w:t>
      </w:r>
      <w:r>
        <w:rPr>
          <w:rFonts w:eastAsia="黑体"/>
          <w:b/>
          <w:sz w:val="28"/>
          <w:szCs w:val="28"/>
          <w:highlight w:val="none"/>
        </w:rPr>
        <w:t>A</w:t>
      </w:r>
      <w:r>
        <w:rPr>
          <w:rFonts w:eastAsia="黑体"/>
          <w:sz w:val="28"/>
          <w:szCs w:val="28"/>
          <w:highlight w:val="none"/>
        </w:rPr>
        <w:t xml:space="preserve">  高延性混凝土弯曲试验方法</w:t>
      </w:r>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p>
    <w:p>
      <w:pPr>
        <w:pStyle w:val="2"/>
      </w:pPr>
    </w:p>
    <w:p>
      <w:pPr>
        <w:snapToGrid w:val="0"/>
        <w:spacing w:line="312" w:lineRule="auto"/>
        <w:rPr>
          <w:sz w:val="24"/>
          <w:szCs w:val="28"/>
          <w:highlight w:val="none"/>
        </w:rPr>
      </w:pPr>
      <w:r>
        <w:rPr>
          <w:b/>
          <w:sz w:val="24"/>
          <w:szCs w:val="28"/>
          <w:highlight w:val="none"/>
        </w:rPr>
        <w:t>A.0.1</w:t>
      </w:r>
      <w:r>
        <w:rPr>
          <w:sz w:val="24"/>
          <w:szCs w:val="28"/>
          <w:highlight w:val="none"/>
        </w:rPr>
        <w:t xml:space="preserve">  本试验方法适用于高延性混凝土等效弯曲强度和等效弯曲韧性的测定。</w:t>
      </w:r>
    </w:p>
    <w:p>
      <w:pPr>
        <w:snapToGrid w:val="0"/>
        <w:spacing w:line="312" w:lineRule="auto"/>
        <w:rPr>
          <w:sz w:val="24"/>
          <w:szCs w:val="28"/>
          <w:highlight w:val="none"/>
        </w:rPr>
      </w:pPr>
      <w:r>
        <w:rPr>
          <w:b/>
          <w:sz w:val="24"/>
          <w:szCs w:val="28"/>
          <w:highlight w:val="none"/>
        </w:rPr>
        <w:t>A.0.2</w:t>
      </w:r>
      <w:r>
        <w:rPr>
          <w:sz w:val="24"/>
          <w:szCs w:val="28"/>
          <w:highlight w:val="none"/>
        </w:rPr>
        <w:t xml:space="preserve">  试验装置（图A.0.2）应符合下列规定：</w:t>
      </w:r>
    </w:p>
    <w:p>
      <w:pPr>
        <w:jc w:val="center"/>
        <w:rPr>
          <w:sz w:val="24"/>
          <w:szCs w:val="28"/>
          <w:highlight w:val="none"/>
        </w:rPr>
      </w:pPr>
      <w:r>
        <w:rPr>
          <w:sz w:val="24"/>
          <w:szCs w:val="28"/>
          <w:highlight w:val="none"/>
        </w:rPr>
        <w:drawing>
          <wp:inline distT="0" distB="0" distL="0" distR="0">
            <wp:extent cx="2131060" cy="1797050"/>
            <wp:effectExtent l="0" t="0" r="0" b="0"/>
            <wp:docPr id="170" name="图片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313"/>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a:xfrm>
                      <a:off x="0" y="0"/>
                      <a:ext cx="2131060" cy="1797050"/>
                    </a:xfrm>
                    <a:prstGeom prst="rect">
                      <a:avLst/>
                    </a:prstGeom>
                    <a:noFill/>
                    <a:ln>
                      <a:noFill/>
                    </a:ln>
                  </pic:spPr>
                </pic:pic>
              </a:graphicData>
            </a:graphic>
          </wp:inline>
        </w:drawing>
      </w:r>
    </w:p>
    <w:p>
      <w:pPr>
        <w:snapToGrid w:val="0"/>
        <w:spacing w:line="312" w:lineRule="auto"/>
        <w:jc w:val="center"/>
        <w:rPr>
          <w:sz w:val="21"/>
          <w:szCs w:val="21"/>
          <w:highlight w:val="none"/>
        </w:rPr>
      </w:pPr>
      <w:r>
        <w:rPr>
          <w:sz w:val="21"/>
          <w:szCs w:val="21"/>
          <w:highlight w:val="none"/>
        </w:rPr>
        <w:t>图A.0.2 抗弯试验加载装置</w:t>
      </w:r>
    </w:p>
    <w:p>
      <w:pPr>
        <w:snapToGrid w:val="0"/>
        <w:spacing w:line="312" w:lineRule="auto"/>
        <w:jc w:val="center"/>
        <w:rPr>
          <w:sz w:val="21"/>
          <w:szCs w:val="21"/>
          <w:highlight w:val="none"/>
        </w:rPr>
      </w:pPr>
      <w:r>
        <w:rPr>
          <w:sz w:val="21"/>
          <w:szCs w:val="21"/>
          <w:highlight w:val="none"/>
        </w:rPr>
        <w:t>1——加载分配梁；2——分配梁辊轴；3——试件；4——支座；5——支座辊轴；6——位移计</w:t>
      </w:r>
    </w:p>
    <w:p>
      <w:pPr>
        <w:snapToGrid w:val="0"/>
        <w:spacing w:line="312" w:lineRule="auto"/>
        <w:ind w:firstLine="482" w:firstLineChars="200"/>
        <w:rPr>
          <w:sz w:val="24"/>
          <w:szCs w:val="28"/>
          <w:highlight w:val="none"/>
        </w:rPr>
      </w:pPr>
      <w:r>
        <w:rPr>
          <w:b/>
          <w:sz w:val="24"/>
          <w:szCs w:val="28"/>
          <w:highlight w:val="none"/>
        </w:rPr>
        <w:t>1</w:t>
      </w:r>
      <w:r>
        <w:rPr>
          <w:sz w:val="24"/>
          <w:szCs w:val="28"/>
          <w:highlight w:val="none"/>
        </w:rPr>
        <w:t xml:space="preserve">  试验机宜采用液压伺服万能试验机或带有弯曲试验台的伺服式压力试验机，量程不超过100kN，示值相对误差不大于1.0%，试验时的最大荷载宜在量程的80%以内；</w:t>
      </w:r>
    </w:p>
    <w:p>
      <w:pPr>
        <w:snapToGrid w:val="0"/>
        <w:spacing w:line="312" w:lineRule="auto"/>
        <w:ind w:firstLine="482" w:firstLineChars="200"/>
        <w:rPr>
          <w:sz w:val="24"/>
          <w:szCs w:val="28"/>
          <w:highlight w:val="none"/>
        </w:rPr>
      </w:pPr>
      <w:r>
        <w:rPr>
          <w:b/>
          <w:sz w:val="24"/>
          <w:szCs w:val="28"/>
          <w:highlight w:val="none"/>
        </w:rPr>
        <w:t>2</w:t>
      </w:r>
      <w:r>
        <w:rPr>
          <w:sz w:val="24"/>
          <w:szCs w:val="28"/>
          <w:highlight w:val="none"/>
        </w:rPr>
        <w:t xml:space="preserve">  加载分配梁中点为加载点，在试件标距三分点处设有两个加压辊轴，辊轴直径10mm~12mm；</w:t>
      </w:r>
    </w:p>
    <w:p>
      <w:pPr>
        <w:snapToGrid w:val="0"/>
        <w:spacing w:line="312" w:lineRule="auto"/>
        <w:ind w:firstLine="482" w:firstLineChars="200"/>
        <w:rPr>
          <w:sz w:val="24"/>
          <w:szCs w:val="28"/>
          <w:highlight w:val="none"/>
        </w:rPr>
      </w:pPr>
      <w:r>
        <w:rPr>
          <w:b/>
          <w:sz w:val="24"/>
          <w:szCs w:val="28"/>
          <w:highlight w:val="none"/>
        </w:rPr>
        <w:t xml:space="preserve">3 </w:t>
      </w:r>
      <w:r>
        <w:rPr>
          <w:sz w:val="24"/>
          <w:szCs w:val="28"/>
          <w:highlight w:val="none"/>
        </w:rPr>
        <w:t xml:space="preserve"> 与试件接触的两个辊轴铰支座，辊轴弧形直径10mm~12mm，支座长度比试件宽度长10mm；</w:t>
      </w:r>
    </w:p>
    <w:p>
      <w:pPr>
        <w:snapToGrid w:val="0"/>
        <w:spacing w:line="312" w:lineRule="auto"/>
        <w:ind w:firstLine="482" w:firstLineChars="200"/>
        <w:rPr>
          <w:sz w:val="24"/>
          <w:szCs w:val="28"/>
          <w:highlight w:val="none"/>
        </w:rPr>
      </w:pPr>
      <w:r>
        <w:rPr>
          <w:b/>
          <w:sz w:val="24"/>
          <w:szCs w:val="28"/>
          <w:highlight w:val="none"/>
        </w:rPr>
        <w:t xml:space="preserve">4 </w:t>
      </w:r>
      <w:r>
        <w:rPr>
          <w:sz w:val="24"/>
          <w:szCs w:val="28"/>
          <w:highlight w:val="none"/>
        </w:rPr>
        <w:t xml:space="preserve"> 挠度测量装置应符合图A.0.2的要求，并应包括固定测量挠度仪表的支座；挠度测试系统包括电阻位移计或者LVDT位移计，量程不小于20mm，精度不应低于0.001mm，测试点位于试件底部跨中位置。</w:t>
      </w:r>
    </w:p>
    <w:p>
      <w:pPr>
        <w:snapToGrid w:val="0"/>
        <w:spacing w:line="312" w:lineRule="auto"/>
        <w:ind w:firstLine="482" w:firstLineChars="200"/>
        <w:rPr>
          <w:sz w:val="24"/>
          <w:szCs w:val="28"/>
          <w:highlight w:val="none"/>
        </w:rPr>
      </w:pPr>
      <w:r>
        <w:rPr>
          <w:b/>
          <w:sz w:val="24"/>
          <w:szCs w:val="28"/>
          <w:highlight w:val="none"/>
        </w:rPr>
        <w:t>5</w:t>
      </w:r>
      <w:r>
        <w:rPr>
          <w:sz w:val="24"/>
          <w:szCs w:val="28"/>
          <w:highlight w:val="none"/>
        </w:rPr>
        <w:t xml:space="preserve">  荷载测量传感器应准确测量施加于试件上的荷载，测量精度不应低于0.1N；</w:t>
      </w:r>
    </w:p>
    <w:p>
      <w:pPr>
        <w:snapToGrid w:val="0"/>
        <w:spacing w:line="312" w:lineRule="auto"/>
        <w:ind w:firstLine="482" w:firstLineChars="200"/>
        <w:jc w:val="left"/>
        <w:rPr>
          <w:sz w:val="24"/>
          <w:szCs w:val="28"/>
          <w:highlight w:val="none"/>
        </w:rPr>
      </w:pPr>
      <w:r>
        <w:rPr>
          <w:b/>
          <w:sz w:val="24"/>
          <w:szCs w:val="28"/>
          <w:highlight w:val="none"/>
        </w:rPr>
        <w:t>6</w:t>
      </w:r>
      <w:r>
        <w:rPr>
          <w:sz w:val="24"/>
          <w:szCs w:val="28"/>
          <w:highlight w:val="none"/>
        </w:rPr>
        <w:t xml:space="preserve">  测试数据采集应连续自动完成，可通过模数转换器与计算机连接，</w:t>
      </w:r>
      <w:r>
        <w:rPr>
          <w:rFonts w:hint="eastAsia"/>
          <w:sz w:val="24"/>
          <w:szCs w:val="28"/>
          <w:highlight w:val="none"/>
          <w:lang w:val="en-US" w:eastAsia="zh-CN"/>
        </w:rPr>
        <w:t>由</w:t>
      </w:r>
      <w:r>
        <w:rPr>
          <w:sz w:val="24"/>
          <w:szCs w:val="28"/>
          <w:highlight w:val="none"/>
        </w:rPr>
        <w:t>程序控制，采样频率不宜低于10Hz；</w:t>
      </w:r>
    </w:p>
    <w:p>
      <w:pPr>
        <w:snapToGrid w:val="0"/>
        <w:spacing w:line="312" w:lineRule="auto"/>
        <w:ind w:firstLine="482" w:firstLineChars="200"/>
        <w:jc w:val="left"/>
        <w:rPr>
          <w:sz w:val="24"/>
          <w:szCs w:val="28"/>
          <w:highlight w:val="none"/>
        </w:rPr>
      </w:pPr>
      <w:r>
        <w:rPr>
          <w:b/>
          <w:sz w:val="24"/>
          <w:szCs w:val="28"/>
          <w:highlight w:val="none"/>
        </w:rPr>
        <w:t xml:space="preserve">7 </w:t>
      </w:r>
      <w:r>
        <w:rPr>
          <w:sz w:val="24"/>
          <w:szCs w:val="28"/>
          <w:highlight w:val="none"/>
        </w:rPr>
        <w:t xml:space="preserve"> 其他：钢直尺、游标卡尺、直角规等。</w:t>
      </w:r>
    </w:p>
    <w:p>
      <w:pPr>
        <w:snapToGrid w:val="0"/>
        <w:spacing w:line="312" w:lineRule="auto"/>
        <w:jc w:val="left"/>
        <w:rPr>
          <w:sz w:val="24"/>
          <w:szCs w:val="28"/>
          <w:highlight w:val="none"/>
        </w:rPr>
      </w:pPr>
      <w:r>
        <w:rPr>
          <w:b/>
          <w:sz w:val="24"/>
          <w:szCs w:val="28"/>
          <w:highlight w:val="none"/>
        </w:rPr>
        <w:t xml:space="preserve">A.0.3  </w:t>
      </w:r>
      <w:bookmarkStart w:id="1387" w:name="_Toc22304111"/>
      <w:bookmarkStart w:id="1388" w:name="_Toc24037210"/>
      <w:bookmarkStart w:id="1389" w:name="_Toc21963172"/>
      <w:bookmarkStart w:id="1390" w:name="_Toc40105862"/>
      <w:r>
        <w:rPr>
          <w:sz w:val="24"/>
          <w:szCs w:val="28"/>
          <w:highlight w:val="none"/>
        </w:rPr>
        <w:t>试件成型及养护方法参照现行国家标准《混凝土物理力学性能试验方法标准》GB/T 50081的有关规定</w:t>
      </w:r>
      <w:bookmarkEnd w:id="1387"/>
      <w:bookmarkEnd w:id="1388"/>
      <w:bookmarkEnd w:id="1389"/>
      <w:r>
        <w:rPr>
          <w:sz w:val="24"/>
          <w:szCs w:val="28"/>
          <w:highlight w:val="none"/>
        </w:rPr>
        <w:t>。每组试验至少应制备3个试件。</w:t>
      </w:r>
      <w:bookmarkEnd w:id="1390"/>
    </w:p>
    <w:p>
      <w:pPr>
        <w:snapToGrid w:val="0"/>
        <w:spacing w:line="312" w:lineRule="auto"/>
        <w:jc w:val="left"/>
        <w:rPr>
          <w:sz w:val="24"/>
          <w:szCs w:val="28"/>
          <w:highlight w:val="none"/>
        </w:rPr>
      </w:pPr>
      <w:r>
        <w:rPr>
          <w:b/>
          <w:sz w:val="24"/>
          <w:szCs w:val="28"/>
          <w:highlight w:val="none"/>
        </w:rPr>
        <w:t>A.0.4</w:t>
      </w:r>
      <w:r>
        <w:rPr>
          <w:sz w:val="24"/>
          <w:szCs w:val="28"/>
          <w:highlight w:val="none"/>
        </w:rPr>
        <w:t xml:space="preserve">  试件尺寸为40mm×40mm×160mm，试验跨度L=150mm。</w:t>
      </w:r>
    </w:p>
    <w:p>
      <w:pPr>
        <w:snapToGrid w:val="0"/>
        <w:spacing w:line="312" w:lineRule="auto"/>
        <w:jc w:val="left"/>
        <w:rPr>
          <w:sz w:val="24"/>
          <w:szCs w:val="28"/>
          <w:highlight w:val="none"/>
        </w:rPr>
      </w:pPr>
      <w:r>
        <w:rPr>
          <w:b/>
          <w:sz w:val="24"/>
          <w:szCs w:val="28"/>
          <w:highlight w:val="none"/>
        </w:rPr>
        <w:t>A.0.5</w:t>
      </w:r>
      <w:r>
        <w:rPr>
          <w:sz w:val="24"/>
          <w:szCs w:val="28"/>
          <w:highlight w:val="none"/>
        </w:rPr>
        <w:t xml:space="preserve">  试验测试应按下列步骤进行：</w:t>
      </w:r>
    </w:p>
    <w:p>
      <w:pPr>
        <w:snapToGrid w:val="0"/>
        <w:spacing w:line="312" w:lineRule="auto"/>
        <w:ind w:firstLine="482" w:firstLineChars="200"/>
        <w:jc w:val="left"/>
        <w:rPr>
          <w:sz w:val="24"/>
          <w:szCs w:val="28"/>
          <w:highlight w:val="none"/>
        </w:rPr>
      </w:pPr>
      <w:r>
        <w:rPr>
          <w:b/>
          <w:sz w:val="24"/>
          <w:szCs w:val="28"/>
          <w:highlight w:val="none"/>
        </w:rPr>
        <w:t>1</w:t>
      </w:r>
      <w:r>
        <w:rPr>
          <w:sz w:val="24"/>
          <w:szCs w:val="28"/>
          <w:highlight w:val="none"/>
        </w:rPr>
        <w:t xml:space="preserve">  从养护地点取出试件，擦净后检查外观，不得有明显缺损，在跨中</w:t>
      </w:r>
      <w:r>
        <w:rPr>
          <w:i/>
          <w:sz w:val="24"/>
          <w:szCs w:val="28"/>
          <w:highlight w:val="none"/>
        </w:rPr>
        <w:t>l</w:t>
      </w:r>
      <w:r>
        <w:rPr>
          <w:sz w:val="24"/>
          <w:szCs w:val="28"/>
          <w:highlight w:val="none"/>
        </w:rPr>
        <w:t>/3的纯弯段内不得有直径大于5mm、深度大于2mm的表面缺陷；</w:t>
      </w:r>
    </w:p>
    <w:p>
      <w:pPr>
        <w:snapToGrid w:val="0"/>
        <w:spacing w:line="312" w:lineRule="auto"/>
        <w:ind w:firstLine="482" w:firstLineChars="200"/>
        <w:jc w:val="left"/>
        <w:rPr>
          <w:sz w:val="24"/>
          <w:szCs w:val="28"/>
          <w:highlight w:val="none"/>
        </w:rPr>
      </w:pPr>
      <w:r>
        <w:rPr>
          <w:b/>
          <w:sz w:val="24"/>
          <w:szCs w:val="28"/>
          <w:highlight w:val="none"/>
        </w:rPr>
        <w:t xml:space="preserve">2 </w:t>
      </w:r>
      <w:r>
        <w:rPr>
          <w:sz w:val="24"/>
          <w:szCs w:val="28"/>
          <w:highlight w:val="none"/>
        </w:rPr>
        <w:t xml:space="preserve"> 将试件成型时的浇筑面作为承荷面，安放在支座上。按图A.0.2规定尺寸和三分点位置加荷的规定，检查支座及分配梁位置，所有间距尺寸偏差不应大于±1mm；</w:t>
      </w:r>
    </w:p>
    <w:p>
      <w:pPr>
        <w:snapToGrid w:val="0"/>
        <w:spacing w:line="312" w:lineRule="auto"/>
        <w:ind w:firstLine="482" w:firstLineChars="200"/>
        <w:jc w:val="left"/>
        <w:rPr>
          <w:sz w:val="24"/>
          <w:szCs w:val="28"/>
          <w:highlight w:val="none"/>
        </w:rPr>
      </w:pPr>
      <w:r>
        <w:rPr>
          <w:b/>
          <w:sz w:val="24"/>
          <w:szCs w:val="28"/>
          <w:highlight w:val="none"/>
        </w:rPr>
        <w:t xml:space="preserve">3 </w:t>
      </w:r>
      <w:r>
        <w:rPr>
          <w:sz w:val="24"/>
          <w:szCs w:val="28"/>
          <w:highlight w:val="none"/>
        </w:rPr>
        <w:t xml:space="preserve"> 试件放稳对中后启动试验机，当分配梁辊轴与试件接近时，调整分配梁和支座，使接触均衡。压头及支座不能前后倾斜，各接触不良处应予以垫平；</w:t>
      </w:r>
    </w:p>
    <w:p>
      <w:pPr>
        <w:snapToGrid w:val="0"/>
        <w:spacing w:line="312" w:lineRule="auto"/>
        <w:ind w:firstLine="482" w:firstLineChars="200"/>
        <w:jc w:val="left"/>
        <w:rPr>
          <w:sz w:val="24"/>
          <w:szCs w:val="28"/>
          <w:highlight w:val="none"/>
        </w:rPr>
      </w:pPr>
      <w:r>
        <w:rPr>
          <w:b/>
          <w:sz w:val="24"/>
          <w:szCs w:val="28"/>
          <w:highlight w:val="none"/>
        </w:rPr>
        <w:t>4</w:t>
      </w:r>
      <w:r>
        <w:rPr>
          <w:sz w:val="24"/>
          <w:szCs w:val="28"/>
          <w:highlight w:val="none"/>
        </w:rPr>
        <w:t xml:space="preserve">  试件安放好后，施加一定的预压荷载，停机检查试件与压头及支座的接触情况，确保试件不发生扭动，然后安装测量跨中挠度的位移计；</w:t>
      </w:r>
    </w:p>
    <w:p>
      <w:pPr>
        <w:snapToGrid w:val="0"/>
        <w:spacing w:line="312" w:lineRule="auto"/>
        <w:ind w:firstLine="482" w:firstLineChars="200"/>
        <w:jc w:val="left"/>
        <w:rPr>
          <w:sz w:val="24"/>
          <w:szCs w:val="28"/>
          <w:highlight w:val="none"/>
        </w:rPr>
      </w:pPr>
      <w:r>
        <w:rPr>
          <w:b/>
          <w:sz w:val="24"/>
          <w:szCs w:val="28"/>
          <w:highlight w:val="none"/>
        </w:rPr>
        <w:t>5</w:t>
      </w:r>
      <w:r>
        <w:rPr>
          <w:sz w:val="24"/>
          <w:szCs w:val="28"/>
          <w:highlight w:val="none"/>
        </w:rPr>
        <w:t xml:space="preserve">  安装测量变形的仪表时首先接通测试线路并作空载调试，然后做预压调试，待测试系统工作正常后方可进行正式试验；</w:t>
      </w:r>
    </w:p>
    <w:p>
      <w:pPr>
        <w:snapToGrid w:val="0"/>
        <w:spacing w:line="312" w:lineRule="auto"/>
        <w:ind w:firstLine="482" w:firstLineChars="200"/>
        <w:jc w:val="left"/>
        <w:rPr>
          <w:sz w:val="24"/>
          <w:szCs w:val="28"/>
          <w:highlight w:val="none"/>
        </w:rPr>
      </w:pPr>
      <w:r>
        <w:rPr>
          <w:b/>
          <w:sz w:val="24"/>
          <w:szCs w:val="28"/>
          <w:highlight w:val="none"/>
        </w:rPr>
        <w:t xml:space="preserve">6 </w:t>
      </w:r>
      <w:r>
        <w:rPr>
          <w:sz w:val="24"/>
          <w:szCs w:val="28"/>
          <w:highlight w:val="none"/>
        </w:rPr>
        <w:t xml:space="preserve"> 对试件按位移控制加荷，加载应连续、均匀，加载速率取0.2mm/min；</w:t>
      </w:r>
    </w:p>
    <w:p>
      <w:pPr>
        <w:snapToGrid w:val="0"/>
        <w:spacing w:line="312" w:lineRule="auto"/>
        <w:ind w:firstLine="482" w:firstLineChars="200"/>
        <w:jc w:val="left"/>
        <w:rPr>
          <w:sz w:val="24"/>
          <w:szCs w:val="28"/>
          <w:highlight w:val="none"/>
        </w:rPr>
      </w:pPr>
      <w:r>
        <w:rPr>
          <w:b/>
          <w:sz w:val="24"/>
          <w:szCs w:val="28"/>
          <w:highlight w:val="none"/>
        </w:rPr>
        <w:t xml:space="preserve">7 </w:t>
      </w:r>
      <w:r>
        <w:rPr>
          <w:sz w:val="24"/>
          <w:szCs w:val="28"/>
          <w:highlight w:val="none"/>
        </w:rPr>
        <w:t xml:space="preserve"> 绘制荷载-挠度曲线。</w:t>
      </w:r>
    </w:p>
    <w:p>
      <w:pPr>
        <w:snapToGrid w:val="0"/>
        <w:spacing w:line="312" w:lineRule="auto"/>
        <w:ind w:firstLine="480" w:firstLineChars="200"/>
        <w:jc w:val="left"/>
        <w:rPr>
          <w:sz w:val="24"/>
          <w:szCs w:val="28"/>
          <w:highlight w:val="none"/>
        </w:rPr>
      </w:pPr>
      <w:r>
        <w:rPr>
          <w:rFonts w:hint="eastAsia"/>
          <w:sz w:val="24"/>
          <w:szCs w:val="28"/>
          <w:highlight w:val="none"/>
        </w:rPr>
        <w:t>注：</w:t>
      </w:r>
      <w:r>
        <w:rPr>
          <w:sz w:val="24"/>
          <w:szCs w:val="28"/>
          <w:highlight w:val="none"/>
        </w:rPr>
        <w:t>若试件在受拉面跨度三分点以外断裂，则该试件试验结果无效。</w:t>
      </w:r>
    </w:p>
    <w:p>
      <w:pPr>
        <w:snapToGrid w:val="0"/>
        <w:spacing w:line="312" w:lineRule="auto"/>
        <w:jc w:val="left"/>
        <w:rPr>
          <w:sz w:val="24"/>
          <w:szCs w:val="28"/>
          <w:highlight w:val="none"/>
        </w:rPr>
      </w:pPr>
      <w:r>
        <w:rPr>
          <w:b/>
          <w:sz w:val="24"/>
          <w:szCs w:val="28"/>
          <w:highlight w:val="none"/>
        </w:rPr>
        <w:t>A.0.6</w:t>
      </w:r>
      <w:r>
        <w:rPr>
          <w:sz w:val="24"/>
          <w:szCs w:val="28"/>
          <w:highlight w:val="none"/>
        </w:rPr>
        <w:t xml:space="preserve">  试件的等效弯曲强度</w:t>
      </w:r>
      <w:r>
        <w:rPr>
          <w:position w:val="-14"/>
          <w:sz w:val="24"/>
          <w:szCs w:val="28"/>
          <w:highlight w:val="none"/>
        </w:rPr>
        <w:object>
          <v:shape id="_x0000_i1170" o:spt="75" type="#_x0000_t75" style="height:20.2pt;width:15.8pt;" o:ole="t" filled="f" o:preferrelative="t" stroked="f" coordsize="21600,21600">
            <v:path/>
            <v:fill on="f" focussize="0,0"/>
            <v:stroke on="f" joinstyle="miter"/>
            <v:imagedata r:id="rId324" o:title=""/>
            <o:lock v:ext="edit" aspectratio="t"/>
            <w10:wrap type="none"/>
            <w10:anchorlock/>
          </v:shape>
          <o:OLEObject Type="Embed" ProgID="Equation.DSMT4" ShapeID="_x0000_i1170" DrawAspect="Content" ObjectID="_1468075869" r:id="rId323">
            <o:LockedField>false</o:LockedField>
          </o:OLEObject>
        </w:object>
      </w:r>
      <w:r>
        <w:rPr>
          <w:sz w:val="24"/>
          <w:szCs w:val="28"/>
          <w:highlight w:val="none"/>
        </w:rPr>
        <w:t>按下式计算（图A.0.6）：</w:t>
      </w:r>
    </w:p>
    <w:p>
      <w:pPr>
        <w:snapToGrid w:val="0"/>
        <w:spacing w:line="312" w:lineRule="auto"/>
        <w:jc w:val="right"/>
        <w:rPr>
          <w:sz w:val="24"/>
          <w:szCs w:val="28"/>
          <w:highlight w:val="none"/>
        </w:rPr>
      </w:pPr>
      <w:bookmarkStart w:id="1391" w:name="_Toc445664202"/>
      <w:bookmarkStart w:id="1392" w:name="_Toc532464299"/>
      <w:bookmarkStart w:id="1393" w:name="_Toc25690686"/>
      <w:bookmarkStart w:id="1394" w:name="_Toc439188406"/>
      <w:bookmarkStart w:id="1395" w:name="_Toc436908207"/>
      <w:bookmarkStart w:id="1396" w:name="_Toc445665802"/>
      <w:bookmarkStart w:id="1397" w:name="_Toc19545661"/>
      <w:bookmarkStart w:id="1398" w:name="_Toc504569991"/>
      <w:bookmarkStart w:id="1399" w:name="_Toc7976248"/>
      <w:bookmarkStart w:id="1400" w:name="_Toc25070411"/>
      <w:bookmarkStart w:id="1401" w:name="_Toc445666166"/>
      <w:bookmarkStart w:id="1402" w:name="_Toc25070713"/>
      <w:bookmarkStart w:id="1403" w:name="_Toc515087730"/>
      <w:bookmarkStart w:id="1404" w:name="_Toc9927819"/>
      <w:bookmarkStart w:id="1405" w:name="_Toc535475941"/>
      <w:bookmarkStart w:id="1406" w:name="_Toc19545391"/>
      <w:bookmarkStart w:id="1407" w:name="_Toc534633675"/>
      <w:bookmarkStart w:id="1408" w:name="_Toc450148290"/>
      <w:bookmarkStart w:id="1409" w:name="_Toc439188279"/>
      <w:bookmarkStart w:id="1410" w:name="_Toc532461022"/>
      <w:bookmarkStart w:id="1411" w:name="_Toc515893935"/>
      <w:bookmarkStart w:id="1412" w:name="_Toc535338389"/>
      <w:bookmarkStart w:id="1413" w:name="_Toc519683898"/>
      <w:bookmarkStart w:id="1414" w:name="_Toc25690957"/>
      <w:bookmarkStart w:id="1415" w:name="_Toc10207362"/>
      <w:bookmarkStart w:id="1416" w:name="_Toc445666223"/>
      <w:bookmarkStart w:id="1417" w:name="_Toc519684081"/>
      <w:r>
        <w:rPr>
          <w:position w:val="-28"/>
          <w:sz w:val="24"/>
          <w:szCs w:val="28"/>
          <w:highlight w:val="none"/>
        </w:rPr>
        <w:object>
          <v:shape id="_x0000_i1171" o:spt="75" type="#_x0000_t75" style="height:32.05pt;width:55.4pt;" o:ole="t" filled="f" o:preferrelative="t" stroked="f" coordsize="21600,21600">
            <v:path/>
            <v:fill on="f" focussize="0,0"/>
            <v:stroke on="f" joinstyle="miter"/>
            <v:imagedata r:id="rId326" o:title=""/>
            <o:lock v:ext="edit" aspectratio="f"/>
            <w10:wrap type="none"/>
            <w10:anchorlock/>
          </v:shape>
          <o:OLEObject Type="Embed" ProgID="Equation.DSMT4" ShapeID="_x0000_i1171" DrawAspect="Content" ObjectID="_1468075870" r:id="rId325">
            <o:LockedField>false</o:LockedField>
          </o:OLEObject>
        </w:object>
      </w:r>
      <w:r>
        <w:rPr>
          <w:sz w:val="24"/>
          <w:szCs w:val="28"/>
          <w:highlight w:val="none"/>
        </w:rPr>
        <w:t xml:space="preserve">               （A.0.6）</w:t>
      </w:r>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p>
    <w:p>
      <w:pPr>
        <w:snapToGrid w:val="0"/>
        <w:spacing w:line="312" w:lineRule="auto"/>
        <w:ind w:firstLine="240" w:firstLineChars="100"/>
        <w:rPr>
          <w:sz w:val="24"/>
          <w:szCs w:val="28"/>
          <w:highlight w:val="none"/>
        </w:rPr>
      </w:pPr>
      <w:r>
        <w:rPr>
          <w:sz w:val="24"/>
          <w:szCs w:val="28"/>
          <w:highlight w:val="none"/>
        </w:rPr>
        <w:t>式中：</w:t>
      </w:r>
      <w:r>
        <w:rPr>
          <w:position w:val="-14"/>
          <w:sz w:val="24"/>
          <w:szCs w:val="28"/>
          <w:highlight w:val="none"/>
        </w:rPr>
        <w:object>
          <v:shape id="_x0000_i1172" o:spt="75" type="#_x0000_t75" style="height:20.2pt;width:15.8pt;" o:ole="t" filled="f" o:preferrelative="t" stroked="f" coordsize="21600,21600">
            <v:path/>
            <v:fill on="f" focussize="0,0"/>
            <v:stroke on="f" joinstyle="miter"/>
            <v:imagedata r:id="rId328" o:title=""/>
            <o:lock v:ext="edit" aspectratio="t"/>
            <w10:wrap type="none"/>
            <w10:anchorlock/>
          </v:shape>
          <o:OLEObject Type="Embed" ProgID="Equation.DSMT4" ShapeID="_x0000_i1172" DrawAspect="Content" ObjectID="_1468075871" r:id="rId327">
            <o:LockedField>false</o:LockedField>
          </o:OLEObject>
        </w:object>
      </w:r>
      <w:r>
        <w:rPr>
          <w:sz w:val="24"/>
          <w:szCs w:val="28"/>
          <w:highlight w:val="none"/>
        </w:rPr>
        <w:t>——等效弯曲强度（N/mm</w:t>
      </w:r>
      <w:r>
        <w:rPr>
          <w:sz w:val="24"/>
          <w:szCs w:val="28"/>
          <w:highlight w:val="none"/>
          <w:vertAlign w:val="superscript"/>
        </w:rPr>
        <w:t>2</w:t>
      </w:r>
      <w:r>
        <w:rPr>
          <w:sz w:val="24"/>
          <w:szCs w:val="28"/>
          <w:highlight w:val="none"/>
        </w:rPr>
        <w:t>），精确至0.1 N/mm</w:t>
      </w:r>
      <w:r>
        <w:rPr>
          <w:sz w:val="24"/>
          <w:szCs w:val="28"/>
          <w:highlight w:val="none"/>
          <w:vertAlign w:val="superscript"/>
        </w:rPr>
        <w:t>2</w:t>
      </w:r>
      <w:r>
        <w:rPr>
          <w:sz w:val="24"/>
          <w:szCs w:val="28"/>
          <w:highlight w:val="none"/>
        </w:rPr>
        <w:t>；</w:t>
      </w:r>
    </w:p>
    <w:p>
      <w:pPr>
        <w:snapToGrid w:val="0"/>
        <w:spacing w:line="312" w:lineRule="auto"/>
        <w:ind w:firstLine="960" w:firstLineChars="400"/>
        <w:rPr>
          <w:sz w:val="24"/>
          <w:szCs w:val="28"/>
          <w:highlight w:val="none"/>
        </w:rPr>
      </w:pPr>
      <w:r>
        <w:rPr>
          <w:position w:val="-12"/>
          <w:sz w:val="24"/>
          <w:szCs w:val="28"/>
          <w:highlight w:val="none"/>
        </w:rPr>
        <w:object>
          <v:shape id="_x0000_i1173" o:spt="75" type="#_x0000_t75" style="height:17pt;width:17pt;" o:ole="t" filled="f" o:preferrelative="t" stroked="f" coordsize="21600,21600">
            <v:path/>
            <v:fill on="f" focussize="0,0"/>
            <v:stroke on="f" joinstyle="miter"/>
            <v:imagedata r:id="rId330" o:title=""/>
            <o:lock v:ext="edit" aspectratio="t"/>
            <w10:wrap type="none"/>
            <w10:anchorlock/>
          </v:shape>
          <o:OLEObject Type="Embed" ProgID="Equation.DSMT4" ShapeID="_x0000_i1173" DrawAspect="Content" ObjectID="_1468075872" r:id="rId329">
            <o:LockedField>false</o:LockedField>
          </o:OLEObject>
        </w:object>
      </w:r>
      <w:r>
        <w:rPr>
          <w:sz w:val="24"/>
          <w:szCs w:val="28"/>
          <w:highlight w:val="none"/>
        </w:rPr>
        <w:t>——跨中挠度为</w:t>
      </w:r>
      <w:r>
        <w:rPr>
          <w:position w:val="-12"/>
          <w:sz w:val="24"/>
          <w:szCs w:val="28"/>
          <w:highlight w:val="none"/>
        </w:rPr>
        <w:object>
          <v:shape id="_x0000_i1174" o:spt="75" type="#_x0000_t75" style="height:15.05pt;width:15.05pt;" o:ole="t" filled="f" o:preferrelative="t" stroked="f" coordsize="21600,21600">
            <v:path/>
            <v:fill on="f" focussize="0,0"/>
            <v:stroke on="f" joinstyle="miter"/>
            <v:imagedata r:id="rId332" o:title=""/>
            <o:lock v:ext="edit" aspectratio="t"/>
            <w10:wrap type="none"/>
            <w10:anchorlock/>
          </v:shape>
          <o:OLEObject Type="Embed" ProgID="Equation.DSMT4" ShapeID="_x0000_i1174" DrawAspect="Content" ObjectID="_1468075873" r:id="rId331">
            <o:LockedField>false</o:LockedField>
          </o:OLEObject>
        </w:object>
      </w:r>
      <w:r>
        <w:rPr>
          <w:sz w:val="24"/>
          <w:szCs w:val="28"/>
          <w:highlight w:val="none"/>
        </w:rPr>
        <w:t>时荷载-挠度曲线下的面积（N</w:t>
      </w:r>
      <w:r>
        <w:rPr>
          <w:sz w:val="24"/>
          <w:szCs w:val="28"/>
          <w:highlight w:val="none"/>
        </w:rPr>
        <w:sym w:font="Wingdings" w:char="F09E"/>
      </w:r>
      <w:r>
        <w:rPr>
          <w:sz w:val="24"/>
          <w:szCs w:val="28"/>
          <w:highlight w:val="none"/>
        </w:rPr>
        <w:t>mm）；</w:t>
      </w:r>
    </w:p>
    <w:p>
      <w:pPr>
        <w:snapToGrid w:val="0"/>
        <w:spacing w:line="312" w:lineRule="auto"/>
        <w:ind w:firstLine="960" w:firstLineChars="400"/>
        <w:rPr>
          <w:sz w:val="24"/>
          <w:szCs w:val="28"/>
          <w:highlight w:val="none"/>
        </w:rPr>
      </w:pPr>
      <w:r>
        <w:rPr>
          <w:position w:val="-12"/>
          <w:sz w:val="24"/>
          <w:szCs w:val="28"/>
          <w:highlight w:val="none"/>
        </w:rPr>
        <w:object>
          <v:shape id="_x0000_i1175" o:spt="75" type="#_x0000_t75" style="height:15.05pt;width:15.05pt;" o:ole="t" filled="f" o:preferrelative="t" stroked="f" coordsize="21600,21600">
            <v:path/>
            <v:fill on="f" focussize="0,0"/>
            <v:stroke on="f" joinstyle="miter"/>
            <v:imagedata r:id="rId334" o:title=""/>
            <o:lock v:ext="edit" aspectratio="t"/>
            <w10:wrap type="none"/>
            <w10:anchorlock/>
          </v:shape>
          <o:OLEObject Type="Embed" ProgID="Equation.DSMT4" ShapeID="_x0000_i1175" DrawAspect="Content" ObjectID="_1468075874" r:id="rId333">
            <o:LockedField>false</o:LockedField>
          </o:OLEObject>
        </w:object>
      </w:r>
      <w:r>
        <w:rPr>
          <w:sz w:val="24"/>
          <w:szCs w:val="28"/>
          <w:highlight w:val="none"/>
        </w:rPr>
        <w:t>——荷载下降至峰值荷载的</w:t>
      </w:r>
      <w:r>
        <w:rPr>
          <w:i/>
          <w:sz w:val="24"/>
          <w:szCs w:val="28"/>
          <w:highlight w:val="none"/>
        </w:rPr>
        <w:t>u</w:t>
      </w:r>
      <w:r>
        <w:rPr>
          <w:sz w:val="24"/>
          <w:szCs w:val="28"/>
          <w:highlight w:val="none"/>
        </w:rPr>
        <w:t>倍时对应的挠度值（mm）。用于高延性混凝土力学性能指标测定时，</w:t>
      </w:r>
      <w:r>
        <w:rPr>
          <w:i/>
          <w:sz w:val="24"/>
          <w:szCs w:val="28"/>
          <w:highlight w:val="none"/>
        </w:rPr>
        <w:t>u</w:t>
      </w:r>
      <w:r>
        <w:rPr>
          <w:sz w:val="24"/>
          <w:szCs w:val="28"/>
          <w:highlight w:val="none"/>
        </w:rPr>
        <w:t>取0.85；</w:t>
      </w:r>
    </w:p>
    <w:p>
      <w:pPr>
        <w:snapToGrid w:val="0"/>
        <w:spacing w:line="312" w:lineRule="auto"/>
        <w:ind w:firstLine="840" w:firstLineChars="350"/>
        <w:rPr>
          <w:sz w:val="24"/>
          <w:szCs w:val="28"/>
          <w:highlight w:val="none"/>
        </w:rPr>
      </w:pPr>
      <w:r>
        <w:rPr>
          <w:i/>
          <w:sz w:val="24"/>
          <w:szCs w:val="28"/>
          <w:highlight w:val="none"/>
        </w:rPr>
        <w:t>b</w:t>
      </w:r>
      <w:r>
        <w:rPr>
          <w:sz w:val="24"/>
          <w:szCs w:val="28"/>
          <w:highlight w:val="none"/>
        </w:rPr>
        <w:t>、</w:t>
      </w:r>
      <w:r>
        <w:rPr>
          <w:i/>
          <w:sz w:val="24"/>
          <w:szCs w:val="28"/>
          <w:highlight w:val="none"/>
        </w:rPr>
        <w:t>h</w:t>
      </w:r>
      <w:r>
        <w:rPr>
          <w:sz w:val="24"/>
          <w:szCs w:val="28"/>
          <w:highlight w:val="none"/>
        </w:rPr>
        <w:t>——试件的截面宽度和高度（mm）；</w:t>
      </w:r>
    </w:p>
    <w:p>
      <w:pPr>
        <w:snapToGrid w:val="0"/>
        <w:spacing w:line="312" w:lineRule="auto"/>
        <w:ind w:firstLine="1200" w:firstLineChars="500"/>
        <w:rPr>
          <w:sz w:val="24"/>
          <w:szCs w:val="28"/>
          <w:highlight w:val="none"/>
        </w:rPr>
      </w:pPr>
      <w:r>
        <w:rPr>
          <w:i/>
          <w:sz w:val="24"/>
          <w:szCs w:val="28"/>
          <w:highlight w:val="none"/>
        </w:rPr>
        <w:t>L</w:t>
      </w:r>
      <w:r>
        <w:rPr>
          <w:sz w:val="24"/>
          <w:szCs w:val="28"/>
          <w:highlight w:val="none"/>
        </w:rPr>
        <w:t>——试件的跨度（mm）。</w:t>
      </w:r>
    </w:p>
    <w:p>
      <w:pPr>
        <w:snapToGrid w:val="0"/>
        <w:spacing w:line="312" w:lineRule="auto"/>
        <w:jc w:val="center"/>
        <w:rPr>
          <w:sz w:val="24"/>
          <w:szCs w:val="28"/>
          <w:highlight w:val="none"/>
        </w:rPr>
      </w:pPr>
      <w:r>
        <w:rPr>
          <w:sz w:val="24"/>
          <w:szCs w:val="28"/>
          <w:highlight w:val="none"/>
        </w:rPr>
        <w:drawing>
          <wp:inline distT="0" distB="0" distL="0" distR="0">
            <wp:extent cx="2377440" cy="1804670"/>
            <wp:effectExtent l="0" t="0" r="0" b="0"/>
            <wp:docPr id="177" name="图片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284"/>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a:xfrm>
                      <a:off x="0" y="0"/>
                      <a:ext cx="2377440" cy="1804670"/>
                    </a:xfrm>
                    <a:prstGeom prst="rect">
                      <a:avLst/>
                    </a:prstGeom>
                    <a:noFill/>
                    <a:ln>
                      <a:noFill/>
                    </a:ln>
                  </pic:spPr>
                </pic:pic>
              </a:graphicData>
            </a:graphic>
          </wp:inline>
        </w:drawing>
      </w:r>
    </w:p>
    <w:p>
      <w:pPr>
        <w:snapToGrid w:val="0"/>
        <w:spacing w:line="312" w:lineRule="auto"/>
        <w:jc w:val="center"/>
        <w:rPr>
          <w:sz w:val="21"/>
          <w:szCs w:val="21"/>
          <w:highlight w:val="none"/>
        </w:rPr>
      </w:pPr>
      <w:r>
        <w:rPr>
          <w:sz w:val="21"/>
          <w:szCs w:val="21"/>
          <w:highlight w:val="none"/>
        </w:rPr>
        <w:t>图A.0.6等效弯曲强度计算</w:t>
      </w:r>
    </w:p>
    <w:p>
      <w:pPr>
        <w:snapToGrid w:val="0"/>
        <w:spacing w:line="312" w:lineRule="auto"/>
        <w:jc w:val="left"/>
        <w:rPr>
          <w:sz w:val="24"/>
          <w:szCs w:val="28"/>
          <w:highlight w:val="none"/>
        </w:rPr>
      </w:pPr>
      <w:r>
        <w:rPr>
          <w:b/>
          <w:sz w:val="24"/>
          <w:szCs w:val="28"/>
          <w:highlight w:val="none"/>
        </w:rPr>
        <w:t>A.0.7</w:t>
      </w:r>
      <w:r>
        <w:rPr>
          <w:sz w:val="24"/>
          <w:szCs w:val="28"/>
          <w:highlight w:val="none"/>
        </w:rPr>
        <w:t xml:space="preserve">  试件的等效弯曲韧性按下式计算：</w:t>
      </w:r>
    </w:p>
    <w:p>
      <w:pPr>
        <w:snapToGrid w:val="0"/>
        <w:spacing w:line="312" w:lineRule="auto"/>
        <w:jc w:val="right"/>
        <w:rPr>
          <w:sz w:val="24"/>
          <w:szCs w:val="28"/>
          <w:highlight w:val="none"/>
        </w:rPr>
      </w:pPr>
      <w:bookmarkStart w:id="1418" w:name="_Toc535338390"/>
      <w:bookmarkStart w:id="1419" w:name="_Toc535475942"/>
      <w:bookmarkStart w:id="1420" w:name="_Toc10207363"/>
      <w:bookmarkStart w:id="1421" w:name="_Toc519684082"/>
      <w:bookmarkStart w:id="1422" w:name="_Toc445666167"/>
      <w:bookmarkStart w:id="1423" w:name="_Toc532461023"/>
      <w:bookmarkStart w:id="1424" w:name="_Toc519683899"/>
      <w:bookmarkStart w:id="1425" w:name="_Toc19545392"/>
      <w:bookmarkStart w:id="1426" w:name="_Toc439188280"/>
      <w:bookmarkStart w:id="1427" w:name="_Toc515893936"/>
      <w:bookmarkStart w:id="1428" w:name="_Toc515087731"/>
      <w:bookmarkStart w:id="1429" w:name="_Toc7976249"/>
      <w:bookmarkStart w:id="1430" w:name="_Toc436908208"/>
      <w:bookmarkStart w:id="1431" w:name="_Toc25070412"/>
      <w:bookmarkStart w:id="1432" w:name="_Toc445664203"/>
      <w:bookmarkStart w:id="1433" w:name="_Toc534633676"/>
      <w:bookmarkStart w:id="1434" w:name="_Toc532464300"/>
      <w:bookmarkStart w:id="1435" w:name="_Toc19545662"/>
      <w:bookmarkStart w:id="1436" w:name="_Toc445666224"/>
      <w:bookmarkStart w:id="1437" w:name="_Toc450148291"/>
      <w:bookmarkStart w:id="1438" w:name="_Toc9927820"/>
      <w:bookmarkStart w:id="1439" w:name="_Toc439188407"/>
      <w:bookmarkStart w:id="1440" w:name="_Toc445665803"/>
      <w:bookmarkStart w:id="1441" w:name="_Toc25690958"/>
      <w:bookmarkStart w:id="1442" w:name="_Toc504569992"/>
      <w:bookmarkStart w:id="1443" w:name="_Toc25690687"/>
      <w:bookmarkStart w:id="1444" w:name="_Toc25070714"/>
      <w:r>
        <w:rPr>
          <w:position w:val="-24"/>
          <w:sz w:val="24"/>
          <w:szCs w:val="28"/>
          <w:highlight w:val="none"/>
        </w:rPr>
        <w:object>
          <v:shape id="_x0000_i1176" o:spt="75" type="#_x0000_t75" style="height:30.85pt;width:72pt;" o:ole="t" filled="f" o:preferrelative="t" stroked="f" coordsize="21600,21600">
            <v:path/>
            <v:fill on="f" focussize="0,0"/>
            <v:stroke on="f" joinstyle="miter"/>
            <v:imagedata r:id="rId337" o:title=""/>
            <o:lock v:ext="edit" aspectratio="t"/>
            <w10:wrap type="none"/>
            <w10:anchorlock/>
          </v:shape>
          <o:OLEObject Type="Embed" ProgID="Equation.DSMT4" ShapeID="_x0000_i1176" DrawAspect="Content" ObjectID="_1468075875" r:id="rId336">
            <o:LockedField>false</o:LockedField>
          </o:OLEObject>
        </w:object>
      </w:r>
      <w:r>
        <w:rPr>
          <w:sz w:val="24"/>
          <w:szCs w:val="28"/>
          <w:highlight w:val="none"/>
        </w:rPr>
        <w:t xml:space="preserve">               （A.0.7）</w:t>
      </w:r>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p>
    <w:p>
      <w:pPr>
        <w:snapToGrid w:val="0"/>
        <w:spacing w:line="312" w:lineRule="auto"/>
        <w:ind w:firstLine="240" w:firstLineChars="100"/>
        <w:rPr>
          <w:sz w:val="24"/>
          <w:szCs w:val="28"/>
          <w:highlight w:val="none"/>
        </w:rPr>
      </w:pPr>
      <w:r>
        <w:rPr>
          <w:sz w:val="24"/>
          <w:szCs w:val="28"/>
          <w:highlight w:val="none"/>
        </w:rPr>
        <w:t>式中：</w:t>
      </w:r>
      <w:r>
        <w:rPr>
          <w:position w:val="-12"/>
          <w:sz w:val="24"/>
          <w:szCs w:val="28"/>
          <w:highlight w:val="none"/>
        </w:rPr>
        <w:object>
          <v:shape id="_x0000_i1177" o:spt="75" type="#_x0000_t75" style="height:19pt;width:17.8pt;" o:ole="t" filled="f" o:preferrelative="t" stroked="f" coordsize="21600,21600">
            <v:path/>
            <v:fill on="f" focussize="0,0"/>
            <v:stroke on="f" joinstyle="miter"/>
            <v:imagedata r:id="rId339" o:title=""/>
            <o:lock v:ext="edit" aspectratio="t"/>
            <w10:wrap type="none"/>
            <w10:anchorlock/>
          </v:shape>
          <o:OLEObject Type="Embed" ProgID="Equation.DSMT4" ShapeID="_x0000_i1177" DrawAspect="Content" ObjectID="_1468075876" r:id="rId338">
            <o:LockedField>false</o:LockedField>
          </o:OLEObject>
        </w:object>
      </w:r>
      <w:r>
        <w:rPr>
          <w:sz w:val="24"/>
          <w:szCs w:val="28"/>
          <w:highlight w:val="none"/>
        </w:rPr>
        <w:t>——等效弯曲韧性（kJ/m</w:t>
      </w:r>
      <w:r>
        <w:rPr>
          <w:sz w:val="24"/>
          <w:szCs w:val="28"/>
          <w:highlight w:val="none"/>
          <w:vertAlign w:val="superscript"/>
        </w:rPr>
        <w:t>3</w:t>
      </w:r>
      <w:r>
        <w:rPr>
          <w:sz w:val="24"/>
          <w:szCs w:val="28"/>
          <w:highlight w:val="none"/>
        </w:rPr>
        <w:t>），精确至0.1kJ/m</w:t>
      </w:r>
      <w:r>
        <w:rPr>
          <w:sz w:val="24"/>
          <w:szCs w:val="28"/>
          <w:highlight w:val="none"/>
          <w:vertAlign w:val="superscript"/>
        </w:rPr>
        <w:t>3</w:t>
      </w:r>
      <w:r>
        <w:rPr>
          <w:sz w:val="24"/>
          <w:szCs w:val="28"/>
          <w:highlight w:val="none"/>
        </w:rPr>
        <w:t>。</w:t>
      </w:r>
    </w:p>
    <w:p>
      <w:pPr>
        <w:snapToGrid w:val="0"/>
        <w:spacing w:line="312" w:lineRule="auto"/>
        <w:jc w:val="left"/>
        <w:rPr>
          <w:sz w:val="24"/>
          <w:szCs w:val="24"/>
          <w:highlight w:val="none"/>
        </w:rPr>
      </w:pPr>
      <w:r>
        <w:rPr>
          <w:b/>
          <w:sz w:val="24"/>
          <w:szCs w:val="24"/>
          <w:highlight w:val="none"/>
        </w:rPr>
        <w:t>A.0.8</w:t>
      </w:r>
      <w:r>
        <w:rPr>
          <w:sz w:val="24"/>
          <w:szCs w:val="24"/>
          <w:highlight w:val="none"/>
        </w:rPr>
        <w:t xml:space="preserve">  等效弯曲强度和等效弯曲韧性测试以3个试件为一组，以3个试件测试值的算术平均值作为每组试件的试验结果代表值。</w:t>
      </w:r>
    </w:p>
    <w:p>
      <w:pPr>
        <w:snapToGrid w:val="0"/>
        <w:spacing w:line="312" w:lineRule="auto"/>
        <w:rPr>
          <w:rFonts w:hint="eastAsia" w:ascii="楷体" w:hAnsi="楷体" w:eastAsia="楷体" w:cs="楷体"/>
          <w:b/>
          <w:sz w:val="24"/>
          <w:szCs w:val="24"/>
          <w:highlight w:val="none"/>
          <w:u w:val="single"/>
        </w:rPr>
      </w:pPr>
    </w:p>
    <w:p>
      <w:pPr>
        <w:snapToGrid w:val="0"/>
        <w:spacing w:line="312" w:lineRule="auto"/>
        <w:rPr>
          <w:rFonts w:hint="eastAsia" w:ascii="楷体" w:hAnsi="楷体" w:eastAsia="楷体" w:cs="楷体"/>
          <w:b/>
          <w:sz w:val="24"/>
          <w:szCs w:val="24"/>
          <w:highlight w:val="none"/>
          <w:u w:val="single"/>
        </w:rPr>
      </w:pPr>
    </w:p>
    <w:p>
      <w:pPr>
        <w:snapToGrid w:val="0"/>
        <w:spacing w:line="312" w:lineRule="auto"/>
        <w:rPr>
          <w:rFonts w:hint="eastAsia" w:ascii="楷体" w:hAnsi="楷体" w:eastAsia="楷体" w:cs="楷体"/>
          <w:b/>
          <w:sz w:val="24"/>
          <w:szCs w:val="24"/>
          <w:highlight w:val="none"/>
          <w:u w:val="single"/>
        </w:rPr>
      </w:pPr>
    </w:p>
    <w:p>
      <w:pPr>
        <w:snapToGrid w:val="0"/>
        <w:spacing w:line="312" w:lineRule="auto"/>
        <w:rPr>
          <w:rFonts w:hint="eastAsia" w:ascii="楷体" w:hAnsi="楷体" w:eastAsia="楷体" w:cs="楷体"/>
          <w:b/>
          <w:sz w:val="24"/>
          <w:szCs w:val="24"/>
          <w:highlight w:val="none"/>
          <w:u w:val="single"/>
        </w:rPr>
      </w:pPr>
    </w:p>
    <w:p>
      <w:pPr>
        <w:snapToGrid w:val="0"/>
        <w:spacing w:line="312" w:lineRule="auto"/>
        <w:rPr>
          <w:sz w:val="24"/>
          <w:szCs w:val="28"/>
          <w:highlight w:val="none"/>
        </w:rPr>
      </w:pPr>
      <w:r>
        <w:rPr>
          <w:rFonts w:hint="eastAsia" w:ascii="楷体" w:hAnsi="楷体" w:eastAsia="楷体" w:cs="楷体"/>
          <w:b w:val="0"/>
          <w:bCs/>
          <w:sz w:val="24"/>
          <w:szCs w:val="24"/>
          <w:highlight w:val="none"/>
          <w:u w:val="single"/>
        </w:rPr>
        <w:t>【条文说明】</w:t>
      </w:r>
    </w:p>
    <w:p>
      <w:pPr>
        <w:spacing w:before="72" w:beforeLines="30" w:after="72" w:afterLines="30"/>
        <w:jc w:val="center"/>
        <w:outlineLvl w:val="0"/>
        <w:rPr>
          <w:rFonts w:hint="eastAsia" w:ascii="楷体" w:hAnsi="楷体" w:eastAsia="楷体" w:cs="楷体"/>
          <w:b/>
          <w:bCs/>
          <w:sz w:val="24"/>
          <w:szCs w:val="24"/>
          <w:highlight w:val="none"/>
          <w:u w:val="single"/>
        </w:rPr>
      </w:pPr>
      <w:bookmarkStart w:id="1445" w:name="_Toc9890"/>
      <w:bookmarkStart w:id="1446" w:name="_Toc1912"/>
      <w:r>
        <w:rPr>
          <w:rFonts w:hint="eastAsia" w:ascii="楷体" w:hAnsi="楷体" w:eastAsia="楷体" w:cs="楷体"/>
          <w:b/>
          <w:bCs/>
          <w:sz w:val="24"/>
          <w:szCs w:val="24"/>
          <w:highlight w:val="none"/>
          <w:u w:val="single"/>
        </w:rPr>
        <w:t>附录A  高延性混凝土弯曲试验方法</w:t>
      </w:r>
      <w:bookmarkEnd w:id="1445"/>
      <w:bookmarkEnd w:id="1446"/>
    </w:p>
    <w:p>
      <w:pPr>
        <w:spacing w:line="312" w:lineRule="auto"/>
        <w:ind w:firstLine="480" w:firstLineChars="200"/>
        <w:rPr>
          <w:rFonts w:hint="eastAsia" w:ascii="楷体" w:hAnsi="楷体" w:eastAsia="楷体" w:cs="楷体"/>
          <w:sz w:val="24"/>
          <w:szCs w:val="24"/>
          <w:highlight w:val="none"/>
          <w:u w:val="single"/>
        </w:rPr>
      </w:pPr>
      <w:r>
        <w:rPr>
          <w:rFonts w:hint="eastAsia" w:ascii="楷体" w:hAnsi="楷体" w:eastAsia="楷体" w:cs="楷体"/>
          <w:sz w:val="24"/>
          <w:szCs w:val="24"/>
          <w:highlight w:val="none"/>
          <w:u w:val="single"/>
        </w:rPr>
        <w:t>本试验方法为西安建筑科技大学高延性混凝土研究课题组，针对高延性混凝土的弯曲韧性问题的专门提出的试验方法。目前国际上对纤维混凝土弯曲韧性试验方法的研究较多，现行行业标准《纤维混凝土应用技术规程》JGJ/T 221和协会标准《纤维混凝土试验方法标准》CECS 13均给出了纤维混凝土等效弯曲强度、初裂强度和弯曲韧性的试验方法。按以上方法计算试件的等效弯曲强度时，需要计算试件跨中挠度为</w:t>
      </w:r>
      <w:r>
        <w:rPr>
          <w:rFonts w:hint="eastAsia" w:ascii="楷体" w:hAnsi="楷体" w:eastAsia="楷体" w:cs="楷体"/>
          <w:i/>
          <w:sz w:val="24"/>
          <w:szCs w:val="24"/>
          <w:highlight w:val="none"/>
          <w:u w:val="single"/>
        </w:rPr>
        <w:t>L</w:t>
      </w:r>
      <w:r>
        <w:rPr>
          <w:rFonts w:hint="eastAsia" w:ascii="楷体" w:hAnsi="楷体" w:eastAsia="楷体" w:cs="楷体"/>
          <w:sz w:val="24"/>
          <w:szCs w:val="24"/>
          <w:highlight w:val="none"/>
          <w:u w:val="single"/>
        </w:rPr>
        <w:t>/150的荷载—挠度曲线下的面积。对高延性混凝土，跨中挠度为</w:t>
      </w:r>
      <w:r>
        <w:rPr>
          <w:rFonts w:hint="eastAsia" w:ascii="楷体" w:hAnsi="楷体" w:eastAsia="楷体" w:cs="楷体"/>
          <w:i/>
          <w:sz w:val="24"/>
          <w:szCs w:val="24"/>
          <w:highlight w:val="none"/>
          <w:u w:val="single"/>
        </w:rPr>
        <w:t>L</w:t>
      </w:r>
      <w:r>
        <w:rPr>
          <w:rFonts w:hint="eastAsia" w:ascii="楷体" w:hAnsi="楷体" w:eastAsia="楷体" w:cs="楷体"/>
          <w:sz w:val="24"/>
          <w:szCs w:val="24"/>
          <w:highlight w:val="none"/>
          <w:u w:val="single"/>
        </w:rPr>
        <w:t>/150时尚未达到试件的峰值荷载。因此，采用以上方法不能反映出高延性混凝土良好的弯曲韧性。</w:t>
      </w:r>
    </w:p>
    <w:p>
      <w:pPr>
        <w:spacing w:line="312" w:lineRule="auto"/>
        <w:ind w:firstLine="480" w:firstLineChars="200"/>
        <w:rPr>
          <w:rFonts w:hint="eastAsia" w:ascii="楷体" w:hAnsi="楷体" w:eastAsia="楷体" w:cs="楷体"/>
          <w:sz w:val="24"/>
          <w:szCs w:val="24"/>
          <w:highlight w:val="none"/>
          <w:u w:val="single"/>
        </w:rPr>
      </w:pPr>
      <w:r>
        <w:rPr>
          <w:rFonts w:hint="eastAsia" w:ascii="楷体" w:hAnsi="楷体" w:eastAsia="楷体" w:cs="楷体"/>
          <w:sz w:val="24"/>
          <w:szCs w:val="24"/>
          <w:highlight w:val="none"/>
          <w:u w:val="single"/>
        </w:rPr>
        <w:t>本标准提出的高延性混凝土弯曲韧性试验方法，给出了标准试件尺寸为40mm×40mm×160mm。</w:t>
      </w:r>
    </w:p>
    <w:p>
      <w:pPr>
        <w:spacing w:line="312" w:lineRule="auto"/>
        <w:ind w:firstLine="480" w:firstLineChars="200"/>
        <w:rPr>
          <w:rFonts w:hint="eastAsia" w:ascii="楷体" w:hAnsi="楷体" w:eastAsia="楷体" w:cs="楷体"/>
          <w:sz w:val="24"/>
          <w:szCs w:val="24"/>
          <w:highlight w:val="none"/>
          <w:u w:val="single"/>
        </w:rPr>
      </w:pPr>
      <w:r>
        <w:rPr>
          <w:rFonts w:hint="eastAsia" w:ascii="楷体" w:hAnsi="楷体" w:eastAsia="楷体" w:cs="楷体"/>
          <w:sz w:val="24"/>
          <w:szCs w:val="24"/>
          <w:highlight w:val="none"/>
          <w:u w:val="single"/>
        </w:rPr>
        <w:t>按本方法对试件进行四点弯曲试验，测得其荷载-挠度曲线，计算出高延性混凝土的等效弯曲强度，再考虑试件挠曲变形对高延性混凝土弯曲韧性的影响，计算试件的等效弯曲韧性，其物理意义为试件塑性变形区域耗散的能量，与弯曲韧性的定义吻合，能更好地反映高延性混凝土的弯曲韧性。</w:t>
      </w:r>
    </w:p>
    <w:p>
      <w:pPr>
        <w:pStyle w:val="2"/>
        <w:rPr>
          <w:sz w:val="32"/>
          <w:szCs w:val="32"/>
          <w:highlight w:val="none"/>
        </w:rPr>
      </w:pPr>
    </w:p>
    <w:p>
      <w:pPr>
        <w:spacing w:before="72" w:beforeLines="30" w:after="72" w:afterLines="30"/>
        <w:jc w:val="center"/>
        <w:outlineLvl w:val="0"/>
        <w:rPr>
          <w:rFonts w:eastAsia="黑体"/>
          <w:sz w:val="28"/>
          <w:szCs w:val="28"/>
          <w:highlight w:val="none"/>
        </w:rPr>
      </w:pPr>
      <w:r>
        <w:rPr>
          <w:highlight w:val="none"/>
        </w:rPr>
        <w:br w:type="page"/>
      </w:r>
      <w:bookmarkStart w:id="1447" w:name="_Toc52211072"/>
      <w:bookmarkStart w:id="1448" w:name="_Toc63348875"/>
      <w:bookmarkStart w:id="1449" w:name="_Toc49238340"/>
      <w:bookmarkStart w:id="1450" w:name="_Toc10683"/>
      <w:bookmarkStart w:id="1451" w:name="_Toc54256676"/>
      <w:bookmarkStart w:id="1452" w:name="_Toc46169617"/>
      <w:bookmarkStart w:id="1453" w:name="_Toc63348951"/>
      <w:bookmarkStart w:id="1454" w:name="_Toc70169843"/>
      <w:bookmarkStart w:id="1455" w:name="_Toc46170083"/>
      <w:bookmarkStart w:id="1456" w:name="_Toc47983411"/>
      <w:bookmarkStart w:id="1457" w:name="_Toc9515"/>
      <w:bookmarkStart w:id="1458" w:name="_Toc14807"/>
      <w:bookmarkStart w:id="1459" w:name="_Toc52210984"/>
      <w:bookmarkStart w:id="1460" w:name="_Toc67330619"/>
      <w:bookmarkStart w:id="1461" w:name="_Toc19545296"/>
      <w:bookmarkStart w:id="1462" w:name="_Toc25690959"/>
      <w:bookmarkStart w:id="1463" w:name="_Toc25070715"/>
      <w:bookmarkStart w:id="1464" w:name="_Toc38352795"/>
      <w:bookmarkStart w:id="1465" w:name="_Toc32865099"/>
      <w:bookmarkStart w:id="1466" w:name="_Toc32848359"/>
      <w:bookmarkStart w:id="1467" w:name="_Toc38358421"/>
      <w:r>
        <w:rPr>
          <w:rFonts w:eastAsia="黑体"/>
          <w:sz w:val="28"/>
          <w:szCs w:val="28"/>
          <w:highlight w:val="none"/>
        </w:rPr>
        <w:t>附录</w:t>
      </w:r>
      <w:r>
        <w:rPr>
          <w:rFonts w:eastAsia="黑体"/>
          <w:b/>
          <w:sz w:val="28"/>
          <w:szCs w:val="28"/>
          <w:highlight w:val="none"/>
        </w:rPr>
        <w:t>B</w:t>
      </w:r>
      <w:r>
        <w:rPr>
          <w:rFonts w:eastAsia="黑体"/>
          <w:sz w:val="28"/>
          <w:szCs w:val="28"/>
          <w:highlight w:val="none"/>
        </w:rPr>
        <w:t xml:space="preserve">  高延性混凝土力学性能快速检验方法</w:t>
      </w:r>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p>
    <w:p>
      <w:pPr>
        <w:pStyle w:val="2"/>
      </w:pPr>
    </w:p>
    <w:p>
      <w:pPr>
        <w:snapToGrid w:val="0"/>
        <w:spacing w:line="312" w:lineRule="auto"/>
        <w:rPr>
          <w:sz w:val="24"/>
          <w:szCs w:val="28"/>
          <w:highlight w:val="none"/>
        </w:rPr>
      </w:pPr>
      <w:r>
        <w:rPr>
          <w:b/>
          <w:sz w:val="24"/>
          <w:szCs w:val="28"/>
          <w:highlight w:val="none"/>
        </w:rPr>
        <w:t>B.0.1</w:t>
      </w:r>
      <w:r>
        <w:rPr>
          <w:sz w:val="24"/>
          <w:szCs w:val="28"/>
          <w:highlight w:val="none"/>
        </w:rPr>
        <w:t xml:space="preserve">  本方法适用于高延性混凝土材料进场检验时的力学性能进场检验。</w:t>
      </w:r>
    </w:p>
    <w:p>
      <w:pPr>
        <w:snapToGrid w:val="0"/>
        <w:spacing w:line="312" w:lineRule="auto"/>
        <w:rPr>
          <w:sz w:val="24"/>
          <w:szCs w:val="28"/>
          <w:highlight w:val="none"/>
        </w:rPr>
      </w:pPr>
      <w:r>
        <w:rPr>
          <w:b/>
          <w:sz w:val="24"/>
          <w:szCs w:val="28"/>
          <w:highlight w:val="none"/>
        </w:rPr>
        <w:t>B.0.2</w:t>
      </w:r>
      <w:r>
        <w:rPr>
          <w:sz w:val="24"/>
          <w:szCs w:val="28"/>
          <w:highlight w:val="none"/>
        </w:rPr>
        <w:t xml:space="preserve">  可程式恒温恒湿试验箱，可调节温度范围不小于0</w:t>
      </w:r>
      <w:r>
        <w:rPr>
          <w:rFonts w:ascii="宋体"/>
          <w:sz w:val="24"/>
          <w:szCs w:val="28"/>
          <w:highlight w:val="none"/>
        </w:rPr>
        <w:t>℃</w:t>
      </w:r>
      <w:r>
        <w:rPr>
          <w:sz w:val="24"/>
          <w:szCs w:val="28"/>
          <w:highlight w:val="none"/>
        </w:rPr>
        <w:t>~80</w:t>
      </w:r>
      <w:r>
        <w:rPr>
          <w:rFonts w:ascii="宋体"/>
          <w:sz w:val="24"/>
          <w:szCs w:val="28"/>
          <w:highlight w:val="none"/>
        </w:rPr>
        <w:t>℃</w:t>
      </w:r>
      <w:r>
        <w:rPr>
          <w:sz w:val="24"/>
          <w:szCs w:val="28"/>
          <w:highlight w:val="none"/>
        </w:rPr>
        <w:t>，温度均匀度为±1</w:t>
      </w:r>
      <w:r>
        <w:rPr>
          <w:rFonts w:ascii="宋体"/>
          <w:sz w:val="24"/>
          <w:szCs w:val="28"/>
          <w:highlight w:val="none"/>
        </w:rPr>
        <w:t>℃</w:t>
      </w:r>
      <w:r>
        <w:rPr>
          <w:sz w:val="24"/>
          <w:szCs w:val="28"/>
          <w:highlight w:val="none"/>
        </w:rPr>
        <w:t>，温度波动度为±0.5</w:t>
      </w:r>
      <w:r>
        <w:rPr>
          <w:rFonts w:ascii="宋体"/>
          <w:sz w:val="24"/>
          <w:szCs w:val="28"/>
          <w:highlight w:val="none"/>
        </w:rPr>
        <w:t>℃</w:t>
      </w:r>
      <w:r>
        <w:rPr>
          <w:sz w:val="24"/>
          <w:szCs w:val="28"/>
          <w:highlight w:val="none"/>
        </w:rPr>
        <w:t>；湿度范围不小于20%~98%R.H，湿度均匀度为±2%R.H，湿度波动度为±1%R.H。</w:t>
      </w:r>
    </w:p>
    <w:p>
      <w:pPr>
        <w:snapToGrid w:val="0"/>
        <w:spacing w:line="312" w:lineRule="auto"/>
        <w:jc w:val="left"/>
        <w:rPr>
          <w:sz w:val="24"/>
          <w:szCs w:val="28"/>
          <w:highlight w:val="none"/>
        </w:rPr>
      </w:pPr>
      <w:r>
        <w:rPr>
          <w:b/>
          <w:sz w:val="24"/>
          <w:szCs w:val="28"/>
          <w:highlight w:val="none"/>
        </w:rPr>
        <w:t>B.0.3</w:t>
      </w:r>
      <w:r>
        <w:rPr>
          <w:sz w:val="24"/>
          <w:szCs w:val="28"/>
          <w:highlight w:val="none"/>
        </w:rPr>
        <w:t xml:space="preserve">  试验测试应按下列步骤进行：</w:t>
      </w:r>
    </w:p>
    <w:p>
      <w:pPr>
        <w:snapToGrid w:val="0"/>
        <w:spacing w:line="312" w:lineRule="auto"/>
        <w:ind w:firstLine="422"/>
        <w:rPr>
          <w:sz w:val="24"/>
          <w:szCs w:val="28"/>
          <w:highlight w:val="none"/>
        </w:rPr>
      </w:pPr>
      <w:r>
        <w:rPr>
          <w:b/>
          <w:sz w:val="24"/>
          <w:szCs w:val="28"/>
          <w:highlight w:val="none"/>
        </w:rPr>
        <w:t xml:space="preserve">1 </w:t>
      </w:r>
      <w:r>
        <w:rPr>
          <w:sz w:val="24"/>
          <w:szCs w:val="28"/>
          <w:highlight w:val="none"/>
        </w:rPr>
        <w:t xml:space="preserve"> 高延性混凝土力学性能的快速检验对应的</w:t>
      </w:r>
      <w:r>
        <w:rPr>
          <w:sz w:val="24"/>
          <w:szCs w:val="36"/>
          <w:highlight w:val="none"/>
        </w:rPr>
        <w:t>可程式恒温恒湿试验箱运行程序应符合图B.0.3的规定，相对湿度应保持在95%以上；</w:t>
      </w:r>
    </w:p>
    <w:p>
      <w:pPr>
        <w:snapToGrid w:val="0"/>
        <w:jc w:val="center"/>
        <w:rPr>
          <w:rFonts w:eastAsia="黑体"/>
          <w:sz w:val="21"/>
          <w:szCs w:val="28"/>
          <w:highlight w:val="none"/>
        </w:rPr>
      </w:pPr>
      <w:r>
        <w:rPr>
          <w:sz w:val="24"/>
          <w:szCs w:val="28"/>
          <w:highlight w:val="none"/>
        </w:rPr>
        <w:drawing>
          <wp:inline distT="0" distB="0" distL="0" distR="0">
            <wp:extent cx="2973705" cy="2162810"/>
            <wp:effectExtent l="0" t="0" r="0" b="0"/>
            <wp:docPr id="180" name="图片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280"/>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a:xfrm>
                      <a:off x="0" y="0"/>
                      <a:ext cx="2973705" cy="2162810"/>
                    </a:xfrm>
                    <a:prstGeom prst="rect">
                      <a:avLst/>
                    </a:prstGeom>
                    <a:noFill/>
                    <a:ln>
                      <a:noFill/>
                    </a:ln>
                  </pic:spPr>
                </pic:pic>
              </a:graphicData>
            </a:graphic>
          </wp:inline>
        </w:drawing>
      </w:r>
    </w:p>
    <w:p>
      <w:pPr>
        <w:snapToGrid w:val="0"/>
        <w:spacing w:before="120" w:beforeLines="50" w:line="312" w:lineRule="auto"/>
        <w:jc w:val="center"/>
        <w:rPr>
          <w:rFonts w:eastAsia="黑体"/>
          <w:sz w:val="21"/>
          <w:szCs w:val="28"/>
          <w:highlight w:val="none"/>
        </w:rPr>
      </w:pPr>
      <w:r>
        <w:rPr>
          <w:rFonts w:eastAsia="黑体"/>
          <w:sz w:val="21"/>
          <w:szCs w:val="28"/>
          <w:highlight w:val="none"/>
        </w:rPr>
        <w:t>图B.0.3  可程式恒温恒湿试验箱运行程序</w:t>
      </w:r>
    </w:p>
    <w:p>
      <w:pPr>
        <w:snapToGrid w:val="0"/>
        <w:spacing w:line="312" w:lineRule="auto"/>
        <w:ind w:firstLine="422"/>
        <w:rPr>
          <w:sz w:val="24"/>
          <w:szCs w:val="28"/>
          <w:highlight w:val="none"/>
        </w:rPr>
      </w:pPr>
      <w:r>
        <w:rPr>
          <w:b/>
          <w:sz w:val="24"/>
          <w:szCs w:val="28"/>
          <w:highlight w:val="none"/>
        </w:rPr>
        <w:t xml:space="preserve">2  </w:t>
      </w:r>
      <w:r>
        <w:rPr>
          <w:sz w:val="24"/>
          <w:szCs w:val="28"/>
          <w:highlight w:val="none"/>
        </w:rPr>
        <w:t>高延性混凝土力学性能快速检验的试件尺寸及制作方法应符合</w:t>
      </w:r>
      <w:r>
        <w:rPr>
          <w:rFonts w:hint="eastAsia"/>
          <w:sz w:val="24"/>
          <w:szCs w:val="28"/>
          <w:highlight w:val="none"/>
        </w:rPr>
        <w:t>本标准</w:t>
      </w:r>
      <w:r>
        <w:rPr>
          <w:sz w:val="24"/>
          <w:szCs w:val="28"/>
          <w:highlight w:val="none"/>
        </w:rPr>
        <w:t>第4.</w:t>
      </w:r>
      <w:r>
        <w:rPr>
          <w:rFonts w:hint="eastAsia"/>
          <w:sz w:val="24"/>
          <w:szCs w:val="28"/>
          <w:highlight w:val="none"/>
          <w:lang w:val="en-US" w:eastAsia="zh-CN"/>
        </w:rPr>
        <w:t>3.2</w:t>
      </w:r>
      <w:r>
        <w:rPr>
          <w:sz w:val="24"/>
          <w:szCs w:val="28"/>
          <w:highlight w:val="none"/>
        </w:rPr>
        <w:t>条的相关规定，每批次制作</w:t>
      </w:r>
      <w:r>
        <w:rPr>
          <w:rFonts w:hint="eastAsia"/>
          <w:sz w:val="24"/>
          <w:szCs w:val="28"/>
          <w:highlight w:val="none"/>
        </w:rPr>
        <w:t>1</w:t>
      </w:r>
      <w:r>
        <w:rPr>
          <w:sz w:val="24"/>
          <w:szCs w:val="28"/>
          <w:highlight w:val="none"/>
        </w:rPr>
        <w:t>组试件；</w:t>
      </w:r>
    </w:p>
    <w:p>
      <w:pPr>
        <w:snapToGrid w:val="0"/>
        <w:spacing w:line="312" w:lineRule="auto"/>
        <w:ind w:firstLine="422"/>
        <w:rPr>
          <w:b/>
          <w:sz w:val="24"/>
          <w:szCs w:val="28"/>
          <w:highlight w:val="none"/>
        </w:rPr>
      </w:pPr>
      <w:r>
        <w:rPr>
          <w:b/>
          <w:sz w:val="24"/>
          <w:szCs w:val="28"/>
          <w:highlight w:val="none"/>
        </w:rPr>
        <w:t xml:space="preserve">3 </w:t>
      </w:r>
      <w:r>
        <w:rPr>
          <w:sz w:val="24"/>
          <w:szCs w:val="28"/>
          <w:highlight w:val="none"/>
        </w:rPr>
        <w:t xml:space="preserve"> 试件制作</w:t>
      </w:r>
      <w:r>
        <w:rPr>
          <w:sz w:val="24"/>
          <w:szCs w:val="36"/>
          <w:highlight w:val="none"/>
        </w:rPr>
        <w:t>成型24h后拆模，检查外观，不得有明显缺损。试件拆模后置于可程式恒温恒湿试验箱中，上下错位放置，按图B.0.3的运行程序养护72h后取出，放置室温后再按</w:t>
      </w:r>
      <w:r>
        <w:rPr>
          <w:rFonts w:hint="eastAsia"/>
          <w:sz w:val="24"/>
          <w:szCs w:val="28"/>
          <w:highlight w:val="none"/>
        </w:rPr>
        <w:t>本标准</w:t>
      </w:r>
      <w:r>
        <w:rPr>
          <w:sz w:val="24"/>
          <w:szCs w:val="28"/>
          <w:highlight w:val="none"/>
        </w:rPr>
        <w:t>第4</w:t>
      </w:r>
      <w:r>
        <w:rPr>
          <w:rFonts w:hint="eastAsia"/>
          <w:sz w:val="24"/>
          <w:szCs w:val="28"/>
          <w:highlight w:val="none"/>
        </w:rPr>
        <w:t>.3.3</w:t>
      </w:r>
      <w:r>
        <w:rPr>
          <w:sz w:val="24"/>
          <w:szCs w:val="28"/>
          <w:highlight w:val="none"/>
        </w:rPr>
        <w:t>条的相关规定</w:t>
      </w:r>
      <w:r>
        <w:rPr>
          <w:sz w:val="24"/>
          <w:szCs w:val="36"/>
          <w:highlight w:val="none"/>
        </w:rPr>
        <w:t>进行力学性能测试。</w:t>
      </w:r>
    </w:p>
    <w:p>
      <w:pPr>
        <w:snapToGrid w:val="0"/>
        <w:spacing w:line="312" w:lineRule="auto"/>
        <w:rPr>
          <w:sz w:val="24"/>
          <w:szCs w:val="28"/>
          <w:highlight w:val="none"/>
        </w:rPr>
      </w:pPr>
      <w:r>
        <w:rPr>
          <w:b/>
          <w:sz w:val="24"/>
          <w:szCs w:val="28"/>
          <w:highlight w:val="none"/>
        </w:rPr>
        <w:t xml:space="preserve">B.0.4  </w:t>
      </w:r>
      <w:r>
        <w:rPr>
          <w:sz w:val="24"/>
          <w:szCs w:val="28"/>
          <w:highlight w:val="none"/>
        </w:rPr>
        <w:t>快速检验的高延性混凝土力学性能测试结果应符合表B.0.4的要求。</w:t>
      </w:r>
    </w:p>
    <w:p>
      <w:pPr>
        <w:snapToGrid w:val="0"/>
        <w:spacing w:before="120" w:beforeLines="50" w:line="312" w:lineRule="auto"/>
        <w:jc w:val="center"/>
        <w:rPr>
          <w:rFonts w:eastAsia="黑体"/>
          <w:sz w:val="21"/>
          <w:szCs w:val="28"/>
          <w:highlight w:val="none"/>
        </w:rPr>
      </w:pPr>
      <w:r>
        <w:rPr>
          <w:rFonts w:eastAsia="黑体"/>
          <w:sz w:val="21"/>
          <w:szCs w:val="28"/>
          <w:highlight w:val="none"/>
        </w:rPr>
        <w:t>表B.0.4  高延性混凝土快速养护力学性能指标</w:t>
      </w:r>
    </w:p>
    <w:tbl>
      <w:tblPr>
        <w:tblStyle w:val="23"/>
        <w:tblW w:w="0" w:type="auto"/>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2660"/>
        <w:gridCol w:w="1134"/>
        <w:gridCol w:w="1133"/>
        <w:gridCol w:w="1061"/>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tblHeader/>
          <w:jc w:val="center"/>
        </w:trPr>
        <w:tc>
          <w:tcPr>
            <w:tcW w:w="2660" w:type="dxa"/>
            <w:vMerge w:val="restart"/>
            <w:vAlign w:val="center"/>
          </w:tcPr>
          <w:p>
            <w:pPr>
              <w:snapToGrid w:val="0"/>
              <w:jc w:val="center"/>
              <w:rPr>
                <w:sz w:val="21"/>
                <w:szCs w:val="21"/>
                <w:highlight w:val="none"/>
              </w:rPr>
            </w:pPr>
            <w:r>
              <w:rPr>
                <w:sz w:val="21"/>
                <w:szCs w:val="21"/>
                <w:highlight w:val="none"/>
              </w:rPr>
              <w:t>力学性能指标类别</w:t>
            </w:r>
          </w:p>
        </w:tc>
        <w:tc>
          <w:tcPr>
            <w:tcW w:w="3328" w:type="dxa"/>
            <w:gridSpan w:val="3"/>
            <w:vAlign w:val="center"/>
          </w:tcPr>
          <w:p>
            <w:pPr>
              <w:snapToGrid w:val="0"/>
              <w:jc w:val="center"/>
              <w:rPr>
                <w:sz w:val="21"/>
                <w:szCs w:val="21"/>
                <w:highlight w:val="none"/>
              </w:rPr>
            </w:pPr>
            <w:r>
              <w:rPr>
                <w:sz w:val="21"/>
                <w:szCs w:val="21"/>
                <w:highlight w:val="none"/>
              </w:rPr>
              <w:t>快速检验性能指标</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tblHeader/>
          <w:jc w:val="center"/>
        </w:trPr>
        <w:tc>
          <w:tcPr>
            <w:tcW w:w="2660" w:type="dxa"/>
            <w:vMerge w:val="continue"/>
            <w:vAlign w:val="center"/>
          </w:tcPr>
          <w:p>
            <w:pPr>
              <w:snapToGrid w:val="0"/>
              <w:jc w:val="center"/>
              <w:rPr>
                <w:sz w:val="21"/>
                <w:szCs w:val="21"/>
                <w:highlight w:val="none"/>
              </w:rPr>
            </w:pPr>
          </w:p>
        </w:tc>
        <w:tc>
          <w:tcPr>
            <w:tcW w:w="1134" w:type="dxa"/>
            <w:vAlign w:val="center"/>
          </w:tcPr>
          <w:p>
            <w:pPr>
              <w:snapToGrid w:val="0"/>
              <w:jc w:val="center"/>
              <w:rPr>
                <w:sz w:val="21"/>
                <w:szCs w:val="21"/>
                <w:highlight w:val="none"/>
              </w:rPr>
            </w:pPr>
            <w:r>
              <w:rPr>
                <w:sz w:val="21"/>
                <w:szCs w:val="21"/>
                <w:highlight w:val="none"/>
              </w:rPr>
              <w:fldChar w:fldCharType="begin"/>
            </w:r>
            <w:r>
              <w:rPr>
                <w:sz w:val="21"/>
                <w:szCs w:val="21"/>
                <w:highlight w:val="none"/>
              </w:rPr>
              <w:instrText xml:space="preserve"> = 1 \* ROMAN </w:instrText>
            </w:r>
            <w:r>
              <w:rPr>
                <w:sz w:val="21"/>
                <w:szCs w:val="21"/>
                <w:highlight w:val="none"/>
              </w:rPr>
              <w:fldChar w:fldCharType="separate"/>
            </w:r>
            <w:r>
              <w:rPr>
                <w:sz w:val="21"/>
                <w:szCs w:val="21"/>
                <w:highlight w:val="none"/>
              </w:rPr>
              <w:t>I</w:t>
            </w:r>
            <w:r>
              <w:rPr>
                <w:sz w:val="21"/>
                <w:szCs w:val="21"/>
                <w:highlight w:val="none"/>
              </w:rPr>
              <w:fldChar w:fldCharType="end"/>
            </w:r>
            <w:r>
              <w:rPr>
                <w:sz w:val="21"/>
                <w:szCs w:val="21"/>
                <w:highlight w:val="none"/>
              </w:rPr>
              <w:t>类</w:t>
            </w:r>
          </w:p>
        </w:tc>
        <w:tc>
          <w:tcPr>
            <w:tcW w:w="1133" w:type="dxa"/>
            <w:vAlign w:val="center"/>
          </w:tcPr>
          <w:p>
            <w:pPr>
              <w:snapToGrid w:val="0"/>
              <w:jc w:val="center"/>
              <w:rPr>
                <w:sz w:val="21"/>
                <w:szCs w:val="21"/>
                <w:highlight w:val="none"/>
              </w:rPr>
            </w:pPr>
            <w:r>
              <w:rPr>
                <w:sz w:val="21"/>
                <w:szCs w:val="21"/>
                <w:highlight w:val="none"/>
              </w:rPr>
              <w:fldChar w:fldCharType="begin"/>
            </w:r>
            <w:r>
              <w:rPr>
                <w:sz w:val="21"/>
                <w:szCs w:val="21"/>
                <w:highlight w:val="none"/>
              </w:rPr>
              <w:instrText xml:space="preserve"> = 2 \* ROMAN </w:instrText>
            </w:r>
            <w:r>
              <w:rPr>
                <w:sz w:val="21"/>
                <w:szCs w:val="21"/>
                <w:highlight w:val="none"/>
              </w:rPr>
              <w:fldChar w:fldCharType="separate"/>
            </w:r>
            <w:r>
              <w:rPr>
                <w:sz w:val="21"/>
                <w:szCs w:val="21"/>
                <w:highlight w:val="none"/>
              </w:rPr>
              <w:t>II</w:t>
            </w:r>
            <w:r>
              <w:rPr>
                <w:sz w:val="21"/>
                <w:szCs w:val="21"/>
                <w:highlight w:val="none"/>
              </w:rPr>
              <w:fldChar w:fldCharType="end"/>
            </w:r>
            <w:r>
              <w:rPr>
                <w:sz w:val="21"/>
                <w:szCs w:val="21"/>
                <w:highlight w:val="none"/>
              </w:rPr>
              <w:t>类</w:t>
            </w:r>
          </w:p>
        </w:tc>
        <w:tc>
          <w:tcPr>
            <w:tcW w:w="1061" w:type="dxa"/>
            <w:vAlign w:val="center"/>
          </w:tcPr>
          <w:p>
            <w:pPr>
              <w:snapToGrid w:val="0"/>
              <w:jc w:val="center"/>
              <w:rPr>
                <w:sz w:val="21"/>
                <w:szCs w:val="21"/>
                <w:highlight w:val="none"/>
              </w:rPr>
            </w:pPr>
            <w:r>
              <w:rPr>
                <w:sz w:val="21"/>
                <w:szCs w:val="21"/>
                <w:highlight w:val="none"/>
              </w:rPr>
              <w:fldChar w:fldCharType="begin"/>
            </w:r>
            <w:r>
              <w:rPr>
                <w:sz w:val="21"/>
                <w:szCs w:val="21"/>
                <w:highlight w:val="none"/>
              </w:rPr>
              <w:instrText xml:space="preserve"> = 3 \* ROMAN </w:instrText>
            </w:r>
            <w:r>
              <w:rPr>
                <w:sz w:val="21"/>
                <w:szCs w:val="21"/>
                <w:highlight w:val="none"/>
              </w:rPr>
              <w:fldChar w:fldCharType="separate"/>
            </w:r>
            <w:r>
              <w:rPr>
                <w:sz w:val="21"/>
                <w:szCs w:val="21"/>
                <w:highlight w:val="none"/>
              </w:rPr>
              <w:t>III</w:t>
            </w:r>
            <w:r>
              <w:rPr>
                <w:sz w:val="21"/>
                <w:szCs w:val="21"/>
                <w:highlight w:val="none"/>
              </w:rPr>
              <w:fldChar w:fldCharType="end"/>
            </w:r>
            <w:r>
              <w:rPr>
                <w:sz w:val="21"/>
                <w:szCs w:val="21"/>
                <w:highlight w:val="none"/>
              </w:rPr>
              <w:t>类</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jc w:val="center"/>
        </w:trPr>
        <w:tc>
          <w:tcPr>
            <w:tcW w:w="2660" w:type="dxa"/>
            <w:vAlign w:val="center"/>
          </w:tcPr>
          <w:p>
            <w:pPr>
              <w:snapToGrid w:val="0"/>
              <w:jc w:val="center"/>
              <w:rPr>
                <w:sz w:val="21"/>
                <w:szCs w:val="21"/>
                <w:highlight w:val="none"/>
              </w:rPr>
            </w:pPr>
            <w:r>
              <w:rPr>
                <w:sz w:val="21"/>
                <w:szCs w:val="21"/>
                <w:highlight w:val="none"/>
              </w:rPr>
              <w:t>等效弯曲韧性（kJ/m</w:t>
            </w:r>
            <w:r>
              <w:rPr>
                <w:sz w:val="21"/>
                <w:szCs w:val="21"/>
                <w:highlight w:val="none"/>
                <w:vertAlign w:val="superscript"/>
              </w:rPr>
              <w:t>3</w:t>
            </w:r>
            <w:r>
              <w:rPr>
                <w:sz w:val="21"/>
                <w:szCs w:val="21"/>
                <w:highlight w:val="none"/>
              </w:rPr>
              <w:t>）</w:t>
            </w:r>
          </w:p>
        </w:tc>
        <w:tc>
          <w:tcPr>
            <w:tcW w:w="1134" w:type="dxa"/>
            <w:vAlign w:val="center"/>
          </w:tcPr>
          <w:p>
            <w:pPr>
              <w:snapToGrid w:val="0"/>
              <w:jc w:val="center"/>
              <w:rPr>
                <w:sz w:val="21"/>
                <w:szCs w:val="21"/>
                <w:highlight w:val="none"/>
              </w:rPr>
            </w:pPr>
            <w:r>
              <w:rPr>
                <w:rFonts w:ascii="宋体" w:hAnsi="宋体"/>
                <w:sz w:val="21"/>
                <w:szCs w:val="21"/>
                <w:highlight w:val="none"/>
              </w:rPr>
              <w:t>≥</w:t>
            </w:r>
            <w:r>
              <w:rPr>
                <w:sz w:val="21"/>
                <w:szCs w:val="21"/>
                <w:highlight w:val="none"/>
              </w:rPr>
              <w:t>170.0</w:t>
            </w:r>
          </w:p>
        </w:tc>
        <w:tc>
          <w:tcPr>
            <w:tcW w:w="1133" w:type="dxa"/>
            <w:vAlign w:val="center"/>
          </w:tcPr>
          <w:p>
            <w:pPr>
              <w:snapToGrid w:val="0"/>
              <w:jc w:val="center"/>
              <w:rPr>
                <w:sz w:val="21"/>
                <w:szCs w:val="21"/>
                <w:highlight w:val="none"/>
              </w:rPr>
            </w:pPr>
            <w:r>
              <w:rPr>
                <w:rFonts w:ascii="宋体" w:hAnsi="宋体"/>
                <w:sz w:val="21"/>
                <w:szCs w:val="21"/>
                <w:highlight w:val="none"/>
              </w:rPr>
              <w:t>≥</w:t>
            </w:r>
            <w:r>
              <w:rPr>
                <w:sz w:val="21"/>
                <w:szCs w:val="21"/>
                <w:highlight w:val="none"/>
              </w:rPr>
              <w:t>130.0</w:t>
            </w:r>
          </w:p>
        </w:tc>
        <w:tc>
          <w:tcPr>
            <w:tcW w:w="1061" w:type="dxa"/>
            <w:vAlign w:val="center"/>
          </w:tcPr>
          <w:p>
            <w:pPr>
              <w:snapToGrid w:val="0"/>
              <w:jc w:val="center"/>
              <w:rPr>
                <w:sz w:val="21"/>
                <w:szCs w:val="21"/>
                <w:highlight w:val="none"/>
              </w:rPr>
            </w:pPr>
            <w:r>
              <w:rPr>
                <w:rFonts w:ascii="宋体" w:hAnsi="宋体"/>
                <w:sz w:val="21"/>
                <w:szCs w:val="21"/>
                <w:highlight w:val="none"/>
              </w:rPr>
              <w:t>≥</w:t>
            </w:r>
            <w:r>
              <w:rPr>
                <w:sz w:val="21"/>
                <w:szCs w:val="21"/>
                <w:highlight w:val="none"/>
              </w:rPr>
              <w:t>90.0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jc w:val="center"/>
        </w:trPr>
        <w:tc>
          <w:tcPr>
            <w:tcW w:w="2660" w:type="dxa"/>
            <w:vAlign w:val="center"/>
          </w:tcPr>
          <w:p>
            <w:pPr>
              <w:snapToGrid w:val="0"/>
              <w:jc w:val="center"/>
              <w:rPr>
                <w:sz w:val="21"/>
                <w:szCs w:val="21"/>
                <w:highlight w:val="none"/>
              </w:rPr>
            </w:pPr>
            <w:r>
              <w:rPr>
                <w:sz w:val="21"/>
                <w:szCs w:val="21"/>
                <w:highlight w:val="none"/>
              </w:rPr>
              <w:t>等效弯曲强度（N/mm</w:t>
            </w:r>
            <w:r>
              <w:rPr>
                <w:sz w:val="21"/>
                <w:szCs w:val="21"/>
                <w:highlight w:val="none"/>
                <w:vertAlign w:val="superscript"/>
              </w:rPr>
              <w:t>2</w:t>
            </w:r>
            <w:r>
              <w:rPr>
                <w:sz w:val="21"/>
                <w:szCs w:val="21"/>
                <w:highlight w:val="none"/>
              </w:rPr>
              <w:t>）</w:t>
            </w:r>
          </w:p>
        </w:tc>
        <w:tc>
          <w:tcPr>
            <w:tcW w:w="1134" w:type="dxa"/>
            <w:vAlign w:val="center"/>
          </w:tcPr>
          <w:p>
            <w:pPr>
              <w:snapToGrid w:val="0"/>
              <w:jc w:val="center"/>
              <w:rPr>
                <w:sz w:val="21"/>
                <w:szCs w:val="21"/>
                <w:highlight w:val="none"/>
              </w:rPr>
            </w:pPr>
            <w:r>
              <w:rPr>
                <w:rFonts w:ascii="宋体" w:hAnsi="宋体"/>
                <w:sz w:val="21"/>
                <w:szCs w:val="21"/>
                <w:highlight w:val="none"/>
              </w:rPr>
              <w:t>≥</w:t>
            </w:r>
            <w:r>
              <w:rPr>
                <w:sz w:val="21"/>
                <w:szCs w:val="21"/>
                <w:highlight w:val="none"/>
              </w:rPr>
              <w:t>11.0</w:t>
            </w:r>
          </w:p>
        </w:tc>
        <w:tc>
          <w:tcPr>
            <w:tcW w:w="1133" w:type="dxa"/>
            <w:vAlign w:val="center"/>
          </w:tcPr>
          <w:p>
            <w:pPr>
              <w:snapToGrid w:val="0"/>
              <w:jc w:val="center"/>
              <w:rPr>
                <w:sz w:val="21"/>
                <w:szCs w:val="21"/>
                <w:highlight w:val="none"/>
              </w:rPr>
            </w:pPr>
            <w:r>
              <w:rPr>
                <w:rFonts w:ascii="宋体" w:hAnsi="宋体"/>
                <w:sz w:val="21"/>
                <w:szCs w:val="21"/>
                <w:highlight w:val="none"/>
              </w:rPr>
              <w:t>≥</w:t>
            </w:r>
            <w:r>
              <w:rPr>
                <w:sz w:val="21"/>
                <w:szCs w:val="21"/>
                <w:highlight w:val="none"/>
              </w:rPr>
              <w:t>10.0</w:t>
            </w:r>
          </w:p>
        </w:tc>
        <w:tc>
          <w:tcPr>
            <w:tcW w:w="1061" w:type="dxa"/>
            <w:vAlign w:val="center"/>
          </w:tcPr>
          <w:p>
            <w:pPr>
              <w:snapToGrid w:val="0"/>
              <w:jc w:val="center"/>
              <w:rPr>
                <w:sz w:val="21"/>
                <w:szCs w:val="21"/>
                <w:highlight w:val="none"/>
              </w:rPr>
            </w:pPr>
            <w:r>
              <w:rPr>
                <w:rFonts w:ascii="宋体" w:hAnsi="宋体"/>
                <w:sz w:val="21"/>
                <w:szCs w:val="21"/>
                <w:highlight w:val="none"/>
              </w:rPr>
              <w:t>≥</w:t>
            </w:r>
            <w:r>
              <w:rPr>
                <w:sz w:val="21"/>
                <w:szCs w:val="21"/>
                <w:highlight w:val="none"/>
              </w:rPr>
              <w:t>9.0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jc w:val="center"/>
        </w:trPr>
        <w:tc>
          <w:tcPr>
            <w:tcW w:w="2660" w:type="dxa"/>
            <w:vAlign w:val="center"/>
          </w:tcPr>
          <w:p>
            <w:pPr>
              <w:snapToGrid w:val="0"/>
              <w:jc w:val="center"/>
              <w:rPr>
                <w:sz w:val="21"/>
                <w:szCs w:val="21"/>
                <w:highlight w:val="none"/>
              </w:rPr>
            </w:pPr>
            <w:r>
              <w:rPr>
                <w:sz w:val="21"/>
                <w:szCs w:val="21"/>
                <w:highlight w:val="none"/>
              </w:rPr>
              <w:t>抗折强度（N/mm</w:t>
            </w:r>
            <w:r>
              <w:rPr>
                <w:sz w:val="21"/>
                <w:szCs w:val="21"/>
                <w:highlight w:val="none"/>
                <w:vertAlign w:val="superscript"/>
              </w:rPr>
              <w:t>2</w:t>
            </w:r>
            <w:r>
              <w:rPr>
                <w:sz w:val="21"/>
                <w:szCs w:val="21"/>
                <w:highlight w:val="none"/>
              </w:rPr>
              <w:t>）</w:t>
            </w:r>
          </w:p>
        </w:tc>
        <w:tc>
          <w:tcPr>
            <w:tcW w:w="3328" w:type="dxa"/>
            <w:gridSpan w:val="3"/>
            <w:vAlign w:val="center"/>
          </w:tcPr>
          <w:p>
            <w:pPr>
              <w:snapToGrid w:val="0"/>
              <w:jc w:val="center"/>
              <w:rPr>
                <w:sz w:val="21"/>
                <w:szCs w:val="21"/>
                <w:highlight w:val="none"/>
              </w:rPr>
            </w:pPr>
            <w:r>
              <w:rPr>
                <w:rFonts w:ascii="宋体" w:hAnsi="宋体"/>
                <w:sz w:val="21"/>
                <w:szCs w:val="21"/>
                <w:highlight w:val="none"/>
              </w:rPr>
              <w:t>≥</w:t>
            </w:r>
            <w:r>
              <w:rPr>
                <w:sz w:val="21"/>
                <w:szCs w:val="21"/>
                <w:highlight w:val="none"/>
              </w:rPr>
              <w:t>11.0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jc w:val="center"/>
        </w:trPr>
        <w:tc>
          <w:tcPr>
            <w:tcW w:w="2660" w:type="dxa"/>
            <w:vAlign w:val="center"/>
          </w:tcPr>
          <w:p>
            <w:pPr>
              <w:snapToGrid w:val="0"/>
              <w:jc w:val="center"/>
              <w:rPr>
                <w:sz w:val="21"/>
                <w:szCs w:val="21"/>
                <w:highlight w:val="none"/>
              </w:rPr>
            </w:pPr>
            <w:r>
              <w:rPr>
                <w:sz w:val="21"/>
                <w:szCs w:val="21"/>
                <w:highlight w:val="none"/>
              </w:rPr>
              <w:t>立方体抗压强度（N/mm</w:t>
            </w:r>
            <w:r>
              <w:rPr>
                <w:sz w:val="21"/>
                <w:szCs w:val="21"/>
                <w:highlight w:val="none"/>
                <w:vertAlign w:val="superscript"/>
              </w:rPr>
              <w:t>2</w:t>
            </w:r>
            <w:r>
              <w:rPr>
                <w:sz w:val="21"/>
                <w:szCs w:val="21"/>
                <w:highlight w:val="none"/>
              </w:rPr>
              <w:t>）</w:t>
            </w:r>
          </w:p>
        </w:tc>
        <w:tc>
          <w:tcPr>
            <w:tcW w:w="3328" w:type="dxa"/>
            <w:gridSpan w:val="3"/>
            <w:vAlign w:val="center"/>
          </w:tcPr>
          <w:p>
            <w:pPr>
              <w:snapToGrid w:val="0"/>
              <w:jc w:val="center"/>
              <w:rPr>
                <w:sz w:val="21"/>
                <w:szCs w:val="21"/>
                <w:highlight w:val="none"/>
              </w:rPr>
            </w:pPr>
            <w:r>
              <w:rPr>
                <w:rFonts w:ascii="宋体" w:hAnsi="宋体"/>
                <w:sz w:val="21"/>
                <w:szCs w:val="21"/>
                <w:highlight w:val="none"/>
              </w:rPr>
              <w:t>≥</w:t>
            </w:r>
            <w:r>
              <w:rPr>
                <w:sz w:val="21"/>
                <w:szCs w:val="21"/>
                <w:highlight w:val="none"/>
              </w:rPr>
              <w:t>45.0</w:t>
            </w:r>
          </w:p>
        </w:tc>
      </w:tr>
    </w:tbl>
    <w:p>
      <w:pPr>
        <w:spacing w:before="72" w:beforeLines="30" w:after="72" w:afterLines="30"/>
        <w:rPr>
          <w:sz w:val="21"/>
          <w:szCs w:val="21"/>
          <w:highlight w:val="none"/>
        </w:rPr>
      </w:pPr>
      <w:r>
        <w:rPr>
          <w:sz w:val="21"/>
          <w:szCs w:val="21"/>
          <w:highlight w:val="none"/>
        </w:rPr>
        <w:t>注：表中性能指标除立方体抗压强度为标准值外，其他性能指标均指</w:t>
      </w:r>
      <w:r>
        <w:rPr>
          <w:rFonts w:hint="eastAsia"/>
          <w:sz w:val="21"/>
          <w:szCs w:val="21"/>
          <w:highlight w:val="none"/>
        </w:rPr>
        <w:t>试验结果的</w:t>
      </w:r>
      <w:r>
        <w:rPr>
          <w:sz w:val="21"/>
          <w:szCs w:val="21"/>
          <w:highlight w:val="none"/>
        </w:rPr>
        <w:t>代表值。</w:t>
      </w:r>
    </w:p>
    <w:p>
      <w:pPr>
        <w:snapToGrid w:val="0"/>
        <w:spacing w:line="312" w:lineRule="auto"/>
        <w:rPr>
          <w:rFonts w:hint="eastAsia" w:ascii="楷体" w:hAnsi="楷体" w:eastAsia="楷体" w:cs="楷体"/>
          <w:b/>
          <w:sz w:val="24"/>
          <w:szCs w:val="24"/>
          <w:highlight w:val="none"/>
          <w:u w:val="single"/>
        </w:rPr>
      </w:pPr>
    </w:p>
    <w:p>
      <w:pPr>
        <w:snapToGrid w:val="0"/>
        <w:spacing w:line="312" w:lineRule="auto"/>
        <w:rPr>
          <w:sz w:val="24"/>
          <w:szCs w:val="28"/>
          <w:highlight w:val="none"/>
        </w:rPr>
      </w:pPr>
      <w:r>
        <w:rPr>
          <w:rFonts w:hint="eastAsia" w:ascii="楷体" w:hAnsi="楷体" w:eastAsia="楷体" w:cs="楷体"/>
          <w:b/>
          <w:sz w:val="24"/>
          <w:szCs w:val="24"/>
          <w:highlight w:val="none"/>
          <w:u w:val="single"/>
        </w:rPr>
        <w:t>【条文说明】</w:t>
      </w:r>
    </w:p>
    <w:p>
      <w:pPr>
        <w:pStyle w:val="2"/>
        <w:rPr>
          <w:sz w:val="21"/>
          <w:szCs w:val="21"/>
          <w:highlight w:val="none"/>
        </w:rPr>
      </w:pPr>
    </w:p>
    <w:p>
      <w:pPr>
        <w:spacing w:before="72" w:beforeLines="30" w:after="72" w:afterLines="30"/>
        <w:jc w:val="center"/>
        <w:outlineLvl w:val="0"/>
        <w:rPr>
          <w:rFonts w:hint="eastAsia" w:ascii="楷体" w:hAnsi="楷体" w:eastAsia="楷体" w:cs="楷体"/>
          <w:b/>
          <w:bCs/>
          <w:sz w:val="24"/>
          <w:szCs w:val="24"/>
          <w:highlight w:val="none"/>
          <w:u w:val="single"/>
        </w:rPr>
      </w:pPr>
      <w:bookmarkStart w:id="1468" w:name="_Toc13462"/>
      <w:bookmarkStart w:id="1469" w:name="_Toc15236"/>
      <w:r>
        <w:rPr>
          <w:rFonts w:hint="eastAsia" w:ascii="楷体" w:hAnsi="楷体" w:eastAsia="楷体" w:cs="楷体"/>
          <w:b/>
          <w:bCs/>
          <w:sz w:val="24"/>
          <w:szCs w:val="24"/>
          <w:highlight w:val="none"/>
          <w:u w:val="single"/>
        </w:rPr>
        <w:t>附录B  高延性混凝土力学性能快速检验方法</w:t>
      </w:r>
      <w:bookmarkEnd w:id="1468"/>
      <w:bookmarkEnd w:id="1469"/>
    </w:p>
    <w:p>
      <w:pPr>
        <w:spacing w:line="312" w:lineRule="auto"/>
        <w:ind w:firstLine="480" w:firstLineChars="200"/>
        <w:rPr>
          <w:rFonts w:hint="eastAsia" w:ascii="楷体" w:hAnsi="楷体" w:eastAsia="楷体" w:cs="楷体"/>
          <w:sz w:val="24"/>
          <w:szCs w:val="24"/>
          <w:highlight w:val="none"/>
          <w:u w:val="single"/>
        </w:rPr>
      </w:pPr>
      <w:r>
        <w:rPr>
          <w:rFonts w:hint="eastAsia" w:ascii="楷体" w:hAnsi="楷体" w:eastAsia="楷体" w:cs="楷体"/>
          <w:sz w:val="24"/>
          <w:szCs w:val="24"/>
          <w:highlight w:val="none"/>
          <w:u w:val="single"/>
        </w:rPr>
        <w:t>本附录中的方法为高延性混凝土力学性能的快速检验方法，主要用于高延性混凝土材料进场复验时初步判断材料是否可以用于施工。因为采用快速养护，可以使高延性混凝土力学性能快速发展，并比较接近实际标准养护60d的强度指标，能更真实的反应材料最终的性能，作为进场检验依据更为科学合理。</w:t>
      </w:r>
    </w:p>
    <w:p>
      <w:pPr>
        <w:spacing w:line="312" w:lineRule="auto"/>
        <w:ind w:firstLine="480" w:firstLineChars="200"/>
        <w:rPr>
          <w:rFonts w:hint="eastAsia" w:ascii="仿宋_GB2312" w:hAnsi="仿宋_GB2312" w:eastAsia="仿宋_GB2312" w:cs="仿宋_GB2312"/>
          <w:sz w:val="21"/>
          <w:szCs w:val="21"/>
          <w:highlight w:val="none"/>
        </w:rPr>
      </w:pPr>
      <w:r>
        <w:rPr>
          <w:rFonts w:hint="eastAsia" w:ascii="楷体" w:hAnsi="楷体" w:eastAsia="楷体" w:cs="楷体"/>
          <w:sz w:val="24"/>
          <w:szCs w:val="24"/>
          <w:highlight w:val="none"/>
          <w:u w:val="single"/>
        </w:rPr>
        <w:t>由于强度与韧性相互之间的关系，快速检验的性能指标中抗折强度和抗压强度由于还未完全达到最终强度，因此略有降低，此时等效弯曲韧性指标高于本标准第4.3.1条的规定。通过进场的材料性能复检和最终60d标准养护的性能检验，能够在保证不影响正常施工的前提下，保证材料性能。</w:t>
      </w:r>
    </w:p>
    <w:p>
      <w:pPr>
        <w:pStyle w:val="2"/>
        <w:rPr>
          <w:sz w:val="21"/>
          <w:szCs w:val="21"/>
          <w:highlight w:val="none"/>
        </w:rPr>
      </w:pPr>
    </w:p>
    <w:p>
      <w:pPr>
        <w:spacing w:before="72" w:beforeLines="30" w:after="72" w:afterLines="30"/>
        <w:jc w:val="center"/>
        <w:outlineLvl w:val="0"/>
        <w:rPr>
          <w:rFonts w:eastAsia="黑体"/>
          <w:sz w:val="28"/>
          <w:szCs w:val="28"/>
          <w:highlight w:val="none"/>
        </w:rPr>
      </w:pPr>
      <w:r>
        <w:rPr>
          <w:sz w:val="18"/>
          <w:szCs w:val="18"/>
          <w:highlight w:val="none"/>
        </w:rPr>
        <w:br w:type="page"/>
      </w:r>
      <w:bookmarkStart w:id="1470" w:name="_Toc54256666"/>
      <w:bookmarkStart w:id="1471" w:name="_Toc48138912"/>
      <w:bookmarkStart w:id="1472" w:name="_Toc67330610"/>
      <w:bookmarkStart w:id="1473" w:name="_Toc48210380"/>
      <w:bookmarkStart w:id="1474" w:name="_Toc48210157"/>
      <w:bookmarkStart w:id="1475" w:name="_Toc48138990"/>
      <w:bookmarkStart w:id="1476" w:name="_Toc54255572"/>
      <w:bookmarkStart w:id="1477" w:name="_Toc63348866"/>
      <w:bookmarkStart w:id="1478" w:name="_Toc63348942"/>
      <w:bookmarkStart w:id="1479" w:name="_Toc52264516"/>
      <w:bookmarkStart w:id="1480" w:name="_Toc70169833"/>
      <w:bookmarkStart w:id="1481" w:name="_Toc4108"/>
      <w:bookmarkStart w:id="1482" w:name="_Toc27067"/>
      <w:bookmarkStart w:id="1483" w:name="_Toc70169753"/>
      <w:bookmarkStart w:id="1484" w:name="_Toc16340"/>
      <w:r>
        <w:rPr>
          <w:rFonts w:hint="eastAsia" w:eastAsia="黑体"/>
          <w:sz w:val="28"/>
          <w:szCs w:val="28"/>
          <w:highlight w:val="none"/>
        </w:rPr>
        <w:t>附录</w:t>
      </w:r>
      <w:r>
        <w:rPr>
          <w:rFonts w:hint="eastAsia" w:eastAsia="黑体"/>
          <w:b/>
          <w:sz w:val="28"/>
          <w:szCs w:val="28"/>
          <w:highlight w:val="none"/>
        </w:rPr>
        <w:t>C</w:t>
      </w:r>
      <w:r>
        <w:rPr>
          <w:rFonts w:eastAsia="黑体"/>
          <w:sz w:val="28"/>
          <w:szCs w:val="28"/>
          <w:highlight w:val="none"/>
        </w:rPr>
        <w:t xml:space="preserve">  农村房屋</w:t>
      </w:r>
      <w:bookmarkEnd w:id="1470"/>
      <w:bookmarkEnd w:id="1471"/>
      <w:bookmarkEnd w:id="1472"/>
      <w:bookmarkEnd w:id="1473"/>
      <w:bookmarkEnd w:id="1474"/>
      <w:bookmarkEnd w:id="1475"/>
      <w:bookmarkEnd w:id="1476"/>
      <w:bookmarkEnd w:id="1477"/>
      <w:bookmarkEnd w:id="1478"/>
      <w:bookmarkEnd w:id="1479"/>
      <w:r>
        <w:rPr>
          <w:rFonts w:eastAsia="黑体"/>
          <w:sz w:val="28"/>
          <w:szCs w:val="28"/>
          <w:highlight w:val="none"/>
        </w:rPr>
        <w:t>加固</w:t>
      </w:r>
      <w:bookmarkEnd w:id="1480"/>
      <w:bookmarkEnd w:id="1481"/>
      <w:bookmarkEnd w:id="1482"/>
      <w:bookmarkEnd w:id="1483"/>
      <w:bookmarkEnd w:id="1484"/>
    </w:p>
    <w:p>
      <w:pPr>
        <w:spacing w:line="360" w:lineRule="auto"/>
        <w:jc w:val="center"/>
        <w:outlineLvl w:val="1"/>
        <w:rPr>
          <w:rFonts w:eastAsia="黑体"/>
          <w:sz w:val="24"/>
          <w:szCs w:val="28"/>
          <w:highlight w:val="none"/>
        </w:rPr>
      </w:pPr>
      <w:bookmarkStart w:id="1485" w:name="_Toc16253926"/>
      <w:bookmarkStart w:id="1486" w:name="_Toc63348867"/>
      <w:bookmarkStart w:id="1487" w:name="_Toc12365"/>
      <w:bookmarkStart w:id="1488" w:name="_Toc70169754"/>
      <w:bookmarkStart w:id="1489" w:name="_Toc48210381"/>
      <w:bookmarkStart w:id="1490" w:name="_Toc48138913"/>
      <w:bookmarkStart w:id="1491" w:name="_Toc48210158"/>
      <w:bookmarkStart w:id="1492" w:name="_Toc70169834"/>
      <w:bookmarkStart w:id="1493" w:name="_Toc63348943"/>
      <w:bookmarkStart w:id="1494" w:name="_Toc32865100"/>
      <w:bookmarkStart w:id="1495" w:name="_Toc48138835"/>
      <w:bookmarkStart w:id="1496" w:name="_Toc54255573"/>
      <w:bookmarkStart w:id="1497" w:name="_Toc25308161"/>
      <w:bookmarkStart w:id="1498" w:name="_Toc48138991"/>
      <w:bookmarkStart w:id="1499" w:name="_Toc52264517"/>
      <w:bookmarkStart w:id="1500" w:name="_Toc25172138"/>
      <w:bookmarkStart w:id="1501" w:name="_Toc67330611"/>
      <w:bookmarkStart w:id="1502" w:name="_Toc2389"/>
      <w:bookmarkStart w:id="1503" w:name="_Toc38358422"/>
      <w:bookmarkStart w:id="1504" w:name="_Toc9068"/>
      <w:bookmarkStart w:id="1505" w:name="_Toc38352796"/>
      <w:bookmarkStart w:id="1506" w:name="_Toc54256667"/>
      <w:bookmarkStart w:id="1507" w:name="_Toc32848361"/>
      <w:bookmarkStart w:id="1508" w:name="_Toc25070726"/>
      <w:bookmarkStart w:id="1509" w:name="_Toc19545307"/>
      <w:bookmarkStart w:id="1510" w:name="_Toc511230977"/>
      <w:bookmarkStart w:id="1511" w:name="_Toc511722938"/>
      <w:bookmarkStart w:id="1512" w:name="_Toc25690970"/>
      <w:r>
        <w:rPr>
          <w:rFonts w:hint="eastAsia" w:eastAsia="黑体"/>
          <w:b/>
          <w:sz w:val="24"/>
          <w:szCs w:val="28"/>
          <w:highlight w:val="none"/>
        </w:rPr>
        <w:t>C.</w:t>
      </w:r>
      <w:r>
        <w:rPr>
          <w:rFonts w:eastAsia="黑体"/>
          <w:b/>
          <w:sz w:val="24"/>
          <w:szCs w:val="28"/>
          <w:highlight w:val="none"/>
        </w:rPr>
        <w:t>1</w:t>
      </w:r>
      <w:r>
        <w:rPr>
          <w:rFonts w:eastAsia="黑体"/>
          <w:sz w:val="24"/>
          <w:szCs w:val="28"/>
          <w:highlight w:val="none"/>
        </w:rPr>
        <w:t xml:space="preserve">  一般规定</w:t>
      </w:r>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p>
    <w:p>
      <w:pPr>
        <w:spacing w:line="312" w:lineRule="auto"/>
        <w:jc w:val="left"/>
        <w:rPr>
          <w:sz w:val="24"/>
          <w:szCs w:val="28"/>
          <w:highlight w:val="none"/>
        </w:rPr>
      </w:pPr>
      <w:bookmarkStart w:id="1513" w:name="_Toc10207236"/>
      <w:bookmarkStart w:id="1514" w:name="_Toc7976155"/>
      <w:bookmarkStart w:id="1515" w:name="_Toc9927721"/>
      <w:bookmarkStart w:id="1516" w:name="_Toc25172139"/>
      <w:bookmarkStart w:id="1517" w:name="_Toc25308162"/>
      <w:bookmarkStart w:id="1518" w:name="_Toc16253927"/>
      <w:r>
        <w:rPr>
          <w:rFonts w:hint="eastAsia"/>
          <w:b/>
          <w:sz w:val="24"/>
          <w:szCs w:val="28"/>
          <w:highlight w:val="none"/>
        </w:rPr>
        <w:t>C.</w:t>
      </w:r>
      <w:r>
        <w:rPr>
          <w:b/>
          <w:sz w:val="24"/>
          <w:szCs w:val="28"/>
          <w:highlight w:val="none"/>
        </w:rPr>
        <w:t xml:space="preserve">1.1 </w:t>
      </w:r>
      <w:r>
        <w:rPr>
          <w:sz w:val="24"/>
          <w:szCs w:val="28"/>
          <w:highlight w:val="none"/>
        </w:rPr>
        <w:t xml:space="preserve"> 本章适用于农村一、二层砌体结构房屋的上部砌体结构构造加固。</w:t>
      </w:r>
      <w:bookmarkEnd w:id="1513"/>
      <w:bookmarkEnd w:id="1514"/>
      <w:bookmarkEnd w:id="1515"/>
      <w:r>
        <w:rPr>
          <w:sz w:val="24"/>
          <w:szCs w:val="28"/>
          <w:highlight w:val="none"/>
        </w:rPr>
        <w:t>其中，砌体构件所用块材为烧结普通砖、烧结多孔砖、混凝土小型空心砌块。</w:t>
      </w:r>
      <w:bookmarkEnd w:id="1516"/>
      <w:bookmarkEnd w:id="1517"/>
      <w:bookmarkEnd w:id="1518"/>
      <w:bookmarkStart w:id="1519" w:name="_Toc10207239"/>
      <w:bookmarkStart w:id="1520" w:name="_Toc16253931"/>
      <w:bookmarkStart w:id="1521" w:name="_Toc9927724"/>
      <w:bookmarkStart w:id="1522" w:name="_Toc25308165"/>
      <w:bookmarkStart w:id="1523" w:name="_Toc7976158"/>
      <w:bookmarkStart w:id="1524" w:name="_Toc25172142"/>
    </w:p>
    <w:p>
      <w:pPr>
        <w:snapToGrid w:val="0"/>
        <w:spacing w:line="312" w:lineRule="auto"/>
        <w:rPr>
          <w:rFonts w:hint="eastAsia" w:ascii="楷体" w:hAnsi="楷体" w:eastAsia="楷体" w:cs="楷体"/>
          <w:sz w:val="24"/>
          <w:szCs w:val="24"/>
          <w:highlight w:val="none"/>
          <w:u w:val="single"/>
        </w:rPr>
      </w:pPr>
      <w:r>
        <w:rPr>
          <w:rFonts w:hint="eastAsia" w:ascii="楷体" w:hAnsi="楷体" w:eastAsia="楷体" w:cs="楷体"/>
          <w:b w:val="0"/>
          <w:bCs/>
          <w:sz w:val="24"/>
          <w:szCs w:val="24"/>
          <w:highlight w:val="none"/>
          <w:u w:val="single"/>
        </w:rPr>
        <w:t>【条文说明】</w:t>
      </w:r>
      <w:r>
        <w:rPr>
          <w:rFonts w:hint="eastAsia" w:ascii="楷体" w:hAnsi="楷体" w:eastAsia="楷体" w:cs="楷体"/>
          <w:sz w:val="24"/>
          <w:szCs w:val="24"/>
          <w:highlight w:val="none"/>
          <w:u w:val="single"/>
        </w:rPr>
        <w:t xml:space="preserve"> 高延性混凝土加固农村房屋主要是针对砌体结构的构造加固，通过高延性混凝土条带或面层加固来提高房屋的整体性和抗震能力。</w:t>
      </w:r>
    </w:p>
    <w:p>
      <w:pPr>
        <w:spacing w:line="312" w:lineRule="auto"/>
        <w:jc w:val="left"/>
        <w:rPr>
          <w:sz w:val="24"/>
          <w:szCs w:val="28"/>
          <w:highlight w:val="none"/>
        </w:rPr>
      </w:pPr>
      <w:r>
        <w:rPr>
          <w:rFonts w:hint="eastAsia"/>
          <w:b/>
          <w:sz w:val="24"/>
          <w:szCs w:val="28"/>
          <w:highlight w:val="none"/>
        </w:rPr>
        <w:t>C.1.2</w:t>
      </w:r>
      <w:r>
        <w:rPr>
          <w:rFonts w:hint="eastAsia"/>
          <w:sz w:val="24"/>
          <w:szCs w:val="28"/>
          <w:highlight w:val="none"/>
        </w:rPr>
        <w:t xml:space="preserve">  </w:t>
      </w:r>
      <w:r>
        <w:rPr>
          <w:sz w:val="24"/>
          <w:szCs w:val="28"/>
          <w:highlight w:val="none"/>
        </w:rPr>
        <w:t>农村房屋</w:t>
      </w:r>
      <w:r>
        <w:rPr>
          <w:rFonts w:hint="eastAsia"/>
          <w:sz w:val="24"/>
          <w:szCs w:val="28"/>
          <w:highlight w:val="none"/>
        </w:rPr>
        <w:t>的屋面、地基基础、木构件等本标准未涉及的加固内容，应按国家及四川省现行有关标准的规定进行处理。</w:t>
      </w:r>
    </w:p>
    <w:p>
      <w:pPr>
        <w:snapToGrid w:val="0"/>
        <w:spacing w:line="312" w:lineRule="auto"/>
        <w:rPr>
          <w:rFonts w:hint="eastAsia" w:ascii="楷体" w:hAnsi="楷体" w:eastAsia="楷体" w:cs="楷体"/>
          <w:sz w:val="24"/>
          <w:szCs w:val="24"/>
          <w:highlight w:val="none"/>
          <w:u w:val="single"/>
        </w:rPr>
      </w:pPr>
      <w:r>
        <w:rPr>
          <w:rFonts w:hint="eastAsia" w:ascii="楷体" w:hAnsi="楷体" w:eastAsia="楷体" w:cs="楷体"/>
          <w:b w:val="0"/>
          <w:bCs/>
          <w:sz w:val="24"/>
          <w:szCs w:val="24"/>
          <w:highlight w:val="none"/>
          <w:u w:val="single"/>
        </w:rPr>
        <w:t>【条文说明】</w:t>
      </w:r>
      <w:r>
        <w:rPr>
          <w:rFonts w:hint="eastAsia" w:ascii="楷体" w:hAnsi="楷体" w:eastAsia="楷体" w:cs="楷体"/>
          <w:sz w:val="24"/>
          <w:szCs w:val="24"/>
          <w:highlight w:val="none"/>
          <w:u w:val="single"/>
        </w:rPr>
        <w:t xml:space="preserve"> 高延性混凝土加固技术应用于农村房屋加固时，可以很好的改善房屋上部结构的整体性能、提高结构的安全性和抗震性能，但对地基基础、木屋架等本标准未涉及到的加固内容，应符合国家及四川省现行有关标准的规定。</w:t>
      </w:r>
    </w:p>
    <w:p>
      <w:pPr>
        <w:spacing w:line="312" w:lineRule="auto"/>
        <w:jc w:val="left"/>
        <w:rPr>
          <w:sz w:val="24"/>
          <w:szCs w:val="28"/>
          <w:highlight w:val="none"/>
        </w:rPr>
      </w:pPr>
      <w:r>
        <w:rPr>
          <w:rFonts w:hint="eastAsia"/>
          <w:b/>
          <w:sz w:val="24"/>
          <w:szCs w:val="28"/>
          <w:highlight w:val="none"/>
        </w:rPr>
        <w:t>C.1</w:t>
      </w:r>
      <w:r>
        <w:rPr>
          <w:b/>
          <w:sz w:val="24"/>
          <w:szCs w:val="28"/>
          <w:highlight w:val="none"/>
        </w:rPr>
        <w:t>.</w:t>
      </w:r>
      <w:r>
        <w:rPr>
          <w:rFonts w:hint="eastAsia"/>
          <w:b/>
          <w:sz w:val="24"/>
          <w:szCs w:val="28"/>
          <w:highlight w:val="none"/>
        </w:rPr>
        <w:t>3</w:t>
      </w:r>
      <w:r>
        <w:rPr>
          <w:sz w:val="24"/>
          <w:szCs w:val="28"/>
          <w:highlight w:val="none"/>
        </w:rPr>
        <w:t xml:space="preserve">  高延性混凝土加固农村房屋应做到加固有设计、施工有监督、竣工有验收。</w:t>
      </w:r>
      <w:bookmarkEnd w:id="1519"/>
      <w:bookmarkEnd w:id="1520"/>
      <w:bookmarkEnd w:id="1521"/>
      <w:bookmarkEnd w:id="1522"/>
      <w:bookmarkEnd w:id="1523"/>
      <w:bookmarkEnd w:id="1524"/>
    </w:p>
    <w:p>
      <w:pPr>
        <w:spacing w:line="312" w:lineRule="auto"/>
        <w:jc w:val="left"/>
        <w:rPr>
          <w:sz w:val="24"/>
          <w:szCs w:val="28"/>
          <w:highlight w:val="none"/>
        </w:rPr>
      </w:pPr>
      <w:bookmarkStart w:id="1525" w:name="_Toc17276384"/>
      <w:bookmarkStart w:id="1526" w:name="_Toc17131102"/>
      <w:bookmarkStart w:id="1527" w:name="_Toc18600631"/>
      <w:bookmarkStart w:id="1528" w:name="_Toc18602347"/>
      <w:bookmarkStart w:id="1529" w:name="_Toc17131344"/>
      <w:bookmarkStart w:id="1530" w:name="_Toc17278130"/>
      <w:bookmarkStart w:id="1531" w:name="_Toc17276593"/>
      <w:bookmarkStart w:id="1532" w:name="_Toc9927725"/>
      <w:bookmarkStart w:id="1533" w:name="_Toc10207240"/>
      <w:bookmarkStart w:id="1534" w:name="_Toc7976159"/>
      <w:bookmarkStart w:id="1535" w:name="_Toc25308166"/>
      <w:bookmarkStart w:id="1536" w:name="_Toc25172143"/>
      <w:bookmarkStart w:id="1537" w:name="_Toc16253932"/>
      <w:r>
        <w:rPr>
          <w:rFonts w:hint="eastAsia"/>
          <w:b/>
          <w:sz w:val="24"/>
          <w:szCs w:val="28"/>
          <w:highlight w:val="none"/>
        </w:rPr>
        <w:t>C.</w:t>
      </w:r>
      <w:r>
        <w:rPr>
          <w:b/>
          <w:sz w:val="24"/>
          <w:szCs w:val="28"/>
          <w:highlight w:val="none"/>
        </w:rPr>
        <w:t>1.</w:t>
      </w:r>
      <w:r>
        <w:rPr>
          <w:rFonts w:hint="eastAsia"/>
          <w:b/>
          <w:sz w:val="24"/>
          <w:szCs w:val="28"/>
          <w:highlight w:val="none"/>
        </w:rPr>
        <w:t>4</w:t>
      </w:r>
      <w:r>
        <w:rPr>
          <w:sz w:val="24"/>
          <w:szCs w:val="28"/>
          <w:highlight w:val="none"/>
        </w:rPr>
        <w:t xml:space="preserve">  高延性混凝土条带加固农村房屋时，</w:t>
      </w:r>
      <w:r>
        <w:rPr>
          <w:rFonts w:hint="eastAsia"/>
          <w:sz w:val="24"/>
          <w:szCs w:val="28"/>
          <w:highlight w:val="none"/>
        </w:rPr>
        <w:t>应使用</w:t>
      </w:r>
      <w:r>
        <w:rPr>
          <w:sz w:val="24"/>
          <w:szCs w:val="28"/>
          <w:highlight w:val="none"/>
        </w:rPr>
        <w:t>I类</w:t>
      </w:r>
      <w:r>
        <w:rPr>
          <w:rFonts w:hint="eastAsia"/>
          <w:sz w:val="24"/>
          <w:szCs w:val="28"/>
          <w:highlight w:val="none"/>
        </w:rPr>
        <w:t>或</w:t>
      </w:r>
      <w:r>
        <w:rPr>
          <w:sz w:val="24"/>
          <w:szCs w:val="28"/>
          <w:highlight w:val="none"/>
        </w:rPr>
        <w:t>II类高延性混凝土；高延性混凝土</w:t>
      </w:r>
      <w:r>
        <w:rPr>
          <w:rFonts w:hint="eastAsia"/>
          <w:sz w:val="24"/>
          <w:szCs w:val="28"/>
          <w:highlight w:val="none"/>
        </w:rPr>
        <w:t>面层</w:t>
      </w:r>
      <w:r>
        <w:rPr>
          <w:sz w:val="24"/>
          <w:szCs w:val="28"/>
          <w:highlight w:val="none"/>
        </w:rPr>
        <w:t>加固农村房屋时，</w:t>
      </w:r>
      <w:r>
        <w:rPr>
          <w:rFonts w:hint="eastAsia"/>
          <w:sz w:val="24"/>
          <w:szCs w:val="28"/>
          <w:highlight w:val="none"/>
        </w:rPr>
        <w:t>可使用</w:t>
      </w:r>
      <w:r>
        <w:rPr>
          <w:sz w:val="24"/>
          <w:szCs w:val="28"/>
          <w:highlight w:val="none"/>
        </w:rPr>
        <w:t>III类高延性混凝土。</w:t>
      </w:r>
      <w:bookmarkEnd w:id="1525"/>
      <w:bookmarkEnd w:id="1526"/>
      <w:bookmarkEnd w:id="1527"/>
      <w:bookmarkEnd w:id="1528"/>
      <w:bookmarkEnd w:id="1529"/>
      <w:bookmarkEnd w:id="1530"/>
      <w:bookmarkEnd w:id="1531"/>
    </w:p>
    <w:bookmarkEnd w:id="1532"/>
    <w:bookmarkEnd w:id="1533"/>
    <w:bookmarkEnd w:id="1534"/>
    <w:bookmarkEnd w:id="1535"/>
    <w:bookmarkEnd w:id="1536"/>
    <w:bookmarkEnd w:id="1537"/>
    <w:p>
      <w:pPr>
        <w:spacing w:line="360" w:lineRule="auto"/>
        <w:jc w:val="center"/>
        <w:outlineLvl w:val="1"/>
        <w:rPr>
          <w:rFonts w:eastAsia="黑体"/>
          <w:sz w:val="24"/>
          <w:szCs w:val="28"/>
          <w:highlight w:val="none"/>
        </w:rPr>
      </w:pPr>
      <w:bookmarkStart w:id="1538" w:name="_Toc511722935"/>
      <w:bookmarkStart w:id="1539" w:name="_Toc511230974"/>
      <w:bookmarkStart w:id="1540" w:name="_Toc48138836"/>
      <w:bookmarkStart w:id="1541" w:name="_Toc67330612"/>
      <w:bookmarkStart w:id="1542" w:name="_Toc20864"/>
      <w:bookmarkStart w:id="1543" w:name="_Toc8152"/>
      <w:bookmarkStart w:id="1544" w:name="_Toc48210382"/>
      <w:bookmarkStart w:id="1545" w:name="_Toc38358423"/>
      <w:bookmarkStart w:id="1546" w:name="_Toc48138992"/>
      <w:bookmarkStart w:id="1547" w:name="_Toc48210159"/>
      <w:bookmarkStart w:id="1548" w:name="_Toc38352797"/>
      <w:bookmarkStart w:id="1549" w:name="_Toc70169835"/>
      <w:bookmarkStart w:id="1550" w:name="_Toc25308167"/>
      <w:bookmarkStart w:id="1551" w:name="_Toc32865101"/>
      <w:bookmarkStart w:id="1552" w:name="_Toc28496"/>
      <w:bookmarkStart w:id="1553" w:name="_Toc70169755"/>
      <w:bookmarkStart w:id="1554" w:name="_Toc52264518"/>
      <w:bookmarkStart w:id="1555" w:name="_Toc63348868"/>
      <w:bookmarkStart w:id="1556" w:name="_Toc63348944"/>
      <w:bookmarkStart w:id="1557" w:name="_Toc25172144"/>
      <w:bookmarkStart w:id="1558" w:name="_Toc54256668"/>
      <w:bookmarkStart w:id="1559" w:name="_Toc54255574"/>
      <w:bookmarkStart w:id="1560" w:name="_Toc16253934"/>
      <w:bookmarkStart w:id="1561" w:name="_Toc48138914"/>
      <w:r>
        <w:rPr>
          <w:rFonts w:hint="eastAsia" w:eastAsia="黑体"/>
          <w:b/>
          <w:sz w:val="24"/>
          <w:szCs w:val="28"/>
          <w:highlight w:val="none"/>
        </w:rPr>
        <w:t>C.</w:t>
      </w:r>
      <w:r>
        <w:rPr>
          <w:rFonts w:eastAsia="黑体"/>
          <w:b/>
          <w:sz w:val="24"/>
          <w:szCs w:val="28"/>
          <w:highlight w:val="none"/>
        </w:rPr>
        <w:t>2</w:t>
      </w:r>
      <w:r>
        <w:rPr>
          <w:rFonts w:eastAsia="黑体"/>
          <w:sz w:val="24"/>
          <w:szCs w:val="28"/>
          <w:highlight w:val="none"/>
        </w:rPr>
        <w:t xml:space="preserve">  基本</w:t>
      </w:r>
      <w:bookmarkEnd w:id="1538"/>
      <w:bookmarkEnd w:id="1539"/>
      <w:r>
        <w:rPr>
          <w:rFonts w:eastAsia="黑体"/>
          <w:sz w:val="24"/>
          <w:szCs w:val="28"/>
          <w:highlight w:val="none"/>
        </w:rPr>
        <w:t>要求</w:t>
      </w:r>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p>
    <w:p>
      <w:pPr>
        <w:spacing w:line="312" w:lineRule="auto"/>
        <w:jc w:val="left"/>
        <w:rPr>
          <w:bCs/>
          <w:sz w:val="24"/>
          <w:szCs w:val="28"/>
          <w:highlight w:val="none"/>
        </w:rPr>
      </w:pPr>
      <w:bookmarkStart w:id="1562" w:name="_Toc7976161"/>
      <w:bookmarkStart w:id="1563" w:name="_Toc10207243"/>
      <w:bookmarkStart w:id="1564" w:name="_Toc25308168"/>
      <w:bookmarkStart w:id="1565" w:name="_Toc9927727"/>
      <w:bookmarkStart w:id="1566" w:name="_Toc25172145"/>
      <w:bookmarkStart w:id="1567" w:name="_Toc16253935"/>
      <w:r>
        <w:rPr>
          <w:rFonts w:hint="eastAsia"/>
          <w:b/>
          <w:sz w:val="24"/>
          <w:szCs w:val="28"/>
          <w:highlight w:val="none"/>
        </w:rPr>
        <w:t xml:space="preserve">C.2.1  </w:t>
      </w:r>
      <w:r>
        <w:rPr>
          <w:rFonts w:hint="eastAsia"/>
          <w:bCs/>
          <w:sz w:val="24"/>
          <w:szCs w:val="28"/>
          <w:highlight w:val="none"/>
        </w:rPr>
        <w:t>农村房屋加固后的抗震设防目标为：当遭受低于本地区抗震设防烈度的多遇地震影响时，一般不需修理或局部修复后可继续使用；当遭受相当于本地区抗震设防烈度的地震影响时，主体结构不至于严重破坏、围护结构不发生大面积倒塌。</w:t>
      </w:r>
    </w:p>
    <w:bookmarkEnd w:id="1562"/>
    <w:bookmarkEnd w:id="1563"/>
    <w:bookmarkEnd w:id="1564"/>
    <w:bookmarkEnd w:id="1565"/>
    <w:bookmarkEnd w:id="1566"/>
    <w:bookmarkEnd w:id="1567"/>
    <w:p>
      <w:pPr>
        <w:spacing w:line="312" w:lineRule="auto"/>
        <w:jc w:val="left"/>
        <w:rPr>
          <w:sz w:val="24"/>
          <w:szCs w:val="28"/>
          <w:highlight w:val="none"/>
        </w:rPr>
      </w:pPr>
      <w:bookmarkStart w:id="1568" w:name="_Toc16253936"/>
      <w:bookmarkStart w:id="1569" w:name="_Toc10207244"/>
      <w:bookmarkStart w:id="1570" w:name="_Toc25172146"/>
      <w:bookmarkStart w:id="1571" w:name="_Toc9927728"/>
      <w:bookmarkStart w:id="1572" w:name="_Toc25308169"/>
      <w:bookmarkStart w:id="1573" w:name="_Toc7976162"/>
      <w:r>
        <w:rPr>
          <w:rFonts w:hint="eastAsia"/>
          <w:b/>
          <w:sz w:val="24"/>
          <w:szCs w:val="28"/>
          <w:highlight w:val="none"/>
        </w:rPr>
        <w:t>C.</w:t>
      </w:r>
      <w:r>
        <w:rPr>
          <w:b/>
          <w:sz w:val="24"/>
          <w:szCs w:val="28"/>
          <w:highlight w:val="none"/>
        </w:rPr>
        <w:t>2.2</w:t>
      </w:r>
      <w:r>
        <w:rPr>
          <w:sz w:val="24"/>
          <w:szCs w:val="28"/>
          <w:highlight w:val="none"/>
        </w:rPr>
        <w:t xml:space="preserve">  当基础无腐蚀、酥碱、松散和剥落，上部结构无不均匀沉降裂缝和倾斜，或虽有裂缝、倾斜但不严重且无发展趋势时，应以加强上部结构的整体性为主；当地基基础沉降和上部结构开裂、倾斜仍在发展时，应先对地基基础进行加固，再进行上部结构加固处理。</w:t>
      </w:r>
      <w:bookmarkEnd w:id="1568"/>
      <w:bookmarkEnd w:id="1569"/>
      <w:bookmarkEnd w:id="1570"/>
      <w:bookmarkEnd w:id="1571"/>
      <w:bookmarkEnd w:id="1572"/>
      <w:bookmarkEnd w:id="1573"/>
    </w:p>
    <w:p>
      <w:pPr>
        <w:snapToGrid w:val="0"/>
        <w:spacing w:line="312" w:lineRule="auto"/>
        <w:rPr>
          <w:rFonts w:hint="eastAsia" w:ascii="楷体" w:hAnsi="楷体" w:eastAsia="楷体" w:cs="楷体"/>
          <w:sz w:val="24"/>
          <w:szCs w:val="24"/>
          <w:highlight w:val="none"/>
          <w:u w:val="single"/>
        </w:rPr>
      </w:pPr>
      <w:r>
        <w:rPr>
          <w:rFonts w:hint="eastAsia" w:ascii="楷体" w:hAnsi="楷体" w:eastAsia="楷体" w:cs="楷体"/>
          <w:b w:val="0"/>
          <w:bCs/>
          <w:sz w:val="24"/>
          <w:szCs w:val="24"/>
          <w:highlight w:val="none"/>
          <w:u w:val="single"/>
        </w:rPr>
        <w:t>【条文说明】</w:t>
      </w:r>
      <w:r>
        <w:rPr>
          <w:rFonts w:hint="eastAsia" w:ascii="楷体" w:hAnsi="楷体" w:eastAsia="楷体" w:cs="楷体"/>
          <w:sz w:val="24"/>
          <w:szCs w:val="24"/>
          <w:highlight w:val="none"/>
          <w:u w:val="single"/>
        </w:rPr>
        <w:t xml:space="preserve"> 房屋的加固，首先要保证地基基础的稳定和承载能力，在确保地基基础安全、稳定的前提下，再对上部结构进行加固处理。</w:t>
      </w:r>
    </w:p>
    <w:p>
      <w:pPr>
        <w:spacing w:line="312" w:lineRule="auto"/>
        <w:jc w:val="left"/>
        <w:rPr>
          <w:sz w:val="24"/>
          <w:szCs w:val="24"/>
          <w:highlight w:val="none"/>
        </w:rPr>
      </w:pPr>
      <w:r>
        <w:rPr>
          <w:rFonts w:hint="eastAsia" w:eastAsia="黑体"/>
          <w:b/>
          <w:sz w:val="24"/>
          <w:szCs w:val="24"/>
          <w:highlight w:val="none"/>
        </w:rPr>
        <w:t>C.</w:t>
      </w:r>
      <w:r>
        <w:rPr>
          <w:rFonts w:eastAsia="黑体"/>
          <w:b/>
          <w:sz w:val="24"/>
          <w:szCs w:val="24"/>
          <w:highlight w:val="none"/>
        </w:rPr>
        <w:t>2.3</w:t>
      </w:r>
      <w:r>
        <w:rPr>
          <w:rFonts w:hint="eastAsia"/>
          <w:sz w:val="24"/>
          <w:szCs w:val="24"/>
          <w:highlight w:val="none"/>
        </w:rPr>
        <w:t xml:space="preserve">  </w:t>
      </w:r>
      <w:r>
        <w:rPr>
          <w:sz w:val="24"/>
          <w:szCs w:val="24"/>
          <w:highlight w:val="none"/>
        </w:rPr>
        <w:t>上部结构的加固</w:t>
      </w:r>
      <w:r>
        <w:rPr>
          <w:rFonts w:hint="eastAsia"/>
          <w:sz w:val="24"/>
          <w:szCs w:val="24"/>
          <w:highlight w:val="none"/>
        </w:rPr>
        <w:t>，应以提高房屋整体性和综合抗震能力为主，同时保证关键部位或关键构件的承载能力，并兼顾房屋的使用性和耐久性。</w:t>
      </w:r>
    </w:p>
    <w:p>
      <w:pPr>
        <w:spacing w:line="312" w:lineRule="auto"/>
        <w:jc w:val="left"/>
        <w:rPr>
          <w:sz w:val="24"/>
          <w:szCs w:val="28"/>
          <w:highlight w:val="none"/>
        </w:rPr>
      </w:pPr>
      <w:r>
        <w:rPr>
          <w:rFonts w:hint="eastAsia"/>
          <w:b/>
          <w:sz w:val="24"/>
          <w:szCs w:val="28"/>
          <w:highlight w:val="none"/>
        </w:rPr>
        <w:t>C.2.4</w:t>
      </w:r>
      <w:r>
        <w:rPr>
          <w:rFonts w:hint="eastAsia"/>
          <w:sz w:val="24"/>
          <w:szCs w:val="28"/>
          <w:highlight w:val="none"/>
        </w:rPr>
        <w:t xml:space="preserve">  采用高延性混凝土加固的</w:t>
      </w:r>
      <w:r>
        <w:rPr>
          <w:sz w:val="24"/>
          <w:szCs w:val="28"/>
          <w:highlight w:val="none"/>
        </w:rPr>
        <w:t>农村房屋</w:t>
      </w:r>
      <w:r>
        <w:rPr>
          <w:rFonts w:hint="eastAsia"/>
          <w:sz w:val="24"/>
          <w:szCs w:val="28"/>
          <w:highlight w:val="none"/>
        </w:rPr>
        <w:t>，其抗震横墙间距应满足现行行业标准《镇（乡）村建筑抗震技术规程》JGJ 161的规定；单层房屋的层高不宜超过4.0m，两层房屋的各层层高不宜超过3.6m。</w:t>
      </w:r>
    </w:p>
    <w:p>
      <w:pPr>
        <w:spacing w:line="312" w:lineRule="auto"/>
        <w:jc w:val="left"/>
        <w:rPr>
          <w:sz w:val="24"/>
          <w:szCs w:val="28"/>
          <w:highlight w:val="none"/>
        </w:rPr>
      </w:pPr>
      <w:bookmarkStart w:id="1574" w:name="_Toc25308172"/>
      <w:bookmarkStart w:id="1575" w:name="_Toc9927731"/>
      <w:bookmarkStart w:id="1576" w:name="_Toc25172149"/>
      <w:bookmarkStart w:id="1577" w:name="_Toc10207249"/>
      <w:bookmarkStart w:id="1578" w:name="_Toc7976165"/>
      <w:bookmarkStart w:id="1579" w:name="_Toc16253941"/>
      <w:r>
        <w:rPr>
          <w:rFonts w:hint="eastAsia"/>
          <w:b/>
          <w:sz w:val="24"/>
          <w:szCs w:val="28"/>
          <w:highlight w:val="none"/>
        </w:rPr>
        <w:t>C.</w:t>
      </w:r>
      <w:r>
        <w:rPr>
          <w:b/>
          <w:sz w:val="24"/>
          <w:szCs w:val="28"/>
          <w:highlight w:val="none"/>
        </w:rPr>
        <w:t>2.</w:t>
      </w:r>
      <w:r>
        <w:rPr>
          <w:rFonts w:hint="eastAsia"/>
          <w:b/>
          <w:sz w:val="24"/>
          <w:szCs w:val="28"/>
          <w:highlight w:val="none"/>
        </w:rPr>
        <w:t>5</w:t>
      </w:r>
      <w:r>
        <w:rPr>
          <w:b/>
          <w:sz w:val="24"/>
          <w:szCs w:val="28"/>
          <w:highlight w:val="none"/>
        </w:rPr>
        <w:t xml:space="preserve"> </w:t>
      </w:r>
      <w:r>
        <w:rPr>
          <w:sz w:val="24"/>
          <w:szCs w:val="28"/>
          <w:highlight w:val="none"/>
        </w:rPr>
        <w:t xml:space="preserve"> 承接农村房屋加固改造项目的建筑工匠或施工单位的技术人员，应经过专门的技术培训。</w:t>
      </w:r>
      <w:bookmarkEnd w:id="1574"/>
      <w:bookmarkEnd w:id="1575"/>
      <w:bookmarkEnd w:id="1576"/>
      <w:bookmarkEnd w:id="1577"/>
      <w:bookmarkEnd w:id="1578"/>
      <w:bookmarkEnd w:id="1579"/>
      <w:bookmarkStart w:id="1580" w:name="_Toc511722936"/>
      <w:bookmarkStart w:id="1581" w:name="_Toc511230975"/>
    </w:p>
    <w:bookmarkEnd w:id="1580"/>
    <w:bookmarkEnd w:id="1581"/>
    <w:p>
      <w:pPr>
        <w:spacing w:line="360" w:lineRule="auto"/>
        <w:jc w:val="center"/>
        <w:outlineLvl w:val="1"/>
        <w:rPr>
          <w:rFonts w:eastAsia="黑体"/>
          <w:sz w:val="24"/>
          <w:szCs w:val="28"/>
          <w:highlight w:val="none"/>
        </w:rPr>
      </w:pPr>
      <w:bookmarkStart w:id="1582" w:name="_Toc52264519"/>
      <w:bookmarkStart w:id="1583" w:name="_Toc48138993"/>
      <w:bookmarkStart w:id="1584" w:name="_Toc54255575"/>
      <w:bookmarkStart w:id="1585" w:name="_Toc48210160"/>
      <w:bookmarkStart w:id="1586" w:name="_Toc63348945"/>
      <w:bookmarkStart w:id="1587" w:name="_Toc48138915"/>
      <w:bookmarkStart w:id="1588" w:name="_Toc63348869"/>
      <w:bookmarkStart w:id="1589" w:name="_Toc48210383"/>
      <w:bookmarkStart w:id="1590" w:name="_Toc38358424"/>
      <w:bookmarkStart w:id="1591" w:name="_Toc32865102"/>
      <w:bookmarkStart w:id="1592" w:name="_Toc70169836"/>
      <w:bookmarkStart w:id="1593" w:name="_Toc54256669"/>
      <w:bookmarkStart w:id="1594" w:name="_Toc70169756"/>
      <w:bookmarkStart w:id="1595" w:name="_Toc38352798"/>
      <w:bookmarkStart w:id="1596" w:name="_Toc67330613"/>
      <w:bookmarkStart w:id="1597" w:name="_Toc48138837"/>
      <w:bookmarkStart w:id="1598" w:name="_Toc3784"/>
      <w:bookmarkStart w:id="1599" w:name="_Toc9480"/>
      <w:bookmarkStart w:id="1600" w:name="_Toc13630"/>
      <w:r>
        <w:rPr>
          <w:rFonts w:hint="eastAsia" w:eastAsia="黑体"/>
          <w:b/>
          <w:sz w:val="24"/>
          <w:szCs w:val="28"/>
          <w:highlight w:val="none"/>
        </w:rPr>
        <w:t>C.</w:t>
      </w:r>
      <w:r>
        <w:rPr>
          <w:rFonts w:eastAsia="黑体"/>
          <w:b/>
          <w:sz w:val="24"/>
          <w:szCs w:val="28"/>
          <w:highlight w:val="none"/>
        </w:rPr>
        <w:t xml:space="preserve">3  </w:t>
      </w:r>
      <w:r>
        <w:rPr>
          <w:rFonts w:eastAsia="黑体"/>
          <w:sz w:val="24"/>
          <w:szCs w:val="28"/>
          <w:highlight w:val="none"/>
        </w:rPr>
        <w:t>加固</w:t>
      </w:r>
      <w:bookmarkEnd w:id="1507"/>
      <w:bookmarkEnd w:id="1508"/>
      <w:bookmarkEnd w:id="1509"/>
      <w:bookmarkEnd w:id="1510"/>
      <w:bookmarkEnd w:id="1511"/>
      <w:bookmarkEnd w:id="1512"/>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r>
        <w:rPr>
          <w:rFonts w:hint="eastAsia" w:eastAsia="黑体"/>
          <w:sz w:val="24"/>
          <w:szCs w:val="28"/>
          <w:highlight w:val="none"/>
        </w:rPr>
        <w:t>设计</w:t>
      </w:r>
      <w:bookmarkEnd w:id="1598"/>
      <w:bookmarkEnd w:id="1599"/>
      <w:bookmarkEnd w:id="1600"/>
    </w:p>
    <w:p>
      <w:pPr>
        <w:spacing w:line="312" w:lineRule="auto"/>
        <w:jc w:val="left"/>
        <w:rPr>
          <w:sz w:val="24"/>
          <w:szCs w:val="28"/>
          <w:highlight w:val="none"/>
        </w:rPr>
      </w:pPr>
      <w:bookmarkStart w:id="1601" w:name="_Toc10207255"/>
      <w:bookmarkStart w:id="1602" w:name="_Toc19545308"/>
      <w:bookmarkStart w:id="1603" w:name="_Toc9927735"/>
      <w:bookmarkStart w:id="1604" w:name="_Toc7976169"/>
      <w:bookmarkStart w:id="1605" w:name="_Toc25690700"/>
      <w:bookmarkStart w:id="1606" w:name="_Toc19545578"/>
      <w:bookmarkStart w:id="1607" w:name="_Toc25690971"/>
      <w:bookmarkStart w:id="1608" w:name="_Toc25070727"/>
      <w:bookmarkStart w:id="1609" w:name="_Toc25070425"/>
      <w:r>
        <w:rPr>
          <w:rFonts w:hint="eastAsia"/>
          <w:b/>
          <w:sz w:val="24"/>
          <w:szCs w:val="28"/>
          <w:highlight w:val="none"/>
        </w:rPr>
        <w:t>C.</w:t>
      </w:r>
      <w:r>
        <w:rPr>
          <w:b/>
          <w:sz w:val="24"/>
          <w:szCs w:val="28"/>
          <w:highlight w:val="none"/>
        </w:rPr>
        <w:t xml:space="preserve">3.1  </w:t>
      </w:r>
      <w:bookmarkEnd w:id="1601"/>
      <w:bookmarkEnd w:id="1602"/>
      <w:bookmarkEnd w:id="1603"/>
      <w:bookmarkEnd w:id="1604"/>
      <w:bookmarkEnd w:id="1605"/>
      <w:bookmarkEnd w:id="1606"/>
      <w:bookmarkEnd w:id="1607"/>
      <w:bookmarkEnd w:id="1608"/>
      <w:bookmarkEnd w:id="1609"/>
      <w:r>
        <w:rPr>
          <w:rFonts w:hint="eastAsia"/>
          <w:sz w:val="24"/>
          <w:szCs w:val="28"/>
          <w:highlight w:val="none"/>
        </w:rPr>
        <w:t>采用高延性混凝土条带加固砌体结构农村房屋，应同时设置竖向和水平条带。在墙体拐角处及水平和竖向条带相交处应连续施工，严禁留施工冷缝。</w:t>
      </w:r>
    </w:p>
    <w:p>
      <w:pPr>
        <w:spacing w:line="312" w:lineRule="auto"/>
        <w:jc w:val="left"/>
        <w:rPr>
          <w:rFonts w:hint="eastAsia" w:ascii="仿宋_GB2312" w:hAnsi="仿宋_GB2312" w:eastAsia="仿宋_GB2312" w:cs="仿宋_GB2312"/>
          <w:sz w:val="21"/>
          <w:szCs w:val="21"/>
          <w:highlight w:val="none"/>
        </w:rPr>
      </w:pPr>
      <w:bookmarkStart w:id="1610" w:name="_Toc25690972"/>
      <w:bookmarkStart w:id="1611" w:name="_Toc25070426"/>
      <w:bookmarkStart w:id="1612" w:name="_Toc25690701"/>
      <w:bookmarkStart w:id="1613" w:name="_Toc19545309"/>
      <w:bookmarkStart w:id="1614" w:name="_Toc9927736"/>
      <w:bookmarkStart w:id="1615" w:name="_Toc19545579"/>
      <w:bookmarkStart w:id="1616" w:name="_Toc25070728"/>
      <w:bookmarkStart w:id="1617" w:name="_Toc10207257"/>
      <w:bookmarkStart w:id="1618" w:name="_Toc7976170"/>
      <w:r>
        <w:rPr>
          <w:rFonts w:hint="eastAsia" w:ascii="楷体" w:hAnsi="楷体" w:eastAsia="楷体" w:cs="楷体"/>
          <w:b w:val="0"/>
          <w:bCs/>
          <w:sz w:val="24"/>
          <w:szCs w:val="24"/>
          <w:highlight w:val="none"/>
          <w:u w:val="single"/>
        </w:rPr>
        <w:t>【条文说明】</w:t>
      </w:r>
      <w:r>
        <w:rPr>
          <w:rFonts w:hint="eastAsia" w:ascii="楷体" w:hAnsi="楷体" w:eastAsia="楷体" w:cs="楷体"/>
          <w:sz w:val="24"/>
          <w:szCs w:val="24"/>
          <w:highlight w:val="none"/>
          <w:u w:val="single"/>
        </w:rPr>
        <w:t>高延性混凝土竖向和水平条带同时设置可使墙体受到双向约束，增强墙体整体性，且将条带设置在墙体外侧，可以在不影响住户正常生活的前提下对房屋进行加固，避免了房屋内部家具搬运和施工阶段的过渡安置费用。在墙体拐角处及水平和竖向条带相交处留施工冷缝会严重削弱相邻条带之间的共同工作能力，降低整体性加固效果，施工时应严格禁止。</w:t>
      </w:r>
    </w:p>
    <w:p>
      <w:pPr>
        <w:spacing w:line="312" w:lineRule="auto"/>
        <w:jc w:val="left"/>
        <w:rPr>
          <w:sz w:val="24"/>
          <w:szCs w:val="28"/>
          <w:highlight w:val="none"/>
        </w:rPr>
      </w:pPr>
      <w:r>
        <w:rPr>
          <w:rFonts w:hint="eastAsia"/>
          <w:b/>
          <w:sz w:val="24"/>
          <w:szCs w:val="28"/>
          <w:highlight w:val="none"/>
        </w:rPr>
        <w:t>C.</w:t>
      </w:r>
      <w:r>
        <w:rPr>
          <w:b/>
          <w:sz w:val="24"/>
          <w:szCs w:val="28"/>
          <w:highlight w:val="none"/>
        </w:rPr>
        <w:t xml:space="preserve">3.2 </w:t>
      </w:r>
      <w:r>
        <w:rPr>
          <w:sz w:val="24"/>
          <w:szCs w:val="28"/>
          <w:highlight w:val="none"/>
        </w:rPr>
        <w:t xml:space="preserve"> 根据抗震设防烈度不同，高延性混凝土加固砌体结构农村房屋的条带最小宽度和最小厚度可按表</w:t>
      </w:r>
      <w:r>
        <w:rPr>
          <w:rFonts w:hint="eastAsia"/>
          <w:sz w:val="24"/>
          <w:szCs w:val="28"/>
          <w:highlight w:val="none"/>
        </w:rPr>
        <w:t>C.</w:t>
      </w:r>
      <w:r>
        <w:rPr>
          <w:sz w:val="24"/>
          <w:szCs w:val="28"/>
          <w:highlight w:val="none"/>
        </w:rPr>
        <w:t>3.2取值。</w:t>
      </w:r>
      <w:bookmarkEnd w:id="1610"/>
      <w:bookmarkEnd w:id="1611"/>
      <w:bookmarkEnd w:id="1612"/>
      <w:bookmarkEnd w:id="1613"/>
      <w:bookmarkEnd w:id="1614"/>
      <w:bookmarkEnd w:id="1615"/>
      <w:bookmarkEnd w:id="1616"/>
      <w:bookmarkEnd w:id="1617"/>
      <w:bookmarkEnd w:id="1618"/>
    </w:p>
    <w:p>
      <w:pPr>
        <w:spacing w:line="312" w:lineRule="auto"/>
        <w:jc w:val="center"/>
        <w:rPr>
          <w:sz w:val="21"/>
          <w:szCs w:val="21"/>
          <w:highlight w:val="none"/>
        </w:rPr>
      </w:pPr>
      <w:r>
        <w:rPr>
          <w:sz w:val="21"/>
          <w:szCs w:val="21"/>
          <w:highlight w:val="none"/>
        </w:rPr>
        <w:t>表</w:t>
      </w:r>
      <w:r>
        <w:rPr>
          <w:rFonts w:hint="eastAsia"/>
          <w:sz w:val="21"/>
          <w:szCs w:val="21"/>
          <w:highlight w:val="none"/>
        </w:rPr>
        <w:t>C.</w:t>
      </w:r>
      <w:r>
        <w:rPr>
          <w:sz w:val="21"/>
          <w:szCs w:val="21"/>
          <w:highlight w:val="none"/>
        </w:rPr>
        <w:t>3.2 高延性混凝土条带最小厚度和最小宽度</w:t>
      </w:r>
    </w:p>
    <w:tbl>
      <w:tblPr>
        <w:tblStyle w:val="23"/>
        <w:tblW w:w="0" w:type="auto"/>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951"/>
        <w:gridCol w:w="425"/>
        <w:gridCol w:w="1231"/>
        <w:gridCol w:w="1201"/>
        <w:gridCol w:w="1180"/>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7" w:hRule="atLeast"/>
          <w:jc w:val="center"/>
        </w:trPr>
        <w:tc>
          <w:tcPr>
            <w:tcW w:w="2376" w:type="dxa"/>
            <w:gridSpan w:val="2"/>
            <w:vAlign w:val="center"/>
          </w:tcPr>
          <w:p>
            <w:pPr>
              <w:adjustRightInd w:val="0"/>
              <w:snapToGrid w:val="0"/>
              <w:ind w:right="238"/>
              <w:jc w:val="center"/>
              <w:rPr>
                <w:sz w:val="21"/>
                <w:szCs w:val="21"/>
                <w:highlight w:val="none"/>
              </w:rPr>
            </w:pPr>
            <w:r>
              <w:rPr>
                <w:sz w:val="21"/>
                <w:szCs w:val="21"/>
                <w:highlight w:val="none"/>
              </w:rPr>
              <w:t>设防烈度（条带厚度）</w:t>
            </w:r>
          </w:p>
        </w:tc>
        <w:tc>
          <w:tcPr>
            <w:tcW w:w="1231" w:type="dxa"/>
            <w:vAlign w:val="center"/>
          </w:tcPr>
          <w:p>
            <w:pPr>
              <w:adjustRightInd w:val="0"/>
              <w:snapToGrid w:val="0"/>
              <w:jc w:val="center"/>
              <w:rPr>
                <w:sz w:val="21"/>
                <w:szCs w:val="21"/>
                <w:highlight w:val="none"/>
              </w:rPr>
            </w:pPr>
            <w:r>
              <w:rPr>
                <w:sz w:val="21"/>
                <w:szCs w:val="21"/>
                <w:highlight w:val="none"/>
              </w:rPr>
              <w:t>6度（10mm）</w:t>
            </w:r>
          </w:p>
        </w:tc>
        <w:tc>
          <w:tcPr>
            <w:tcW w:w="1201" w:type="dxa"/>
            <w:vAlign w:val="center"/>
          </w:tcPr>
          <w:p>
            <w:pPr>
              <w:adjustRightInd w:val="0"/>
              <w:snapToGrid w:val="0"/>
              <w:jc w:val="center"/>
              <w:rPr>
                <w:sz w:val="21"/>
                <w:szCs w:val="21"/>
                <w:highlight w:val="none"/>
              </w:rPr>
            </w:pPr>
            <w:r>
              <w:rPr>
                <w:sz w:val="21"/>
                <w:szCs w:val="21"/>
                <w:highlight w:val="none"/>
              </w:rPr>
              <w:t>7度（15mm）</w:t>
            </w:r>
          </w:p>
        </w:tc>
        <w:tc>
          <w:tcPr>
            <w:tcW w:w="1180" w:type="dxa"/>
            <w:vAlign w:val="center"/>
          </w:tcPr>
          <w:p>
            <w:pPr>
              <w:adjustRightInd w:val="0"/>
              <w:snapToGrid w:val="0"/>
              <w:jc w:val="center"/>
              <w:rPr>
                <w:sz w:val="21"/>
                <w:szCs w:val="21"/>
                <w:highlight w:val="none"/>
              </w:rPr>
            </w:pPr>
            <w:r>
              <w:rPr>
                <w:sz w:val="21"/>
                <w:szCs w:val="21"/>
                <w:highlight w:val="none"/>
              </w:rPr>
              <w:t>8度（15mm）</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51" w:hRule="atLeast"/>
          <w:jc w:val="center"/>
        </w:trPr>
        <w:tc>
          <w:tcPr>
            <w:tcW w:w="1951" w:type="dxa"/>
            <w:vMerge w:val="restart"/>
            <w:vAlign w:val="center"/>
          </w:tcPr>
          <w:p>
            <w:pPr>
              <w:adjustRightInd w:val="0"/>
              <w:snapToGrid w:val="0"/>
              <w:jc w:val="center"/>
              <w:rPr>
                <w:sz w:val="21"/>
                <w:szCs w:val="21"/>
                <w:highlight w:val="none"/>
              </w:rPr>
            </w:pPr>
            <w:r>
              <w:rPr>
                <w:rFonts w:hint="eastAsia"/>
                <w:sz w:val="21"/>
                <w:szCs w:val="21"/>
                <w:highlight w:val="none"/>
                <w:lang w:eastAsia="zh-CN"/>
              </w:rPr>
              <w:t>竖向</w:t>
            </w:r>
            <w:r>
              <w:rPr>
                <w:sz w:val="21"/>
                <w:szCs w:val="21"/>
                <w:highlight w:val="none"/>
              </w:rPr>
              <w:t>条带宽度（mm）</w:t>
            </w:r>
          </w:p>
        </w:tc>
        <w:tc>
          <w:tcPr>
            <w:tcW w:w="425" w:type="dxa"/>
            <w:vAlign w:val="center"/>
          </w:tcPr>
          <w:p>
            <w:pPr>
              <w:adjustRightInd w:val="0"/>
              <w:snapToGrid w:val="0"/>
              <w:jc w:val="center"/>
              <w:rPr>
                <w:sz w:val="21"/>
                <w:szCs w:val="21"/>
                <w:highlight w:val="none"/>
              </w:rPr>
            </w:pPr>
            <w:r>
              <w:rPr>
                <w:sz w:val="21"/>
                <w:szCs w:val="21"/>
                <w:highlight w:val="none"/>
              </w:rPr>
              <w:t>a</w:t>
            </w:r>
          </w:p>
        </w:tc>
        <w:tc>
          <w:tcPr>
            <w:tcW w:w="1231" w:type="dxa"/>
            <w:vAlign w:val="center"/>
          </w:tcPr>
          <w:p>
            <w:pPr>
              <w:adjustRightInd w:val="0"/>
              <w:snapToGrid w:val="0"/>
              <w:jc w:val="center"/>
              <w:rPr>
                <w:sz w:val="21"/>
                <w:szCs w:val="21"/>
                <w:highlight w:val="none"/>
              </w:rPr>
            </w:pPr>
            <w:r>
              <w:rPr>
                <w:sz w:val="21"/>
                <w:szCs w:val="21"/>
                <w:highlight w:val="none"/>
              </w:rPr>
              <w:t>600</w:t>
            </w:r>
          </w:p>
        </w:tc>
        <w:tc>
          <w:tcPr>
            <w:tcW w:w="1201" w:type="dxa"/>
            <w:vAlign w:val="center"/>
          </w:tcPr>
          <w:p>
            <w:pPr>
              <w:adjustRightInd w:val="0"/>
              <w:snapToGrid w:val="0"/>
              <w:jc w:val="center"/>
              <w:rPr>
                <w:sz w:val="21"/>
                <w:szCs w:val="21"/>
                <w:highlight w:val="none"/>
              </w:rPr>
            </w:pPr>
            <w:r>
              <w:rPr>
                <w:sz w:val="21"/>
                <w:szCs w:val="21"/>
                <w:highlight w:val="none"/>
              </w:rPr>
              <w:t>1000</w:t>
            </w:r>
          </w:p>
        </w:tc>
        <w:tc>
          <w:tcPr>
            <w:tcW w:w="1180" w:type="dxa"/>
            <w:vAlign w:val="center"/>
          </w:tcPr>
          <w:p>
            <w:pPr>
              <w:adjustRightInd w:val="0"/>
              <w:snapToGrid w:val="0"/>
              <w:jc w:val="center"/>
              <w:rPr>
                <w:sz w:val="21"/>
                <w:szCs w:val="21"/>
                <w:highlight w:val="none"/>
              </w:rPr>
            </w:pPr>
            <w:r>
              <w:rPr>
                <w:sz w:val="21"/>
                <w:szCs w:val="21"/>
                <w:highlight w:val="none"/>
              </w:rPr>
              <w:t>1500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83" w:hRule="atLeast"/>
          <w:jc w:val="center"/>
        </w:trPr>
        <w:tc>
          <w:tcPr>
            <w:tcW w:w="1951" w:type="dxa"/>
            <w:vMerge w:val="continue"/>
            <w:vAlign w:val="center"/>
          </w:tcPr>
          <w:p>
            <w:pPr>
              <w:adjustRightInd w:val="0"/>
              <w:snapToGrid w:val="0"/>
              <w:jc w:val="center"/>
              <w:rPr>
                <w:sz w:val="21"/>
                <w:szCs w:val="21"/>
                <w:highlight w:val="none"/>
              </w:rPr>
            </w:pPr>
          </w:p>
        </w:tc>
        <w:tc>
          <w:tcPr>
            <w:tcW w:w="425" w:type="dxa"/>
            <w:vAlign w:val="center"/>
          </w:tcPr>
          <w:p>
            <w:pPr>
              <w:adjustRightInd w:val="0"/>
              <w:snapToGrid w:val="0"/>
              <w:jc w:val="center"/>
              <w:rPr>
                <w:sz w:val="21"/>
                <w:szCs w:val="21"/>
                <w:highlight w:val="none"/>
              </w:rPr>
            </w:pPr>
            <w:r>
              <w:rPr>
                <w:sz w:val="21"/>
                <w:szCs w:val="21"/>
                <w:highlight w:val="none"/>
              </w:rPr>
              <w:t>b</w:t>
            </w:r>
          </w:p>
        </w:tc>
        <w:tc>
          <w:tcPr>
            <w:tcW w:w="1231" w:type="dxa"/>
            <w:vAlign w:val="center"/>
          </w:tcPr>
          <w:p>
            <w:pPr>
              <w:adjustRightInd w:val="0"/>
              <w:snapToGrid w:val="0"/>
              <w:jc w:val="center"/>
              <w:rPr>
                <w:sz w:val="21"/>
                <w:szCs w:val="21"/>
                <w:highlight w:val="none"/>
              </w:rPr>
            </w:pPr>
            <w:r>
              <w:rPr>
                <w:sz w:val="21"/>
                <w:szCs w:val="21"/>
                <w:highlight w:val="none"/>
              </w:rPr>
              <w:t>600</w:t>
            </w:r>
          </w:p>
        </w:tc>
        <w:tc>
          <w:tcPr>
            <w:tcW w:w="1201" w:type="dxa"/>
            <w:vAlign w:val="center"/>
          </w:tcPr>
          <w:p>
            <w:pPr>
              <w:adjustRightInd w:val="0"/>
              <w:snapToGrid w:val="0"/>
              <w:jc w:val="center"/>
              <w:rPr>
                <w:sz w:val="21"/>
                <w:szCs w:val="21"/>
                <w:highlight w:val="none"/>
              </w:rPr>
            </w:pPr>
            <w:r>
              <w:rPr>
                <w:sz w:val="21"/>
                <w:szCs w:val="21"/>
                <w:highlight w:val="none"/>
              </w:rPr>
              <w:t>800</w:t>
            </w:r>
          </w:p>
        </w:tc>
        <w:tc>
          <w:tcPr>
            <w:tcW w:w="1180" w:type="dxa"/>
            <w:vAlign w:val="center"/>
          </w:tcPr>
          <w:p>
            <w:pPr>
              <w:adjustRightInd w:val="0"/>
              <w:snapToGrid w:val="0"/>
              <w:jc w:val="center"/>
              <w:rPr>
                <w:sz w:val="21"/>
                <w:szCs w:val="21"/>
                <w:highlight w:val="none"/>
              </w:rPr>
            </w:pPr>
            <w:r>
              <w:rPr>
                <w:sz w:val="21"/>
                <w:szCs w:val="21"/>
                <w:highlight w:val="none"/>
              </w:rPr>
              <w:t>1200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3" w:hRule="atLeast"/>
          <w:jc w:val="center"/>
        </w:trPr>
        <w:tc>
          <w:tcPr>
            <w:tcW w:w="1951" w:type="dxa"/>
            <w:vAlign w:val="center"/>
          </w:tcPr>
          <w:p>
            <w:pPr>
              <w:adjustRightInd w:val="0"/>
              <w:snapToGrid w:val="0"/>
              <w:jc w:val="center"/>
              <w:rPr>
                <w:sz w:val="21"/>
                <w:szCs w:val="21"/>
                <w:highlight w:val="none"/>
              </w:rPr>
            </w:pPr>
            <w:r>
              <w:rPr>
                <w:sz w:val="21"/>
                <w:szCs w:val="21"/>
                <w:highlight w:val="none"/>
              </w:rPr>
              <w:t>水平条带宽度（mm）</w:t>
            </w:r>
          </w:p>
        </w:tc>
        <w:tc>
          <w:tcPr>
            <w:tcW w:w="425" w:type="dxa"/>
            <w:vAlign w:val="center"/>
          </w:tcPr>
          <w:p>
            <w:pPr>
              <w:adjustRightInd w:val="0"/>
              <w:snapToGrid w:val="0"/>
              <w:jc w:val="center"/>
              <w:rPr>
                <w:sz w:val="21"/>
                <w:szCs w:val="21"/>
                <w:highlight w:val="none"/>
              </w:rPr>
            </w:pPr>
            <w:r>
              <w:rPr>
                <w:sz w:val="21"/>
                <w:szCs w:val="21"/>
                <w:highlight w:val="none"/>
              </w:rPr>
              <w:t>c</w:t>
            </w:r>
          </w:p>
        </w:tc>
        <w:tc>
          <w:tcPr>
            <w:tcW w:w="1231" w:type="dxa"/>
            <w:vAlign w:val="center"/>
          </w:tcPr>
          <w:p>
            <w:pPr>
              <w:adjustRightInd w:val="0"/>
              <w:snapToGrid w:val="0"/>
              <w:jc w:val="center"/>
              <w:rPr>
                <w:sz w:val="21"/>
                <w:szCs w:val="21"/>
                <w:highlight w:val="none"/>
              </w:rPr>
            </w:pPr>
            <w:r>
              <w:rPr>
                <w:sz w:val="21"/>
                <w:szCs w:val="21"/>
                <w:highlight w:val="none"/>
              </w:rPr>
              <w:t>600</w:t>
            </w:r>
          </w:p>
        </w:tc>
        <w:tc>
          <w:tcPr>
            <w:tcW w:w="1201" w:type="dxa"/>
            <w:vAlign w:val="center"/>
          </w:tcPr>
          <w:p>
            <w:pPr>
              <w:adjustRightInd w:val="0"/>
              <w:snapToGrid w:val="0"/>
              <w:jc w:val="center"/>
              <w:rPr>
                <w:sz w:val="21"/>
                <w:szCs w:val="21"/>
                <w:highlight w:val="none"/>
              </w:rPr>
            </w:pPr>
            <w:r>
              <w:rPr>
                <w:sz w:val="21"/>
                <w:szCs w:val="21"/>
                <w:highlight w:val="none"/>
              </w:rPr>
              <w:t>800</w:t>
            </w:r>
          </w:p>
        </w:tc>
        <w:tc>
          <w:tcPr>
            <w:tcW w:w="1180" w:type="dxa"/>
            <w:vAlign w:val="center"/>
          </w:tcPr>
          <w:p>
            <w:pPr>
              <w:adjustRightInd w:val="0"/>
              <w:snapToGrid w:val="0"/>
              <w:jc w:val="center"/>
              <w:rPr>
                <w:sz w:val="21"/>
                <w:szCs w:val="21"/>
                <w:highlight w:val="none"/>
              </w:rPr>
            </w:pPr>
            <w:r>
              <w:rPr>
                <w:sz w:val="21"/>
                <w:szCs w:val="21"/>
                <w:highlight w:val="none"/>
              </w:rPr>
              <w:t>1000</w:t>
            </w:r>
          </w:p>
        </w:tc>
      </w:tr>
    </w:tbl>
    <w:p>
      <w:pPr>
        <w:tabs>
          <w:tab w:val="left" w:pos="420"/>
        </w:tabs>
        <w:adjustRightInd w:val="0"/>
        <w:snapToGrid w:val="0"/>
        <w:spacing w:line="312" w:lineRule="auto"/>
        <w:rPr>
          <w:b/>
          <w:sz w:val="21"/>
          <w:szCs w:val="21"/>
          <w:highlight w:val="none"/>
        </w:rPr>
      </w:pPr>
      <w:r>
        <w:rPr>
          <w:sz w:val="21"/>
          <w:szCs w:val="21"/>
          <w:highlight w:val="none"/>
        </w:rPr>
        <w:t>注：表中a表示外墙拐角处高延性混凝土竖向条带宽度；b表示外墙中部高延性混凝土竖向条带宽度；c表示楼（屋）盖处或墙顶高延性混凝土条带宽度。</w:t>
      </w:r>
    </w:p>
    <w:p>
      <w:pPr>
        <w:spacing w:line="312" w:lineRule="auto"/>
        <w:jc w:val="left"/>
        <w:rPr>
          <w:rFonts w:hint="eastAsia" w:ascii="楷体" w:hAnsi="楷体" w:eastAsia="楷体" w:cs="楷体"/>
          <w:sz w:val="24"/>
          <w:szCs w:val="24"/>
          <w:highlight w:val="none"/>
          <w:u w:val="single"/>
        </w:rPr>
      </w:pPr>
      <w:bookmarkStart w:id="1619" w:name="_Toc19545580"/>
      <w:bookmarkStart w:id="1620" w:name="_Toc9927737"/>
      <w:bookmarkStart w:id="1621" w:name="_Toc7976171"/>
      <w:bookmarkStart w:id="1622" w:name="_Toc25690973"/>
      <w:bookmarkStart w:id="1623" w:name="_Toc25070729"/>
      <w:bookmarkStart w:id="1624" w:name="_Toc25690702"/>
      <w:bookmarkStart w:id="1625" w:name="_Toc19545310"/>
      <w:bookmarkStart w:id="1626" w:name="_Toc25070427"/>
      <w:bookmarkStart w:id="1627" w:name="_Toc10207259"/>
      <w:r>
        <w:rPr>
          <w:rFonts w:hint="eastAsia" w:ascii="楷体" w:hAnsi="楷体" w:eastAsia="楷体" w:cs="楷体"/>
          <w:b w:val="0"/>
          <w:bCs/>
          <w:sz w:val="24"/>
          <w:szCs w:val="24"/>
          <w:highlight w:val="none"/>
          <w:u w:val="single"/>
        </w:rPr>
        <w:t>【条文说明】</w:t>
      </w:r>
      <w:r>
        <w:rPr>
          <w:rFonts w:hint="eastAsia" w:ascii="楷体" w:hAnsi="楷体" w:eastAsia="楷体" w:cs="楷体"/>
          <w:b w:val="0"/>
          <w:bCs/>
          <w:sz w:val="24"/>
          <w:szCs w:val="24"/>
          <w:highlight w:val="none"/>
          <w:u w:val="single"/>
          <w:lang w:val="en-US" w:eastAsia="zh-CN"/>
        </w:rPr>
        <w:t xml:space="preserve"> </w:t>
      </w:r>
      <w:r>
        <w:rPr>
          <w:rFonts w:hint="eastAsia" w:ascii="楷体" w:hAnsi="楷体" w:eastAsia="楷体" w:cs="楷体"/>
          <w:sz w:val="24"/>
          <w:szCs w:val="24"/>
          <w:highlight w:val="none"/>
          <w:u w:val="single"/>
        </w:rPr>
        <w:t>随着高延性混凝土条带厚度和宽度的增加，其加固效果也相应提高。本标准中，随着设防烈度的提高，高延性混凝土条带厚度和宽度也相应增加。对不同设防烈度规定不同的条带宽度和厚度，有利于节约成本。</w:t>
      </w:r>
    </w:p>
    <w:p>
      <w:pPr>
        <w:spacing w:line="312" w:lineRule="auto"/>
        <w:jc w:val="left"/>
        <w:rPr>
          <w:sz w:val="24"/>
          <w:szCs w:val="28"/>
          <w:highlight w:val="none"/>
        </w:rPr>
      </w:pPr>
      <w:r>
        <w:rPr>
          <w:rFonts w:hint="eastAsia"/>
          <w:b/>
          <w:sz w:val="24"/>
          <w:szCs w:val="28"/>
          <w:highlight w:val="none"/>
        </w:rPr>
        <w:t>C.</w:t>
      </w:r>
      <w:r>
        <w:rPr>
          <w:b/>
          <w:sz w:val="24"/>
          <w:szCs w:val="28"/>
          <w:highlight w:val="none"/>
        </w:rPr>
        <w:t xml:space="preserve">3.3 </w:t>
      </w:r>
      <w:r>
        <w:rPr>
          <w:sz w:val="24"/>
          <w:szCs w:val="28"/>
          <w:highlight w:val="none"/>
        </w:rPr>
        <w:t xml:space="preserve"> 加固部位墙面应采用高延性混凝土嵌缝处理（图</w:t>
      </w:r>
      <w:r>
        <w:rPr>
          <w:rFonts w:hint="eastAsia"/>
          <w:sz w:val="24"/>
          <w:szCs w:val="28"/>
          <w:highlight w:val="none"/>
        </w:rPr>
        <w:t>C.</w:t>
      </w:r>
      <w:r>
        <w:rPr>
          <w:sz w:val="24"/>
          <w:szCs w:val="28"/>
          <w:highlight w:val="none"/>
        </w:rPr>
        <w:t>3.3-1、</w:t>
      </w:r>
      <w:r>
        <w:rPr>
          <w:rFonts w:hint="eastAsia"/>
          <w:sz w:val="24"/>
          <w:szCs w:val="28"/>
          <w:highlight w:val="none"/>
        </w:rPr>
        <w:t>C.</w:t>
      </w:r>
      <w:r>
        <w:rPr>
          <w:sz w:val="24"/>
          <w:szCs w:val="28"/>
          <w:highlight w:val="none"/>
        </w:rPr>
        <w:t>3.3-2），嵌缝深度不小于10mm。对砖砌体墙的高延性混凝土条带嵌缝，当施工条件允许时也可全部采取嵌缝处理；砌块砌体墙的高延性混凝土加固部位宜全部采取嵌缝处理。</w:t>
      </w:r>
      <w:bookmarkEnd w:id="1619"/>
      <w:bookmarkEnd w:id="1620"/>
      <w:bookmarkEnd w:id="1621"/>
      <w:bookmarkEnd w:id="1622"/>
      <w:bookmarkEnd w:id="1623"/>
      <w:bookmarkEnd w:id="1624"/>
      <w:bookmarkEnd w:id="1625"/>
      <w:bookmarkEnd w:id="1626"/>
      <w:bookmarkEnd w:id="1627"/>
    </w:p>
    <w:p>
      <w:pPr>
        <w:adjustRightInd w:val="0"/>
        <w:snapToGrid w:val="0"/>
        <w:jc w:val="center"/>
        <w:rPr>
          <w:sz w:val="24"/>
          <w:szCs w:val="28"/>
          <w:highlight w:val="none"/>
        </w:rPr>
      </w:pPr>
      <w:r>
        <w:rPr>
          <w:sz w:val="24"/>
          <w:szCs w:val="28"/>
          <w:highlight w:val="none"/>
        </w:rPr>
        <w:drawing>
          <wp:inline distT="0" distB="0" distL="0" distR="0">
            <wp:extent cx="1828800" cy="1399540"/>
            <wp:effectExtent l="0" t="0" r="0" b="0"/>
            <wp:docPr id="181" name="图片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296"/>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a:xfrm>
                      <a:off x="0" y="0"/>
                      <a:ext cx="1828800" cy="1399540"/>
                    </a:xfrm>
                    <a:prstGeom prst="rect">
                      <a:avLst/>
                    </a:prstGeom>
                    <a:noFill/>
                    <a:ln>
                      <a:noFill/>
                    </a:ln>
                  </pic:spPr>
                </pic:pic>
              </a:graphicData>
            </a:graphic>
          </wp:inline>
        </w:drawing>
      </w:r>
      <w:r>
        <w:rPr>
          <w:sz w:val="24"/>
          <w:szCs w:val="28"/>
          <w:highlight w:val="none"/>
        </w:rPr>
        <w:t xml:space="preserve">  </w:t>
      </w:r>
      <w:r>
        <w:rPr>
          <w:sz w:val="24"/>
          <w:szCs w:val="28"/>
          <w:highlight w:val="none"/>
        </w:rPr>
        <w:drawing>
          <wp:inline distT="0" distB="0" distL="0" distR="0">
            <wp:extent cx="1463040" cy="1399540"/>
            <wp:effectExtent l="0" t="0" r="0" b="0"/>
            <wp:docPr id="182" name="图片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297"/>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a:xfrm>
                      <a:off x="0" y="0"/>
                      <a:ext cx="1463040" cy="1399540"/>
                    </a:xfrm>
                    <a:prstGeom prst="rect">
                      <a:avLst/>
                    </a:prstGeom>
                    <a:noFill/>
                    <a:ln>
                      <a:noFill/>
                    </a:ln>
                  </pic:spPr>
                </pic:pic>
              </a:graphicData>
            </a:graphic>
          </wp:inline>
        </w:drawing>
      </w:r>
    </w:p>
    <w:p>
      <w:pPr>
        <w:snapToGrid w:val="0"/>
        <w:spacing w:line="312" w:lineRule="auto"/>
        <w:jc w:val="center"/>
        <w:rPr>
          <w:sz w:val="21"/>
          <w:szCs w:val="21"/>
          <w:highlight w:val="none"/>
        </w:rPr>
      </w:pPr>
      <w:r>
        <w:rPr>
          <w:sz w:val="21"/>
          <w:szCs w:val="21"/>
          <w:highlight w:val="none"/>
        </w:rPr>
        <w:t>（a）条带宽度不小于1200mm时    （b）条带宽度小于1200mm时</w:t>
      </w:r>
    </w:p>
    <w:p>
      <w:pPr>
        <w:spacing w:line="312" w:lineRule="auto"/>
        <w:jc w:val="center"/>
        <w:rPr>
          <w:sz w:val="21"/>
          <w:szCs w:val="21"/>
          <w:highlight w:val="none"/>
        </w:rPr>
      </w:pPr>
      <w:r>
        <w:rPr>
          <w:sz w:val="21"/>
          <w:szCs w:val="21"/>
          <w:highlight w:val="none"/>
        </w:rPr>
        <w:t>图</w:t>
      </w:r>
      <w:r>
        <w:rPr>
          <w:rFonts w:hint="eastAsia"/>
          <w:sz w:val="21"/>
          <w:szCs w:val="21"/>
          <w:highlight w:val="none"/>
        </w:rPr>
        <w:t>C.</w:t>
      </w:r>
      <w:r>
        <w:rPr>
          <w:sz w:val="21"/>
          <w:szCs w:val="21"/>
          <w:highlight w:val="none"/>
        </w:rPr>
        <w:t>3.3-1 高延性混凝土竖向条带嵌缝示意图</w:t>
      </w:r>
    </w:p>
    <w:p>
      <w:pPr>
        <w:adjustRightInd w:val="0"/>
        <w:snapToGrid w:val="0"/>
        <w:jc w:val="center"/>
        <w:rPr>
          <w:sz w:val="24"/>
          <w:szCs w:val="28"/>
          <w:highlight w:val="none"/>
        </w:rPr>
      </w:pPr>
      <w:r>
        <w:rPr>
          <w:sz w:val="24"/>
          <w:szCs w:val="28"/>
          <w:highlight w:val="none"/>
        </w:rPr>
        <w:drawing>
          <wp:inline distT="0" distB="0" distL="0" distR="0">
            <wp:extent cx="2234565" cy="1438910"/>
            <wp:effectExtent l="0" t="0" r="0" b="0"/>
            <wp:docPr id="183" name="图片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298"/>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a:xfrm>
                      <a:off x="0" y="0"/>
                      <a:ext cx="2234565" cy="1438910"/>
                    </a:xfrm>
                    <a:prstGeom prst="rect">
                      <a:avLst/>
                    </a:prstGeom>
                    <a:noFill/>
                    <a:ln>
                      <a:noFill/>
                    </a:ln>
                  </pic:spPr>
                </pic:pic>
              </a:graphicData>
            </a:graphic>
          </wp:inline>
        </w:drawing>
      </w:r>
    </w:p>
    <w:p>
      <w:pPr>
        <w:spacing w:line="312" w:lineRule="auto"/>
        <w:jc w:val="center"/>
        <w:rPr>
          <w:sz w:val="21"/>
          <w:szCs w:val="21"/>
          <w:highlight w:val="none"/>
        </w:rPr>
      </w:pPr>
      <w:r>
        <w:rPr>
          <w:sz w:val="21"/>
          <w:szCs w:val="21"/>
          <w:highlight w:val="none"/>
        </w:rPr>
        <w:t>图</w:t>
      </w:r>
      <w:r>
        <w:rPr>
          <w:rFonts w:hint="eastAsia"/>
          <w:sz w:val="21"/>
          <w:szCs w:val="21"/>
          <w:highlight w:val="none"/>
        </w:rPr>
        <w:t>C.</w:t>
      </w:r>
      <w:r>
        <w:rPr>
          <w:sz w:val="21"/>
          <w:szCs w:val="21"/>
          <w:highlight w:val="none"/>
        </w:rPr>
        <w:t>3.3-2 高延性混凝土水平条带嵌缝示意图</w:t>
      </w:r>
    </w:p>
    <w:p>
      <w:pPr>
        <w:spacing w:line="312" w:lineRule="auto"/>
        <w:jc w:val="left"/>
        <w:rPr>
          <w:rFonts w:hint="eastAsia" w:ascii="楷体" w:hAnsi="楷体" w:eastAsia="楷体" w:cs="楷体"/>
          <w:sz w:val="24"/>
          <w:szCs w:val="24"/>
          <w:highlight w:val="none"/>
          <w:u w:val="single"/>
        </w:rPr>
      </w:pPr>
      <w:bookmarkStart w:id="1628" w:name="_Toc19545581"/>
      <w:bookmarkStart w:id="1629" w:name="_Toc9927738"/>
      <w:bookmarkStart w:id="1630" w:name="_Toc25690703"/>
      <w:bookmarkStart w:id="1631" w:name="_Toc7976172"/>
      <w:bookmarkStart w:id="1632" w:name="_Toc25070428"/>
      <w:bookmarkStart w:id="1633" w:name="_Toc19545311"/>
      <w:bookmarkStart w:id="1634" w:name="_Toc25690974"/>
      <w:bookmarkStart w:id="1635" w:name="_Toc25070730"/>
      <w:bookmarkStart w:id="1636" w:name="_Toc10207261"/>
      <w:r>
        <w:rPr>
          <w:rFonts w:hint="eastAsia" w:ascii="楷体" w:hAnsi="楷体" w:eastAsia="楷体" w:cs="楷体"/>
          <w:b w:val="0"/>
          <w:bCs/>
          <w:sz w:val="24"/>
          <w:szCs w:val="24"/>
          <w:highlight w:val="none"/>
          <w:u w:val="single"/>
        </w:rPr>
        <w:t>【条文说明】</w:t>
      </w:r>
      <w:r>
        <w:rPr>
          <w:rFonts w:hint="eastAsia" w:ascii="楷体" w:hAnsi="楷体" w:eastAsia="楷体" w:cs="楷体"/>
          <w:sz w:val="24"/>
          <w:szCs w:val="24"/>
          <w:highlight w:val="none"/>
          <w:u w:val="single"/>
        </w:rPr>
        <w:t>加固前对墙面采用嵌缝处理，可以提高加固层与原墙体的协同工作能力，取得更好的加固效果。</w:t>
      </w:r>
    </w:p>
    <w:p>
      <w:pPr>
        <w:spacing w:line="312" w:lineRule="auto"/>
        <w:jc w:val="left"/>
        <w:rPr>
          <w:sz w:val="24"/>
          <w:szCs w:val="28"/>
          <w:highlight w:val="none"/>
        </w:rPr>
      </w:pPr>
      <w:r>
        <w:rPr>
          <w:rFonts w:hint="eastAsia"/>
          <w:b/>
          <w:sz w:val="24"/>
          <w:szCs w:val="28"/>
          <w:highlight w:val="none"/>
        </w:rPr>
        <w:t>C.</w:t>
      </w:r>
      <w:r>
        <w:rPr>
          <w:b/>
          <w:sz w:val="24"/>
          <w:szCs w:val="28"/>
          <w:highlight w:val="none"/>
        </w:rPr>
        <w:t>3.4</w:t>
      </w:r>
      <w:r>
        <w:rPr>
          <w:sz w:val="24"/>
          <w:szCs w:val="28"/>
          <w:highlight w:val="none"/>
        </w:rPr>
        <w:t xml:space="preserve">  高延性混凝土竖向条带设置应符合下列规定：</w:t>
      </w:r>
      <w:bookmarkEnd w:id="1628"/>
      <w:bookmarkEnd w:id="1629"/>
      <w:bookmarkEnd w:id="1630"/>
      <w:bookmarkEnd w:id="1631"/>
      <w:bookmarkEnd w:id="1632"/>
      <w:bookmarkEnd w:id="1633"/>
      <w:bookmarkEnd w:id="1634"/>
      <w:bookmarkEnd w:id="1635"/>
      <w:bookmarkEnd w:id="1636"/>
    </w:p>
    <w:p>
      <w:pPr>
        <w:spacing w:line="312" w:lineRule="auto"/>
        <w:ind w:firstLine="482" w:firstLineChars="200"/>
        <w:jc w:val="left"/>
        <w:rPr>
          <w:sz w:val="24"/>
          <w:szCs w:val="28"/>
          <w:highlight w:val="none"/>
        </w:rPr>
      </w:pPr>
      <w:bookmarkStart w:id="1637" w:name="_Toc10207262"/>
      <w:bookmarkStart w:id="1638" w:name="_Toc9927739"/>
      <w:bookmarkStart w:id="1639" w:name="_Toc7976173"/>
      <w:bookmarkStart w:id="1640" w:name="_Toc25070429"/>
      <w:bookmarkStart w:id="1641" w:name="_Toc25070731"/>
      <w:bookmarkStart w:id="1642" w:name="_Toc25690975"/>
      <w:bookmarkStart w:id="1643" w:name="_Toc19545582"/>
      <w:bookmarkStart w:id="1644" w:name="_Toc19545312"/>
      <w:bookmarkStart w:id="1645" w:name="_Toc25690704"/>
      <w:r>
        <w:rPr>
          <w:b/>
          <w:sz w:val="24"/>
          <w:szCs w:val="28"/>
          <w:highlight w:val="none"/>
        </w:rPr>
        <w:t xml:space="preserve">1 </w:t>
      </w:r>
      <w:r>
        <w:rPr>
          <w:sz w:val="24"/>
          <w:szCs w:val="28"/>
          <w:highlight w:val="none"/>
        </w:rPr>
        <w:t xml:space="preserve"> 房屋外墙拐角处、长墙中部、纵横墙交接处、窗间墙以及一字型外墙端部均宜设置高延性混凝土竖向条带（图</w:t>
      </w:r>
      <w:r>
        <w:rPr>
          <w:rFonts w:hint="eastAsia"/>
          <w:sz w:val="24"/>
          <w:szCs w:val="28"/>
          <w:highlight w:val="none"/>
        </w:rPr>
        <w:t>C.</w:t>
      </w:r>
      <w:r>
        <w:rPr>
          <w:sz w:val="24"/>
          <w:szCs w:val="28"/>
          <w:highlight w:val="none"/>
        </w:rPr>
        <w:t>3.4-1）</w:t>
      </w:r>
      <w:bookmarkEnd w:id="1637"/>
      <w:bookmarkEnd w:id="1638"/>
      <w:bookmarkEnd w:id="1639"/>
      <w:r>
        <w:rPr>
          <w:sz w:val="24"/>
          <w:szCs w:val="28"/>
          <w:highlight w:val="none"/>
        </w:rPr>
        <w:t>；</w:t>
      </w:r>
      <w:bookmarkEnd w:id="1640"/>
      <w:bookmarkEnd w:id="1641"/>
      <w:bookmarkEnd w:id="1642"/>
      <w:bookmarkEnd w:id="1643"/>
      <w:bookmarkEnd w:id="1644"/>
      <w:bookmarkEnd w:id="1645"/>
    </w:p>
    <w:p>
      <w:pPr>
        <w:adjustRightInd w:val="0"/>
        <w:snapToGrid w:val="0"/>
        <w:ind w:right="76" w:rightChars="36"/>
        <w:jc w:val="center"/>
        <w:rPr>
          <w:sz w:val="24"/>
          <w:szCs w:val="28"/>
          <w:highlight w:val="none"/>
        </w:rPr>
      </w:pPr>
      <w:r>
        <w:rPr>
          <w:rFonts w:hint="eastAsia"/>
          <w:sz w:val="24"/>
          <w:szCs w:val="28"/>
          <w:highlight w:val="none"/>
        </w:rPr>
        <w:drawing>
          <wp:inline distT="0" distB="0" distL="0" distR="0">
            <wp:extent cx="3379470" cy="2878455"/>
            <wp:effectExtent l="0" t="0" r="0" b="0"/>
            <wp:docPr id="184"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308"/>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a:xfrm>
                      <a:off x="0" y="0"/>
                      <a:ext cx="3379470" cy="2878455"/>
                    </a:xfrm>
                    <a:prstGeom prst="rect">
                      <a:avLst/>
                    </a:prstGeom>
                    <a:noFill/>
                    <a:ln>
                      <a:noFill/>
                    </a:ln>
                  </pic:spPr>
                </pic:pic>
              </a:graphicData>
            </a:graphic>
          </wp:inline>
        </w:drawing>
      </w:r>
    </w:p>
    <w:p>
      <w:pPr>
        <w:spacing w:line="312" w:lineRule="auto"/>
        <w:jc w:val="center"/>
        <w:rPr>
          <w:sz w:val="21"/>
          <w:szCs w:val="21"/>
          <w:highlight w:val="none"/>
        </w:rPr>
      </w:pPr>
      <w:r>
        <w:rPr>
          <w:sz w:val="21"/>
          <w:szCs w:val="21"/>
          <w:highlight w:val="none"/>
        </w:rPr>
        <w:t>图</w:t>
      </w:r>
      <w:r>
        <w:rPr>
          <w:rFonts w:hint="eastAsia"/>
          <w:sz w:val="21"/>
          <w:szCs w:val="21"/>
          <w:highlight w:val="none"/>
        </w:rPr>
        <w:t>C.</w:t>
      </w:r>
      <w:r>
        <w:rPr>
          <w:sz w:val="21"/>
          <w:szCs w:val="21"/>
          <w:highlight w:val="none"/>
        </w:rPr>
        <w:t>3.4-1 高延性混凝土竖向条带设置平面示意图</w:t>
      </w:r>
    </w:p>
    <w:p>
      <w:pPr>
        <w:spacing w:line="312" w:lineRule="auto"/>
        <w:ind w:firstLine="482" w:firstLineChars="200"/>
        <w:jc w:val="left"/>
        <w:rPr>
          <w:sz w:val="24"/>
          <w:szCs w:val="28"/>
          <w:highlight w:val="none"/>
        </w:rPr>
      </w:pPr>
      <w:bookmarkStart w:id="1646" w:name="_Toc10207263"/>
      <w:bookmarkStart w:id="1647" w:name="_Toc7976174"/>
      <w:bookmarkStart w:id="1648" w:name="_Toc9927740"/>
      <w:bookmarkStart w:id="1649" w:name="_Toc25070430"/>
      <w:bookmarkStart w:id="1650" w:name="_Toc25690976"/>
      <w:bookmarkStart w:id="1651" w:name="_Toc25070732"/>
      <w:bookmarkStart w:id="1652" w:name="_Toc25690705"/>
      <w:bookmarkStart w:id="1653" w:name="_Toc19545313"/>
      <w:bookmarkStart w:id="1654" w:name="_Toc19545583"/>
      <w:r>
        <w:rPr>
          <w:b/>
          <w:sz w:val="24"/>
          <w:szCs w:val="28"/>
          <w:highlight w:val="none"/>
        </w:rPr>
        <w:t xml:space="preserve">2 </w:t>
      </w:r>
      <w:r>
        <w:rPr>
          <w:sz w:val="24"/>
          <w:szCs w:val="28"/>
          <w:highlight w:val="none"/>
        </w:rPr>
        <w:t xml:space="preserve"> 外墙拐角距门窗洞口边的距离小于竖向条带宽度a时，应将高延性混凝土包至洞口处门（窗）框边（图</w:t>
      </w:r>
      <w:r>
        <w:rPr>
          <w:rFonts w:hint="eastAsia"/>
          <w:sz w:val="24"/>
          <w:szCs w:val="28"/>
          <w:highlight w:val="none"/>
        </w:rPr>
        <w:t>C.</w:t>
      </w:r>
      <w:r>
        <w:rPr>
          <w:sz w:val="24"/>
          <w:szCs w:val="28"/>
          <w:highlight w:val="none"/>
        </w:rPr>
        <w:t>3.4-2）。门（窗）框与外墙外平齐时，应在门（窗）框边的墙体上竖向刻槽并用高延性混凝土压抹填实，刻槽的宽度和深度均取20mm</w:t>
      </w:r>
      <w:bookmarkEnd w:id="1646"/>
      <w:bookmarkEnd w:id="1647"/>
      <w:bookmarkEnd w:id="1648"/>
      <w:r>
        <w:rPr>
          <w:sz w:val="24"/>
          <w:szCs w:val="28"/>
          <w:highlight w:val="none"/>
        </w:rPr>
        <w:t>；</w:t>
      </w:r>
      <w:bookmarkEnd w:id="1649"/>
      <w:bookmarkEnd w:id="1650"/>
      <w:bookmarkEnd w:id="1651"/>
      <w:bookmarkEnd w:id="1652"/>
      <w:bookmarkEnd w:id="1653"/>
      <w:bookmarkEnd w:id="1654"/>
    </w:p>
    <w:tbl>
      <w:tblPr>
        <w:tblStyle w:val="23"/>
        <w:tblW w:w="0" w:type="auto"/>
        <w:jc w:val="center"/>
        <w:tblLayout w:type="fixed"/>
        <w:tblCellMar>
          <w:top w:w="0" w:type="dxa"/>
          <w:left w:w="108" w:type="dxa"/>
          <w:bottom w:w="0" w:type="dxa"/>
          <w:right w:w="108" w:type="dxa"/>
        </w:tblCellMar>
      </w:tblPr>
      <w:tblGrid>
        <w:gridCol w:w="5988"/>
      </w:tblGrid>
      <w:tr>
        <w:tblPrEx>
          <w:tblCellMar>
            <w:top w:w="0" w:type="dxa"/>
            <w:left w:w="108" w:type="dxa"/>
            <w:bottom w:w="0" w:type="dxa"/>
            <w:right w:w="108" w:type="dxa"/>
          </w:tblCellMar>
        </w:tblPrEx>
        <w:trPr>
          <w:jc w:val="center"/>
        </w:trPr>
        <w:tc>
          <w:tcPr>
            <w:tcW w:w="5988" w:type="dxa"/>
          </w:tcPr>
          <w:p>
            <w:pPr>
              <w:adjustRightInd w:val="0"/>
              <w:snapToGrid w:val="0"/>
              <w:ind w:right="76" w:rightChars="36"/>
              <w:jc w:val="center"/>
              <w:rPr>
                <w:sz w:val="24"/>
                <w:szCs w:val="28"/>
                <w:highlight w:val="none"/>
              </w:rPr>
            </w:pPr>
            <w:r>
              <w:rPr>
                <w:sz w:val="24"/>
                <w:szCs w:val="28"/>
                <w:highlight w:val="none"/>
              </w:rPr>
              <w:drawing>
                <wp:inline distT="0" distB="0" distL="0" distR="0">
                  <wp:extent cx="1471295" cy="1009650"/>
                  <wp:effectExtent l="0" t="0" r="0" b="0"/>
                  <wp:docPr id="185" name="图片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328"/>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a:xfrm>
                            <a:off x="0" y="0"/>
                            <a:ext cx="1471295" cy="1009650"/>
                          </a:xfrm>
                          <a:prstGeom prst="rect">
                            <a:avLst/>
                          </a:prstGeom>
                          <a:noFill/>
                          <a:ln>
                            <a:noFill/>
                          </a:ln>
                        </pic:spPr>
                      </pic:pic>
                    </a:graphicData>
                  </a:graphic>
                </wp:inline>
              </w:drawing>
            </w:r>
          </w:p>
        </w:tc>
      </w:tr>
      <w:tr>
        <w:tblPrEx>
          <w:tblCellMar>
            <w:top w:w="0" w:type="dxa"/>
            <w:left w:w="108" w:type="dxa"/>
            <w:bottom w:w="0" w:type="dxa"/>
            <w:right w:w="108" w:type="dxa"/>
          </w:tblCellMar>
        </w:tblPrEx>
        <w:trPr>
          <w:jc w:val="center"/>
        </w:trPr>
        <w:tc>
          <w:tcPr>
            <w:tcW w:w="5988" w:type="dxa"/>
          </w:tcPr>
          <w:p>
            <w:pPr>
              <w:adjustRightInd w:val="0"/>
              <w:snapToGrid w:val="0"/>
              <w:ind w:right="76" w:rightChars="36"/>
              <w:jc w:val="center"/>
              <w:rPr>
                <w:sz w:val="21"/>
                <w:szCs w:val="21"/>
                <w:highlight w:val="none"/>
              </w:rPr>
            </w:pPr>
            <w:r>
              <w:rPr>
                <w:sz w:val="21"/>
                <w:szCs w:val="21"/>
                <w:highlight w:val="none"/>
              </w:rPr>
              <w:t>（a）门、窗框不与外墙平齐时</w:t>
            </w:r>
          </w:p>
        </w:tc>
      </w:tr>
      <w:tr>
        <w:tblPrEx>
          <w:tblCellMar>
            <w:top w:w="0" w:type="dxa"/>
            <w:left w:w="108" w:type="dxa"/>
            <w:bottom w:w="0" w:type="dxa"/>
            <w:right w:w="108" w:type="dxa"/>
          </w:tblCellMar>
        </w:tblPrEx>
        <w:trPr>
          <w:jc w:val="center"/>
        </w:trPr>
        <w:tc>
          <w:tcPr>
            <w:tcW w:w="5988" w:type="dxa"/>
          </w:tcPr>
          <w:p>
            <w:pPr>
              <w:adjustRightInd w:val="0"/>
              <w:snapToGrid w:val="0"/>
              <w:ind w:right="76" w:rightChars="36"/>
              <w:jc w:val="center"/>
              <w:rPr>
                <w:sz w:val="24"/>
                <w:szCs w:val="28"/>
                <w:highlight w:val="none"/>
              </w:rPr>
            </w:pPr>
            <w:r>
              <w:rPr>
                <w:sz w:val="24"/>
                <w:szCs w:val="28"/>
                <w:highlight w:val="none"/>
              </w:rPr>
              <w:drawing>
                <wp:inline distT="0" distB="0" distL="0" distR="0">
                  <wp:extent cx="1471295" cy="1009650"/>
                  <wp:effectExtent l="0" t="0" r="0" b="0"/>
                  <wp:docPr id="186" name="图片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329"/>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a:xfrm>
                            <a:off x="0" y="0"/>
                            <a:ext cx="1471295" cy="1009650"/>
                          </a:xfrm>
                          <a:prstGeom prst="rect">
                            <a:avLst/>
                          </a:prstGeom>
                          <a:noFill/>
                          <a:ln>
                            <a:noFill/>
                          </a:ln>
                        </pic:spPr>
                      </pic:pic>
                    </a:graphicData>
                  </a:graphic>
                </wp:inline>
              </w:drawing>
            </w:r>
          </w:p>
        </w:tc>
      </w:tr>
      <w:tr>
        <w:trPr>
          <w:jc w:val="center"/>
        </w:trPr>
        <w:tc>
          <w:tcPr>
            <w:tcW w:w="5988" w:type="dxa"/>
          </w:tcPr>
          <w:p>
            <w:pPr>
              <w:adjustRightInd w:val="0"/>
              <w:snapToGrid w:val="0"/>
              <w:ind w:right="76" w:rightChars="36"/>
              <w:jc w:val="center"/>
              <w:rPr>
                <w:sz w:val="21"/>
                <w:szCs w:val="21"/>
                <w:highlight w:val="none"/>
              </w:rPr>
            </w:pPr>
            <w:r>
              <w:rPr>
                <w:sz w:val="21"/>
                <w:szCs w:val="21"/>
                <w:highlight w:val="none"/>
              </w:rPr>
              <w:t>（b）门、窗框与外墙外平齐时</w:t>
            </w:r>
          </w:p>
        </w:tc>
      </w:tr>
    </w:tbl>
    <w:p>
      <w:pPr>
        <w:spacing w:line="312" w:lineRule="auto"/>
        <w:jc w:val="center"/>
        <w:rPr>
          <w:sz w:val="21"/>
          <w:szCs w:val="21"/>
          <w:highlight w:val="none"/>
        </w:rPr>
      </w:pPr>
      <w:r>
        <w:rPr>
          <w:sz w:val="21"/>
          <w:szCs w:val="21"/>
          <w:highlight w:val="none"/>
        </w:rPr>
        <w:t>图</w:t>
      </w:r>
      <w:r>
        <w:rPr>
          <w:rFonts w:hint="eastAsia"/>
          <w:sz w:val="21"/>
          <w:szCs w:val="21"/>
          <w:highlight w:val="none"/>
        </w:rPr>
        <w:t>C.</w:t>
      </w:r>
      <w:r>
        <w:rPr>
          <w:sz w:val="21"/>
          <w:szCs w:val="21"/>
          <w:highlight w:val="none"/>
        </w:rPr>
        <w:t>3.4-2 外墙阳角距洞口边距离小于a时竖向条带布置示意图</w:t>
      </w:r>
    </w:p>
    <w:p>
      <w:pPr>
        <w:spacing w:line="312" w:lineRule="auto"/>
        <w:jc w:val="center"/>
        <w:rPr>
          <w:sz w:val="21"/>
          <w:szCs w:val="21"/>
          <w:highlight w:val="none"/>
        </w:rPr>
      </w:pPr>
      <w:r>
        <w:rPr>
          <w:sz w:val="21"/>
          <w:szCs w:val="21"/>
          <w:highlight w:val="none"/>
        </w:rPr>
        <w:t>1</w:t>
      </w:r>
      <w:r>
        <w:rPr>
          <w:rFonts w:hint="eastAsia"/>
          <w:sz w:val="21"/>
          <w:szCs w:val="21"/>
          <w:highlight w:val="none"/>
        </w:rPr>
        <w:t>-门窗洞口；</w:t>
      </w:r>
      <w:r>
        <w:rPr>
          <w:sz w:val="21"/>
          <w:szCs w:val="21"/>
          <w:highlight w:val="none"/>
        </w:rPr>
        <w:t>2</w:t>
      </w:r>
      <w:r>
        <w:rPr>
          <w:rFonts w:hint="eastAsia"/>
          <w:sz w:val="21"/>
          <w:szCs w:val="21"/>
          <w:highlight w:val="none"/>
        </w:rPr>
        <w:t>-高延性混凝土竖向条带</w:t>
      </w:r>
    </w:p>
    <w:p>
      <w:pPr>
        <w:spacing w:line="312" w:lineRule="auto"/>
        <w:ind w:firstLine="482" w:firstLineChars="200"/>
        <w:jc w:val="left"/>
        <w:rPr>
          <w:sz w:val="24"/>
          <w:szCs w:val="28"/>
          <w:highlight w:val="none"/>
        </w:rPr>
      </w:pPr>
      <w:bookmarkStart w:id="1655" w:name="_Toc10207265"/>
      <w:bookmarkStart w:id="1656" w:name="_Toc7976175"/>
      <w:bookmarkStart w:id="1657" w:name="_Toc9927741"/>
      <w:bookmarkStart w:id="1658" w:name="_Toc25690706"/>
      <w:bookmarkStart w:id="1659" w:name="_Toc25070733"/>
      <w:bookmarkStart w:id="1660" w:name="_Toc25070431"/>
      <w:bookmarkStart w:id="1661" w:name="_Toc19545314"/>
      <w:bookmarkStart w:id="1662" w:name="_Toc19545584"/>
      <w:bookmarkStart w:id="1663" w:name="_Toc25690977"/>
      <w:r>
        <w:rPr>
          <w:b/>
          <w:sz w:val="24"/>
          <w:szCs w:val="28"/>
          <w:highlight w:val="none"/>
        </w:rPr>
        <w:t>3</w:t>
      </w:r>
      <w:r>
        <w:rPr>
          <w:sz w:val="24"/>
          <w:szCs w:val="28"/>
          <w:highlight w:val="none"/>
        </w:rPr>
        <w:t xml:space="preserve">  高延性混凝土竖向条带边沿距洞口边距离不大于200mm时，宜将高延性混凝土条带延伸至洞口边沿，并将高延性混凝土包至门（窗）框边（图</w:t>
      </w:r>
      <w:r>
        <w:rPr>
          <w:rFonts w:hint="eastAsia"/>
          <w:sz w:val="24"/>
          <w:szCs w:val="28"/>
          <w:highlight w:val="none"/>
        </w:rPr>
        <w:t>C.</w:t>
      </w:r>
      <w:r>
        <w:rPr>
          <w:sz w:val="24"/>
          <w:szCs w:val="28"/>
          <w:highlight w:val="none"/>
        </w:rPr>
        <w:t>3.4-3）</w:t>
      </w:r>
      <w:bookmarkEnd w:id="1655"/>
      <w:bookmarkEnd w:id="1656"/>
      <w:bookmarkEnd w:id="1657"/>
      <w:r>
        <w:rPr>
          <w:sz w:val="24"/>
          <w:szCs w:val="28"/>
          <w:highlight w:val="none"/>
        </w:rPr>
        <w:t>；</w:t>
      </w:r>
      <w:bookmarkEnd w:id="1658"/>
      <w:bookmarkEnd w:id="1659"/>
      <w:bookmarkEnd w:id="1660"/>
      <w:bookmarkEnd w:id="1661"/>
      <w:bookmarkEnd w:id="1662"/>
      <w:bookmarkEnd w:id="1663"/>
    </w:p>
    <w:p>
      <w:pPr>
        <w:adjustRightInd w:val="0"/>
        <w:snapToGrid w:val="0"/>
        <w:ind w:right="76" w:rightChars="36"/>
        <w:jc w:val="center"/>
        <w:rPr>
          <w:sz w:val="24"/>
          <w:szCs w:val="28"/>
          <w:highlight w:val="none"/>
        </w:rPr>
      </w:pPr>
      <w:r>
        <w:rPr>
          <w:sz w:val="24"/>
          <w:szCs w:val="28"/>
          <w:highlight w:val="none"/>
        </w:rPr>
        <w:drawing>
          <wp:inline distT="0" distB="0" distL="0" distR="0">
            <wp:extent cx="1892300" cy="652145"/>
            <wp:effectExtent l="0" t="0" r="0" b="0"/>
            <wp:docPr id="187" name="图片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327"/>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a:xfrm>
                      <a:off x="0" y="0"/>
                      <a:ext cx="1892300" cy="652145"/>
                    </a:xfrm>
                    <a:prstGeom prst="rect">
                      <a:avLst/>
                    </a:prstGeom>
                    <a:noFill/>
                    <a:ln>
                      <a:noFill/>
                    </a:ln>
                  </pic:spPr>
                </pic:pic>
              </a:graphicData>
            </a:graphic>
          </wp:inline>
        </w:drawing>
      </w:r>
    </w:p>
    <w:p>
      <w:pPr>
        <w:spacing w:line="312" w:lineRule="auto"/>
        <w:jc w:val="center"/>
        <w:rPr>
          <w:sz w:val="21"/>
          <w:szCs w:val="21"/>
          <w:highlight w:val="none"/>
        </w:rPr>
      </w:pPr>
      <w:r>
        <w:rPr>
          <w:sz w:val="21"/>
          <w:szCs w:val="21"/>
          <w:highlight w:val="none"/>
        </w:rPr>
        <w:t>图</w:t>
      </w:r>
      <w:r>
        <w:rPr>
          <w:rFonts w:hint="eastAsia"/>
          <w:sz w:val="21"/>
          <w:szCs w:val="21"/>
          <w:highlight w:val="none"/>
        </w:rPr>
        <w:t>C.</w:t>
      </w:r>
      <w:r>
        <w:rPr>
          <w:sz w:val="21"/>
          <w:szCs w:val="21"/>
          <w:highlight w:val="none"/>
        </w:rPr>
        <w:t>3.4-3 窗间墙加固平面示意图</w:t>
      </w:r>
    </w:p>
    <w:p>
      <w:pPr>
        <w:spacing w:line="312" w:lineRule="auto"/>
        <w:jc w:val="center"/>
        <w:rPr>
          <w:sz w:val="21"/>
          <w:szCs w:val="21"/>
          <w:highlight w:val="none"/>
        </w:rPr>
      </w:pPr>
      <w:bookmarkStart w:id="1664" w:name="_Toc9927742"/>
      <w:bookmarkStart w:id="1665" w:name="_Toc7976176"/>
      <w:bookmarkStart w:id="1666" w:name="_Toc10207266"/>
      <w:bookmarkStart w:id="1667" w:name="_Toc25690978"/>
      <w:bookmarkStart w:id="1668" w:name="_Toc25690707"/>
      <w:bookmarkStart w:id="1669" w:name="_Toc19545315"/>
      <w:bookmarkStart w:id="1670" w:name="_Toc25070432"/>
      <w:bookmarkStart w:id="1671" w:name="_Toc19545585"/>
      <w:bookmarkStart w:id="1672" w:name="_Toc25070734"/>
      <w:r>
        <w:rPr>
          <w:sz w:val="21"/>
          <w:szCs w:val="21"/>
          <w:highlight w:val="none"/>
        </w:rPr>
        <w:t>1-</w:t>
      </w:r>
      <w:r>
        <w:rPr>
          <w:rFonts w:hint="eastAsia"/>
          <w:sz w:val="21"/>
          <w:szCs w:val="21"/>
          <w:highlight w:val="none"/>
        </w:rPr>
        <w:t>门窗洞口；</w:t>
      </w:r>
      <w:r>
        <w:rPr>
          <w:sz w:val="21"/>
          <w:szCs w:val="21"/>
          <w:highlight w:val="none"/>
        </w:rPr>
        <w:t>2-</w:t>
      </w:r>
      <w:r>
        <w:rPr>
          <w:rFonts w:hint="eastAsia"/>
          <w:sz w:val="21"/>
          <w:szCs w:val="21"/>
          <w:highlight w:val="none"/>
        </w:rPr>
        <w:t>高延性混凝土竖向条带</w:t>
      </w:r>
    </w:p>
    <w:p>
      <w:pPr>
        <w:spacing w:line="312" w:lineRule="auto"/>
        <w:ind w:firstLine="482" w:firstLineChars="200"/>
        <w:jc w:val="left"/>
        <w:rPr>
          <w:sz w:val="24"/>
          <w:szCs w:val="28"/>
          <w:highlight w:val="none"/>
        </w:rPr>
      </w:pPr>
      <w:r>
        <w:rPr>
          <w:b/>
          <w:sz w:val="24"/>
          <w:szCs w:val="28"/>
          <w:highlight w:val="none"/>
        </w:rPr>
        <w:t xml:space="preserve">4  </w:t>
      </w:r>
      <w:r>
        <w:rPr>
          <w:sz w:val="24"/>
          <w:szCs w:val="28"/>
          <w:highlight w:val="none"/>
        </w:rPr>
        <w:t>一字墙端部应采用高延性混凝土竖向条带加固，条带宽度不小于b，高延性混凝土应包至墙端，且竖向条带应双面布置（图</w:t>
      </w:r>
      <w:r>
        <w:rPr>
          <w:rFonts w:hint="eastAsia"/>
          <w:sz w:val="24"/>
          <w:szCs w:val="28"/>
          <w:highlight w:val="none"/>
        </w:rPr>
        <w:t>C.</w:t>
      </w:r>
      <w:r>
        <w:rPr>
          <w:sz w:val="24"/>
          <w:szCs w:val="28"/>
          <w:highlight w:val="none"/>
        </w:rPr>
        <w:t>3.4-4）</w:t>
      </w:r>
      <w:bookmarkEnd w:id="1664"/>
      <w:bookmarkEnd w:id="1665"/>
      <w:bookmarkEnd w:id="1666"/>
      <w:r>
        <w:rPr>
          <w:sz w:val="24"/>
          <w:szCs w:val="28"/>
          <w:highlight w:val="none"/>
        </w:rPr>
        <w:t>；</w:t>
      </w:r>
      <w:bookmarkEnd w:id="1667"/>
      <w:bookmarkEnd w:id="1668"/>
      <w:bookmarkEnd w:id="1669"/>
      <w:bookmarkEnd w:id="1670"/>
      <w:bookmarkEnd w:id="1671"/>
      <w:bookmarkEnd w:id="1672"/>
    </w:p>
    <w:p>
      <w:pPr>
        <w:adjustRightInd w:val="0"/>
        <w:snapToGrid w:val="0"/>
        <w:ind w:right="76" w:rightChars="36"/>
        <w:jc w:val="center"/>
        <w:rPr>
          <w:sz w:val="24"/>
          <w:szCs w:val="28"/>
          <w:highlight w:val="none"/>
        </w:rPr>
      </w:pPr>
      <w:r>
        <w:rPr>
          <w:sz w:val="24"/>
          <w:szCs w:val="28"/>
          <w:highlight w:val="none"/>
        </w:rPr>
        <w:drawing>
          <wp:inline distT="0" distB="0" distL="0" distR="0">
            <wp:extent cx="604520" cy="755650"/>
            <wp:effectExtent l="0" t="0" r="0" b="0"/>
            <wp:docPr id="188" name="图片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326"/>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a:xfrm>
                      <a:off x="0" y="0"/>
                      <a:ext cx="604520" cy="755650"/>
                    </a:xfrm>
                    <a:prstGeom prst="rect">
                      <a:avLst/>
                    </a:prstGeom>
                    <a:noFill/>
                    <a:ln>
                      <a:noFill/>
                    </a:ln>
                    <a:effectLst/>
                  </pic:spPr>
                </pic:pic>
              </a:graphicData>
            </a:graphic>
          </wp:inline>
        </w:drawing>
      </w:r>
    </w:p>
    <w:p>
      <w:pPr>
        <w:spacing w:line="312" w:lineRule="auto"/>
        <w:jc w:val="center"/>
        <w:rPr>
          <w:sz w:val="21"/>
          <w:szCs w:val="21"/>
          <w:highlight w:val="none"/>
        </w:rPr>
      </w:pPr>
      <w:r>
        <w:rPr>
          <w:sz w:val="21"/>
          <w:szCs w:val="21"/>
          <w:highlight w:val="none"/>
        </w:rPr>
        <w:t>图</w:t>
      </w:r>
      <w:r>
        <w:rPr>
          <w:rFonts w:hint="eastAsia"/>
          <w:sz w:val="21"/>
          <w:szCs w:val="21"/>
          <w:highlight w:val="none"/>
        </w:rPr>
        <w:t>C.</w:t>
      </w:r>
      <w:r>
        <w:rPr>
          <w:sz w:val="21"/>
          <w:szCs w:val="21"/>
          <w:highlight w:val="none"/>
        </w:rPr>
        <w:t>3.4-4 一字墙端部加固平面示意图</w:t>
      </w:r>
    </w:p>
    <w:p>
      <w:pPr>
        <w:spacing w:line="312" w:lineRule="auto"/>
        <w:jc w:val="center"/>
        <w:rPr>
          <w:sz w:val="21"/>
          <w:szCs w:val="21"/>
          <w:highlight w:val="none"/>
        </w:rPr>
      </w:pPr>
      <w:r>
        <w:rPr>
          <w:sz w:val="21"/>
          <w:szCs w:val="21"/>
          <w:highlight w:val="none"/>
        </w:rPr>
        <w:t>1-原墙体；2-高延性混凝土竖向条带</w:t>
      </w:r>
    </w:p>
    <w:p>
      <w:pPr>
        <w:spacing w:line="312" w:lineRule="auto"/>
        <w:ind w:firstLine="482" w:firstLineChars="200"/>
        <w:jc w:val="left"/>
        <w:rPr>
          <w:sz w:val="24"/>
          <w:szCs w:val="28"/>
          <w:highlight w:val="none"/>
        </w:rPr>
      </w:pPr>
      <w:bookmarkStart w:id="1673" w:name="_Toc25070433"/>
      <w:bookmarkStart w:id="1674" w:name="_Toc25690979"/>
      <w:bookmarkStart w:id="1675" w:name="_Toc25690708"/>
      <w:bookmarkStart w:id="1676" w:name="_Toc9927743"/>
      <w:bookmarkStart w:id="1677" w:name="_Toc19545586"/>
      <w:bookmarkStart w:id="1678" w:name="_Toc19545316"/>
      <w:bookmarkStart w:id="1679" w:name="_Toc7976177"/>
      <w:bookmarkStart w:id="1680" w:name="_Toc25070735"/>
      <w:bookmarkStart w:id="1681" w:name="_Toc10207268"/>
      <w:r>
        <w:rPr>
          <w:b/>
          <w:sz w:val="24"/>
          <w:szCs w:val="28"/>
          <w:highlight w:val="none"/>
        </w:rPr>
        <w:t>5</w:t>
      </w:r>
      <w:r>
        <w:rPr>
          <w:sz w:val="24"/>
          <w:szCs w:val="28"/>
          <w:highlight w:val="none"/>
        </w:rPr>
        <w:t xml:space="preserve">  加固砌体结构的竖向条带净间距不应大于5.0m，当竖向条带净间距不满足时，应增加竖向条带宽度或数量。</w:t>
      </w:r>
      <w:bookmarkEnd w:id="1673"/>
      <w:bookmarkEnd w:id="1674"/>
      <w:bookmarkEnd w:id="1675"/>
      <w:bookmarkEnd w:id="1676"/>
      <w:bookmarkEnd w:id="1677"/>
      <w:bookmarkEnd w:id="1678"/>
      <w:bookmarkEnd w:id="1679"/>
      <w:bookmarkEnd w:id="1680"/>
      <w:bookmarkEnd w:id="1681"/>
    </w:p>
    <w:p>
      <w:pPr>
        <w:spacing w:line="312" w:lineRule="auto"/>
        <w:jc w:val="left"/>
        <w:rPr>
          <w:rFonts w:hint="eastAsia" w:ascii="楷体" w:hAnsi="楷体" w:eastAsia="楷体" w:cs="楷体"/>
          <w:sz w:val="24"/>
          <w:szCs w:val="24"/>
          <w:highlight w:val="none"/>
          <w:u w:val="single"/>
        </w:rPr>
      </w:pPr>
      <w:bookmarkStart w:id="1682" w:name="_Toc25070434"/>
      <w:bookmarkStart w:id="1683" w:name="_Toc10207270"/>
      <w:bookmarkStart w:id="1684" w:name="_Toc9927744"/>
      <w:bookmarkStart w:id="1685" w:name="_Toc19545317"/>
      <w:bookmarkStart w:id="1686" w:name="_Toc25690709"/>
      <w:bookmarkStart w:id="1687" w:name="_Toc25690980"/>
      <w:bookmarkStart w:id="1688" w:name="_Toc25070736"/>
      <w:bookmarkStart w:id="1689" w:name="_Toc7976178"/>
      <w:bookmarkStart w:id="1690" w:name="_Toc19545587"/>
      <w:r>
        <w:rPr>
          <w:rFonts w:hint="eastAsia" w:ascii="楷体" w:hAnsi="楷体" w:eastAsia="楷体" w:cs="楷体"/>
          <w:b w:val="0"/>
          <w:bCs/>
          <w:sz w:val="24"/>
          <w:szCs w:val="24"/>
          <w:highlight w:val="none"/>
          <w:u w:val="single"/>
        </w:rPr>
        <w:t>【条文说明】</w:t>
      </w:r>
      <w:r>
        <w:rPr>
          <w:rFonts w:hint="eastAsia" w:ascii="楷体" w:hAnsi="楷体" w:eastAsia="楷体" w:cs="楷体"/>
          <w:sz w:val="24"/>
          <w:szCs w:val="24"/>
          <w:highlight w:val="none"/>
          <w:u w:val="single"/>
        </w:rPr>
        <w:t>高延性混凝土竖向条带在遇到门窗洞口时，应将高延性混凝土包至洞口边沿，保证高延性混凝土在洞口边的锚固，同时可以提高竖向条带对洞口侧面墙体的约束作用。</w:t>
      </w:r>
    </w:p>
    <w:p>
      <w:pPr>
        <w:spacing w:line="312" w:lineRule="auto"/>
        <w:ind w:firstLine="480" w:firstLineChars="200"/>
        <w:jc w:val="left"/>
        <w:rPr>
          <w:rFonts w:hint="eastAsia" w:ascii="楷体" w:hAnsi="楷体" w:eastAsia="楷体" w:cs="楷体"/>
          <w:sz w:val="24"/>
          <w:szCs w:val="24"/>
          <w:highlight w:val="none"/>
          <w:u w:val="single"/>
        </w:rPr>
      </w:pPr>
      <w:r>
        <w:rPr>
          <w:rFonts w:hint="eastAsia" w:ascii="楷体" w:hAnsi="楷体" w:eastAsia="楷体" w:cs="楷体"/>
          <w:sz w:val="24"/>
          <w:szCs w:val="24"/>
          <w:highlight w:val="none"/>
          <w:u w:val="single"/>
        </w:rPr>
        <w:t>一字墙端部由于缺少垂直方向墙体的约束作用，地震作用下端部容易产生平面外破坏，在采用高延性混凝土加固一字型墙体时，宜在墙体端部双面设置高延性混凝土竖向条带。</w:t>
      </w:r>
    </w:p>
    <w:p>
      <w:pPr>
        <w:spacing w:line="312" w:lineRule="auto"/>
        <w:ind w:firstLine="480" w:firstLineChars="200"/>
        <w:jc w:val="left"/>
        <w:rPr>
          <w:rFonts w:hint="eastAsia" w:ascii="楷体" w:hAnsi="楷体" w:eastAsia="楷体" w:cs="楷体"/>
          <w:sz w:val="24"/>
          <w:szCs w:val="24"/>
          <w:highlight w:val="none"/>
          <w:u w:val="single"/>
        </w:rPr>
      </w:pPr>
      <w:r>
        <w:rPr>
          <w:rFonts w:hint="eastAsia" w:ascii="楷体" w:hAnsi="楷体" w:eastAsia="楷体" w:cs="楷体"/>
          <w:sz w:val="24"/>
          <w:szCs w:val="24"/>
          <w:highlight w:val="none"/>
          <w:u w:val="single"/>
        </w:rPr>
        <w:t>墙段长度较大时，应适当增加竖向条带数量来减小相邻竖向条带之间的距离，从而保证竖向条带对墙体的可靠约束。</w:t>
      </w:r>
    </w:p>
    <w:p>
      <w:pPr>
        <w:spacing w:line="312" w:lineRule="auto"/>
        <w:jc w:val="left"/>
        <w:rPr>
          <w:sz w:val="24"/>
          <w:szCs w:val="28"/>
          <w:highlight w:val="none"/>
        </w:rPr>
      </w:pPr>
      <w:r>
        <w:rPr>
          <w:rFonts w:hint="eastAsia"/>
          <w:b/>
          <w:sz w:val="24"/>
          <w:szCs w:val="28"/>
          <w:highlight w:val="none"/>
        </w:rPr>
        <w:t>C.</w:t>
      </w:r>
      <w:r>
        <w:rPr>
          <w:b/>
          <w:sz w:val="24"/>
          <w:szCs w:val="28"/>
          <w:highlight w:val="none"/>
        </w:rPr>
        <w:t xml:space="preserve">3.5 </w:t>
      </w:r>
      <w:r>
        <w:rPr>
          <w:sz w:val="24"/>
          <w:szCs w:val="28"/>
          <w:highlight w:val="none"/>
        </w:rPr>
        <w:t xml:space="preserve"> 高延性混凝土水平条带设置应符合下列规定：</w:t>
      </w:r>
      <w:bookmarkEnd w:id="1682"/>
      <w:bookmarkEnd w:id="1683"/>
      <w:bookmarkEnd w:id="1684"/>
      <w:bookmarkEnd w:id="1685"/>
      <w:bookmarkEnd w:id="1686"/>
      <w:bookmarkEnd w:id="1687"/>
      <w:bookmarkEnd w:id="1688"/>
      <w:bookmarkEnd w:id="1689"/>
      <w:bookmarkEnd w:id="1690"/>
    </w:p>
    <w:p>
      <w:pPr>
        <w:spacing w:line="312" w:lineRule="auto"/>
        <w:ind w:firstLine="482" w:firstLineChars="200"/>
        <w:jc w:val="left"/>
        <w:rPr>
          <w:sz w:val="24"/>
          <w:szCs w:val="28"/>
          <w:highlight w:val="none"/>
        </w:rPr>
      </w:pPr>
      <w:bookmarkStart w:id="1691" w:name="_Toc10207271"/>
      <w:bookmarkStart w:id="1692" w:name="_Toc7976179"/>
      <w:bookmarkStart w:id="1693" w:name="_Toc9927745"/>
      <w:bookmarkStart w:id="1694" w:name="_Toc19545588"/>
      <w:bookmarkStart w:id="1695" w:name="_Toc25690710"/>
      <w:bookmarkStart w:id="1696" w:name="_Toc19545318"/>
      <w:bookmarkStart w:id="1697" w:name="_Toc25070737"/>
      <w:bookmarkStart w:id="1698" w:name="_Toc25690981"/>
      <w:bookmarkStart w:id="1699" w:name="_Toc25070435"/>
      <w:r>
        <w:rPr>
          <w:b/>
          <w:sz w:val="24"/>
          <w:szCs w:val="28"/>
          <w:highlight w:val="none"/>
        </w:rPr>
        <w:t xml:space="preserve">1 </w:t>
      </w:r>
      <w:r>
        <w:rPr>
          <w:sz w:val="24"/>
          <w:szCs w:val="28"/>
          <w:highlight w:val="none"/>
        </w:rPr>
        <w:t xml:space="preserve"> 外墙楼（屋）盖处应设置高延性混凝土水平条带，山墙应沿墙顶设置高延性混凝土条带（图</w:t>
      </w:r>
      <w:r>
        <w:rPr>
          <w:rFonts w:hint="eastAsia"/>
          <w:sz w:val="24"/>
          <w:szCs w:val="28"/>
          <w:highlight w:val="none"/>
        </w:rPr>
        <w:t>C.</w:t>
      </w:r>
      <w:r>
        <w:rPr>
          <w:sz w:val="24"/>
          <w:szCs w:val="28"/>
          <w:highlight w:val="none"/>
        </w:rPr>
        <w:t>3.5-1、图</w:t>
      </w:r>
      <w:r>
        <w:rPr>
          <w:rFonts w:hint="eastAsia"/>
          <w:sz w:val="24"/>
          <w:szCs w:val="28"/>
          <w:highlight w:val="none"/>
        </w:rPr>
        <w:t>C.</w:t>
      </w:r>
      <w:r>
        <w:rPr>
          <w:sz w:val="24"/>
          <w:szCs w:val="28"/>
          <w:highlight w:val="none"/>
        </w:rPr>
        <w:t>3.5-2），且高延性混凝土水平条带宜闭合</w:t>
      </w:r>
      <w:bookmarkEnd w:id="1691"/>
      <w:bookmarkEnd w:id="1692"/>
      <w:bookmarkEnd w:id="1693"/>
      <w:r>
        <w:rPr>
          <w:sz w:val="24"/>
          <w:szCs w:val="28"/>
          <w:highlight w:val="none"/>
        </w:rPr>
        <w:t>；</w:t>
      </w:r>
      <w:bookmarkEnd w:id="1694"/>
      <w:bookmarkEnd w:id="1695"/>
      <w:bookmarkEnd w:id="1696"/>
      <w:bookmarkEnd w:id="1697"/>
      <w:bookmarkEnd w:id="1698"/>
      <w:bookmarkEnd w:id="1699"/>
    </w:p>
    <w:tbl>
      <w:tblPr>
        <w:tblStyle w:val="23"/>
        <w:tblW w:w="0" w:type="auto"/>
        <w:jc w:val="center"/>
        <w:tblLayout w:type="fixed"/>
        <w:tblCellMar>
          <w:top w:w="0" w:type="dxa"/>
          <w:left w:w="108" w:type="dxa"/>
          <w:bottom w:w="0" w:type="dxa"/>
          <w:right w:w="108" w:type="dxa"/>
        </w:tblCellMar>
      </w:tblPr>
      <w:tblGrid>
        <w:gridCol w:w="5988"/>
      </w:tblGrid>
      <w:tr>
        <w:tblPrEx>
          <w:tblCellMar>
            <w:top w:w="0" w:type="dxa"/>
            <w:left w:w="108" w:type="dxa"/>
            <w:bottom w:w="0" w:type="dxa"/>
            <w:right w:w="108" w:type="dxa"/>
          </w:tblCellMar>
        </w:tblPrEx>
        <w:trPr>
          <w:jc w:val="center"/>
        </w:trPr>
        <w:tc>
          <w:tcPr>
            <w:tcW w:w="5988" w:type="dxa"/>
            <w:vAlign w:val="center"/>
          </w:tcPr>
          <w:p>
            <w:pPr>
              <w:adjustRightInd w:val="0"/>
              <w:snapToGrid w:val="0"/>
              <w:jc w:val="center"/>
              <w:rPr>
                <w:sz w:val="24"/>
                <w:szCs w:val="28"/>
                <w:highlight w:val="none"/>
              </w:rPr>
            </w:pPr>
            <w:r>
              <w:rPr>
                <w:sz w:val="24"/>
                <w:szCs w:val="28"/>
                <w:highlight w:val="none"/>
              </w:rPr>
              <w:drawing>
                <wp:inline distT="0" distB="0" distL="0" distR="0">
                  <wp:extent cx="2814955" cy="1797050"/>
                  <wp:effectExtent l="0" t="0" r="0" b="0"/>
                  <wp:docPr id="189" name="图片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320"/>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a:xfrm>
                            <a:off x="0" y="0"/>
                            <a:ext cx="2814955" cy="1797050"/>
                          </a:xfrm>
                          <a:prstGeom prst="rect">
                            <a:avLst/>
                          </a:prstGeom>
                          <a:noFill/>
                          <a:ln>
                            <a:noFill/>
                          </a:ln>
                        </pic:spPr>
                      </pic:pic>
                    </a:graphicData>
                  </a:graphic>
                </wp:inline>
              </w:drawing>
            </w:r>
          </w:p>
        </w:tc>
      </w:tr>
      <w:tr>
        <w:tblPrEx>
          <w:tblCellMar>
            <w:top w:w="0" w:type="dxa"/>
            <w:left w:w="108" w:type="dxa"/>
            <w:bottom w:w="0" w:type="dxa"/>
            <w:right w:w="108" w:type="dxa"/>
          </w:tblCellMar>
        </w:tblPrEx>
        <w:trPr>
          <w:jc w:val="center"/>
        </w:trPr>
        <w:tc>
          <w:tcPr>
            <w:tcW w:w="5988" w:type="dxa"/>
            <w:vAlign w:val="center"/>
          </w:tcPr>
          <w:p>
            <w:pPr>
              <w:snapToGrid w:val="0"/>
              <w:jc w:val="center"/>
              <w:rPr>
                <w:sz w:val="21"/>
                <w:szCs w:val="21"/>
                <w:highlight w:val="none"/>
              </w:rPr>
            </w:pPr>
            <w:r>
              <w:rPr>
                <w:sz w:val="21"/>
                <w:szCs w:val="21"/>
                <w:highlight w:val="none"/>
              </w:rPr>
              <w:t>（a）正立面</w:t>
            </w:r>
          </w:p>
        </w:tc>
      </w:tr>
      <w:tr>
        <w:tblPrEx>
          <w:tblCellMar>
            <w:top w:w="0" w:type="dxa"/>
            <w:left w:w="108" w:type="dxa"/>
            <w:bottom w:w="0" w:type="dxa"/>
            <w:right w:w="108" w:type="dxa"/>
          </w:tblCellMar>
        </w:tblPrEx>
        <w:trPr>
          <w:jc w:val="center"/>
        </w:trPr>
        <w:tc>
          <w:tcPr>
            <w:tcW w:w="5988" w:type="dxa"/>
            <w:vAlign w:val="center"/>
          </w:tcPr>
          <w:p>
            <w:pPr>
              <w:adjustRightInd w:val="0"/>
              <w:snapToGrid w:val="0"/>
              <w:jc w:val="center"/>
              <w:rPr>
                <w:sz w:val="24"/>
                <w:szCs w:val="28"/>
                <w:highlight w:val="none"/>
              </w:rPr>
            </w:pPr>
            <w:r>
              <w:rPr>
                <w:sz w:val="32"/>
                <w:szCs w:val="32"/>
                <w:highlight w:val="none"/>
              </w:rPr>
              <w:drawing>
                <wp:inline distT="0" distB="0" distL="0" distR="0">
                  <wp:extent cx="2051685" cy="1804670"/>
                  <wp:effectExtent l="0" t="0" r="0" b="0"/>
                  <wp:docPr id="190" name="图片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321"/>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a:xfrm>
                            <a:off x="0" y="0"/>
                            <a:ext cx="2051685" cy="1804670"/>
                          </a:xfrm>
                          <a:prstGeom prst="rect">
                            <a:avLst/>
                          </a:prstGeom>
                          <a:noFill/>
                          <a:ln>
                            <a:noFill/>
                          </a:ln>
                        </pic:spPr>
                      </pic:pic>
                    </a:graphicData>
                  </a:graphic>
                </wp:inline>
              </w:drawing>
            </w:r>
          </w:p>
        </w:tc>
      </w:tr>
      <w:tr>
        <w:tblPrEx>
          <w:tblCellMar>
            <w:top w:w="0" w:type="dxa"/>
            <w:left w:w="108" w:type="dxa"/>
            <w:bottom w:w="0" w:type="dxa"/>
            <w:right w:w="108" w:type="dxa"/>
          </w:tblCellMar>
        </w:tblPrEx>
        <w:trPr>
          <w:jc w:val="center"/>
        </w:trPr>
        <w:tc>
          <w:tcPr>
            <w:tcW w:w="5988" w:type="dxa"/>
            <w:vAlign w:val="center"/>
          </w:tcPr>
          <w:p>
            <w:pPr>
              <w:snapToGrid w:val="0"/>
              <w:jc w:val="center"/>
              <w:rPr>
                <w:sz w:val="21"/>
                <w:szCs w:val="21"/>
                <w:highlight w:val="none"/>
              </w:rPr>
            </w:pPr>
            <w:r>
              <w:rPr>
                <w:sz w:val="21"/>
                <w:szCs w:val="21"/>
                <w:highlight w:val="none"/>
              </w:rPr>
              <w:t>（b）侧立面</w:t>
            </w:r>
          </w:p>
        </w:tc>
      </w:tr>
    </w:tbl>
    <w:p>
      <w:pPr>
        <w:spacing w:line="312" w:lineRule="auto"/>
        <w:jc w:val="center"/>
        <w:rPr>
          <w:sz w:val="21"/>
          <w:szCs w:val="21"/>
          <w:highlight w:val="none"/>
        </w:rPr>
      </w:pPr>
      <w:r>
        <w:rPr>
          <w:sz w:val="21"/>
          <w:szCs w:val="21"/>
          <w:highlight w:val="none"/>
        </w:rPr>
        <w:t>图</w:t>
      </w:r>
      <w:r>
        <w:rPr>
          <w:rFonts w:hint="eastAsia"/>
          <w:sz w:val="21"/>
          <w:szCs w:val="21"/>
          <w:highlight w:val="none"/>
        </w:rPr>
        <w:t>C.</w:t>
      </w:r>
      <w:r>
        <w:rPr>
          <w:sz w:val="21"/>
          <w:szCs w:val="21"/>
          <w:highlight w:val="none"/>
        </w:rPr>
        <w:t>3.5-1 二层房屋加固条带立面示意图</w:t>
      </w:r>
    </w:p>
    <w:p>
      <w:pPr>
        <w:spacing w:line="312" w:lineRule="auto"/>
        <w:jc w:val="center"/>
        <w:rPr>
          <w:sz w:val="21"/>
          <w:szCs w:val="21"/>
          <w:highlight w:val="none"/>
        </w:rPr>
      </w:pPr>
      <w:r>
        <w:rPr>
          <w:sz w:val="21"/>
          <w:szCs w:val="21"/>
          <w:highlight w:val="none"/>
        </w:rPr>
        <w:t>h1-一层层高；h2-二层层高</w:t>
      </w:r>
    </w:p>
    <w:tbl>
      <w:tblPr>
        <w:tblStyle w:val="23"/>
        <w:tblW w:w="0" w:type="auto"/>
        <w:jc w:val="center"/>
        <w:tblLayout w:type="fixed"/>
        <w:tblCellMar>
          <w:top w:w="0" w:type="dxa"/>
          <w:left w:w="108" w:type="dxa"/>
          <w:bottom w:w="0" w:type="dxa"/>
          <w:right w:w="108" w:type="dxa"/>
        </w:tblCellMar>
      </w:tblPr>
      <w:tblGrid>
        <w:gridCol w:w="5988"/>
      </w:tblGrid>
      <w:tr>
        <w:tblPrEx>
          <w:tblCellMar>
            <w:top w:w="0" w:type="dxa"/>
            <w:left w:w="108" w:type="dxa"/>
            <w:bottom w:w="0" w:type="dxa"/>
            <w:right w:w="108" w:type="dxa"/>
          </w:tblCellMar>
        </w:tblPrEx>
        <w:trPr>
          <w:jc w:val="center"/>
        </w:trPr>
        <w:tc>
          <w:tcPr>
            <w:tcW w:w="5988" w:type="dxa"/>
          </w:tcPr>
          <w:p>
            <w:pPr>
              <w:adjustRightInd w:val="0"/>
              <w:snapToGrid w:val="0"/>
              <w:jc w:val="center"/>
              <w:rPr>
                <w:sz w:val="24"/>
                <w:szCs w:val="28"/>
                <w:highlight w:val="none"/>
              </w:rPr>
            </w:pPr>
            <w:r>
              <w:rPr>
                <w:sz w:val="32"/>
                <w:szCs w:val="32"/>
                <w:highlight w:val="none"/>
              </w:rPr>
              <w:drawing>
                <wp:inline distT="0" distB="0" distL="0" distR="0">
                  <wp:extent cx="2910205" cy="1431290"/>
                  <wp:effectExtent l="0" t="0" r="0" b="0"/>
                  <wp:docPr id="191" name="图片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322"/>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a:xfrm>
                            <a:off x="0" y="0"/>
                            <a:ext cx="2910205" cy="1431290"/>
                          </a:xfrm>
                          <a:prstGeom prst="rect">
                            <a:avLst/>
                          </a:prstGeom>
                          <a:noFill/>
                          <a:ln>
                            <a:noFill/>
                          </a:ln>
                        </pic:spPr>
                      </pic:pic>
                    </a:graphicData>
                  </a:graphic>
                </wp:inline>
              </w:drawing>
            </w:r>
          </w:p>
        </w:tc>
      </w:tr>
      <w:tr>
        <w:tblPrEx>
          <w:tblCellMar>
            <w:top w:w="0" w:type="dxa"/>
            <w:left w:w="108" w:type="dxa"/>
            <w:bottom w:w="0" w:type="dxa"/>
            <w:right w:w="108" w:type="dxa"/>
          </w:tblCellMar>
        </w:tblPrEx>
        <w:trPr>
          <w:jc w:val="center"/>
        </w:trPr>
        <w:tc>
          <w:tcPr>
            <w:tcW w:w="5988" w:type="dxa"/>
          </w:tcPr>
          <w:p>
            <w:pPr>
              <w:snapToGrid w:val="0"/>
              <w:jc w:val="center"/>
              <w:rPr>
                <w:sz w:val="21"/>
                <w:szCs w:val="21"/>
                <w:highlight w:val="none"/>
              </w:rPr>
            </w:pPr>
            <w:r>
              <w:rPr>
                <w:sz w:val="21"/>
                <w:szCs w:val="21"/>
                <w:highlight w:val="none"/>
              </w:rPr>
              <w:t>（a）正立面</w:t>
            </w:r>
          </w:p>
        </w:tc>
      </w:tr>
      <w:tr>
        <w:tblPrEx>
          <w:tblCellMar>
            <w:top w:w="0" w:type="dxa"/>
            <w:left w:w="108" w:type="dxa"/>
            <w:bottom w:w="0" w:type="dxa"/>
            <w:right w:w="108" w:type="dxa"/>
          </w:tblCellMar>
        </w:tblPrEx>
        <w:trPr>
          <w:jc w:val="center"/>
        </w:trPr>
        <w:tc>
          <w:tcPr>
            <w:tcW w:w="5988" w:type="dxa"/>
          </w:tcPr>
          <w:p>
            <w:pPr>
              <w:adjustRightInd w:val="0"/>
              <w:snapToGrid w:val="0"/>
              <w:jc w:val="center"/>
              <w:rPr>
                <w:sz w:val="24"/>
                <w:szCs w:val="28"/>
                <w:highlight w:val="none"/>
              </w:rPr>
            </w:pPr>
            <w:r>
              <w:rPr>
                <w:sz w:val="24"/>
                <w:szCs w:val="28"/>
                <w:highlight w:val="none"/>
              </w:rPr>
              <w:drawing>
                <wp:inline distT="0" distB="0" distL="0" distR="0">
                  <wp:extent cx="2131060" cy="1367790"/>
                  <wp:effectExtent l="0" t="0" r="0" b="0"/>
                  <wp:docPr id="192" name="图片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324"/>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a:xfrm>
                            <a:off x="0" y="0"/>
                            <a:ext cx="2131060" cy="1367790"/>
                          </a:xfrm>
                          <a:prstGeom prst="rect">
                            <a:avLst/>
                          </a:prstGeom>
                          <a:noFill/>
                          <a:ln>
                            <a:noFill/>
                          </a:ln>
                        </pic:spPr>
                      </pic:pic>
                    </a:graphicData>
                  </a:graphic>
                </wp:inline>
              </w:drawing>
            </w:r>
          </w:p>
        </w:tc>
      </w:tr>
      <w:tr>
        <w:tblPrEx>
          <w:tblCellMar>
            <w:top w:w="0" w:type="dxa"/>
            <w:left w:w="108" w:type="dxa"/>
            <w:bottom w:w="0" w:type="dxa"/>
            <w:right w:w="108" w:type="dxa"/>
          </w:tblCellMar>
        </w:tblPrEx>
        <w:trPr>
          <w:jc w:val="center"/>
        </w:trPr>
        <w:tc>
          <w:tcPr>
            <w:tcW w:w="5988" w:type="dxa"/>
          </w:tcPr>
          <w:p>
            <w:pPr>
              <w:snapToGrid w:val="0"/>
              <w:jc w:val="center"/>
              <w:rPr>
                <w:sz w:val="21"/>
                <w:szCs w:val="21"/>
                <w:highlight w:val="none"/>
              </w:rPr>
            </w:pPr>
            <w:r>
              <w:rPr>
                <w:sz w:val="21"/>
                <w:szCs w:val="21"/>
                <w:highlight w:val="none"/>
              </w:rPr>
              <w:t>（b）侧立面</w:t>
            </w:r>
          </w:p>
        </w:tc>
      </w:tr>
    </w:tbl>
    <w:p>
      <w:pPr>
        <w:spacing w:line="312" w:lineRule="auto"/>
        <w:jc w:val="center"/>
        <w:rPr>
          <w:sz w:val="21"/>
          <w:szCs w:val="21"/>
          <w:highlight w:val="none"/>
        </w:rPr>
      </w:pPr>
      <w:r>
        <w:rPr>
          <w:sz w:val="21"/>
          <w:szCs w:val="21"/>
          <w:highlight w:val="none"/>
        </w:rPr>
        <w:t>图</w:t>
      </w:r>
      <w:r>
        <w:rPr>
          <w:rFonts w:hint="eastAsia"/>
          <w:sz w:val="21"/>
          <w:szCs w:val="21"/>
          <w:highlight w:val="none"/>
        </w:rPr>
        <w:t>C.</w:t>
      </w:r>
      <w:r>
        <w:rPr>
          <w:sz w:val="21"/>
          <w:szCs w:val="21"/>
          <w:highlight w:val="none"/>
        </w:rPr>
        <w:t>3.5-2单层房屋加固条带立面示意图</w:t>
      </w:r>
    </w:p>
    <w:p>
      <w:pPr>
        <w:spacing w:line="312" w:lineRule="auto"/>
        <w:jc w:val="center"/>
        <w:rPr>
          <w:sz w:val="21"/>
          <w:szCs w:val="21"/>
          <w:highlight w:val="none"/>
        </w:rPr>
      </w:pPr>
      <w:r>
        <w:rPr>
          <w:sz w:val="21"/>
          <w:szCs w:val="21"/>
          <w:highlight w:val="none"/>
        </w:rPr>
        <w:t>h1-一层层高</w:t>
      </w:r>
    </w:p>
    <w:p>
      <w:pPr>
        <w:spacing w:line="312" w:lineRule="auto"/>
        <w:ind w:firstLine="482" w:firstLineChars="200"/>
        <w:jc w:val="left"/>
        <w:rPr>
          <w:sz w:val="24"/>
          <w:szCs w:val="28"/>
          <w:highlight w:val="none"/>
        </w:rPr>
      </w:pPr>
      <w:bookmarkStart w:id="1700" w:name="_Toc10207273"/>
      <w:bookmarkStart w:id="1701" w:name="_Toc7976180"/>
      <w:bookmarkStart w:id="1702" w:name="_Toc9927746"/>
      <w:bookmarkStart w:id="1703" w:name="_Toc25690711"/>
      <w:bookmarkStart w:id="1704" w:name="_Toc19545589"/>
      <w:bookmarkStart w:id="1705" w:name="_Toc25690982"/>
      <w:bookmarkStart w:id="1706" w:name="_Toc25070436"/>
      <w:bookmarkStart w:id="1707" w:name="_Toc25070738"/>
      <w:bookmarkStart w:id="1708" w:name="_Toc19545319"/>
      <w:r>
        <w:rPr>
          <w:b/>
          <w:sz w:val="24"/>
          <w:szCs w:val="28"/>
          <w:highlight w:val="none"/>
        </w:rPr>
        <w:t xml:space="preserve">2 </w:t>
      </w:r>
      <w:r>
        <w:rPr>
          <w:sz w:val="24"/>
          <w:szCs w:val="28"/>
          <w:highlight w:val="none"/>
        </w:rPr>
        <w:t xml:space="preserve"> 单层房屋含阁楼时，应在阁楼高度处增设一道高延性混凝土水平条带，条带宽度及厚度与楼（屋）盖处水平条带相同</w:t>
      </w:r>
      <w:bookmarkEnd w:id="1700"/>
      <w:bookmarkEnd w:id="1701"/>
      <w:bookmarkEnd w:id="1702"/>
      <w:r>
        <w:rPr>
          <w:sz w:val="24"/>
          <w:szCs w:val="28"/>
          <w:highlight w:val="none"/>
        </w:rPr>
        <w:t>；</w:t>
      </w:r>
      <w:bookmarkEnd w:id="1703"/>
      <w:bookmarkEnd w:id="1704"/>
      <w:bookmarkEnd w:id="1705"/>
      <w:bookmarkEnd w:id="1706"/>
      <w:bookmarkEnd w:id="1707"/>
      <w:bookmarkEnd w:id="1708"/>
    </w:p>
    <w:p>
      <w:pPr>
        <w:spacing w:line="312" w:lineRule="auto"/>
        <w:ind w:firstLine="482" w:firstLineChars="200"/>
        <w:jc w:val="left"/>
        <w:rPr>
          <w:sz w:val="24"/>
          <w:szCs w:val="28"/>
          <w:highlight w:val="none"/>
        </w:rPr>
      </w:pPr>
      <w:bookmarkStart w:id="1709" w:name="_Toc10207274"/>
      <w:bookmarkStart w:id="1710" w:name="_Toc7976181"/>
      <w:bookmarkStart w:id="1711" w:name="_Toc9927747"/>
      <w:bookmarkStart w:id="1712" w:name="_Toc19545320"/>
      <w:bookmarkStart w:id="1713" w:name="_Toc25070437"/>
      <w:bookmarkStart w:id="1714" w:name="_Toc19545590"/>
      <w:bookmarkStart w:id="1715" w:name="_Toc25070739"/>
      <w:bookmarkStart w:id="1716" w:name="_Toc25690712"/>
      <w:bookmarkStart w:id="1717" w:name="_Toc25690983"/>
      <w:r>
        <w:rPr>
          <w:b/>
          <w:sz w:val="24"/>
          <w:szCs w:val="28"/>
          <w:highlight w:val="none"/>
        </w:rPr>
        <w:t>3</w:t>
      </w:r>
      <w:r>
        <w:rPr>
          <w:sz w:val="24"/>
          <w:szCs w:val="28"/>
          <w:highlight w:val="none"/>
        </w:rPr>
        <w:t xml:space="preserve">  高延性混凝土水平条带边缘距外墙洞口上下边距离不大于100mm时，宜调整水平条带宽度至上下洞口边沿，并将高延性混凝土条带包至门（窗）框边（图</w:t>
      </w:r>
      <w:r>
        <w:rPr>
          <w:rFonts w:hint="eastAsia"/>
          <w:sz w:val="24"/>
          <w:szCs w:val="28"/>
          <w:highlight w:val="none"/>
        </w:rPr>
        <w:t>C.</w:t>
      </w:r>
      <w:r>
        <w:rPr>
          <w:sz w:val="24"/>
          <w:szCs w:val="28"/>
          <w:highlight w:val="none"/>
        </w:rPr>
        <w:t>3.5-3）</w:t>
      </w:r>
      <w:bookmarkEnd w:id="1709"/>
      <w:bookmarkEnd w:id="1710"/>
      <w:bookmarkEnd w:id="1711"/>
      <w:r>
        <w:rPr>
          <w:sz w:val="24"/>
          <w:szCs w:val="28"/>
          <w:highlight w:val="none"/>
        </w:rPr>
        <w:t>；</w:t>
      </w:r>
      <w:bookmarkEnd w:id="1712"/>
      <w:bookmarkEnd w:id="1713"/>
      <w:bookmarkEnd w:id="1714"/>
      <w:bookmarkEnd w:id="1715"/>
      <w:bookmarkEnd w:id="1716"/>
      <w:bookmarkEnd w:id="1717"/>
    </w:p>
    <w:p>
      <w:pPr>
        <w:adjustRightInd w:val="0"/>
        <w:ind w:right="76" w:rightChars="36"/>
        <w:jc w:val="center"/>
        <w:rPr>
          <w:sz w:val="24"/>
          <w:szCs w:val="28"/>
          <w:highlight w:val="none"/>
        </w:rPr>
      </w:pPr>
      <w:r>
        <w:rPr>
          <w:sz w:val="24"/>
          <w:szCs w:val="28"/>
          <w:highlight w:val="none"/>
        </w:rPr>
        <w:drawing>
          <wp:inline distT="0" distB="0" distL="0" distR="0">
            <wp:extent cx="1216660" cy="2162810"/>
            <wp:effectExtent l="0" t="0" r="0" b="0"/>
            <wp:docPr id="193" name="图片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325"/>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a:xfrm>
                      <a:off x="0" y="0"/>
                      <a:ext cx="1216660" cy="2162810"/>
                    </a:xfrm>
                    <a:prstGeom prst="rect">
                      <a:avLst/>
                    </a:prstGeom>
                    <a:noFill/>
                    <a:ln>
                      <a:noFill/>
                    </a:ln>
                  </pic:spPr>
                </pic:pic>
              </a:graphicData>
            </a:graphic>
          </wp:inline>
        </w:drawing>
      </w:r>
    </w:p>
    <w:p>
      <w:pPr>
        <w:spacing w:line="312" w:lineRule="auto"/>
        <w:jc w:val="center"/>
        <w:rPr>
          <w:sz w:val="21"/>
          <w:szCs w:val="21"/>
          <w:highlight w:val="none"/>
        </w:rPr>
      </w:pPr>
      <w:r>
        <w:rPr>
          <w:sz w:val="21"/>
          <w:szCs w:val="21"/>
          <w:highlight w:val="none"/>
        </w:rPr>
        <w:t>图</w:t>
      </w:r>
      <w:r>
        <w:rPr>
          <w:rFonts w:hint="eastAsia"/>
          <w:sz w:val="21"/>
          <w:szCs w:val="21"/>
          <w:highlight w:val="none"/>
        </w:rPr>
        <w:t>C.</w:t>
      </w:r>
      <w:r>
        <w:rPr>
          <w:sz w:val="21"/>
          <w:szCs w:val="21"/>
          <w:highlight w:val="none"/>
        </w:rPr>
        <w:t>3.5-3 水平条带在门窗洞口边缘的加固示意图</w:t>
      </w:r>
    </w:p>
    <w:p>
      <w:pPr>
        <w:spacing w:line="312" w:lineRule="auto"/>
        <w:jc w:val="center"/>
        <w:rPr>
          <w:sz w:val="21"/>
          <w:szCs w:val="21"/>
          <w:highlight w:val="none"/>
        </w:rPr>
      </w:pPr>
      <w:r>
        <w:rPr>
          <w:sz w:val="21"/>
          <w:szCs w:val="21"/>
          <w:highlight w:val="none"/>
        </w:rPr>
        <w:t>1-</w:t>
      </w:r>
      <w:r>
        <w:rPr>
          <w:rFonts w:hint="eastAsia"/>
          <w:sz w:val="21"/>
          <w:szCs w:val="21"/>
          <w:highlight w:val="none"/>
        </w:rPr>
        <w:t>门窗洞口；</w:t>
      </w:r>
      <w:r>
        <w:rPr>
          <w:sz w:val="21"/>
          <w:szCs w:val="21"/>
          <w:highlight w:val="none"/>
        </w:rPr>
        <w:t>2-</w:t>
      </w:r>
      <w:r>
        <w:rPr>
          <w:rFonts w:hint="eastAsia"/>
          <w:sz w:val="21"/>
          <w:szCs w:val="21"/>
          <w:highlight w:val="none"/>
        </w:rPr>
        <w:t>楼面；3</w:t>
      </w:r>
      <w:r>
        <w:rPr>
          <w:sz w:val="21"/>
          <w:szCs w:val="21"/>
          <w:highlight w:val="none"/>
        </w:rPr>
        <w:t>-</w:t>
      </w:r>
      <w:r>
        <w:rPr>
          <w:rFonts w:hint="eastAsia"/>
          <w:sz w:val="21"/>
          <w:szCs w:val="21"/>
          <w:highlight w:val="none"/>
        </w:rPr>
        <w:t>高延性混凝土水平条带</w:t>
      </w:r>
    </w:p>
    <w:p>
      <w:pPr>
        <w:spacing w:line="312" w:lineRule="auto"/>
        <w:ind w:firstLine="482" w:firstLineChars="200"/>
        <w:jc w:val="left"/>
        <w:rPr>
          <w:sz w:val="24"/>
          <w:szCs w:val="28"/>
          <w:highlight w:val="none"/>
        </w:rPr>
      </w:pPr>
      <w:bookmarkStart w:id="1718" w:name="_Toc7976182"/>
      <w:bookmarkStart w:id="1719" w:name="_Toc9927748"/>
      <w:bookmarkStart w:id="1720" w:name="_Toc10207275"/>
      <w:bookmarkStart w:id="1721" w:name="_Toc19545591"/>
      <w:bookmarkStart w:id="1722" w:name="_Toc25690713"/>
      <w:bookmarkStart w:id="1723" w:name="_Toc19545321"/>
      <w:bookmarkStart w:id="1724" w:name="_Toc25070740"/>
      <w:bookmarkStart w:id="1725" w:name="_Toc25690984"/>
      <w:bookmarkStart w:id="1726" w:name="_Toc25070438"/>
      <w:r>
        <w:rPr>
          <w:b/>
          <w:sz w:val="24"/>
          <w:szCs w:val="28"/>
          <w:highlight w:val="none"/>
        </w:rPr>
        <w:t>4</w:t>
      </w:r>
      <w:r>
        <w:rPr>
          <w:sz w:val="24"/>
          <w:szCs w:val="28"/>
          <w:highlight w:val="none"/>
        </w:rPr>
        <w:t xml:space="preserve">  高延性混凝土水平条带应延伸至一字墙端部，且当一字墙长度大于2m时，应在墙体半高处增设一道水平条带，条带宽度及厚度可按表</w:t>
      </w:r>
      <w:r>
        <w:rPr>
          <w:rFonts w:hint="eastAsia"/>
          <w:sz w:val="24"/>
          <w:szCs w:val="28"/>
          <w:highlight w:val="none"/>
        </w:rPr>
        <w:t>C.</w:t>
      </w:r>
      <w:r>
        <w:rPr>
          <w:sz w:val="24"/>
          <w:szCs w:val="28"/>
          <w:highlight w:val="none"/>
        </w:rPr>
        <w:t>3.2取值</w:t>
      </w:r>
      <w:bookmarkEnd w:id="1718"/>
      <w:bookmarkEnd w:id="1719"/>
      <w:bookmarkEnd w:id="1720"/>
      <w:r>
        <w:rPr>
          <w:sz w:val="24"/>
          <w:szCs w:val="28"/>
          <w:highlight w:val="none"/>
        </w:rPr>
        <w:t>；</w:t>
      </w:r>
      <w:bookmarkEnd w:id="1721"/>
      <w:bookmarkEnd w:id="1722"/>
      <w:bookmarkEnd w:id="1723"/>
      <w:bookmarkEnd w:id="1724"/>
      <w:bookmarkEnd w:id="1725"/>
      <w:bookmarkEnd w:id="1726"/>
    </w:p>
    <w:p>
      <w:pPr>
        <w:spacing w:line="312" w:lineRule="auto"/>
        <w:ind w:firstLine="482" w:firstLineChars="200"/>
        <w:jc w:val="left"/>
        <w:rPr>
          <w:sz w:val="24"/>
          <w:szCs w:val="28"/>
          <w:highlight w:val="none"/>
        </w:rPr>
      </w:pPr>
      <w:bookmarkStart w:id="1727" w:name="_Toc25690714"/>
      <w:bookmarkStart w:id="1728" w:name="_Toc25690985"/>
      <w:bookmarkStart w:id="1729" w:name="_Toc10207276"/>
      <w:bookmarkStart w:id="1730" w:name="_Toc19545322"/>
      <w:bookmarkStart w:id="1731" w:name="_Toc9927749"/>
      <w:bookmarkStart w:id="1732" w:name="_Toc25070439"/>
      <w:bookmarkStart w:id="1733" w:name="_Toc25070741"/>
      <w:bookmarkStart w:id="1734" w:name="_Toc19545592"/>
      <w:bookmarkStart w:id="1735" w:name="_Toc7976183"/>
      <w:r>
        <w:rPr>
          <w:b/>
          <w:sz w:val="24"/>
          <w:szCs w:val="28"/>
          <w:highlight w:val="none"/>
        </w:rPr>
        <w:t>5</w:t>
      </w:r>
      <w:r>
        <w:rPr>
          <w:sz w:val="24"/>
          <w:szCs w:val="28"/>
          <w:highlight w:val="none"/>
        </w:rPr>
        <w:t xml:space="preserve">  两端均设置高延性混凝土竖向条带的内墙，宜在楼（屋）盖处设置高延性混凝土水平条带，条带宽度及厚度可按表</w:t>
      </w:r>
      <w:r>
        <w:rPr>
          <w:rFonts w:hint="eastAsia"/>
          <w:sz w:val="24"/>
          <w:szCs w:val="28"/>
          <w:highlight w:val="none"/>
        </w:rPr>
        <w:t>C.</w:t>
      </w:r>
      <w:r>
        <w:rPr>
          <w:sz w:val="24"/>
          <w:szCs w:val="28"/>
          <w:highlight w:val="none"/>
        </w:rPr>
        <w:t>3.2取值。</w:t>
      </w:r>
      <w:bookmarkEnd w:id="1727"/>
      <w:bookmarkEnd w:id="1728"/>
      <w:bookmarkEnd w:id="1729"/>
      <w:bookmarkEnd w:id="1730"/>
      <w:bookmarkEnd w:id="1731"/>
      <w:bookmarkEnd w:id="1732"/>
      <w:bookmarkEnd w:id="1733"/>
      <w:bookmarkEnd w:id="1734"/>
      <w:bookmarkEnd w:id="1735"/>
    </w:p>
    <w:p>
      <w:pPr>
        <w:spacing w:line="312" w:lineRule="auto"/>
        <w:jc w:val="left"/>
        <w:rPr>
          <w:rFonts w:hint="eastAsia" w:ascii="楷体" w:hAnsi="楷体" w:eastAsia="楷体" w:cs="楷体"/>
          <w:sz w:val="24"/>
          <w:szCs w:val="24"/>
          <w:highlight w:val="none"/>
          <w:u w:val="single"/>
        </w:rPr>
      </w:pPr>
      <w:r>
        <w:rPr>
          <w:rFonts w:hint="eastAsia" w:ascii="楷体" w:hAnsi="楷体" w:eastAsia="楷体" w:cs="楷体"/>
          <w:b w:val="0"/>
          <w:bCs/>
          <w:sz w:val="24"/>
          <w:szCs w:val="24"/>
          <w:highlight w:val="none"/>
          <w:u w:val="single"/>
        </w:rPr>
        <w:t>【条文说明】</w:t>
      </w:r>
      <w:r>
        <w:rPr>
          <w:rFonts w:hint="eastAsia" w:ascii="楷体" w:hAnsi="楷体" w:eastAsia="楷体" w:cs="楷体"/>
          <w:sz w:val="24"/>
          <w:szCs w:val="24"/>
          <w:highlight w:val="none"/>
          <w:u w:val="single"/>
        </w:rPr>
        <w:t>外墙墙顶及楼（屋）盖处设置高延性混凝土水平条带，可以起到类似于圈梁的构造作用，水平条带闭合设置时才能更好的发挥整体性加固效果。</w:t>
      </w:r>
    </w:p>
    <w:p>
      <w:pPr>
        <w:adjustRightInd w:val="0"/>
        <w:ind w:right="76" w:rightChars="36"/>
        <w:rPr>
          <w:sz w:val="24"/>
          <w:szCs w:val="24"/>
          <w:highlight w:val="none"/>
        </w:rPr>
      </w:pPr>
      <w:bookmarkStart w:id="1736" w:name="_Toc25070742"/>
      <w:bookmarkStart w:id="1737" w:name="_Toc25690986"/>
      <w:bookmarkStart w:id="1738" w:name="_Toc10207277"/>
      <w:bookmarkStart w:id="1739" w:name="_Toc19545323"/>
      <w:bookmarkStart w:id="1740" w:name="_Toc25690715"/>
      <w:bookmarkStart w:id="1741" w:name="_Toc7976184"/>
      <w:bookmarkStart w:id="1742" w:name="_Toc9927750"/>
      <w:bookmarkStart w:id="1743" w:name="_Toc19545593"/>
      <w:bookmarkStart w:id="1744" w:name="_Toc25070440"/>
      <w:r>
        <w:rPr>
          <w:rFonts w:hint="eastAsia"/>
          <w:b/>
          <w:sz w:val="24"/>
          <w:szCs w:val="28"/>
          <w:highlight w:val="none"/>
        </w:rPr>
        <w:t>C.</w:t>
      </w:r>
      <w:r>
        <w:rPr>
          <w:b/>
          <w:sz w:val="24"/>
          <w:szCs w:val="28"/>
          <w:highlight w:val="none"/>
        </w:rPr>
        <w:t xml:space="preserve">3.6 </w:t>
      </w:r>
      <w:r>
        <w:rPr>
          <w:sz w:val="24"/>
          <w:szCs w:val="28"/>
          <w:highlight w:val="none"/>
        </w:rPr>
        <w:t xml:space="preserve"> </w:t>
      </w:r>
      <w:bookmarkEnd w:id="1736"/>
      <w:bookmarkEnd w:id="1737"/>
      <w:bookmarkEnd w:id="1738"/>
      <w:bookmarkEnd w:id="1739"/>
      <w:bookmarkEnd w:id="1740"/>
      <w:bookmarkEnd w:id="1741"/>
      <w:bookmarkEnd w:id="1742"/>
      <w:bookmarkEnd w:id="1743"/>
      <w:bookmarkEnd w:id="1744"/>
      <w:r>
        <w:rPr>
          <w:sz w:val="24"/>
          <w:szCs w:val="24"/>
          <w:highlight w:val="none"/>
        </w:rPr>
        <w:t>房屋端山墙外侧有相邻建筑物时，端山墙上的高延性混凝土水平条带及竖向条带均应设置在墙体内侧，且外纵墙与端山墙交接部位的高延性混凝土竖向条带应双面布置（图</w:t>
      </w:r>
      <w:r>
        <w:rPr>
          <w:rFonts w:hint="eastAsia"/>
          <w:sz w:val="24"/>
          <w:szCs w:val="24"/>
          <w:highlight w:val="none"/>
          <w:lang w:val="en-US" w:eastAsia="zh-CN"/>
        </w:rPr>
        <w:t>C.3</w:t>
      </w:r>
      <w:r>
        <w:rPr>
          <w:sz w:val="24"/>
          <w:szCs w:val="24"/>
          <w:highlight w:val="none"/>
        </w:rPr>
        <w:t>.6</w:t>
      </w:r>
      <w:r>
        <w:rPr>
          <w:rFonts w:hint="eastAsia"/>
          <w:sz w:val="24"/>
          <w:szCs w:val="24"/>
          <w:highlight w:val="none"/>
        </w:rPr>
        <w:t>-a</w:t>
      </w:r>
      <w:r>
        <w:rPr>
          <w:sz w:val="24"/>
          <w:szCs w:val="24"/>
          <w:highlight w:val="none"/>
        </w:rPr>
        <w:t>）。</w:t>
      </w:r>
      <w:r>
        <w:rPr>
          <w:rFonts w:hint="eastAsia"/>
          <w:sz w:val="24"/>
          <w:szCs w:val="24"/>
          <w:highlight w:val="none"/>
        </w:rPr>
        <w:t>当墙体内侧不能进行高延性混凝土施工时，应在楼板底部沿横墙设置钢拉杆，钢拉杆直径不小于16mm，拉杆两端设置不小于250mm×250mm×10mm的钢垫板锚固于高延性混凝土条带外侧</w:t>
      </w:r>
      <w:r>
        <w:rPr>
          <w:sz w:val="24"/>
          <w:szCs w:val="24"/>
          <w:highlight w:val="none"/>
        </w:rPr>
        <w:t>（图</w:t>
      </w:r>
      <w:r>
        <w:rPr>
          <w:rFonts w:hint="eastAsia"/>
          <w:sz w:val="24"/>
          <w:szCs w:val="24"/>
          <w:highlight w:val="none"/>
          <w:lang w:val="en-US" w:eastAsia="zh-CN"/>
        </w:rPr>
        <w:t>C.3</w:t>
      </w:r>
      <w:r>
        <w:rPr>
          <w:sz w:val="24"/>
          <w:szCs w:val="24"/>
          <w:highlight w:val="none"/>
        </w:rPr>
        <w:t>.6</w:t>
      </w:r>
      <w:r>
        <w:rPr>
          <w:rFonts w:hint="eastAsia"/>
          <w:sz w:val="24"/>
          <w:szCs w:val="24"/>
          <w:highlight w:val="none"/>
        </w:rPr>
        <w:t>-b</w:t>
      </w:r>
      <w:r>
        <w:rPr>
          <w:sz w:val="24"/>
          <w:szCs w:val="24"/>
          <w:highlight w:val="none"/>
        </w:rPr>
        <w:t>）</w:t>
      </w:r>
      <w:r>
        <w:rPr>
          <w:rFonts w:hint="eastAsia"/>
          <w:sz w:val="24"/>
          <w:szCs w:val="24"/>
          <w:highlight w:val="none"/>
        </w:rPr>
        <w:t>。</w:t>
      </w:r>
    </w:p>
    <w:p>
      <w:pPr>
        <w:adjustRightInd w:val="0"/>
        <w:snapToGrid w:val="0"/>
        <w:ind w:right="76" w:rightChars="36"/>
        <w:jc w:val="center"/>
        <w:rPr>
          <w:b/>
          <w:sz w:val="24"/>
          <w:szCs w:val="24"/>
          <w:highlight w:val="none"/>
        </w:rPr>
      </w:pPr>
      <w:r>
        <w:rPr>
          <w:b/>
          <w:sz w:val="32"/>
          <w:szCs w:val="32"/>
          <w:highlight w:val="none"/>
        </w:rPr>
        <w:drawing>
          <wp:inline distT="0" distB="0" distL="0" distR="0">
            <wp:extent cx="1494790" cy="1765300"/>
            <wp:effectExtent l="0" t="0" r="0" b="0"/>
            <wp:docPr id="194" name="图片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309"/>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a:xfrm>
                      <a:off x="0" y="0"/>
                      <a:ext cx="1494790" cy="1765300"/>
                    </a:xfrm>
                    <a:prstGeom prst="rect">
                      <a:avLst/>
                    </a:prstGeom>
                    <a:noFill/>
                    <a:ln>
                      <a:noFill/>
                    </a:ln>
                  </pic:spPr>
                </pic:pic>
              </a:graphicData>
            </a:graphic>
          </wp:inline>
        </w:drawing>
      </w:r>
      <w:r>
        <w:rPr>
          <w:rFonts w:hint="eastAsia"/>
          <w:b/>
          <w:sz w:val="32"/>
          <w:szCs w:val="32"/>
          <w:highlight w:val="none"/>
        </w:rPr>
        <w:t xml:space="preserve">     </w:t>
      </w:r>
      <w:r>
        <w:rPr>
          <w:b/>
          <w:sz w:val="24"/>
          <w:szCs w:val="24"/>
          <w:highlight w:val="none"/>
        </w:rPr>
        <w:drawing>
          <wp:inline distT="0" distB="0" distL="0" distR="0">
            <wp:extent cx="1614170" cy="1765300"/>
            <wp:effectExtent l="0" t="0" r="0" b="0"/>
            <wp:docPr id="195" name="图片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310"/>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a:xfrm>
                      <a:off x="0" y="0"/>
                      <a:ext cx="1614170" cy="1765300"/>
                    </a:xfrm>
                    <a:prstGeom prst="rect">
                      <a:avLst/>
                    </a:prstGeom>
                    <a:noFill/>
                    <a:ln>
                      <a:noFill/>
                    </a:ln>
                  </pic:spPr>
                </pic:pic>
              </a:graphicData>
            </a:graphic>
          </wp:inline>
        </w:drawing>
      </w:r>
    </w:p>
    <w:p>
      <w:pPr>
        <w:snapToGrid w:val="0"/>
        <w:spacing w:before="120" w:beforeLines="50" w:line="312" w:lineRule="auto"/>
        <w:jc w:val="center"/>
        <w:rPr>
          <w:rFonts w:eastAsia="黑体"/>
          <w:sz w:val="21"/>
          <w:szCs w:val="24"/>
          <w:highlight w:val="none"/>
        </w:rPr>
      </w:pPr>
      <w:r>
        <w:rPr>
          <w:rFonts w:hint="eastAsia" w:eastAsia="黑体"/>
          <w:sz w:val="21"/>
          <w:szCs w:val="24"/>
          <w:highlight w:val="none"/>
        </w:rPr>
        <w:t>（a）内侧设置条带               （b）内侧设置钢拉杆</w:t>
      </w:r>
    </w:p>
    <w:p>
      <w:pPr>
        <w:spacing w:line="312" w:lineRule="auto"/>
        <w:jc w:val="center"/>
        <w:rPr>
          <w:sz w:val="21"/>
          <w:szCs w:val="21"/>
          <w:highlight w:val="none"/>
        </w:rPr>
      </w:pPr>
      <w:r>
        <w:rPr>
          <w:sz w:val="21"/>
          <w:szCs w:val="21"/>
          <w:highlight w:val="none"/>
        </w:rPr>
        <w:t>图</w:t>
      </w:r>
      <w:r>
        <w:rPr>
          <w:rFonts w:hint="eastAsia"/>
          <w:sz w:val="21"/>
          <w:szCs w:val="21"/>
          <w:highlight w:val="none"/>
        </w:rPr>
        <w:t>C.</w:t>
      </w:r>
      <w:r>
        <w:rPr>
          <w:sz w:val="21"/>
          <w:szCs w:val="21"/>
          <w:highlight w:val="none"/>
        </w:rPr>
        <w:t>3.6 相邻建筑物的端山墙加固平面示意图</w:t>
      </w:r>
    </w:p>
    <w:p>
      <w:pPr>
        <w:spacing w:line="312" w:lineRule="auto"/>
        <w:jc w:val="center"/>
        <w:rPr>
          <w:sz w:val="21"/>
          <w:szCs w:val="21"/>
          <w:highlight w:val="none"/>
        </w:rPr>
      </w:pPr>
      <w:r>
        <w:rPr>
          <w:sz w:val="21"/>
          <w:szCs w:val="21"/>
          <w:highlight w:val="none"/>
        </w:rPr>
        <w:t>1-</w:t>
      </w:r>
      <w:r>
        <w:rPr>
          <w:rFonts w:hint="eastAsia"/>
          <w:sz w:val="21"/>
          <w:szCs w:val="21"/>
          <w:highlight w:val="none"/>
        </w:rPr>
        <w:t>原墙体；</w:t>
      </w:r>
      <w:r>
        <w:rPr>
          <w:sz w:val="21"/>
          <w:szCs w:val="21"/>
          <w:highlight w:val="none"/>
        </w:rPr>
        <w:t>2-</w:t>
      </w:r>
      <w:r>
        <w:rPr>
          <w:rFonts w:hint="eastAsia"/>
          <w:sz w:val="21"/>
          <w:szCs w:val="21"/>
          <w:highlight w:val="none"/>
        </w:rPr>
        <w:t>高延性混凝土竖向条带</w:t>
      </w:r>
    </w:p>
    <w:p>
      <w:pPr>
        <w:spacing w:line="312" w:lineRule="auto"/>
        <w:jc w:val="left"/>
        <w:rPr>
          <w:sz w:val="24"/>
          <w:szCs w:val="28"/>
          <w:highlight w:val="none"/>
        </w:rPr>
      </w:pPr>
      <w:bookmarkStart w:id="1745" w:name="_Toc7976185"/>
      <w:bookmarkStart w:id="1746" w:name="_Toc10207278"/>
      <w:bookmarkStart w:id="1747" w:name="_Toc19545324"/>
      <w:bookmarkStart w:id="1748" w:name="_Toc25690716"/>
      <w:bookmarkStart w:id="1749" w:name="_Toc25070441"/>
      <w:bookmarkStart w:id="1750" w:name="_Toc19545594"/>
      <w:bookmarkStart w:id="1751" w:name="_Toc25070743"/>
      <w:bookmarkStart w:id="1752" w:name="_Toc9927751"/>
      <w:bookmarkStart w:id="1753" w:name="_Toc25690987"/>
      <w:r>
        <w:rPr>
          <w:rFonts w:hint="eastAsia"/>
          <w:b/>
          <w:sz w:val="24"/>
          <w:szCs w:val="28"/>
          <w:highlight w:val="none"/>
        </w:rPr>
        <w:t>C.</w:t>
      </w:r>
      <w:r>
        <w:rPr>
          <w:b/>
          <w:sz w:val="24"/>
          <w:szCs w:val="28"/>
          <w:highlight w:val="none"/>
        </w:rPr>
        <w:t xml:space="preserve">3.7  </w:t>
      </w:r>
      <w:r>
        <w:rPr>
          <w:sz w:val="24"/>
          <w:szCs w:val="28"/>
          <w:highlight w:val="none"/>
        </w:rPr>
        <w:t>高延性混凝土水平条带与竖向条带相交部位应设置高延性混凝土加腋（图</w:t>
      </w:r>
      <w:r>
        <w:rPr>
          <w:rFonts w:hint="eastAsia"/>
          <w:sz w:val="24"/>
          <w:szCs w:val="28"/>
          <w:highlight w:val="none"/>
        </w:rPr>
        <w:t>C.</w:t>
      </w:r>
      <w:r>
        <w:rPr>
          <w:sz w:val="24"/>
          <w:szCs w:val="28"/>
          <w:highlight w:val="none"/>
        </w:rPr>
        <w:t>3.7）。加腋部位高延性混凝土面层应与高延性混凝土条带连续施工，严禁留施工冷缝。</w:t>
      </w:r>
      <w:bookmarkEnd w:id="1745"/>
      <w:bookmarkEnd w:id="1746"/>
      <w:bookmarkEnd w:id="1747"/>
      <w:bookmarkEnd w:id="1748"/>
      <w:bookmarkEnd w:id="1749"/>
      <w:bookmarkEnd w:id="1750"/>
      <w:bookmarkEnd w:id="1751"/>
      <w:bookmarkEnd w:id="1752"/>
      <w:bookmarkEnd w:id="1753"/>
    </w:p>
    <w:p>
      <w:pPr>
        <w:adjustRightInd w:val="0"/>
        <w:jc w:val="center"/>
        <w:rPr>
          <w:sz w:val="32"/>
          <w:szCs w:val="32"/>
          <w:highlight w:val="none"/>
        </w:rPr>
      </w:pPr>
      <w:r>
        <w:rPr>
          <w:sz w:val="32"/>
          <w:szCs w:val="32"/>
          <w:highlight w:val="none"/>
        </w:rPr>
        <w:drawing>
          <wp:inline distT="0" distB="0" distL="0" distR="0">
            <wp:extent cx="1630045" cy="1542415"/>
            <wp:effectExtent l="0" t="0" r="0" b="0"/>
            <wp:docPr id="196" name="图片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313"/>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a:xfrm>
                      <a:off x="0" y="0"/>
                      <a:ext cx="1630045" cy="1542415"/>
                    </a:xfrm>
                    <a:prstGeom prst="rect">
                      <a:avLst/>
                    </a:prstGeom>
                    <a:noFill/>
                    <a:ln>
                      <a:noFill/>
                    </a:ln>
                  </pic:spPr>
                </pic:pic>
              </a:graphicData>
            </a:graphic>
          </wp:inline>
        </w:drawing>
      </w:r>
    </w:p>
    <w:p>
      <w:pPr>
        <w:spacing w:line="312" w:lineRule="auto"/>
        <w:jc w:val="center"/>
        <w:rPr>
          <w:sz w:val="21"/>
          <w:szCs w:val="21"/>
          <w:highlight w:val="none"/>
        </w:rPr>
      </w:pPr>
      <w:r>
        <w:rPr>
          <w:sz w:val="21"/>
          <w:szCs w:val="21"/>
          <w:highlight w:val="none"/>
        </w:rPr>
        <w:t>图</w:t>
      </w:r>
      <w:r>
        <w:rPr>
          <w:rFonts w:hint="eastAsia"/>
          <w:sz w:val="21"/>
          <w:szCs w:val="21"/>
          <w:highlight w:val="none"/>
        </w:rPr>
        <w:t>C.</w:t>
      </w:r>
      <w:r>
        <w:rPr>
          <w:sz w:val="21"/>
          <w:szCs w:val="21"/>
          <w:highlight w:val="none"/>
        </w:rPr>
        <w:t>3.7 高延性混凝土条带相交处加腋示意图</w:t>
      </w:r>
    </w:p>
    <w:p>
      <w:pPr>
        <w:spacing w:line="312" w:lineRule="auto"/>
        <w:jc w:val="center"/>
        <w:rPr>
          <w:sz w:val="21"/>
          <w:szCs w:val="21"/>
          <w:highlight w:val="none"/>
        </w:rPr>
      </w:pPr>
      <w:r>
        <w:rPr>
          <w:sz w:val="21"/>
          <w:szCs w:val="21"/>
          <w:highlight w:val="none"/>
        </w:rPr>
        <w:t>1-</w:t>
      </w:r>
      <w:r>
        <w:rPr>
          <w:rFonts w:hint="eastAsia"/>
          <w:sz w:val="21"/>
          <w:szCs w:val="21"/>
          <w:highlight w:val="none"/>
        </w:rPr>
        <w:t>高延性混凝土竖向条带；</w:t>
      </w:r>
      <w:r>
        <w:rPr>
          <w:sz w:val="21"/>
          <w:szCs w:val="21"/>
          <w:highlight w:val="none"/>
        </w:rPr>
        <w:t>2-</w:t>
      </w:r>
      <w:r>
        <w:rPr>
          <w:rFonts w:hint="eastAsia"/>
          <w:sz w:val="21"/>
          <w:szCs w:val="21"/>
          <w:highlight w:val="none"/>
        </w:rPr>
        <w:t>高延性混凝土加腋</w:t>
      </w:r>
    </w:p>
    <w:p>
      <w:pPr>
        <w:spacing w:line="312" w:lineRule="auto"/>
        <w:jc w:val="left"/>
        <w:rPr>
          <w:rFonts w:hint="eastAsia" w:ascii="仿宋_GB2312" w:hAnsi="仿宋_GB2312" w:eastAsia="仿宋_GB2312" w:cs="仿宋_GB2312"/>
          <w:b/>
          <w:sz w:val="21"/>
          <w:szCs w:val="21"/>
          <w:highlight w:val="none"/>
        </w:rPr>
      </w:pPr>
      <w:bookmarkStart w:id="1754" w:name="_Toc19545325"/>
      <w:bookmarkStart w:id="1755" w:name="_Toc9927752"/>
      <w:bookmarkStart w:id="1756" w:name="_Toc19545595"/>
      <w:bookmarkStart w:id="1757" w:name="_Toc7976186"/>
      <w:bookmarkStart w:id="1758" w:name="_Toc25690717"/>
      <w:bookmarkStart w:id="1759" w:name="_Toc25070442"/>
      <w:bookmarkStart w:id="1760" w:name="_Toc10207280"/>
      <w:bookmarkStart w:id="1761" w:name="_Toc25690988"/>
      <w:bookmarkStart w:id="1762" w:name="_Toc25070744"/>
    </w:p>
    <w:p>
      <w:pPr>
        <w:spacing w:line="312" w:lineRule="auto"/>
        <w:jc w:val="left"/>
        <w:rPr>
          <w:rFonts w:hint="eastAsia" w:ascii="楷体" w:hAnsi="楷体" w:eastAsia="楷体" w:cs="楷体"/>
          <w:sz w:val="24"/>
          <w:szCs w:val="24"/>
          <w:highlight w:val="none"/>
          <w:u w:val="single"/>
        </w:rPr>
      </w:pPr>
      <w:r>
        <w:rPr>
          <w:rFonts w:hint="eastAsia" w:ascii="楷体" w:hAnsi="楷体" w:eastAsia="楷体" w:cs="楷体"/>
          <w:b w:val="0"/>
          <w:bCs/>
          <w:sz w:val="24"/>
          <w:szCs w:val="24"/>
          <w:highlight w:val="none"/>
          <w:u w:val="single"/>
        </w:rPr>
        <w:t>【条文说明】</w:t>
      </w:r>
      <w:r>
        <w:rPr>
          <w:rFonts w:hint="eastAsia" w:ascii="楷体" w:hAnsi="楷体" w:eastAsia="楷体" w:cs="楷体"/>
          <w:sz w:val="24"/>
          <w:szCs w:val="24"/>
          <w:highlight w:val="none"/>
          <w:u w:val="single"/>
        </w:rPr>
        <w:t>高延性混凝土水平条带与竖向条带相交部位需设置加腋，可有效减少条带交接部位的应力集中，防止拐角处高延性混凝土开裂。但在加腋部位施工时应严格控制、连续施工，严禁在此部位留施工冷缝。</w:t>
      </w:r>
    </w:p>
    <w:p>
      <w:pPr>
        <w:spacing w:line="312" w:lineRule="auto"/>
        <w:jc w:val="left"/>
        <w:rPr>
          <w:sz w:val="24"/>
          <w:szCs w:val="28"/>
          <w:highlight w:val="none"/>
        </w:rPr>
      </w:pPr>
      <w:r>
        <w:rPr>
          <w:rFonts w:hint="eastAsia"/>
          <w:b/>
          <w:sz w:val="24"/>
          <w:szCs w:val="28"/>
          <w:highlight w:val="none"/>
        </w:rPr>
        <w:t>C.</w:t>
      </w:r>
      <w:r>
        <w:rPr>
          <w:b/>
          <w:sz w:val="24"/>
          <w:szCs w:val="28"/>
          <w:highlight w:val="none"/>
        </w:rPr>
        <w:t>3.8</w:t>
      </w:r>
      <w:r>
        <w:rPr>
          <w:sz w:val="24"/>
          <w:szCs w:val="28"/>
          <w:highlight w:val="none"/>
        </w:rPr>
        <w:t xml:space="preserve">  砌体墙的整体性很差或外墙开洞率大于50%时，应采用高延性混凝土面层对整片墙体进行加固，面层厚度可按表</w:t>
      </w:r>
      <w:r>
        <w:rPr>
          <w:rFonts w:hint="eastAsia"/>
          <w:sz w:val="24"/>
          <w:szCs w:val="28"/>
          <w:highlight w:val="none"/>
        </w:rPr>
        <w:t>C.</w:t>
      </w:r>
      <w:r>
        <w:rPr>
          <w:sz w:val="24"/>
          <w:szCs w:val="28"/>
          <w:highlight w:val="none"/>
        </w:rPr>
        <w:t>3.2取值。</w:t>
      </w:r>
      <w:bookmarkEnd w:id="1754"/>
      <w:bookmarkEnd w:id="1755"/>
      <w:bookmarkEnd w:id="1756"/>
      <w:bookmarkEnd w:id="1757"/>
      <w:bookmarkEnd w:id="1758"/>
      <w:bookmarkEnd w:id="1759"/>
      <w:bookmarkEnd w:id="1760"/>
      <w:bookmarkEnd w:id="1761"/>
      <w:bookmarkEnd w:id="1762"/>
    </w:p>
    <w:p>
      <w:pPr>
        <w:spacing w:line="312" w:lineRule="auto"/>
        <w:jc w:val="left"/>
        <w:rPr>
          <w:rFonts w:hint="eastAsia" w:ascii="楷体" w:hAnsi="楷体" w:eastAsia="楷体" w:cs="楷体"/>
          <w:sz w:val="24"/>
          <w:szCs w:val="24"/>
          <w:highlight w:val="none"/>
          <w:u w:val="single"/>
        </w:rPr>
      </w:pPr>
      <w:r>
        <w:rPr>
          <w:rFonts w:hint="eastAsia" w:ascii="楷体" w:hAnsi="楷体" w:eastAsia="楷体" w:cs="楷体"/>
          <w:b w:val="0"/>
          <w:bCs/>
          <w:sz w:val="24"/>
          <w:szCs w:val="24"/>
          <w:highlight w:val="none"/>
          <w:u w:val="single"/>
        </w:rPr>
        <w:t>【条文说明】</w:t>
      </w:r>
      <w:r>
        <w:rPr>
          <w:rFonts w:hint="eastAsia" w:ascii="楷体" w:hAnsi="楷体" w:eastAsia="楷体" w:cs="楷体"/>
          <w:sz w:val="24"/>
          <w:szCs w:val="24"/>
          <w:highlight w:val="none"/>
          <w:u w:val="single"/>
        </w:rPr>
        <w:t>墙体块材及砌筑砂浆风化严重，或房屋砌筑砂浆饱满度很差、墙体块材及砌筑砂浆已出现明显松散脱落现象时，应对整片墙体采用高延性混凝土面层进行加固，提高墙体整体性。外墙开洞率是指洞口水平截面积与墙面水平毛截面积之比，相邻洞口之间净宽小于500mm的墙段视为洞口。当开洞率大于50%时，墙体整体性削弱较明显，此时应对整片墙体采用面层加固。</w:t>
      </w:r>
    </w:p>
    <w:p>
      <w:pPr>
        <w:pStyle w:val="2"/>
        <w:rPr>
          <w:sz w:val="32"/>
          <w:szCs w:val="32"/>
          <w:highlight w:val="none"/>
        </w:rPr>
      </w:pPr>
    </w:p>
    <w:p>
      <w:pPr>
        <w:spacing w:line="360" w:lineRule="auto"/>
        <w:jc w:val="center"/>
        <w:outlineLvl w:val="1"/>
        <w:rPr>
          <w:rFonts w:eastAsia="黑体"/>
          <w:b/>
          <w:sz w:val="24"/>
          <w:szCs w:val="28"/>
          <w:highlight w:val="none"/>
        </w:rPr>
      </w:pPr>
      <w:bookmarkStart w:id="1763" w:name="_Toc32865105"/>
      <w:bookmarkStart w:id="1764" w:name="_Toc53159490"/>
      <w:bookmarkStart w:id="1765" w:name="_Toc511230986"/>
      <w:bookmarkStart w:id="1766" w:name="_Toc53160780"/>
      <w:bookmarkStart w:id="1767" w:name="_Toc48138995"/>
      <w:bookmarkStart w:id="1768" w:name="_Toc25070782"/>
      <w:bookmarkStart w:id="1769" w:name="_Toc25691026"/>
      <w:bookmarkStart w:id="1770" w:name="_Toc66105620"/>
      <w:bookmarkStart w:id="1771" w:name="_Toc38358426"/>
      <w:bookmarkStart w:id="1772" w:name="_Toc19545364"/>
      <w:bookmarkStart w:id="1773" w:name="_Toc511722947"/>
      <w:bookmarkStart w:id="1774" w:name="_Toc48138917"/>
      <w:bookmarkStart w:id="1775" w:name="_Toc32848366"/>
      <w:bookmarkStart w:id="1776" w:name="_Toc54084841"/>
      <w:bookmarkStart w:id="1777" w:name="_Toc54024197"/>
      <w:bookmarkStart w:id="1778" w:name="_Toc54112342"/>
      <w:bookmarkStart w:id="1779" w:name="_Toc38352800"/>
      <w:bookmarkStart w:id="1780" w:name="_Toc48138839"/>
      <w:bookmarkStart w:id="1781" w:name="_Toc79220903"/>
      <w:bookmarkStart w:id="1782" w:name="_Toc318"/>
      <w:bookmarkStart w:id="1783" w:name="_Toc67761455"/>
      <w:bookmarkStart w:id="1784" w:name="_Toc6669"/>
      <w:bookmarkStart w:id="1785" w:name="_Toc5747"/>
      <w:bookmarkStart w:id="1786" w:name="_Toc28419"/>
      <w:bookmarkStart w:id="1787" w:name="_Toc10080"/>
      <w:r>
        <w:rPr>
          <w:rFonts w:hint="eastAsia" w:eastAsia="黑体"/>
          <w:b/>
          <w:sz w:val="24"/>
          <w:szCs w:val="28"/>
          <w:highlight w:val="none"/>
        </w:rPr>
        <w:t xml:space="preserve">C.4  </w:t>
      </w:r>
      <w:r>
        <w:rPr>
          <w:rFonts w:hint="eastAsia" w:eastAsia="黑体"/>
          <w:bCs/>
          <w:sz w:val="24"/>
          <w:szCs w:val="28"/>
          <w:highlight w:val="none"/>
        </w:rPr>
        <w:t>施工</w:t>
      </w:r>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r>
        <w:rPr>
          <w:rFonts w:hint="eastAsia" w:eastAsia="黑体"/>
          <w:bCs/>
          <w:sz w:val="24"/>
          <w:szCs w:val="28"/>
          <w:highlight w:val="none"/>
        </w:rPr>
        <w:t>与质量验收</w:t>
      </w:r>
      <w:bookmarkEnd w:id="1781"/>
      <w:bookmarkEnd w:id="1782"/>
      <w:bookmarkEnd w:id="1783"/>
      <w:bookmarkEnd w:id="1784"/>
      <w:bookmarkEnd w:id="1785"/>
      <w:bookmarkEnd w:id="1786"/>
      <w:bookmarkEnd w:id="1787"/>
    </w:p>
    <w:p>
      <w:pPr>
        <w:spacing w:line="312" w:lineRule="auto"/>
        <w:rPr>
          <w:sz w:val="24"/>
          <w:szCs w:val="24"/>
          <w:highlight w:val="none"/>
        </w:rPr>
      </w:pPr>
      <w:bookmarkStart w:id="1788" w:name="_Toc10207336"/>
      <w:bookmarkStart w:id="1789" w:name="_Toc25070481"/>
      <w:bookmarkStart w:id="1790" w:name="_Toc19545635"/>
      <w:bookmarkStart w:id="1791" w:name="_Toc7976223"/>
      <w:bookmarkStart w:id="1792" w:name="_Toc25690757"/>
      <w:bookmarkStart w:id="1793" w:name="_Toc25070783"/>
      <w:bookmarkStart w:id="1794" w:name="_Toc19545365"/>
      <w:bookmarkStart w:id="1795" w:name="_Toc25691028"/>
      <w:bookmarkStart w:id="1796" w:name="_Toc9927794"/>
      <w:r>
        <w:rPr>
          <w:rFonts w:hint="eastAsia"/>
          <w:b/>
          <w:sz w:val="24"/>
          <w:szCs w:val="24"/>
          <w:highlight w:val="none"/>
        </w:rPr>
        <w:t>C.4</w:t>
      </w:r>
      <w:r>
        <w:rPr>
          <w:b/>
          <w:sz w:val="24"/>
          <w:szCs w:val="24"/>
          <w:highlight w:val="none"/>
        </w:rPr>
        <w:t>.1</w:t>
      </w:r>
      <w:r>
        <w:rPr>
          <w:sz w:val="24"/>
          <w:szCs w:val="24"/>
          <w:highlight w:val="none"/>
        </w:rPr>
        <w:t xml:space="preserve">  </w:t>
      </w:r>
      <w:r>
        <w:rPr>
          <w:rFonts w:hAnsi="宋体"/>
          <w:sz w:val="24"/>
          <w:szCs w:val="24"/>
          <w:highlight w:val="none"/>
        </w:rPr>
        <w:t>高延性混凝土加固</w:t>
      </w:r>
      <w:r>
        <w:rPr>
          <w:rFonts w:hint="eastAsia" w:hAnsi="宋体"/>
          <w:sz w:val="24"/>
          <w:szCs w:val="24"/>
          <w:highlight w:val="none"/>
        </w:rPr>
        <w:t>砌体结构农村房屋</w:t>
      </w:r>
      <w:r>
        <w:rPr>
          <w:rFonts w:hint="eastAsia"/>
          <w:sz w:val="24"/>
          <w:szCs w:val="24"/>
          <w:highlight w:val="none"/>
        </w:rPr>
        <w:t>的</w:t>
      </w:r>
      <w:r>
        <w:rPr>
          <w:sz w:val="24"/>
          <w:szCs w:val="24"/>
          <w:highlight w:val="none"/>
        </w:rPr>
        <w:t>施工质量</w:t>
      </w:r>
      <w:r>
        <w:rPr>
          <w:rFonts w:hint="eastAsia"/>
          <w:sz w:val="24"/>
          <w:szCs w:val="24"/>
          <w:highlight w:val="none"/>
        </w:rPr>
        <w:t>检验，应以单栋房屋为一个检验批</w:t>
      </w:r>
      <w:r>
        <w:rPr>
          <w:sz w:val="24"/>
          <w:szCs w:val="24"/>
          <w:highlight w:val="none"/>
        </w:rPr>
        <w:t>。</w:t>
      </w:r>
    </w:p>
    <w:p>
      <w:pPr>
        <w:spacing w:line="312" w:lineRule="auto"/>
        <w:rPr>
          <w:rFonts w:hint="eastAsia"/>
          <w:sz w:val="24"/>
          <w:szCs w:val="24"/>
          <w:highlight w:val="none"/>
        </w:rPr>
      </w:pPr>
      <w:r>
        <w:rPr>
          <w:rFonts w:hint="eastAsia"/>
          <w:b/>
          <w:sz w:val="24"/>
          <w:szCs w:val="24"/>
          <w:highlight w:val="none"/>
        </w:rPr>
        <w:t>C.4</w:t>
      </w:r>
      <w:r>
        <w:rPr>
          <w:b/>
          <w:sz w:val="24"/>
          <w:szCs w:val="24"/>
          <w:highlight w:val="none"/>
        </w:rPr>
        <w:t>.</w:t>
      </w:r>
      <w:r>
        <w:rPr>
          <w:rFonts w:hint="eastAsia"/>
          <w:b/>
          <w:sz w:val="24"/>
          <w:szCs w:val="24"/>
          <w:highlight w:val="none"/>
        </w:rPr>
        <w:t>2</w:t>
      </w:r>
      <w:r>
        <w:rPr>
          <w:sz w:val="24"/>
          <w:szCs w:val="24"/>
          <w:highlight w:val="none"/>
        </w:rPr>
        <w:t xml:space="preserve">  </w:t>
      </w:r>
      <w:r>
        <w:rPr>
          <w:rFonts w:hAnsi="宋体"/>
          <w:sz w:val="24"/>
          <w:szCs w:val="24"/>
          <w:highlight w:val="none"/>
        </w:rPr>
        <w:t>加固</w:t>
      </w:r>
      <w:r>
        <w:rPr>
          <w:rFonts w:hint="eastAsia" w:hAnsi="宋体"/>
          <w:sz w:val="24"/>
          <w:szCs w:val="24"/>
          <w:highlight w:val="none"/>
        </w:rPr>
        <w:t>砌体结构农村房屋</w:t>
      </w:r>
      <w:r>
        <w:rPr>
          <w:sz w:val="24"/>
          <w:szCs w:val="24"/>
          <w:highlight w:val="none"/>
        </w:rPr>
        <w:t>施工</w:t>
      </w:r>
      <w:r>
        <w:rPr>
          <w:rFonts w:hint="eastAsia"/>
          <w:sz w:val="24"/>
          <w:szCs w:val="24"/>
          <w:highlight w:val="none"/>
        </w:rPr>
        <w:t>时，高延性混凝土力学性能检验应以加固的</w:t>
      </w:r>
      <w:r>
        <w:rPr>
          <w:sz w:val="24"/>
          <w:szCs w:val="24"/>
          <w:highlight w:val="none"/>
        </w:rPr>
        <w:t>50</w:t>
      </w:r>
      <w:r>
        <w:rPr>
          <w:rFonts w:hint="eastAsia"/>
          <w:sz w:val="24"/>
          <w:szCs w:val="24"/>
          <w:highlight w:val="none"/>
        </w:rPr>
        <w:t>栋农村房屋为一个检验批</w:t>
      </w:r>
      <w:r>
        <w:rPr>
          <w:sz w:val="24"/>
          <w:szCs w:val="24"/>
          <w:highlight w:val="none"/>
        </w:rPr>
        <w:t>，不足50</w:t>
      </w:r>
      <w:r>
        <w:rPr>
          <w:rFonts w:hint="eastAsia"/>
          <w:sz w:val="24"/>
          <w:szCs w:val="24"/>
          <w:highlight w:val="none"/>
        </w:rPr>
        <w:t>栋</w:t>
      </w:r>
      <w:r>
        <w:rPr>
          <w:sz w:val="24"/>
          <w:szCs w:val="24"/>
          <w:highlight w:val="none"/>
        </w:rPr>
        <w:t>的也划分为一个检验批</w:t>
      </w:r>
      <w:r>
        <w:rPr>
          <w:rFonts w:hint="eastAsia"/>
          <w:sz w:val="24"/>
          <w:szCs w:val="24"/>
          <w:highlight w:val="none"/>
        </w:rPr>
        <w:t>。</w:t>
      </w:r>
    </w:p>
    <w:p>
      <w:pPr>
        <w:spacing w:line="312" w:lineRule="auto"/>
        <w:jc w:val="left"/>
        <w:rPr>
          <w:rFonts w:hint="eastAsia" w:ascii="楷体" w:hAnsi="楷体" w:eastAsia="楷体" w:cs="楷体"/>
          <w:sz w:val="24"/>
          <w:szCs w:val="24"/>
          <w:highlight w:val="none"/>
          <w:u w:val="single"/>
        </w:rPr>
      </w:pPr>
      <w:r>
        <w:rPr>
          <w:rFonts w:hint="eastAsia" w:ascii="楷体" w:hAnsi="楷体" w:eastAsia="楷体" w:cs="楷体"/>
          <w:b/>
          <w:sz w:val="24"/>
          <w:szCs w:val="24"/>
          <w:highlight w:val="none"/>
          <w:u w:val="single"/>
        </w:rPr>
        <w:t>【条文说明】</w:t>
      </w:r>
      <w:r>
        <w:rPr>
          <w:rFonts w:hint="eastAsia" w:ascii="楷体" w:hAnsi="楷体" w:eastAsia="楷体" w:cs="楷体"/>
          <w:sz w:val="24"/>
          <w:szCs w:val="24"/>
          <w:highlight w:val="none"/>
          <w:u w:val="single"/>
        </w:rPr>
        <w:t>C.4.1、C.4.2  高延性混凝土加固农村房屋应以被加固的单栋房屋为一个检验批进行施工质量检验，但由于农房加固的单栋房屋体量很小，如果材料性能检验也按每栋房屋一个检验批进行，这样工作量很大而且在实际农房加固工程中也没有可操作性，因此，施工过程中的高延性混凝土力学性能检验按50栋农房为一个批次进行，可以较合理的达到检查监督和验收的目的。</w:t>
      </w:r>
    </w:p>
    <w:p>
      <w:pPr>
        <w:spacing w:line="312" w:lineRule="auto"/>
        <w:rPr>
          <w:sz w:val="24"/>
          <w:szCs w:val="24"/>
          <w:highlight w:val="none"/>
        </w:rPr>
      </w:pPr>
      <w:r>
        <w:rPr>
          <w:rFonts w:hint="eastAsia"/>
          <w:b/>
          <w:sz w:val="24"/>
          <w:szCs w:val="24"/>
          <w:highlight w:val="none"/>
        </w:rPr>
        <w:t>C.4</w:t>
      </w:r>
      <w:r>
        <w:rPr>
          <w:b/>
          <w:sz w:val="24"/>
          <w:szCs w:val="24"/>
          <w:highlight w:val="none"/>
        </w:rPr>
        <w:t>.</w:t>
      </w:r>
      <w:r>
        <w:rPr>
          <w:rFonts w:hint="eastAsia"/>
          <w:b/>
          <w:sz w:val="24"/>
          <w:szCs w:val="24"/>
          <w:highlight w:val="none"/>
        </w:rPr>
        <w:t>3</w:t>
      </w:r>
      <w:r>
        <w:rPr>
          <w:sz w:val="24"/>
          <w:szCs w:val="24"/>
          <w:highlight w:val="none"/>
        </w:rPr>
        <w:t xml:space="preserve">  </w:t>
      </w:r>
      <w:r>
        <w:rPr>
          <w:rFonts w:hAnsi="宋体"/>
          <w:sz w:val="24"/>
          <w:szCs w:val="24"/>
          <w:highlight w:val="none"/>
        </w:rPr>
        <w:t>高延性混凝土加固砌体结构农村房屋的施工、材料</w:t>
      </w:r>
      <w:r>
        <w:rPr>
          <w:rFonts w:hint="eastAsia" w:hAnsi="宋体"/>
          <w:sz w:val="24"/>
          <w:szCs w:val="24"/>
          <w:highlight w:val="none"/>
        </w:rPr>
        <w:t>性能检验</w:t>
      </w:r>
      <w:r>
        <w:rPr>
          <w:rFonts w:hAnsi="宋体"/>
          <w:sz w:val="24"/>
          <w:szCs w:val="24"/>
          <w:highlight w:val="none"/>
        </w:rPr>
        <w:t>、</w:t>
      </w:r>
      <w:r>
        <w:rPr>
          <w:rFonts w:hint="eastAsia" w:hAnsi="宋体"/>
          <w:sz w:val="24"/>
          <w:szCs w:val="24"/>
          <w:highlight w:val="none"/>
        </w:rPr>
        <w:t>施工质量检验等，</w:t>
      </w:r>
      <w:r>
        <w:rPr>
          <w:rFonts w:hAnsi="宋体"/>
          <w:sz w:val="24"/>
          <w:szCs w:val="24"/>
          <w:highlight w:val="none"/>
        </w:rPr>
        <w:t>除本节有</w:t>
      </w:r>
      <w:r>
        <w:rPr>
          <w:rFonts w:hint="eastAsia" w:hAnsi="宋体"/>
          <w:sz w:val="24"/>
          <w:szCs w:val="24"/>
          <w:highlight w:val="none"/>
        </w:rPr>
        <w:t>特殊</w:t>
      </w:r>
      <w:r>
        <w:rPr>
          <w:rFonts w:hAnsi="宋体"/>
          <w:sz w:val="24"/>
          <w:szCs w:val="24"/>
          <w:highlight w:val="none"/>
        </w:rPr>
        <w:t>规定外，其他内容可参照</w:t>
      </w:r>
      <w:r>
        <w:rPr>
          <w:rFonts w:hint="eastAsia" w:hAnsi="宋体"/>
          <w:sz w:val="24"/>
          <w:szCs w:val="24"/>
          <w:highlight w:val="none"/>
        </w:rPr>
        <w:t>本标准</w:t>
      </w:r>
      <w:r>
        <w:rPr>
          <w:rFonts w:hAnsi="宋体"/>
          <w:sz w:val="24"/>
          <w:szCs w:val="24"/>
          <w:highlight w:val="none"/>
        </w:rPr>
        <w:t>第</w:t>
      </w:r>
      <w:r>
        <w:rPr>
          <w:rFonts w:hint="eastAsia" w:hAnsi="宋体"/>
          <w:sz w:val="24"/>
          <w:szCs w:val="24"/>
          <w:highlight w:val="none"/>
        </w:rPr>
        <w:t>6</w:t>
      </w:r>
      <w:r>
        <w:rPr>
          <w:rFonts w:hAnsi="宋体"/>
          <w:sz w:val="24"/>
          <w:szCs w:val="24"/>
          <w:highlight w:val="none"/>
        </w:rPr>
        <w:t>章</w:t>
      </w:r>
      <w:r>
        <w:rPr>
          <w:rFonts w:hint="eastAsia" w:hAnsi="宋体"/>
          <w:sz w:val="24"/>
          <w:szCs w:val="24"/>
          <w:highlight w:val="none"/>
        </w:rPr>
        <w:t>和</w:t>
      </w:r>
      <w:r>
        <w:rPr>
          <w:rFonts w:hAnsi="宋体"/>
          <w:sz w:val="24"/>
          <w:szCs w:val="24"/>
          <w:highlight w:val="none"/>
        </w:rPr>
        <w:t>第</w:t>
      </w:r>
      <w:r>
        <w:rPr>
          <w:sz w:val="24"/>
          <w:szCs w:val="24"/>
          <w:highlight w:val="none"/>
        </w:rPr>
        <w:t>7</w:t>
      </w:r>
      <w:r>
        <w:rPr>
          <w:rFonts w:hAnsi="宋体"/>
          <w:sz w:val="24"/>
          <w:szCs w:val="24"/>
          <w:highlight w:val="none"/>
        </w:rPr>
        <w:t>章</w:t>
      </w:r>
      <w:r>
        <w:rPr>
          <w:rFonts w:hint="eastAsia" w:hAnsi="宋体"/>
          <w:sz w:val="24"/>
          <w:szCs w:val="24"/>
          <w:highlight w:val="none"/>
        </w:rPr>
        <w:t>的</w:t>
      </w:r>
      <w:r>
        <w:rPr>
          <w:rFonts w:hAnsi="宋体"/>
          <w:sz w:val="24"/>
          <w:szCs w:val="24"/>
          <w:highlight w:val="none"/>
        </w:rPr>
        <w:t>有关规定执行。</w:t>
      </w:r>
    </w:p>
    <w:bookmarkEnd w:id="1788"/>
    <w:bookmarkEnd w:id="1789"/>
    <w:bookmarkEnd w:id="1790"/>
    <w:bookmarkEnd w:id="1791"/>
    <w:bookmarkEnd w:id="1792"/>
    <w:bookmarkEnd w:id="1793"/>
    <w:bookmarkEnd w:id="1794"/>
    <w:bookmarkEnd w:id="1795"/>
    <w:bookmarkEnd w:id="1796"/>
    <w:p>
      <w:pPr>
        <w:spacing w:line="312" w:lineRule="auto"/>
        <w:jc w:val="left"/>
        <w:rPr>
          <w:sz w:val="24"/>
          <w:szCs w:val="28"/>
          <w:highlight w:val="none"/>
        </w:rPr>
      </w:pPr>
    </w:p>
    <w:p>
      <w:pPr>
        <w:spacing w:line="312" w:lineRule="auto"/>
        <w:jc w:val="left"/>
        <w:rPr>
          <w:sz w:val="24"/>
          <w:szCs w:val="28"/>
          <w:highlight w:val="none"/>
        </w:rPr>
      </w:pPr>
    </w:p>
    <w:p>
      <w:pPr>
        <w:spacing w:before="72" w:beforeLines="30" w:after="72" w:afterLines="30"/>
        <w:rPr>
          <w:sz w:val="21"/>
          <w:szCs w:val="21"/>
          <w:highlight w:val="none"/>
        </w:rPr>
      </w:pPr>
    </w:p>
    <w:p>
      <w:pPr>
        <w:spacing w:before="72" w:beforeLines="30" w:after="72" w:afterLines="30"/>
        <w:jc w:val="center"/>
        <w:outlineLvl w:val="0"/>
        <w:rPr>
          <w:rFonts w:eastAsia="黑体"/>
          <w:sz w:val="28"/>
          <w:szCs w:val="28"/>
          <w:highlight w:val="none"/>
        </w:rPr>
      </w:pPr>
      <w:r>
        <w:rPr>
          <w:rFonts w:eastAsia="黑体"/>
          <w:sz w:val="28"/>
          <w:szCs w:val="28"/>
          <w:highlight w:val="none"/>
        </w:rPr>
        <w:br w:type="page"/>
      </w:r>
      <w:bookmarkEnd w:id="1384"/>
      <w:bookmarkEnd w:id="1385"/>
      <w:bookmarkEnd w:id="1386"/>
      <w:bookmarkEnd w:id="1461"/>
      <w:bookmarkEnd w:id="1462"/>
      <w:bookmarkEnd w:id="1463"/>
      <w:bookmarkEnd w:id="1464"/>
      <w:bookmarkEnd w:id="1465"/>
      <w:bookmarkEnd w:id="1466"/>
      <w:bookmarkEnd w:id="1467"/>
      <w:bookmarkStart w:id="1797" w:name="_Toc38358428"/>
      <w:bookmarkStart w:id="1798" w:name="_Toc67330620"/>
      <w:bookmarkStart w:id="1799" w:name="_Toc26167"/>
      <w:bookmarkStart w:id="1800" w:name="_Toc32848369"/>
      <w:bookmarkStart w:id="1801" w:name="_Toc445664212"/>
      <w:bookmarkStart w:id="1802" w:name="_Toc52264525"/>
      <w:bookmarkStart w:id="1803" w:name="_Toc48210166"/>
      <w:bookmarkStart w:id="1804" w:name="_Toc25691041"/>
      <w:bookmarkStart w:id="1805" w:name="_Toc38352802"/>
      <w:bookmarkStart w:id="1806" w:name="_Toc32865108"/>
      <w:bookmarkStart w:id="1807" w:name="_Toc535338462"/>
      <w:bookmarkStart w:id="1808" w:name="_Toc25070810"/>
      <w:bookmarkStart w:id="1809" w:name="_Toc48210389"/>
      <w:bookmarkStart w:id="1810" w:name="_Toc54255581"/>
      <w:bookmarkStart w:id="1811" w:name="_Toc532464374"/>
      <w:bookmarkStart w:id="1812" w:name="_Toc48138998"/>
      <w:bookmarkStart w:id="1813" w:name="_Toc54256677"/>
      <w:bookmarkStart w:id="1814" w:name="_Toc48138920"/>
      <w:bookmarkStart w:id="1815" w:name="_Toc19545395"/>
      <w:bookmarkStart w:id="1816" w:name="_Toc63348876"/>
      <w:bookmarkStart w:id="1817" w:name="_Toc445666231"/>
      <w:bookmarkStart w:id="1818" w:name="_Toc63348952"/>
      <w:bookmarkStart w:id="1819" w:name="_Toc70169844"/>
      <w:bookmarkStart w:id="1820" w:name="_Toc6009"/>
      <w:bookmarkStart w:id="1821" w:name="_Toc14153"/>
      <w:bookmarkStart w:id="1822" w:name="_Toc519684167"/>
      <w:bookmarkStart w:id="1823" w:name="_Toc535476014"/>
      <w:r>
        <w:rPr>
          <w:rFonts w:hint="eastAsia" w:eastAsia="黑体"/>
          <w:sz w:val="28"/>
          <w:szCs w:val="28"/>
          <w:highlight w:val="none"/>
        </w:rPr>
        <w:t>本标准</w:t>
      </w:r>
      <w:r>
        <w:rPr>
          <w:rFonts w:eastAsia="黑体"/>
          <w:sz w:val="28"/>
          <w:szCs w:val="28"/>
          <w:highlight w:val="none"/>
        </w:rPr>
        <w:t>用词说明</w:t>
      </w:r>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p>
    <w:p>
      <w:pPr>
        <w:pStyle w:val="2"/>
      </w:pPr>
    </w:p>
    <w:p>
      <w:pPr>
        <w:spacing w:line="312" w:lineRule="auto"/>
        <w:ind w:firstLine="482" w:firstLineChars="200"/>
        <w:rPr>
          <w:sz w:val="24"/>
          <w:szCs w:val="28"/>
          <w:highlight w:val="none"/>
        </w:rPr>
      </w:pPr>
      <w:r>
        <w:rPr>
          <w:b/>
          <w:sz w:val="24"/>
          <w:szCs w:val="28"/>
          <w:highlight w:val="none"/>
        </w:rPr>
        <w:t xml:space="preserve">1 </w:t>
      </w:r>
      <w:r>
        <w:rPr>
          <w:sz w:val="24"/>
          <w:szCs w:val="28"/>
          <w:highlight w:val="none"/>
        </w:rPr>
        <w:t xml:space="preserve"> 为了便于在执行</w:t>
      </w:r>
      <w:r>
        <w:rPr>
          <w:rFonts w:hint="eastAsia"/>
          <w:sz w:val="24"/>
          <w:szCs w:val="28"/>
          <w:highlight w:val="none"/>
        </w:rPr>
        <w:t>本标准</w:t>
      </w:r>
      <w:r>
        <w:rPr>
          <w:sz w:val="24"/>
          <w:szCs w:val="28"/>
          <w:highlight w:val="none"/>
        </w:rPr>
        <w:t>条文时区别对待，对要求严格程度不同的用词说明如下：</w:t>
      </w:r>
    </w:p>
    <w:p>
      <w:pPr>
        <w:spacing w:line="312" w:lineRule="auto"/>
        <w:ind w:firstLine="723" w:firstLineChars="300"/>
        <w:rPr>
          <w:sz w:val="24"/>
          <w:szCs w:val="28"/>
          <w:highlight w:val="none"/>
        </w:rPr>
      </w:pPr>
      <w:r>
        <w:rPr>
          <w:b/>
          <w:sz w:val="24"/>
          <w:szCs w:val="28"/>
          <w:highlight w:val="none"/>
        </w:rPr>
        <w:t>1</w:t>
      </w:r>
      <w:r>
        <w:rPr>
          <w:sz w:val="24"/>
          <w:szCs w:val="28"/>
          <w:highlight w:val="none"/>
        </w:rPr>
        <w:t>）表示</w:t>
      </w:r>
      <w:r>
        <w:rPr>
          <w:rFonts w:hint="eastAsia"/>
          <w:sz w:val="24"/>
          <w:szCs w:val="28"/>
          <w:highlight w:val="none"/>
          <w:lang w:eastAsia="zh-CN"/>
        </w:rPr>
        <w:t>很</w:t>
      </w:r>
      <w:r>
        <w:rPr>
          <w:sz w:val="24"/>
          <w:szCs w:val="28"/>
          <w:highlight w:val="none"/>
        </w:rPr>
        <w:t>严格，非这样做不可的词：</w:t>
      </w:r>
    </w:p>
    <w:p>
      <w:pPr>
        <w:spacing w:line="312" w:lineRule="auto"/>
        <w:ind w:firstLine="1080" w:firstLineChars="450"/>
        <w:rPr>
          <w:sz w:val="24"/>
          <w:szCs w:val="28"/>
          <w:highlight w:val="none"/>
        </w:rPr>
      </w:pPr>
      <w:r>
        <w:rPr>
          <w:sz w:val="24"/>
          <w:szCs w:val="28"/>
          <w:highlight w:val="none"/>
        </w:rPr>
        <w:t>正面词采用“</w:t>
      </w:r>
      <w:r>
        <w:rPr>
          <w:rFonts w:hAnsi="宋体"/>
          <w:sz w:val="24"/>
          <w:szCs w:val="28"/>
          <w:highlight w:val="none"/>
        </w:rPr>
        <w:t>必须</w:t>
      </w:r>
      <w:r>
        <w:rPr>
          <w:sz w:val="24"/>
          <w:szCs w:val="28"/>
          <w:highlight w:val="none"/>
        </w:rPr>
        <w:t>”；反面词采用“严禁”。</w:t>
      </w:r>
    </w:p>
    <w:p>
      <w:pPr>
        <w:spacing w:line="312" w:lineRule="auto"/>
        <w:ind w:firstLine="723" w:firstLineChars="300"/>
        <w:rPr>
          <w:sz w:val="24"/>
          <w:szCs w:val="28"/>
          <w:highlight w:val="none"/>
        </w:rPr>
      </w:pPr>
      <w:r>
        <w:rPr>
          <w:b/>
          <w:sz w:val="24"/>
          <w:szCs w:val="28"/>
          <w:highlight w:val="none"/>
        </w:rPr>
        <w:t>2</w:t>
      </w:r>
      <w:r>
        <w:rPr>
          <w:sz w:val="24"/>
          <w:szCs w:val="28"/>
          <w:highlight w:val="none"/>
        </w:rPr>
        <w:t>）表示严格，在正常情况下均应这样做的词：</w:t>
      </w:r>
    </w:p>
    <w:p>
      <w:pPr>
        <w:spacing w:line="312" w:lineRule="auto"/>
        <w:ind w:firstLine="1080" w:firstLineChars="450"/>
        <w:rPr>
          <w:sz w:val="24"/>
          <w:szCs w:val="28"/>
          <w:highlight w:val="none"/>
        </w:rPr>
      </w:pPr>
      <w:r>
        <w:rPr>
          <w:sz w:val="24"/>
          <w:szCs w:val="28"/>
          <w:highlight w:val="none"/>
        </w:rPr>
        <w:t>正面词采用“</w:t>
      </w:r>
      <w:r>
        <w:rPr>
          <w:rFonts w:hAnsi="宋体"/>
          <w:sz w:val="24"/>
          <w:szCs w:val="28"/>
          <w:highlight w:val="none"/>
        </w:rPr>
        <w:t>应</w:t>
      </w:r>
      <w:r>
        <w:rPr>
          <w:sz w:val="24"/>
          <w:szCs w:val="28"/>
          <w:highlight w:val="none"/>
        </w:rPr>
        <w:t>”；反</w:t>
      </w:r>
      <w:r>
        <w:rPr>
          <w:rFonts w:hAnsi="宋体"/>
          <w:sz w:val="24"/>
          <w:szCs w:val="28"/>
          <w:highlight w:val="none"/>
        </w:rPr>
        <w:t>面词采用</w:t>
      </w:r>
      <w:r>
        <w:rPr>
          <w:sz w:val="24"/>
          <w:szCs w:val="28"/>
          <w:highlight w:val="none"/>
        </w:rPr>
        <w:t>“</w:t>
      </w:r>
      <w:r>
        <w:rPr>
          <w:rFonts w:hAnsi="宋体"/>
          <w:sz w:val="24"/>
          <w:szCs w:val="28"/>
          <w:highlight w:val="none"/>
        </w:rPr>
        <w:t>不应</w:t>
      </w:r>
      <w:r>
        <w:rPr>
          <w:sz w:val="24"/>
          <w:szCs w:val="28"/>
          <w:highlight w:val="none"/>
        </w:rPr>
        <w:t>”</w:t>
      </w:r>
      <w:r>
        <w:rPr>
          <w:rFonts w:hAnsi="宋体"/>
          <w:sz w:val="24"/>
          <w:szCs w:val="28"/>
          <w:highlight w:val="none"/>
        </w:rPr>
        <w:t>或</w:t>
      </w:r>
      <w:r>
        <w:rPr>
          <w:sz w:val="24"/>
          <w:szCs w:val="28"/>
          <w:highlight w:val="none"/>
        </w:rPr>
        <w:t>“</w:t>
      </w:r>
      <w:r>
        <w:rPr>
          <w:rFonts w:hAnsi="宋体"/>
          <w:sz w:val="24"/>
          <w:szCs w:val="28"/>
          <w:highlight w:val="none"/>
        </w:rPr>
        <w:t>不得</w:t>
      </w:r>
      <w:r>
        <w:rPr>
          <w:sz w:val="24"/>
          <w:szCs w:val="28"/>
          <w:highlight w:val="none"/>
        </w:rPr>
        <w:t>”</w:t>
      </w:r>
      <w:r>
        <w:rPr>
          <w:rFonts w:hAnsi="宋体"/>
          <w:sz w:val="24"/>
          <w:szCs w:val="28"/>
          <w:highlight w:val="none"/>
        </w:rPr>
        <w:t>。</w:t>
      </w:r>
    </w:p>
    <w:p>
      <w:pPr>
        <w:spacing w:line="312" w:lineRule="auto"/>
        <w:ind w:firstLine="723" w:firstLineChars="300"/>
        <w:rPr>
          <w:sz w:val="24"/>
          <w:szCs w:val="28"/>
          <w:highlight w:val="none"/>
        </w:rPr>
      </w:pPr>
      <w:r>
        <w:rPr>
          <w:b/>
          <w:sz w:val="24"/>
          <w:szCs w:val="28"/>
          <w:highlight w:val="none"/>
        </w:rPr>
        <w:t>3</w:t>
      </w:r>
      <w:r>
        <w:rPr>
          <w:sz w:val="24"/>
          <w:szCs w:val="28"/>
          <w:highlight w:val="none"/>
        </w:rPr>
        <w:t>）表示允许稍有选择，在条件允许时首先应这样做的词：</w:t>
      </w:r>
    </w:p>
    <w:p>
      <w:pPr>
        <w:spacing w:line="312" w:lineRule="auto"/>
        <w:ind w:firstLine="1080" w:firstLineChars="450"/>
        <w:rPr>
          <w:sz w:val="24"/>
          <w:szCs w:val="28"/>
          <w:highlight w:val="none"/>
        </w:rPr>
      </w:pPr>
      <w:r>
        <w:rPr>
          <w:sz w:val="24"/>
          <w:szCs w:val="28"/>
          <w:highlight w:val="none"/>
        </w:rPr>
        <w:t>正面词采</w:t>
      </w:r>
      <w:r>
        <w:rPr>
          <w:rFonts w:hAnsi="宋体"/>
          <w:sz w:val="24"/>
          <w:szCs w:val="28"/>
          <w:highlight w:val="none"/>
        </w:rPr>
        <w:t>用</w:t>
      </w:r>
      <w:r>
        <w:rPr>
          <w:sz w:val="24"/>
          <w:szCs w:val="28"/>
          <w:highlight w:val="none"/>
        </w:rPr>
        <w:t>“</w:t>
      </w:r>
      <w:r>
        <w:rPr>
          <w:rFonts w:hAnsi="宋体"/>
          <w:sz w:val="24"/>
          <w:szCs w:val="28"/>
          <w:highlight w:val="none"/>
        </w:rPr>
        <w:t>宜</w:t>
      </w:r>
      <w:r>
        <w:rPr>
          <w:sz w:val="24"/>
          <w:szCs w:val="28"/>
          <w:highlight w:val="none"/>
        </w:rPr>
        <w:t>”</w:t>
      </w:r>
      <w:r>
        <w:rPr>
          <w:rFonts w:hAnsi="宋体"/>
          <w:sz w:val="24"/>
          <w:szCs w:val="28"/>
          <w:highlight w:val="none"/>
        </w:rPr>
        <w:t>；反面词采用</w:t>
      </w:r>
      <w:r>
        <w:rPr>
          <w:sz w:val="24"/>
          <w:szCs w:val="28"/>
          <w:highlight w:val="none"/>
        </w:rPr>
        <w:t>“</w:t>
      </w:r>
      <w:r>
        <w:rPr>
          <w:rFonts w:hAnsi="宋体"/>
          <w:sz w:val="24"/>
          <w:szCs w:val="28"/>
          <w:highlight w:val="none"/>
        </w:rPr>
        <w:t>不宜</w:t>
      </w:r>
      <w:r>
        <w:rPr>
          <w:sz w:val="24"/>
          <w:szCs w:val="28"/>
          <w:highlight w:val="none"/>
        </w:rPr>
        <w:t>”。</w:t>
      </w:r>
    </w:p>
    <w:p>
      <w:pPr>
        <w:spacing w:line="312" w:lineRule="auto"/>
        <w:ind w:firstLine="723" w:firstLineChars="300"/>
        <w:rPr>
          <w:sz w:val="24"/>
          <w:szCs w:val="28"/>
          <w:highlight w:val="none"/>
        </w:rPr>
      </w:pPr>
      <w:r>
        <w:rPr>
          <w:b/>
          <w:sz w:val="24"/>
          <w:szCs w:val="28"/>
          <w:highlight w:val="none"/>
        </w:rPr>
        <w:t>4</w:t>
      </w:r>
      <w:r>
        <w:rPr>
          <w:sz w:val="24"/>
          <w:szCs w:val="28"/>
          <w:highlight w:val="none"/>
        </w:rPr>
        <w:t>）表示有选择，在一定条件下可以这样做的，采用“</w:t>
      </w:r>
      <w:r>
        <w:rPr>
          <w:rFonts w:hAnsi="宋体"/>
          <w:sz w:val="24"/>
          <w:szCs w:val="28"/>
          <w:highlight w:val="none"/>
        </w:rPr>
        <w:t>可</w:t>
      </w:r>
      <w:r>
        <w:rPr>
          <w:sz w:val="24"/>
          <w:szCs w:val="28"/>
          <w:highlight w:val="none"/>
        </w:rPr>
        <w:t>”。</w:t>
      </w:r>
    </w:p>
    <w:p>
      <w:pPr>
        <w:spacing w:line="312" w:lineRule="auto"/>
        <w:ind w:firstLine="482" w:firstLineChars="200"/>
        <w:rPr>
          <w:sz w:val="24"/>
          <w:szCs w:val="28"/>
          <w:highlight w:val="none"/>
        </w:rPr>
      </w:pPr>
      <w:r>
        <w:rPr>
          <w:b/>
          <w:sz w:val="24"/>
          <w:szCs w:val="28"/>
          <w:highlight w:val="none"/>
        </w:rPr>
        <w:t>2</w:t>
      </w:r>
      <w:r>
        <w:rPr>
          <w:sz w:val="24"/>
          <w:szCs w:val="28"/>
          <w:highlight w:val="none"/>
        </w:rPr>
        <w:t xml:space="preserve">  </w:t>
      </w:r>
      <w:r>
        <w:rPr>
          <w:rFonts w:hint="eastAsia"/>
          <w:sz w:val="24"/>
          <w:szCs w:val="28"/>
          <w:highlight w:val="none"/>
        </w:rPr>
        <w:t>标准</w:t>
      </w:r>
      <w:r>
        <w:rPr>
          <w:sz w:val="24"/>
          <w:szCs w:val="28"/>
          <w:highlight w:val="none"/>
        </w:rPr>
        <w:t>中指定应按其他有关标准、规范执行时，写法为“应符合……的规定”或“应按……执行”。</w:t>
      </w:r>
    </w:p>
    <w:p>
      <w:pPr>
        <w:spacing w:line="312" w:lineRule="auto"/>
        <w:rPr>
          <w:highlight w:val="none"/>
        </w:rPr>
      </w:pPr>
    </w:p>
    <w:p>
      <w:pPr>
        <w:spacing w:line="312" w:lineRule="auto"/>
        <w:rPr>
          <w:highlight w:val="none"/>
        </w:rPr>
      </w:pPr>
    </w:p>
    <w:p>
      <w:pPr>
        <w:spacing w:before="72" w:beforeLines="30" w:after="72" w:afterLines="30"/>
        <w:outlineLvl w:val="0"/>
        <w:rPr>
          <w:rFonts w:eastAsia="黑体"/>
          <w:sz w:val="28"/>
          <w:szCs w:val="28"/>
          <w:highlight w:val="none"/>
        </w:rPr>
      </w:pPr>
      <w:bookmarkStart w:id="1824" w:name="_Toc25691042"/>
      <w:bookmarkStart w:id="1825" w:name="_Toc48210390"/>
      <w:bookmarkStart w:id="1826" w:name="_Toc48210167"/>
      <w:bookmarkStart w:id="1827" w:name="_Toc445666232"/>
      <w:bookmarkStart w:id="1828" w:name="_Toc38358429"/>
      <w:bookmarkStart w:id="1829" w:name="_Toc19545396"/>
      <w:bookmarkStart w:id="1830" w:name="_Toc532464375"/>
      <w:bookmarkStart w:id="1831" w:name="_Toc54255582"/>
      <w:bookmarkStart w:id="1832" w:name="_Toc25070811"/>
      <w:bookmarkStart w:id="1833" w:name="_Toc535338463"/>
      <w:bookmarkStart w:id="1834" w:name="_Toc67330621"/>
      <w:bookmarkStart w:id="1835" w:name="_Toc38352803"/>
      <w:bookmarkStart w:id="1836" w:name="_Toc445664213"/>
      <w:bookmarkStart w:id="1837" w:name="_Toc63348877"/>
      <w:bookmarkStart w:id="1838" w:name="_Toc54256678"/>
      <w:bookmarkStart w:id="1839" w:name="_Toc63348953"/>
      <w:bookmarkStart w:id="1840" w:name="_Toc52264526"/>
      <w:bookmarkStart w:id="1841" w:name="_Toc32865109"/>
      <w:bookmarkStart w:id="1842" w:name="_Toc32848370"/>
      <w:bookmarkStart w:id="1843" w:name="_Toc48138999"/>
      <w:bookmarkStart w:id="1844" w:name="_Toc519684168"/>
      <w:bookmarkStart w:id="1845" w:name="_Toc535476015"/>
      <w:bookmarkStart w:id="1846" w:name="_Toc48138921"/>
    </w:p>
    <w:p>
      <w:pPr>
        <w:spacing w:before="72" w:beforeLines="30" w:after="72" w:afterLines="30"/>
        <w:outlineLvl w:val="0"/>
        <w:rPr>
          <w:rFonts w:eastAsia="黑体"/>
          <w:sz w:val="28"/>
          <w:szCs w:val="28"/>
          <w:highlight w:val="none"/>
        </w:rPr>
      </w:pPr>
    </w:p>
    <w:p>
      <w:pPr>
        <w:spacing w:before="72" w:beforeLines="30" w:after="72" w:afterLines="30"/>
        <w:outlineLvl w:val="0"/>
        <w:rPr>
          <w:rFonts w:eastAsia="黑体"/>
          <w:sz w:val="28"/>
          <w:szCs w:val="28"/>
          <w:highlight w:val="none"/>
        </w:rPr>
      </w:pPr>
    </w:p>
    <w:p>
      <w:pPr>
        <w:spacing w:before="72" w:beforeLines="30" w:after="72" w:afterLines="30"/>
        <w:outlineLvl w:val="0"/>
        <w:rPr>
          <w:rFonts w:eastAsia="黑体"/>
          <w:sz w:val="28"/>
          <w:szCs w:val="28"/>
          <w:highlight w:val="none"/>
        </w:rPr>
      </w:pPr>
    </w:p>
    <w:p>
      <w:pPr>
        <w:spacing w:before="72" w:beforeLines="30" w:after="72" w:afterLines="30"/>
        <w:outlineLvl w:val="0"/>
        <w:rPr>
          <w:rFonts w:eastAsia="黑体"/>
          <w:sz w:val="28"/>
          <w:szCs w:val="28"/>
          <w:highlight w:val="none"/>
        </w:rPr>
      </w:pPr>
    </w:p>
    <w:p>
      <w:pPr>
        <w:spacing w:before="72" w:beforeLines="30" w:after="72" w:afterLines="30"/>
        <w:outlineLvl w:val="0"/>
        <w:rPr>
          <w:rFonts w:eastAsia="黑体"/>
          <w:sz w:val="28"/>
          <w:szCs w:val="28"/>
          <w:highlight w:val="none"/>
        </w:rPr>
      </w:pPr>
    </w:p>
    <w:p>
      <w:pPr>
        <w:spacing w:before="72" w:beforeLines="30" w:after="72" w:afterLines="30"/>
        <w:outlineLvl w:val="0"/>
        <w:rPr>
          <w:rFonts w:eastAsia="黑体"/>
          <w:sz w:val="28"/>
          <w:szCs w:val="28"/>
          <w:highlight w:val="none"/>
        </w:rPr>
      </w:pPr>
    </w:p>
    <w:p>
      <w:pPr>
        <w:spacing w:before="72" w:beforeLines="30" w:after="72" w:afterLines="30"/>
        <w:outlineLvl w:val="0"/>
        <w:rPr>
          <w:rFonts w:eastAsia="黑体"/>
          <w:sz w:val="28"/>
          <w:szCs w:val="28"/>
          <w:highlight w:val="none"/>
        </w:rPr>
      </w:pPr>
    </w:p>
    <w:p>
      <w:pPr>
        <w:keepNext w:val="0"/>
        <w:keepLines w:val="0"/>
        <w:pageBreakBefore w:val="0"/>
        <w:widowControl w:val="0"/>
        <w:kinsoku/>
        <w:wordWrap/>
        <w:overflowPunct/>
        <w:topLinePunct w:val="0"/>
        <w:autoSpaceDE/>
        <w:autoSpaceDN/>
        <w:bidi w:val="0"/>
        <w:adjustRightInd/>
        <w:snapToGrid/>
        <w:spacing w:before="94" w:beforeLines="30" w:after="94" w:afterLines="30" w:line="312" w:lineRule="auto"/>
        <w:ind w:firstLine="0" w:firstLineChars="0"/>
        <w:jc w:val="center"/>
        <w:textAlignment w:val="auto"/>
        <w:outlineLvl w:val="0"/>
        <w:rPr>
          <w:rFonts w:hint="eastAsia" w:eastAsia="黑体"/>
          <w:sz w:val="28"/>
          <w:szCs w:val="28"/>
          <w:highlight w:val="none"/>
        </w:rPr>
      </w:pPr>
      <w:bookmarkStart w:id="1847" w:name="_Toc70169845"/>
      <w:r>
        <w:rPr>
          <w:rFonts w:eastAsia="黑体"/>
          <w:sz w:val="28"/>
          <w:szCs w:val="28"/>
          <w:highlight w:val="none"/>
        </w:rPr>
        <w:br w:type="page"/>
      </w:r>
      <w:bookmarkStart w:id="1848" w:name="_Toc32366"/>
      <w:bookmarkStart w:id="1849" w:name="_Toc18845"/>
      <w:bookmarkStart w:id="1850" w:name="_Toc4782"/>
      <w:r>
        <w:rPr>
          <w:rFonts w:hint="eastAsia" w:eastAsia="黑体"/>
          <w:sz w:val="28"/>
          <w:szCs w:val="28"/>
          <w:highlight w:val="none"/>
        </w:rPr>
        <w:t>引用标准名录</w:t>
      </w:r>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p>
    <w:p>
      <w:pPr>
        <w:pStyle w:val="2"/>
      </w:pPr>
    </w:p>
    <w:p>
      <w:pPr>
        <w:keepNext w:val="0"/>
        <w:keepLines w:val="0"/>
        <w:pageBreakBefore w:val="0"/>
        <w:widowControl w:val="0"/>
        <w:kinsoku/>
        <w:wordWrap/>
        <w:overflowPunct/>
        <w:topLinePunct w:val="0"/>
        <w:autoSpaceDE/>
        <w:autoSpaceDN/>
        <w:bidi w:val="0"/>
        <w:adjustRightInd/>
        <w:snapToGrid/>
        <w:spacing w:line="312" w:lineRule="auto"/>
        <w:textAlignment w:val="auto"/>
        <w:rPr>
          <w:sz w:val="24"/>
          <w:szCs w:val="28"/>
          <w:highlight w:val="none"/>
        </w:rPr>
      </w:pPr>
      <w:r>
        <w:rPr>
          <w:sz w:val="24"/>
          <w:szCs w:val="28"/>
          <w:highlight w:val="none"/>
        </w:rPr>
        <w:t>1</w:t>
      </w:r>
      <w:r>
        <w:rPr>
          <w:rFonts w:hint="eastAsia"/>
          <w:sz w:val="24"/>
          <w:szCs w:val="28"/>
          <w:highlight w:val="none"/>
        </w:rPr>
        <w:t xml:space="preserve"> </w:t>
      </w:r>
      <w:r>
        <w:rPr>
          <w:sz w:val="24"/>
          <w:szCs w:val="28"/>
          <w:highlight w:val="none"/>
        </w:rPr>
        <w:t>《砌体结构设计规范》GB 50003</w:t>
      </w:r>
    </w:p>
    <w:p>
      <w:pPr>
        <w:keepNext w:val="0"/>
        <w:keepLines w:val="0"/>
        <w:pageBreakBefore w:val="0"/>
        <w:widowControl w:val="0"/>
        <w:kinsoku/>
        <w:wordWrap/>
        <w:overflowPunct/>
        <w:topLinePunct w:val="0"/>
        <w:autoSpaceDE/>
        <w:autoSpaceDN/>
        <w:bidi w:val="0"/>
        <w:adjustRightInd/>
        <w:snapToGrid/>
        <w:spacing w:line="312" w:lineRule="auto"/>
        <w:textAlignment w:val="auto"/>
        <w:rPr>
          <w:sz w:val="24"/>
          <w:szCs w:val="28"/>
          <w:highlight w:val="none"/>
        </w:rPr>
      </w:pPr>
      <w:r>
        <w:rPr>
          <w:sz w:val="24"/>
          <w:szCs w:val="28"/>
          <w:highlight w:val="none"/>
        </w:rPr>
        <w:t>2</w:t>
      </w:r>
      <w:r>
        <w:rPr>
          <w:rFonts w:hint="eastAsia"/>
          <w:sz w:val="24"/>
          <w:szCs w:val="28"/>
          <w:highlight w:val="none"/>
        </w:rPr>
        <w:t xml:space="preserve"> </w:t>
      </w:r>
      <w:r>
        <w:rPr>
          <w:sz w:val="24"/>
          <w:szCs w:val="28"/>
          <w:highlight w:val="none"/>
        </w:rPr>
        <w:t>《混凝土结构设计规范》GB 50010</w:t>
      </w:r>
    </w:p>
    <w:p>
      <w:pPr>
        <w:keepNext w:val="0"/>
        <w:keepLines w:val="0"/>
        <w:pageBreakBefore w:val="0"/>
        <w:widowControl w:val="0"/>
        <w:kinsoku/>
        <w:wordWrap/>
        <w:overflowPunct/>
        <w:topLinePunct w:val="0"/>
        <w:autoSpaceDE/>
        <w:autoSpaceDN/>
        <w:bidi w:val="0"/>
        <w:adjustRightInd/>
        <w:snapToGrid/>
        <w:spacing w:line="312" w:lineRule="auto"/>
        <w:textAlignment w:val="auto"/>
        <w:rPr>
          <w:sz w:val="24"/>
          <w:szCs w:val="28"/>
          <w:highlight w:val="none"/>
        </w:rPr>
      </w:pPr>
      <w:r>
        <w:rPr>
          <w:sz w:val="24"/>
          <w:szCs w:val="28"/>
          <w:highlight w:val="none"/>
        </w:rPr>
        <w:t>3</w:t>
      </w:r>
      <w:r>
        <w:rPr>
          <w:rFonts w:hint="eastAsia"/>
          <w:sz w:val="24"/>
          <w:szCs w:val="28"/>
          <w:highlight w:val="none"/>
        </w:rPr>
        <w:t xml:space="preserve"> </w:t>
      </w:r>
      <w:r>
        <w:rPr>
          <w:sz w:val="24"/>
          <w:szCs w:val="28"/>
          <w:highlight w:val="none"/>
        </w:rPr>
        <w:t>《建筑抗震设计规范》GB 50011</w:t>
      </w:r>
    </w:p>
    <w:p>
      <w:pPr>
        <w:keepNext w:val="0"/>
        <w:keepLines w:val="0"/>
        <w:pageBreakBefore w:val="0"/>
        <w:widowControl w:val="0"/>
        <w:kinsoku/>
        <w:wordWrap/>
        <w:overflowPunct/>
        <w:topLinePunct w:val="0"/>
        <w:autoSpaceDE/>
        <w:autoSpaceDN/>
        <w:bidi w:val="0"/>
        <w:adjustRightInd/>
        <w:snapToGrid/>
        <w:spacing w:line="312" w:lineRule="auto"/>
        <w:textAlignment w:val="auto"/>
        <w:rPr>
          <w:sz w:val="24"/>
          <w:szCs w:val="28"/>
          <w:highlight w:val="none"/>
        </w:rPr>
      </w:pPr>
      <w:r>
        <w:rPr>
          <w:sz w:val="24"/>
          <w:szCs w:val="28"/>
          <w:highlight w:val="none"/>
        </w:rPr>
        <w:t>4</w:t>
      </w:r>
      <w:r>
        <w:rPr>
          <w:rFonts w:hint="eastAsia"/>
          <w:sz w:val="24"/>
          <w:szCs w:val="28"/>
          <w:highlight w:val="none"/>
        </w:rPr>
        <w:t xml:space="preserve"> </w:t>
      </w:r>
      <w:r>
        <w:rPr>
          <w:sz w:val="24"/>
          <w:szCs w:val="28"/>
          <w:highlight w:val="none"/>
        </w:rPr>
        <w:t>《建筑设计防火规范》GB 50016</w:t>
      </w:r>
    </w:p>
    <w:p>
      <w:pPr>
        <w:keepNext w:val="0"/>
        <w:keepLines w:val="0"/>
        <w:pageBreakBefore w:val="0"/>
        <w:widowControl w:val="0"/>
        <w:kinsoku/>
        <w:wordWrap/>
        <w:overflowPunct/>
        <w:topLinePunct w:val="0"/>
        <w:autoSpaceDE/>
        <w:autoSpaceDN/>
        <w:bidi w:val="0"/>
        <w:adjustRightInd/>
        <w:snapToGrid/>
        <w:spacing w:line="312" w:lineRule="auto"/>
        <w:textAlignment w:val="auto"/>
        <w:rPr>
          <w:sz w:val="24"/>
          <w:szCs w:val="28"/>
          <w:highlight w:val="none"/>
        </w:rPr>
      </w:pPr>
      <w:r>
        <w:rPr>
          <w:sz w:val="24"/>
          <w:szCs w:val="28"/>
          <w:highlight w:val="none"/>
        </w:rPr>
        <w:t>5</w:t>
      </w:r>
      <w:r>
        <w:rPr>
          <w:rFonts w:hint="eastAsia"/>
          <w:sz w:val="24"/>
          <w:szCs w:val="28"/>
          <w:highlight w:val="none"/>
        </w:rPr>
        <w:t xml:space="preserve"> </w:t>
      </w:r>
      <w:r>
        <w:rPr>
          <w:sz w:val="24"/>
          <w:szCs w:val="28"/>
          <w:highlight w:val="none"/>
        </w:rPr>
        <w:t>《建筑抗震鉴定标准》GB 50023</w:t>
      </w:r>
    </w:p>
    <w:p>
      <w:pPr>
        <w:keepNext w:val="0"/>
        <w:keepLines w:val="0"/>
        <w:pageBreakBefore w:val="0"/>
        <w:widowControl w:val="0"/>
        <w:kinsoku/>
        <w:wordWrap/>
        <w:overflowPunct/>
        <w:topLinePunct w:val="0"/>
        <w:autoSpaceDE/>
        <w:autoSpaceDN/>
        <w:bidi w:val="0"/>
        <w:adjustRightInd/>
        <w:snapToGrid/>
        <w:spacing w:line="312" w:lineRule="auto"/>
        <w:textAlignment w:val="auto"/>
        <w:rPr>
          <w:sz w:val="24"/>
          <w:szCs w:val="28"/>
          <w:highlight w:val="none"/>
        </w:rPr>
      </w:pPr>
      <w:r>
        <w:rPr>
          <w:sz w:val="24"/>
          <w:szCs w:val="28"/>
          <w:highlight w:val="none"/>
        </w:rPr>
        <w:t>6</w:t>
      </w:r>
      <w:r>
        <w:rPr>
          <w:rFonts w:hint="eastAsia"/>
          <w:sz w:val="24"/>
          <w:szCs w:val="28"/>
          <w:highlight w:val="none"/>
        </w:rPr>
        <w:t xml:space="preserve"> </w:t>
      </w:r>
      <w:r>
        <w:rPr>
          <w:sz w:val="24"/>
          <w:szCs w:val="28"/>
          <w:highlight w:val="none"/>
        </w:rPr>
        <w:t>《混凝土结构工程施工质量验收规范》GB 50204</w:t>
      </w:r>
    </w:p>
    <w:p>
      <w:pPr>
        <w:keepNext w:val="0"/>
        <w:keepLines w:val="0"/>
        <w:pageBreakBefore w:val="0"/>
        <w:widowControl w:val="0"/>
        <w:kinsoku/>
        <w:wordWrap/>
        <w:overflowPunct/>
        <w:topLinePunct w:val="0"/>
        <w:autoSpaceDE/>
        <w:autoSpaceDN/>
        <w:bidi w:val="0"/>
        <w:adjustRightInd/>
        <w:snapToGrid/>
        <w:spacing w:line="312" w:lineRule="auto"/>
        <w:textAlignment w:val="auto"/>
        <w:rPr>
          <w:sz w:val="24"/>
          <w:szCs w:val="28"/>
          <w:highlight w:val="none"/>
        </w:rPr>
      </w:pPr>
      <w:r>
        <w:rPr>
          <w:sz w:val="24"/>
          <w:szCs w:val="28"/>
          <w:highlight w:val="none"/>
        </w:rPr>
        <w:t>7</w:t>
      </w:r>
      <w:r>
        <w:rPr>
          <w:rFonts w:hint="eastAsia"/>
          <w:sz w:val="24"/>
          <w:szCs w:val="28"/>
          <w:highlight w:val="none"/>
        </w:rPr>
        <w:t xml:space="preserve"> </w:t>
      </w:r>
      <w:r>
        <w:rPr>
          <w:sz w:val="24"/>
          <w:szCs w:val="28"/>
          <w:highlight w:val="none"/>
        </w:rPr>
        <w:t>《混凝土结构加固设计规范》GB 50367</w:t>
      </w:r>
    </w:p>
    <w:p>
      <w:pPr>
        <w:keepNext w:val="0"/>
        <w:keepLines w:val="0"/>
        <w:pageBreakBefore w:val="0"/>
        <w:widowControl w:val="0"/>
        <w:kinsoku/>
        <w:wordWrap/>
        <w:overflowPunct/>
        <w:topLinePunct w:val="0"/>
        <w:autoSpaceDE/>
        <w:autoSpaceDN/>
        <w:bidi w:val="0"/>
        <w:adjustRightInd/>
        <w:snapToGrid/>
        <w:spacing w:line="312" w:lineRule="auto"/>
        <w:textAlignment w:val="auto"/>
        <w:rPr>
          <w:sz w:val="24"/>
          <w:szCs w:val="28"/>
          <w:highlight w:val="none"/>
        </w:rPr>
      </w:pPr>
      <w:r>
        <w:rPr>
          <w:sz w:val="24"/>
          <w:szCs w:val="28"/>
          <w:highlight w:val="none"/>
        </w:rPr>
        <w:t>8</w:t>
      </w:r>
      <w:r>
        <w:rPr>
          <w:rFonts w:hint="eastAsia"/>
          <w:sz w:val="24"/>
          <w:szCs w:val="28"/>
          <w:highlight w:val="none"/>
        </w:rPr>
        <w:t xml:space="preserve"> </w:t>
      </w:r>
      <w:r>
        <w:rPr>
          <w:sz w:val="24"/>
          <w:szCs w:val="28"/>
          <w:highlight w:val="none"/>
        </w:rPr>
        <w:t>《建筑结构加固工程施工质量验收规范》GB 50550</w:t>
      </w:r>
    </w:p>
    <w:p>
      <w:pPr>
        <w:keepNext w:val="0"/>
        <w:keepLines w:val="0"/>
        <w:pageBreakBefore w:val="0"/>
        <w:widowControl w:val="0"/>
        <w:kinsoku/>
        <w:wordWrap/>
        <w:overflowPunct/>
        <w:topLinePunct w:val="0"/>
        <w:autoSpaceDE/>
        <w:autoSpaceDN/>
        <w:bidi w:val="0"/>
        <w:adjustRightInd/>
        <w:snapToGrid/>
        <w:spacing w:line="312" w:lineRule="auto"/>
        <w:textAlignment w:val="auto"/>
        <w:rPr>
          <w:sz w:val="24"/>
          <w:szCs w:val="28"/>
          <w:highlight w:val="none"/>
        </w:rPr>
      </w:pPr>
      <w:r>
        <w:rPr>
          <w:sz w:val="24"/>
          <w:szCs w:val="28"/>
          <w:highlight w:val="none"/>
        </w:rPr>
        <w:t>9</w:t>
      </w:r>
      <w:r>
        <w:rPr>
          <w:rFonts w:hint="eastAsia"/>
          <w:sz w:val="24"/>
          <w:szCs w:val="28"/>
          <w:highlight w:val="none"/>
        </w:rPr>
        <w:t xml:space="preserve"> </w:t>
      </w:r>
      <w:r>
        <w:rPr>
          <w:sz w:val="24"/>
          <w:szCs w:val="28"/>
          <w:highlight w:val="none"/>
        </w:rPr>
        <w:t>《砌体结构加固设计规范》GB 50702</w:t>
      </w:r>
    </w:p>
    <w:p>
      <w:pPr>
        <w:keepNext w:val="0"/>
        <w:keepLines w:val="0"/>
        <w:pageBreakBefore w:val="0"/>
        <w:widowControl w:val="0"/>
        <w:kinsoku/>
        <w:wordWrap/>
        <w:overflowPunct/>
        <w:topLinePunct w:val="0"/>
        <w:autoSpaceDE/>
        <w:autoSpaceDN/>
        <w:bidi w:val="0"/>
        <w:adjustRightInd/>
        <w:snapToGrid/>
        <w:spacing w:line="312" w:lineRule="auto"/>
        <w:textAlignment w:val="auto"/>
        <w:rPr>
          <w:sz w:val="24"/>
          <w:szCs w:val="28"/>
          <w:highlight w:val="none"/>
        </w:rPr>
      </w:pPr>
      <w:r>
        <w:rPr>
          <w:sz w:val="24"/>
          <w:szCs w:val="28"/>
          <w:highlight w:val="none"/>
        </w:rPr>
        <w:t>10</w:t>
      </w:r>
      <w:r>
        <w:rPr>
          <w:rFonts w:hint="eastAsia"/>
          <w:sz w:val="24"/>
          <w:szCs w:val="28"/>
          <w:highlight w:val="none"/>
        </w:rPr>
        <w:t xml:space="preserve"> </w:t>
      </w:r>
      <w:r>
        <w:rPr>
          <w:sz w:val="24"/>
          <w:szCs w:val="28"/>
          <w:highlight w:val="none"/>
        </w:rPr>
        <w:t>《工程结构加固材料安全性鉴定技术规范》GB 50728</w:t>
      </w:r>
    </w:p>
    <w:p>
      <w:pPr>
        <w:keepNext w:val="0"/>
        <w:keepLines w:val="0"/>
        <w:pageBreakBefore w:val="0"/>
        <w:widowControl w:val="0"/>
        <w:kinsoku/>
        <w:wordWrap/>
        <w:overflowPunct/>
        <w:topLinePunct w:val="0"/>
        <w:autoSpaceDE/>
        <w:autoSpaceDN/>
        <w:bidi w:val="0"/>
        <w:adjustRightInd/>
        <w:snapToGrid/>
        <w:spacing w:line="312" w:lineRule="auto"/>
        <w:textAlignment w:val="auto"/>
        <w:rPr>
          <w:sz w:val="24"/>
          <w:szCs w:val="28"/>
          <w:highlight w:val="none"/>
        </w:rPr>
      </w:pPr>
      <w:r>
        <w:rPr>
          <w:sz w:val="24"/>
          <w:szCs w:val="28"/>
          <w:highlight w:val="none"/>
        </w:rPr>
        <w:t>1</w:t>
      </w:r>
      <w:r>
        <w:rPr>
          <w:rFonts w:hint="eastAsia"/>
          <w:sz w:val="24"/>
          <w:szCs w:val="28"/>
          <w:highlight w:val="none"/>
        </w:rPr>
        <w:t xml:space="preserve">1 </w:t>
      </w:r>
      <w:r>
        <w:rPr>
          <w:sz w:val="24"/>
          <w:szCs w:val="28"/>
          <w:highlight w:val="none"/>
        </w:rPr>
        <w:t>《水泥胶砂强度检验方法</w:t>
      </w:r>
      <w:r>
        <w:rPr>
          <w:rFonts w:hint="eastAsia"/>
          <w:sz w:val="24"/>
          <w:szCs w:val="28"/>
          <w:highlight w:val="none"/>
        </w:rPr>
        <w:t>（ISO法）</w:t>
      </w:r>
      <w:r>
        <w:rPr>
          <w:sz w:val="24"/>
          <w:szCs w:val="28"/>
          <w:highlight w:val="none"/>
        </w:rPr>
        <w:t>》GB/T 17671</w:t>
      </w:r>
    </w:p>
    <w:p>
      <w:pPr>
        <w:keepNext w:val="0"/>
        <w:keepLines w:val="0"/>
        <w:pageBreakBefore w:val="0"/>
        <w:widowControl w:val="0"/>
        <w:kinsoku/>
        <w:wordWrap/>
        <w:overflowPunct/>
        <w:topLinePunct w:val="0"/>
        <w:autoSpaceDE/>
        <w:autoSpaceDN/>
        <w:bidi w:val="0"/>
        <w:adjustRightInd/>
        <w:snapToGrid/>
        <w:spacing w:line="312" w:lineRule="auto"/>
        <w:textAlignment w:val="auto"/>
        <w:rPr>
          <w:sz w:val="24"/>
          <w:szCs w:val="28"/>
          <w:highlight w:val="none"/>
        </w:rPr>
      </w:pPr>
      <w:r>
        <w:rPr>
          <w:sz w:val="24"/>
          <w:szCs w:val="28"/>
          <w:highlight w:val="none"/>
        </w:rPr>
        <w:t>1</w:t>
      </w:r>
      <w:r>
        <w:rPr>
          <w:rFonts w:hint="eastAsia"/>
          <w:sz w:val="24"/>
          <w:szCs w:val="28"/>
          <w:highlight w:val="none"/>
        </w:rPr>
        <w:t xml:space="preserve">2 </w:t>
      </w:r>
      <w:r>
        <w:rPr>
          <w:sz w:val="24"/>
          <w:szCs w:val="28"/>
          <w:highlight w:val="none"/>
        </w:rPr>
        <w:t>《混凝土物理力学性能试验方法标准》GB/T 50081</w:t>
      </w:r>
    </w:p>
    <w:p>
      <w:pPr>
        <w:keepNext w:val="0"/>
        <w:keepLines w:val="0"/>
        <w:pageBreakBefore w:val="0"/>
        <w:widowControl w:val="0"/>
        <w:tabs>
          <w:tab w:val="right" w:pos="5772"/>
        </w:tabs>
        <w:kinsoku/>
        <w:wordWrap/>
        <w:overflowPunct/>
        <w:topLinePunct w:val="0"/>
        <w:autoSpaceDE/>
        <w:autoSpaceDN/>
        <w:bidi w:val="0"/>
        <w:adjustRightInd/>
        <w:snapToGrid/>
        <w:spacing w:line="312" w:lineRule="auto"/>
        <w:ind w:left="424" w:hanging="484" w:hangingChars="202"/>
        <w:textAlignment w:val="auto"/>
        <w:rPr>
          <w:sz w:val="24"/>
          <w:szCs w:val="28"/>
          <w:highlight w:val="none"/>
        </w:rPr>
      </w:pPr>
      <w:r>
        <w:rPr>
          <w:sz w:val="24"/>
          <w:szCs w:val="28"/>
          <w:highlight w:val="none"/>
        </w:rPr>
        <w:t>1</w:t>
      </w:r>
      <w:r>
        <w:rPr>
          <w:rFonts w:hint="eastAsia"/>
          <w:sz w:val="24"/>
          <w:szCs w:val="28"/>
          <w:highlight w:val="none"/>
        </w:rPr>
        <w:t xml:space="preserve">3 </w:t>
      </w:r>
      <w:r>
        <w:rPr>
          <w:sz w:val="24"/>
          <w:szCs w:val="28"/>
          <w:highlight w:val="none"/>
        </w:rPr>
        <w:t>《普通混凝土长期性能和耐久性能试验方法标准》GB/T 50082</w:t>
      </w:r>
    </w:p>
    <w:p>
      <w:pPr>
        <w:keepNext w:val="0"/>
        <w:keepLines w:val="0"/>
        <w:pageBreakBefore w:val="0"/>
        <w:widowControl w:val="0"/>
        <w:kinsoku/>
        <w:wordWrap/>
        <w:overflowPunct/>
        <w:topLinePunct w:val="0"/>
        <w:autoSpaceDE/>
        <w:autoSpaceDN/>
        <w:bidi w:val="0"/>
        <w:adjustRightInd/>
        <w:snapToGrid/>
        <w:spacing w:line="312" w:lineRule="auto"/>
        <w:textAlignment w:val="auto"/>
        <w:rPr>
          <w:sz w:val="24"/>
          <w:szCs w:val="28"/>
          <w:highlight w:val="none"/>
        </w:rPr>
      </w:pPr>
      <w:r>
        <w:rPr>
          <w:sz w:val="24"/>
          <w:szCs w:val="28"/>
          <w:highlight w:val="none"/>
        </w:rPr>
        <w:t>1</w:t>
      </w:r>
      <w:r>
        <w:rPr>
          <w:rFonts w:hint="eastAsia"/>
          <w:sz w:val="24"/>
          <w:szCs w:val="28"/>
          <w:highlight w:val="none"/>
        </w:rPr>
        <w:t xml:space="preserve">4 </w:t>
      </w:r>
      <w:r>
        <w:rPr>
          <w:sz w:val="24"/>
          <w:szCs w:val="28"/>
          <w:highlight w:val="none"/>
        </w:rPr>
        <w:t>《混凝土强度检验评定标准》GB/T 50107</w:t>
      </w:r>
    </w:p>
    <w:p>
      <w:pPr>
        <w:keepNext w:val="0"/>
        <w:keepLines w:val="0"/>
        <w:pageBreakBefore w:val="0"/>
        <w:widowControl w:val="0"/>
        <w:kinsoku/>
        <w:wordWrap/>
        <w:overflowPunct/>
        <w:topLinePunct w:val="0"/>
        <w:autoSpaceDE/>
        <w:autoSpaceDN/>
        <w:bidi w:val="0"/>
        <w:adjustRightInd/>
        <w:snapToGrid/>
        <w:spacing w:line="312" w:lineRule="auto"/>
        <w:textAlignment w:val="auto"/>
        <w:rPr>
          <w:sz w:val="24"/>
          <w:szCs w:val="28"/>
          <w:highlight w:val="none"/>
        </w:rPr>
      </w:pPr>
      <w:r>
        <w:rPr>
          <w:sz w:val="24"/>
          <w:szCs w:val="28"/>
          <w:highlight w:val="none"/>
        </w:rPr>
        <w:t>1</w:t>
      </w:r>
      <w:r>
        <w:rPr>
          <w:rFonts w:hint="eastAsia"/>
          <w:sz w:val="24"/>
          <w:szCs w:val="28"/>
          <w:highlight w:val="none"/>
        </w:rPr>
        <w:t xml:space="preserve">5 </w:t>
      </w:r>
      <w:r>
        <w:rPr>
          <w:sz w:val="24"/>
          <w:szCs w:val="28"/>
          <w:highlight w:val="none"/>
        </w:rPr>
        <w:t>《水泥基灌浆材料应用技术规范》GB/T 50448</w:t>
      </w:r>
    </w:p>
    <w:p>
      <w:pPr>
        <w:keepNext w:val="0"/>
        <w:keepLines w:val="0"/>
        <w:pageBreakBefore w:val="0"/>
        <w:widowControl w:val="0"/>
        <w:kinsoku/>
        <w:wordWrap/>
        <w:overflowPunct/>
        <w:topLinePunct w:val="0"/>
        <w:autoSpaceDE/>
        <w:autoSpaceDN/>
        <w:bidi w:val="0"/>
        <w:adjustRightInd/>
        <w:snapToGrid/>
        <w:spacing w:line="312" w:lineRule="auto"/>
        <w:textAlignment w:val="auto"/>
        <w:rPr>
          <w:sz w:val="24"/>
          <w:szCs w:val="28"/>
          <w:highlight w:val="none"/>
        </w:rPr>
      </w:pPr>
      <w:r>
        <w:rPr>
          <w:rFonts w:hint="eastAsia"/>
          <w:sz w:val="24"/>
          <w:szCs w:val="28"/>
          <w:highlight w:val="none"/>
        </w:rPr>
        <w:t xml:space="preserve">16 </w:t>
      </w:r>
      <w:r>
        <w:rPr>
          <w:sz w:val="24"/>
          <w:szCs w:val="28"/>
          <w:highlight w:val="none"/>
        </w:rPr>
        <w:t>《</w:t>
      </w:r>
      <w:r>
        <w:rPr>
          <w:rFonts w:hint="eastAsia"/>
          <w:sz w:val="24"/>
          <w:szCs w:val="28"/>
          <w:highlight w:val="none"/>
        </w:rPr>
        <w:t>混凝土结构耐久性设计标准</w:t>
      </w:r>
      <w:r>
        <w:rPr>
          <w:sz w:val="24"/>
          <w:szCs w:val="28"/>
          <w:highlight w:val="none"/>
        </w:rPr>
        <w:t>》GB/T 50476</w:t>
      </w:r>
    </w:p>
    <w:p>
      <w:pPr>
        <w:keepNext w:val="0"/>
        <w:keepLines w:val="0"/>
        <w:pageBreakBefore w:val="0"/>
        <w:widowControl w:val="0"/>
        <w:kinsoku/>
        <w:wordWrap/>
        <w:overflowPunct/>
        <w:topLinePunct w:val="0"/>
        <w:autoSpaceDE/>
        <w:autoSpaceDN/>
        <w:bidi w:val="0"/>
        <w:adjustRightInd/>
        <w:snapToGrid/>
        <w:spacing w:line="312" w:lineRule="auto"/>
        <w:textAlignment w:val="auto"/>
        <w:rPr>
          <w:sz w:val="24"/>
          <w:szCs w:val="28"/>
          <w:highlight w:val="none"/>
        </w:rPr>
      </w:pPr>
      <w:r>
        <w:rPr>
          <w:sz w:val="24"/>
          <w:szCs w:val="28"/>
          <w:highlight w:val="none"/>
        </w:rPr>
        <w:t>1</w:t>
      </w:r>
      <w:r>
        <w:rPr>
          <w:rFonts w:hint="eastAsia"/>
          <w:sz w:val="24"/>
          <w:szCs w:val="28"/>
          <w:highlight w:val="none"/>
        </w:rPr>
        <w:t xml:space="preserve">7 </w:t>
      </w:r>
      <w:r>
        <w:rPr>
          <w:sz w:val="24"/>
          <w:szCs w:val="28"/>
          <w:highlight w:val="none"/>
        </w:rPr>
        <w:t>《建筑抗震加固技术规程》JGJ 116</w:t>
      </w:r>
    </w:p>
    <w:p>
      <w:pPr>
        <w:keepNext w:val="0"/>
        <w:keepLines w:val="0"/>
        <w:pageBreakBefore w:val="0"/>
        <w:widowControl w:val="0"/>
        <w:kinsoku/>
        <w:wordWrap/>
        <w:overflowPunct/>
        <w:topLinePunct w:val="0"/>
        <w:autoSpaceDE/>
        <w:autoSpaceDN/>
        <w:bidi w:val="0"/>
        <w:adjustRightInd/>
        <w:snapToGrid/>
        <w:spacing w:line="312" w:lineRule="auto"/>
        <w:textAlignment w:val="auto"/>
        <w:rPr>
          <w:sz w:val="24"/>
          <w:szCs w:val="28"/>
          <w:highlight w:val="none"/>
        </w:rPr>
      </w:pPr>
      <w:r>
        <w:rPr>
          <w:rFonts w:hint="eastAsia"/>
          <w:sz w:val="24"/>
          <w:szCs w:val="28"/>
          <w:highlight w:val="none"/>
        </w:rPr>
        <w:t xml:space="preserve">18 </w:t>
      </w:r>
      <w:r>
        <w:rPr>
          <w:sz w:val="24"/>
          <w:szCs w:val="28"/>
          <w:highlight w:val="none"/>
        </w:rPr>
        <w:t>《混凝土耐久性检验评定标准》JGJ/T 193</w:t>
      </w:r>
    </w:p>
    <w:p>
      <w:pPr>
        <w:keepNext w:val="0"/>
        <w:keepLines w:val="0"/>
        <w:pageBreakBefore w:val="0"/>
        <w:widowControl w:val="0"/>
        <w:kinsoku/>
        <w:wordWrap/>
        <w:overflowPunct/>
        <w:topLinePunct w:val="0"/>
        <w:autoSpaceDE/>
        <w:autoSpaceDN/>
        <w:bidi w:val="0"/>
        <w:adjustRightInd/>
        <w:snapToGrid/>
        <w:spacing w:line="312" w:lineRule="auto"/>
        <w:textAlignment w:val="auto"/>
        <w:rPr>
          <w:sz w:val="24"/>
          <w:szCs w:val="28"/>
          <w:highlight w:val="none"/>
        </w:rPr>
      </w:pPr>
      <w:r>
        <w:rPr>
          <w:rFonts w:hint="eastAsia"/>
          <w:sz w:val="24"/>
          <w:szCs w:val="28"/>
          <w:highlight w:val="none"/>
        </w:rPr>
        <w:t xml:space="preserve">19 </w:t>
      </w:r>
      <w:r>
        <w:rPr>
          <w:sz w:val="24"/>
          <w:szCs w:val="28"/>
          <w:highlight w:val="none"/>
        </w:rPr>
        <w:t>《抹灰砂浆技术规程》JGJ/T 220</w:t>
      </w:r>
    </w:p>
    <w:p>
      <w:pPr>
        <w:keepNext w:val="0"/>
        <w:keepLines w:val="0"/>
        <w:pageBreakBefore w:val="0"/>
        <w:widowControl w:val="0"/>
        <w:kinsoku/>
        <w:wordWrap/>
        <w:overflowPunct/>
        <w:topLinePunct w:val="0"/>
        <w:autoSpaceDE/>
        <w:autoSpaceDN/>
        <w:bidi w:val="0"/>
        <w:adjustRightInd/>
        <w:snapToGrid/>
        <w:spacing w:line="312" w:lineRule="auto"/>
        <w:textAlignment w:val="auto"/>
        <w:rPr>
          <w:sz w:val="24"/>
          <w:szCs w:val="28"/>
          <w:highlight w:val="none"/>
        </w:rPr>
      </w:pPr>
      <w:r>
        <w:rPr>
          <w:sz w:val="24"/>
          <w:szCs w:val="28"/>
          <w:highlight w:val="none"/>
        </w:rPr>
        <w:t>2</w:t>
      </w:r>
      <w:r>
        <w:rPr>
          <w:rFonts w:hint="eastAsia"/>
          <w:sz w:val="24"/>
          <w:szCs w:val="28"/>
          <w:highlight w:val="none"/>
        </w:rPr>
        <w:t xml:space="preserve">0 </w:t>
      </w:r>
      <w:r>
        <w:rPr>
          <w:sz w:val="24"/>
          <w:szCs w:val="28"/>
          <w:highlight w:val="none"/>
        </w:rPr>
        <w:t>《混凝土中氯离子含量检测技术规程》JGJ/T 322</w:t>
      </w:r>
    </w:p>
    <w:p>
      <w:pPr>
        <w:spacing w:line="312" w:lineRule="auto"/>
        <w:jc w:val="both"/>
        <w:rPr>
          <w:highlight w:val="none"/>
        </w:rPr>
      </w:pPr>
    </w:p>
    <w:sectPr>
      <w:footerReference r:id="rId8" w:type="default"/>
      <w:pgSz w:w="11906" w:h="16838"/>
      <w:pgMar w:top="1440" w:right="1803" w:bottom="1440" w:left="1803" w:header="1418" w:footer="737" w:gutter="0"/>
      <w:pgNumType w:start="1" w:chapSep="period"/>
      <w:cols w:space="720" w:num="1"/>
      <w:docGrid w:linePitch="311" w:charSpace="-29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CC"/>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Cambria Math">
    <w:panose1 w:val="02040503050406030204"/>
    <w:charset w:val="00"/>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153035"/>
              <wp:effectExtent l="0" t="0" r="0" b="0"/>
              <wp:wrapNone/>
              <wp:docPr id="2132566752" name="文本框 40"/>
              <wp:cNvGraphicFramePr/>
              <a:graphic xmlns:a="http://schemas.openxmlformats.org/drawingml/2006/main">
                <a:graphicData uri="http://schemas.microsoft.com/office/word/2010/wordprocessingShape">
                  <wps:wsp>
                    <wps:cNvSpPr txBox="1">
                      <a:spLocks noChangeArrowheads="1"/>
                    </wps:cNvSpPr>
                    <wps:spPr bwMode="auto">
                      <a:xfrm>
                        <a:off x="0" y="0"/>
                        <a:ext cx="114935" cy="153035"/>
                      </a:xfrm>
                      <a:prstGeom prst="rect">
                        <a:avLst/>
                      </a:prstGeom>
                      <a:noFill/>
                      <a:ln>
                        <a:noFill/>
                      </a:ln>
                    </wps:spPr>
                    <wps:txbx>
                      <w:txbxContent>
                        <w:p/>
                      </w:txbxContent>
                    </wps:txbx>
                    <wps:bodyPr rot="0" vert="horz" wrap="none" lIns="0" tIns="0" rIns="0" bIns="0" anchor="t" anchorCtr="0" upright="1">
                      <a:spAutoFit/>
                    </wps:bodyPr>
                  </wps:wsp>
                </a:graphicData>
              </a:graphic>
            </wp:anchor>
          </w:drawing>
        </mc:Choice>
        <mc:Fallback>
          <w:pict>
            <v:shape id="文本框 40" o:spid="_x0000_s1026" o:spt="202" type="#_x0000_t202" style="position:absolute;left:0pt;margin-top:0pt;height:12.05pt;width:9.05pt;mso-position-horizontal:center;mso-position-horizontal-relative:margin;mso-wrap-style:none;z-index:251659264;mso-width-relative:page;mso-height-relative:page;" filled="f" stroked="f" coordsize="21600,21600" o:gfxdata="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kFT5rQAAAAAwEAAA8AAAAAAAAAAQAgAAAA&#10;IgAAAGRycy9kb3ducmV2LnhtbFBLAQIUABQAAAAIAIdO4kCCmGZWEwIAAAwEAAAOAAAAAAAAAAEA&#10;IAAAAB8BAABkcnMvZTJvRG9jLnhtbFBLBQYAAAAABgAGAFkBAACkBQAAAAA=&#10;">
              <v:fill on="f" focussize="0,0"/>
              <v:stroke on="f"/>
              <v:imagedata o:title=""/>
              <o:lock v:ext="edit" aspectratio="f"/>
              <v:textbox inset="0mm,0mm,0mm,0mm" style="mso-fit-shape-to-text:t;">
                <w:txbxContent>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rFonts w:hint="eastAsia"/>
        <w:lang w:val="en-US" w:eastAsia="zh-C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spacing w:line="312" w:lineRule="auto"/>
      <w:rPr>
        <w:rFonts w:hint="eastAsia" w:ascii="Times New Roman" w:hAnsi="Times New Roman" w:eastAsia="宋体" w:cs="Times New Roman"/>
        <w:kern w:val="2"/>
        <w:sz w:val="18"/>
        <w:szCs w:val="24"/>
        <w:lang w:val="en-US" w:eastAsia="zh-CN" w:bidi="ar-S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222250" cy="181610"/>
              <wp:effectExtent l="0" t="0" r="0" b="0"/>
              <wp:wrapNone/>
              <wp:docPr id="1793889145" name="文本框 2057"/>
              <wp:cNvGraphicFramePr/>
              <a:graphic xmlns:a="http://schemas.openxmlformats.org/drawingml/2006/main">
                <a:graphicData uri="http://schemas.microsoft.com/office/word/2010/wordprocessingShape">
                  <wps:wsp>
                    <wps:cNvSpPr txBox="1">
                      <a:spLocks noChangeArrowheads="1"/>
                    </wps:cNvSpPr>
                    <wps:spPr bwMode="auto">
                      <a:xfrm>
                        <a:off x="0" y="0"/>
                        <a:ext cx="222250" cy="181610"/>
                      </a:xfrm>
                      <a:prstGeom prst="rect">
                        <a:avLst/>
                      </a:prstGeom>
                      <a:noFill/>
                      <a:ln>
                        <a:noFill/>
                      </a:ln>
                    </wps:spPr>
                    <wps:txbx>
                      <w:txbxContent>
                        <w:p>
                          <w:pPr>
                            <w:pStyle w:val="13"/>
                            <w:jc w:val="center"/>
                          </w:pPr>
                          <w:r>
                            <w:fldChar w:fldCharType="begin"/>
                          </w:r>
                          <w:r>
                            <w:instrText xml:space="preserve"> PAGE   \* MERGEFORMAT </w:instrText>
                          </w:r>
                          <w:r>
                            <w:fldChar w:fldCharType="separate"/>
                          </w:r>
                          <w:r>
                            <w:rPr>
                              <w:lang w:val="zh-CN"/>
                            </w:rPr>
                            <w:t>63</w:t>
                          </w:r>
                          <w:r>
                            <w:fldChar w:fldCharType="end"/>
                          </w:r>
                        </w:p>
                      </w:txbxContent>
                    </wps:txbx>
                    <wps:bodyPr rot="0" vert="horz" wrap="square" lIns="0" tIns="0" rIns="0" bIns="0" anchor="t" anchorCtr="0" upright="1">
                      <a:noAutofit/>
                    </wps:bodyPr>
                  </wps:wsp>
                </a:graphicData>
              </a:graphic>
            </wp:anchor>
          </w:drawing>
        </mc:Choice>
        <mc:Fallback>
          <w:pict>
            <v:shape id="文本框 2057" o:spid="_x0000_s1026" o:spt="202" type="#_x0000_t202" style="position:absolute;left:0pt;margin-top:0pt;height:14.3pt;width:17.5pt;mso-position-horizontal:outside;mso-position-horizontal-relative:margin;z-index:251660288;mso-width-relative:page;mso-height-relative:page;" filled="f" stroked="f" coordsize="21600,21600" o:gfxdata="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uRu3DTAAAAAwEAAA8AAAAAAAAA&#10;AQAgAAAAIgAAAGRycy9kb3ducmV2LnhtbFBLAQIUABQAAAAIAIdO4kDlXfFrFgIAABAEAAAOAAAA&#10;AAAAAAEAIAAAACIBAABkcnMvZTJvRG9jLnhtbFBLBQYAAAAABgAGAFkBAACqBQAAAAA=&#10;">
              <v:fill on="f" focussize="0,0"/>
              <v:stroke on="f"/>
              <v:imagedata o:title=""/>
              <o:lock v:ext="edit" aspectratio="f"/>
              <v:textbox inset="0mm,0mm,0mm,0mm">
                <w:txbxContent>
                  <w:p>
                    <w:pPr>
                      <w:pStyle w:val="13"/>
                      <w:jc w:val="center"/>
                    </w:pPr>
                    <w:r>
                      <w:fldChar w:fldCharType="begin"/>
                    </w:r>
                    <w:r>
                      <w:instrText xml:space="preserve"> PAGE   \* MERGEFORMAT </w:instrText>
                    </w:r>
                    <w:r>
                      <w:fldChar w:fldCharType="separate"/>
                    </w:r>
                    <w:r>
                      <w:rPr>
                        <w:lang w:val="zh-CN"/>
                      </w:rPr>
                      <w:t>63</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D9D24C6"/>
    <w:multiLevelType w:val="multilevel"/>
    <w:tmpl w:val="5D9D24C6"/>
    <w:lvl w:ilvl="0" w:tentative="0">
      <w:start w:val="1"/>
      <w:numFmt w:val="decimal"/>
      <w:lvlText w:val="4.%1"/>
      <w:lvlJc w:val="left"/>
      <w:pPr>
        <w:tabs>
          <w:tab w:val="left" w:pos="0"/>
        </w:tabs>
        <w:ind w:left="0" w:firstLine="0"/>
      </w:pPr>
      <w:rPr>
        <w:rFonts w:hint="default"/>
      </w:rPr>
    </w:lvl>
    <w:lvl w:ilvl="1" w:tentative="0">
      <w:start w:val="1"/>
      <w:numFmt w:val="decimal"/>
      <w:pStyle w:val="82"/>
      <w:lvlText w:val="%1.%2"/>
      <w:lvlJc w:val="left"/>
      <w:pPr>
        <w:tabs>
          <w:tab w:val="left" w:pos="0"/>
        </w:tabs>
        <w:ind w:left="0" w:firstLine="0"/>
      </w:pPr>
      <w:rPr>
        <w:rFonts w:hint="eastAsia"/>
        <w:sz w:val="24"/>
        <w:szCs w:val="24"/>
      </w:rPr>
    </w:lvl>
    <w:lvl w:ilvl="2" w:tentative="0">
      <w:start w:val="1"/>
      <w:numFmt w:val="decimal"/>
      <w:pStyle w:val="139"/>
      <w:isLgl/>
      <w:lvlText w:val="%1.0.%3"/>
      <w:lvlJc w:val="left"/>
      <w:pPr>
        <w:tabs>
          <w:tab w:val="left" w:pos="0"/>
        </w:tabs>
        <w:ind w:left="0" w:firstLine="0"/>
      </w:pPr>
      <w:rPr>
        <w:rFonts w:hint="default" w:ascii="Calibri" w:hAnsi="Calibri"/>
        <w:b w:val="0"/>
        <w:color w:val="auto"/>
      </w:rPr>
    </w:lvl>
    <w:lvl w:ilvl="3" w:tentative="0">
      <w:start w:val="1"/>
      <w:numFmt w:val="decimal"/>
      <w:lvlText w:val="%1.%2.%3.%4"/>
      <w:lvlJc w:val="left"/>
      <w:pPr>
        <w:tabs>
          <w:tab w:val="left" w:pos="0"/>
        </w:tabs>
        <w:ind w:left="1984" w:hanging="708"/>
      </w:pPr>
      <w:rPr>
        <w:rFonts w:hint="eastAsia"/>
      </w:rPr>
    </w:lvl>
    <w:lvl w:ilvl="4" w:tentative="0">
      <w:start w:val="1"/>
      <w:numFmt w:val="decimal"/>
      <w:lvlText w:val="%1.%2.%3.%4.%5"/>
      <w:lvlJc w:val="left"/>
      <w:pPr>
        <w:tabs>
          <w:tab w:val="left" w:pos="0"/>
        </w:tabs>
        <w:ind w:left="2551" w:hanging="850"/>
      </w:pPr>
      <w:rPr>
        <w:rFonts w:hint="eastAsia"/>
      </w:rPr>
    </w:lvl>
    <w:lvl w:ilvl="5" w:tentative="0">
      <w:start w:val="1"/>
      <w:numFmt w:val="decimal"/>
      <w:lvlText w:val="%1.%2.%3.%4.%5.%6"/>
      <w:lvlJc w:val="left"/>
      <w:pPr>
        <w:tabs>
          <w:tab w:val="left" w:pos="0"/>
        </w:tabs>
        <w:ind w:left="3260" w:hanging="1134"/>
      </w:pPr>
      <w:rPr>
        <w:rFonts w:hint="eastAsia"/>
      </w:rPr>
    </w:lvl>
    <w:lvl w:ilvl="6" w:tentative="0">
      <w:start w:val="1"/>
      <w:numFmt w:val="decimal"/>
      <w:lvlText w:val="%1.%2.%3.%4.%5.%6.%7"/>
      <w:lvlJc w:val="left"/>
      <w:pPr>
        <w:tabs>
          <w:tab w:val="left" w:pos="0"/>
        </w:tabs>
        <w:ind w:left="3827" w:hanging="1276"/>
      </w:pPr>
      <w:rPr>
        <w:rFonts w:hint="eastAsia"/>
      </w:rPr>
    </w:lvl>
    <w:lvl w:ilvl="7" w:tentative="0">
      <w:start w:val="1"/>
      <w:numFmt w:val="decimal"/>
      <w:lvlText w:val="%1.%2.%3.%4.%5.%6.%7.%8"/>
      <w:lvlJc w:val="left"/>
      <w:pPr>
        <w:tabs>
          <w:tab w:val="left" w:pos="0"/>
        </w:tabs>
        <w:ind w:left="4394" w:hanging="1418"/>
      </w:pPr>
      <w:rPr>
        <w:rFonts w:hint="eastAsia"/>
      </w:rPr>
    </w:lvl>
    <w:lvl w:ilvl="8" w:tentative="0">
      <w:start w:val="1"/>
      <w:numFmt w:val="decimal"/>
      <w:lvlText w:val="%1.%2.%3.%4.%5.%6.%7.%8.%9"/>
      <w:lvlJc w:val="left"/>
      <w:pPr>
        <w:tabs>
          <w:tab w:val="left" w:pos="0"/>
        </w:tabs>
        <w:ind w:left="5102" w:hanging="170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g4NWJjNzg1N2YzMmJhZjg4NGFiNTQ4M2MzMTRhOGUifQ=="/>
  </w:docVars>
  <w:rsids>
    <w:rsidRoot w:val="004F1FB2"/>
    <w:rsid w:val="000006EC"/>
    <w:rsid w:val="0000215F"/>
    <w:rsid w:val="000022FB"/>
    <w:rsid w:val="00002563"/>
    <w:rsid w:val="000025D1"/>
    <w:rsid w:val="000026C2"/>
    <w:rsid w:val="0000292B"/>
    <w:rsid w:val="000030B9"/>
    <w:rsid w:val="00003FE3"/>
    <w:rsid w:val="00004971"/>
    <w:rsid w:val="00006B6B"/>
    <w:rsid w:val="00006FE7"/>
    <w:rsid w:val="0000723F"/>
    <w:rsid w:val="00007F40"/>
    <w:rsid w:val="0001096D"/>
    <w:rsid w:val="00011D16"/>
    <w:rsid w:val="00014021"/>
    <w:rsid w:val="000146F5"/>
    <w:rsid w:val="00015066"/>
    <w:rsid w:val="00015133"/>
    <w:rsid w:val="000151B4"/>
    <w:rsid w:val="0001651F"/>
    <w:rsid w:val="0001669F"/>
    <w:rsid w:val="000166BD"/>
    <w:rsid w:val="00016FCF"/>
    <w:rsid w:val="000206DD"/>
    <w:rsid w:val="00020D31"/>
    <w:rsid w:val="000215AF"/>
    <w:rsid w:val="00022E0F"/>
    <w:rsid w:val="000233C1"/>
    <w:rsid w:val="0002445D"/>
    <w:rsid w:val="00026925"/>
    <w:rsid w:val="00026FF9"/>
    <w:rsid w:val="00027765"/>
    <w:rsid w:val="000319FD"/>
    <w:rsid w:val="00032828"/>
    <w:rsid w:val="00032B00"/>
    <w:rsid w:val="000332C6"/>
    <w:rsid w:val="000333CD"/>
    <w:rsid w:val="00034306"/>
    <w:rsid w:val="00034568"/>
    <w:rsid w:val="00034628"/>
    <w:rsid w:val="00034B89"/>
    <w:rsid w:val="00034D3E"/>
    <w:rsid w:val="00035925"/>
    <w:rsid w:val="00035C5B"/>
    <w:rsid w:val="00040995"/>
    <w:rsid w:val="000414D9"/>
    <w:rsid w:val="0004222D"/>
    <w:rsid w:val="00042942"/>
    <w:rsid w:val="000429FA"/>
    <w:rsid w:val="00043B3C"/>
    <w:rsid w:val="00044AE2"/>
    <w:rsid w:val="00045D1E"/>
    <w:rsid w:val="00045DCD"/>
    <w:rsid w:val="00046527"/>
    <w:rsid w:val="00046929"/>
    <w:rsid w:val="00047CC1"/>
    <w:rsid w:val="0005046E"/>
    <w:rsid w:val="00050899"/>
    <w:rsid w:val="00050B2E"/>
    <w:rsid w:val="00050DB9"/>
    <w:rsid w:val="00051C52"/>
    <w:rsid w:val="000520F8"/>
    <w:rsid w:val="0005266A"/>
    <w:rsid w:val="00052E2A"/>
    <w:rsid w:val="000531B1"/>
    <w:rsid w:val="0005406F"/>
    <w:rsid w:val="000558CF"/>
    <w:rsid w:val="00056AB8"/>
    <w:rsid w:val="00056DF0"/>
    <w:rsid w:val="00057A38"/>
    <w:rsid w:val="000604F7"/>
    <w:rsid w:val="000608EA"/>
    <w:rsid w:val="00060F82"/>
    <w:rsid w:val="000615FD"/>
    <w:rsid w:val="00062645"/>
    <w:rsid w:val="00062E6A"/>
    <w:rsid w:val="00063956"/>
    <w:rsid w:val="0006436D"/>
    <w:rsid w:val="000649F5"/>
    <w:rsid w:val="00064A42"/>
    <w:rsid w:val="000650EF"/>
    <w:rsid w:val="00065103"/>
    <w:rsid w:val="00066279"/>
    <w:rsid w:val="0006647E"/>
    <w:rsid w:val="00066BAE"/>
    <w:rsid w:val="0006737C"/>
    <w:rsid w:val="000706D5"/>
    <w:rsid w:val="000711B8"/>
    <w:rsid w:val="00072C0F"/>
    <w:rsid w:val="00073B80"/>
    <w:rsid w:val="00073C14"/>
    <w:rsid w:val="00074394"/>
    <w:rsid w:val="00074CDD"/>
    <w:rsid w:val="000765BF"/>
    <w:rsid w:val="0008026F"/>
    <w:rsid w:val="00080CF8"/>
    <w:rsid w:val="0008104E"/>
    <w:rsid w:val="00081AFD"/>
    <w:rsid w:val="00082578"/>
    <w:rsid w:val="00082DA7"/>
    <w:rsid w:val="00084B30"/>
    <w:rsid w:val="000854F8"/>
    <w:rsid w:val="000872BA"/>
    <w:rsid w:val="00087D09"/>
    <w:rsid w:val="00091687"/>
    <w:rsid w:val="00091A19"/>
    <w:rsid w:val="00091E8B"/>
    <w:rsid w:val="00092315"/>
    <w:rsid w:val="00092560"/>
    <w:rsid w:val="00092BFB"/>
    <w:rsid w:val="00092BFE"/>
    <w:rsid w:val="0009441D"/>
    <w:rsid w:val="000946A7"/>
    <w:rsid w:val="0009647F"/>
    <w:rsid w:val="000968C5"/>
    <w:rsid w:val="00096FC0"/>
    <w:rsid w:val="00097561"/>
    <w:rsid w:val="0009760B"/>
    <w:rsid w:val="0009798B"/>
    <w:rsid w:val="000A00E0"/>
    <w:rsid w:val="000A0A2B"/>
    <w:rsid w:val="000A0B4A"/>
    <w:rsid w:val="000A1BE3"/>
    <w:rsid w:val="000A203C"/>
    <w:rsid w:val="000A2B95"/>
    <w:rsid w:val="000A2E78"/>
    <w:rsid w:val="000A3619"/>
    <w:rsid w:val="000A3629"/>
    <w:rsid w:val="000A387C"/>
    <w:rsid w:val="000A38E4"/>
    <w:rsid w:val="000A3963"/>
    <w:rsid w:val="000A3D08"/>
    <w:rsid w:val="000A4273"/>
    <w:rsid w:val="000A4530"/>
    <w:rsid w:val="000A4962"/>
    <w:rsid w:val="000A4C21"/>
    <w:rsid w:val="000A4CAC"/>
    <w:rsid w:val="000A512D"/>
    <w:rsid w:val="000A58D2"/>
    <w:rsid w:val="000A59AB"/>
    <w:rsid w:val="000A5C15"/>
    <w:rsid w:val="000A6294"/>
    <w:rsid w:val="000A69F7"/>
    <w:rsid w:val="000A727B"/>
    <w:rsid w:val="000A7D94"/>
    <w:rsid w:val="000B00DF"/>
    <w:rsid w:val="000B1355"/>
    <w:rsid w:val="000B1402"/>
    <w:rsid w:val="000B173D"/>
    <w:rsid w:val="000B1F6B"/>
    <w:rsid w:val="000B2302"/>
    <w:rsid w:val="000B2880"/>
    <w:rsid w:val="000B2935"/>
    <w:rsid w:val="000B2E29"/>
    <w:rsid w:val="000B32FA"/>
    <w:rsid w:val="000B3F88"/>
    <w:rsid w:val="000B4244"/>
    <w:rsid w:val="000B4789"/>
    <w:rsid w:val="000B4D33"/>
    <w:rsid w:val="000B4FDD"/>
    <w:rsid w:val="000B5325"/>
    <w:rsid w:val="000B54BB"/>
    <w:rsid w:val="000B59C8"/>
    <w:rsid w:val="000B6090"/>
    <w:rsid w:val="000B7DC4"/>
    <w:rsid w:val="000C0EE8"/>
    <w:rsid w:val="000C0F66"/>
    <w:rsid w:val="000C304C"/>
    <w:rsid w:val="000C307C"/>
    <w:rsid w:val="000C3232"/>
    <w:rsid w:val="000C6B72"/>
    <w:rsid w:val="000C72C7"/>
    <w:rsid w:val="000C7D67"/>
    <w:rsid w:val="000D092C"/>
    <w:rsid w:val="000D22C0"/>
    <w:rsid w:val="000D24D4"/>
    <w:rsid w:val="000D2535"/>
    <w:rsid w:val="000D26E2"/>
    <w:rsid w:val="000D34D3"/>
    <w:rsid w:val="000D3634"/>
    <w:rsid w:val="000D3719"/>
    <w:rsid w:val="000D3C2F"/>
    <w:rsid w:val="000D3D04"/>
    <w:rsid w:val="000D4627"/>
    <w:rsid w:val="000D538F"/>
    <w:rsid w:val="000D5671"/>
    <w:rsid w:val="000D5AD1"/>
    <w:rsid w:val="000D5B4E"/>
    <w:rsid w:val="000D5F4E"/>
    <w:rsid w:val="000D6235"/>
    <w:rsid w:val="000D6B97"/>
    <w:rsid w:val="000D6CD3"/>
    <w:rsid w:val="000D6E1D"/>
    <w:rsid w:val="000D776B"/>
    <w:rsid w:val="000D7A90"/>
    <w:rsid w:val="000E0808"/>
    <w:rsid w:val="000E0EB5"/>
    <w:rsid w:val="000E2144"/>
    <w:rsid w:val="000E3A3E"/>
    <w:rsid w:val="000E3FF0"/>
    <w:rsid w:val="000E45A2"/>
    <w:rsid w:val="000E51DE"/>
    <w:rsid w:val="000E5ACB"/>
    <w:rsid w:val="000E5E4B"/>
    <w:rsid w:val="000E6878"/>
    <w:rsid w:val="000E7CE7"/>
    <w:rsid w:val="000E7E59"/>
    <w:rsid w:val="000F006B"/>
    <w:rsid w:val="000F060C"/>
    <w:rsid w:val="000F12B7"/>
    <w:rsid w:val="000F146C"/>
    <w:rsid w:val="000F1B00"/>
    <w:rsid w:val="000F1B4A"/>
    <w:rsid w:val="000F2208"/>
    <w:rsid w:val="000F2358"/>
    <w:rsid w:val="000F27A4"/>
    <w:rsid w:val="000F3097"/>
    <w:rsid w:val="000F5A96"/>
    <w:rsid w:val="000F6389"/>
    <w:rsid w:val="000F6544"/>
    <w:rsid w:val="000F6DC7"/>
    <w:rsid w:val="000F71BA"/>
    <w:rsid w:val="000F72CE"/>
    <w:rsid w:val="000F7A9D"/>
    <w:rsid w:val="00100163"/>
    <w:rsid w:val="0010019A"/>
    <w:rsid w:val="00100C72"/>
    <w:rsid w:val="00101061"/>
    <w:rsid w:val="00101425"/>
    <w:rsid w:val="0010175E"/>
    <w:rsid w:val="00101D8F"/>
    <w:rsid w:val="00102056"/>
    <w:rsid w:val="001021D6"/>
    <w:rsid w:val="00102B78"/>
    <w:rsid w:val="00102CFF"/>
    <w:rsid w:val="0010336E"/>
    <w:rsid w:val="00103C3D"/>
    <w:rsid w:val="00103D8F"/>
    <w:rsid w:val="00104F65"/>
    <w:rsid w:val="00105C50"/>
    <w:rsid w:val="00105F00"/>
    <w:rsid w:val="001072CC"/>
    <w:rsid w:val="00107E63"/>
    <w:rsid w:val="00107F0D"/>
    <w:rsid w:val="00107F42"/>
    <w:rsid w:val="0011138D"/>
    <w:rsid w:val="00111454"/>
    <w:rsid w:val="001118E6"/>
    <w:rsid w:val="001119DC"/>
    <w:rsid w:val="00111CA2"/>
    <w:rsid w:val="00111E9E"/>
    <w:rsid w:val="00112090"/>
    <w:rsid w:val="001123C2"/>
    <w:rsid w:val="001127EE"/>
    <w:rsid w:val="00112C59"/>
    <w:rsid w:val="00113406"/>
    <w:rsid w:val="0011343B"/>
    <w:rsid w:val="00114E2A"/>
    <w:rsid w:val="00114F94"/>
    <w:rsid w:val="0011531D"/>
    <w:rsid w:val="001158E3"/>
    <w:rsid w:val="00115D22"/>
    <w:rsid w:val="00116FF8"/>
    <w:rsid w:val="00117D1E"/>
    <w:rsid w:val="00120F32"/>
    <w:rsid w:val="00122892"/>
    <w:rsid w:val="0012294D"/>
    <w:rsid w:val="00122B7E"/>
    <w:rsid w:val="00123AB8"/>
    <w:rsid w:val="00123CF0"/>
    <w:rsid w:val="00124F16"/>
    <w:rsid w:val="0012549A"/>
    <w:rsid w:val="001267A7"/>
    <w:rsid w:val="001267BC"/>
    <w:rsid w:val="00127189"/>
    <w:rsid w:val="00127464"/>
    <w:rsid w:val="00127C63"/>
    <w:rsid w:val="0013148C"/>
    <w:rsid w:val="00131E72"/>
    <w:rsid w:val="00132158"/>
    <w:rsid w:val="00132388"/>
    <w:rsid w:val="00135271"/>
    <w:rsid w:val="00136CAC"/>
    <w:rsid w:val="00137396"/>
    <w:rsid w:val="00137C28"/>
    <w:rsid w:val="00137E2E"/>
    <w:rsid w:val="00137E32"/>
    <w:rsid w:val="001404F2"/>
    <w:rsid w:val="00140FBD"/>
    <w:rsid w:val="001428FE"/>
    <w:rsid w:val="00142D21"/>
    <w:rsid w:val="00142E5D"/>
    <w:rsid w:val="001434AA"/>
    <w:rsid w:val="00143F58"/>
    <w:rsid w:val="00144533"/>
    <w:rsid w:val="00145F30"/>
    <w:rsid w:val="001460A0"/>
    <w:rsid w:val="00146129"/>
    <w:rsid w:val="00147255"/>
    <w:rsid w:val="00150352"/>
    <w:rsid w:val="00150658"/>
    <w:rsid w:val="00151F2F"/>
    <w:rsid w:val="00152008"/>
    <w:rsid w:val="00152303"/>
    <w:rsid w:val="001532FA"/>
    <w:rsid w:val="0015389E"/>
    <w:rsid w:val="0015394F"/>
    <w:rsid w:val="001540F1"/>
    <w:rsid w:val="00154613"/>
    <w:rsid w:val="0015570D"/>
    <w:rsid w:val="0015604F"/>
    <w:rsid w:val="001566FC"/>
    <w:rsid w:val="00156768"/>
    <w:rsid w:val="001569E6"/>
    <w:rsid w:val="00156FD7"/>
    <w:rsid w:val="00157265"/>
    <w:rsid w:val="001576C2"/>
    <w:rsid w:val="00157E7F"/>
    <w:rsid w:val="00157F81"/>
    <w:rsid w:val="00157FD7"/>
    <w:rsid w:val="00160235"/>
    <w:rsid w:val="00160886"/>
    <w:rsid w:val="00160E5A"/>
    <w:rsid w:val="00161EC4"/>
    <w:rsid w:val="00162270"/>
    <w:rsid w:val="0016238D"/>
    <w:rsid w:val="00162573"/>
    <w:rsid w:val="001627F3"/>
    <w:rsid w:val="00163012"/>
    <w:rsid w:val="0016305A"/>
    <w:rsid w:val="00163D2E"/>
    <w:rsid w:val="00164E37"/>
    <w:rsid w:val="00164E69"/>
    <w:rsid w:val="001652F1"/>
    <w:rsid w:val="00165362"/>
    <w:rsid w:val="001653FF"/>
    <w:rsid w:val="00165E66"/>
    <w:rsid w:val="001662F4"/>
    <w:rsid w:val="00166432"/>
    <w:rsid w:val="00166A79"/>
    <w:rsid w:val="00166C4D"/>
    <w:rsid w:val="00167AC5"/>
    <w:rsid w:val="00167D0E"/>
    <w:rsid w:val="001713A5"/>
    <w:rsid w:val="001716EA"/>
    <w:rsid w:val="00171B59"/>
    <w:rsid w:val="00171F7B"/>
    <w:rsid w:val="00172085"/>
    <w:rsid w:val="001739CD"/>
    <w:rsid w:val="001748B1"/>
    <w:rsid w:val="00174A87"/>
    <w:rsid w:val="001754D2"/>
    <w:rsid w:val="00175C21"/>
    <w:rsid w:val="0017716B"/>
    <w:rsid w:val="00177A7D"/>
    <w:rsid w:val="00177DD7"/>
    <w:rsid w:val="001800B8"/>
    <w:rsid w:val="00180298"/>
    <w:rsid w:val="001802C0"/>
    <w:rsid w:val="0018068A"/>
    <w:rsid w:val="001809FD"/>
    <w:rsid w:val="00181671"/>
    <w:rsid w:val="00181750"/>
    <w:rsid w:val="00181D8B"/>
    <w:rsid w:val="001823BE"/>
    <w:rsid w:val="00182C9A"/>
    <w:rsid w:val="0018360B"/>
    <w:rsid w:val="001836A1"/>
    <w:rsid w:val="00183F93"/>
    <w:rsid w:val="00184D9C"/>
    <w:rsid w:val="00185687"/>
    <w:rsid w:val="0018712B"/>
    <w:rsid w:val="0018748E"/>
    <w:rsid w:val="00187D5D"/>
    <w:rsid w:val="00190B39"/>
    <w:rsid w:val="0019142A"/>
    <w:rsid w:val="001919CC"/>
    <w:rsid w:val="00191A2E"/>
    <w:rsid w:val="00191BB2"/>
    <w:rsid w:val="00191CE7"/>
    <w:rsid w:val="00191E31"/>
    <w:rsid w:val="001927D4"/>
    <w:rsid w:val="00192DDB"/>
    <w:rsid w:val="001931EB"/>
    <w:rsid w:val="00193F78"/>
    <w:rsid w:val="00194876"/>
    <w:rsid w:val="001949C7"/>
    <w:rsid w:val="001956F7"/>
    <w:rsid w:val="001964BC"/>
    <w:rsid w:val="00196624"/>
    <w:rsid w:val="0019665F"/>
    <w:rsid w:val="00196C07"/>
    <w:rsid w:val="00196E8A"/>
    <w:rsid w:val="00197C1C"/>
    <w:rsid w:val="001A04F7"/>
    <w:rsid w:val="001A0657"/>
    <w:rsid w:val="001A0D11"/>
    <w:rsid w:val="001A1085"/>
    <w:rsid w:val="001A133A"/>
    <w:rsid w:val="001A1F45"/>
    <w:rsid w:val="001A20BF"/>
    <w:rsid w:val="001A31D4"/>
    <w:rsid w:val="001A3E98"/>
    <w:rsid w:val="001A54B4"/>
    <w:rsid w:val="001A6FFF"/>
    <w:rsid w:val="001A748A"/>
    <w:rsid w:val="001A79E6"/>
    <w:rsid w:val="001A7DF7"/>
    <w:rsid w:val="001B0582"/>
    <w:rsid w:val="001B0B2C"/>
    <w:rsid w:val="001B0DFF"/>
    <w:rsid w:val="001B1EE8"/>
    <w:rsid w:val="001B1FE6"/>
    <w:rsid w:val="001B236A"/>
    <w:rsid w:val="001B2558"/>
    <w:rsid w:val="001B2DF9"/>
    <w:rsid w:val="001B3425"/>
    <w:rsid w:val="001B458A"/>
    <w:rsid w:val="001B4C25"/>
    <w:rsid w:val="001B5936"/>
    <w:rsid w:val="001B5C40"/>
    <w:rsid w:val="001B67AC"/>
    <w:rsid w:val="001B6FF3"/>
    <w:rsid w:val="001B73FA"/>
    <w:rsid w:val="001B7CAC"/>
    <w:rsid w:val="001C0564"/>
    <w:rsid w:val="001C140A"/>
    <w:rsid w:val="001C175C"/>
    <w:rsid w:val="001C4459"/>
    <w:rsid w:val="001C47A8"/>
    <w:rsid w:val="001C5603"/>
    <w:rsid w:val="001C58B1"/>
    <w:rsid w:val="001C58FA"/>
    <w:rsid w:val="001C591C"/>
    <w:rsid w:val="001C5BF2"/>
    <w:rsid w:val="001C5E2C"/>
    <w:rsid w:val="001C697D"/>
    <w:rsid w:val="001C6D1A"/>
    <w:rsid w:val="001C70D9"/>
    <w:rsid w:val="001C720F"/>
    <w:rsid w:val="001C7BC7"/>
    <w:rsid w:val="001D0A23"/>
    <w:rsid w:val="001D1009"/>
    <w:rsid w:val="001D10C4"/>
    <w:rsid w:val="001D16F3"/>
    <w:rsid w:val="001D1AC6"/>
    <w:rsid w:val="001D1E5C"/>
    <w:rsid w:val="001D2134"/>
    <w:rsid w:val="001D2AEC"/>
    <w:rsid w:val="001D2B36"/>
    <w:rsid w:val="001D3D63"/>
    <w:rsid w:val="001D3FCE"/>
    <w:rsid w:val="001D4E1E"/>
    <w:rsid w:val="001D547E"/>
    <w:rsid w:val="001D581B"/>
    <w:rsid w:val="001D5BDF"/>
    <w:rsid w:val="001D6121"/>
    <w:rsid w:val="001D6A3E"/>
    <w:rsid w:val="001D6AC1"/>
    <w:rsid w:val="001D6F64"/>
    <w:rsid w:val="001D72B1"/>
    <w:rsid w:val="001D7E4C"/>
    <w:rsid w:val="001E159E"/>
    <w:rsid w:val="001E2CD1"/>
    <w:rsid w:val="001E3105"/>
    <w:rsid w:val="001E3C14"/>
    <w:rsid w:val="001E55BB"/>
    <w:rsid w:val="001E57DD"/>
    <w:rsid w:val="001E58ED"/>
    <w:rsid w:val="001E5948"/>
    <w:rsid w:val="001E5A43"/>
    <w:rsid w:val="001E6B29"/>
    <w:rsid w:val="001E6DBB"/>
    <w:rsid w:val="001E79B7"/>
    <w:rsid w:val="001F068A"/>
    <w:rsid w:val="001F0717"/>
    <w:rsid w:val="001F085D"/>
    <w:rsid w:val="001F0A71"/>
    <w:rsid w:val="001F152D"/>
    <w:rsid w:val="001F20A5"/>
    <w:rsid w:val="001F20DB"/>
    <w:rsid w:val="001F2728"/>
    <w:rsid w:val="001F3631"/>
    <w:rsid w:val="001F36DC"/>
    <w:rsid w:val="001F401B"/>
    <w:rsid w:val="001F482C"/>
    <w:rsid w:val="001F4DF4"/>
    <w:rsid w:val="001F5561"/>
    <w:rsid w:val="001F59CE"/>
    <w:rsid w:val="001F5A27"/>
    <w:rsid w:val="001F685C"/>
    <w:rsid w:val="001F7401"/>
    <w:rsid w:val="001F7669"/>
    <w:rsid w:val="001F7BB2"/>
    <w:rsid w:val="0020087C"/>
    <w:rsid w:val="002024AB"/>
    <w:rsid w:val="00202DEB"/>
    <w:rsid w:val="00203302"/>
    <w:rsid w:val="00203A16"/>
    <w:rsid w:val="00203B94"/>
    <w:rsid w:val="00203E04"/>
    <w:rsid w:val="00204EFE"/>
    <w:rsid w:val="00205BB1"/>
    <w:rsid w:val="002068BA"/>
    <w:rsid w:val="0020758E"/>
    <w:rsid w:val="00207D29"/>
    <w:rsid w:val="00207FF4"/>
    <w:rsid w:val="0021058D"/>
    <w:rsid w:val="00210AE0"/>
    <w:rsid w:val="00210BDA"/>
    <w:rsid w:val="0021159B"/>
    <w:rsid w:val="002117FC"/>
    <w:rsid w:val="002136E1"/>
    <w:rsid w:val="00214837"/>
    <w:rsid w:val="002149A7"/>
    <w:rsid w:val="00214D46"/>
    <w:rsid w:val="0021529D"/>
    <w:rsid w:val="002155EB"/>
    <w:rsid w:val="0021579F"/>
    <w:rsid w:val="002160B8"/>
    <w:rsid w:val="002163B8"/>
    <w:rsid w:val="00217397"/>
    <w:rsid w:val="002174C6"/>
    <w:rsid w:val="00217F1F"/>
    <w:rsid w:val="002207EA"/>
    <w:rsid w:val="00221422"/>
    <w:rsid w:val="00223056"/>
    <w:rsid w:val="00223414"/>
    <w:rsid w:val="0022475D"/>
    <w:rsid w:val="0022533E"/>
    <w:rsid w:val="002253CF"/>
    <w:rsid w:val="00226713"/>
    <w:rsid w:val="00226F13"/>
    <w:rsid w:val="00227675"/>
    <w:rsid w:val="00227DD6"/>
    <w:rsid w:val="00230B90"/>
    <w:rsid w:val="00230FD4"/>
    <w:rsid w:val="002314EE"/>
    <w:rsid w:val="00231F62"/>
    <w:rsid w:val="00232A75"/>
    <w:rsid w:val="00232B0C"/>
    <w:rsid w:val="00232EA8"/>
    <w:rsid w:val="00232F14"/>
    <w:rsid w:val="002338B7"/>
    <w:rsid w:val="00233B76"/>
    <w:rsid w:val="0023572A"/>
    <w:rsid w:val="00236320"/>
    <w:rsid w:val="002364A3"/>
    <w:rsid w:val="00236AEF"/>
    <w:rsid w:val="00236F23"/>
    <w:rsid w:val="002375B4"/>
    <w:rsid w:val="00237E26"/>
    <w:rsid w:val="00237E44"/>
    <w:rsid w:val="00240208"/>
    <w:rsid w:val="00240BD9"/>
    <w:rsid w:val="00241278"/>
    <w:rsid w:val="00241900"/>
    <w:rsid w:val="00241D63"/>
    <w:rsid w:val="00241F7C"/>
    <w:rsid w:val="00242238"/>
    <w:rsid w:val="00242F8D"/>
    <w:rsid w:val="00243791"/>
    <w:rsid w:val="00245C95"/>
    <w:rsid w:val="002464E2"/>
    <w:rsid w:val="00246922"/>
    <w:rsid w:val="0024729F"/>
    <w:rsid w:val="0024735A"/>
    <w:rsid w:val="002505AB"/>
    <w:rsid w:val="00250E65"/>
    <w:rsid w:val="002511E7"/>
    <w:rsid w:val="00251592"/>
    <w:rsid w:val="00251936"/>
    <w:rsid w:val="00251F4D"/>
    <w:rsid w:val="0025229A"/>
    <w:rsid w:val="00252AC2"/>
    <w:rsid w:val="00253F8B"/>
    <w:rsid w:val="00254DA9"/>
    <w:rsid w:val="00255602"/>
    <w:rsid w:val="00255956"/>
    <w:rsid w:val="00256793"/>
    <w:rsid w:val="00256966"/>
    <w:rsid w:val="00256D3C"/>
    <w:rsid w:val="00257A55"/>
    <w:rsid w:val="00257D68"/>
    <w:rsid w:val="00260003"/>
    <w:rsid w:val="00260C8A"/>
    <w:rsid w:val="00261037"/>
    <w:rsid w:val="002612B3"/>
    <w:rsid w:val="00261EF3"/>
    <w:rsid w:val="00262281"/>
    <w:rsid w:val="00262868"/>
    <w:rsid w:val="00263EB3"/>
    <w:rsid w:val="00264313"/>
    <w:rsid w:val="002645A8"/>
    <w:rsid w:val="00264BF6"/>
    <w:rsid w:val="00264F10"/>
    <w:rsid w:val="00265575"/>
    <w:rsid w:val="00266601"/>
    <w:rsid w:val="00266E61"/>
    <w:rsid w:val="0026723B"/>
    <w:rsid w:val="002672C9"/>
    <w:rsid w:val="002673DA"/>
    <w:rsid w:val="002708DB"/>
    <w:rsid w:val="00270DD8"/>
    <w:rsid w:val="002717DD"/>
    <w:rsid w:val="00272F08"/>
    <w:rsid w:val="002730F8"/>
    <w:rsid w:val="002731DF"/>
    <w:rsid w:val="00273E65"/>
    <w:rsid w:val="002746D3"/>
    <w:rsid w:val="00274A20"/>
    <w:rsid w:val="00274E6F"/>
    <w:rsid w:val="00275F43"/>
    <w:rsid w:val="002768B2"/>
    <w:rsid w:val="002779DB"/>
    <w:rsid w:val="00280232"/>
    <w:rsid w:val="00280651"/>
    <w:rsid w:val="0028095A"/>
    <w:rsid w:val="00280EAB"/>
    <w:rsid w:val="0028189F"/>
    <w:rsid w:val="0028220C"/>
    <w:rsid w:val="00282CC7"/>
    <w:rsid w:val="00282E84"/>
    <w:rsid w:val="00283518"/>
    <w:rsid w:val="0028393F"/>
    <w:rsid w:val="00287442"/>
    <w:rsid w:val="0029040F"/>
    <w:rsid w:val="00290638"/>
    <w:rsid w:val="002908C6"/>
    <w:rsid w:val="0029092B"/>
    <w:rsid w:val="00291493"/>
    <w:rsid w:val="002939DB"/>
    <w:rsid w:val="00293E31"/>
    <w:rsid w:val="002940B5"/>
    <w:rsid w:val="002947B3"/>
    <w:rsid w:val="002949BD"/>
    <w:rsid w:val="00295332"/>
    <w:rsid w:val="002978C9"/>
    <w:rsid w:val="002A07DB"/>
    <w:rsid w:val="002A084B"/>
    <w:rsid w:val="002A1672"/>
    <w:rsid w:val="002A19FC"/>
    <w:rsid w:val="002A1E4A"/>
    <w:rsid w:val="002A1F95"/>
    <w:rsid w:val="002A2232"/>
    <w:rsid w:val="002A2304"/>
    <w:rsid w:val="002A2355"/>
    <w:rsid w:val="002A279A"/>
    <w:rsid w:val="002A2B91"/>
    <w:rsid w:val="002A355E"/>
    <w:rsid w:val="002A3CEA"/>
    <w:rsid w:val="002A4629"/>
    <w:rsid w:val="002A49D6"/>
    <w:rsid w:val="002A55C5"/>
    <w:rsid w:val="002A5B21"/>
    <w:rsid w:val="002A6AC0"/>
    <w:rsid w:val="002A7C7E"/>
    <w:rsid w:val="002B069B"/>
    <w:rsid w:val="002B1527"/>
    <w:rsid w:val="002B1E96"/>
    <w:rsid w:val="002B277E"/>
    <w:rsid w:val="002B287F"/>
    <w:rsid w:val="002B2C15"/>
    <w:rsid w:val="002B30DB"/>
    <w:rsid w:val="002B3389"/>
    <w:rsid w:val="002B3B9B"/>
    <w:rsid w:val="002B40CF"/>
    <w:rsid w:val="002B4B13"/>
    <w:rsid w:val="002B4E46"/>
    <w:rsid w:val="002B5B8C"/>
    <w:rsid w:val="002B5CFF"/>
    <w:rsid w:val="002B72BE"/>
    <w:rsid w:val="002B7376"/>
    <w:rsid w:val="002C0AF6"/>
    <w:rsid w:val="002C0CD9"/>
    <w:rsid w:val="002C182B"/>
    <w:rsid w:val="002C2337"/>
    <w:rsid w:val="002C2EFC"/>
    <w:rsid w:val="002C3624"/>
    <w:rsid w:val="002C46D5"/>
    <w:rsid w:val="002C4A28"/>
    <w:rsid w:val="002C4D80"/>
    <w:rsid w:val="002C4F12"/>
    <w:rsid w:val="002C5219"/>
    <w:rsid w:val="002C63FA"/>
    <w:rsid w:val="002C68B5"/>
    <w:rsid w:val="002C79AB"/>
    <w:rsid w:val="002D00E0"/>
    <w:rsid w:val="002D083E"/>
    <w:rsid w:val="002D1287"/>
    <w:rsid w:val="002D1DA9"/>
    <w:rsid w:val="002D22F9"/>
    <w:rsid w:val="002D37BB"/>
    <w:rsid w:val="002D4117"/>
    <w:rsid w:val="002D47A1"/>
    <w:rsid w:val="002D4C0C"/>
    <w:rsid w:val="002D5586"/>
    <w:rsid w:val="002D5EA5"/>
    <w:rsid w:val="002D5F11"/>
    <w:rsid w:val="002D66D8"/>
    <w:rsid w:val="002D6ADD"/>
    <w:rsid w:val="002D6D04"/>
    <w:rsid w:val="002D6DDF"/>
    <w:rsid w:val="002D754E"/>
    <w:rsid w:val="002E0675"/>
    <w:rsid w:val="002E2104"/>
    <w:rsid w:val="002E2BF6"/>
    <w:rsid w:val="002E2E17"/>
    <w:rsid w:val="002E41D1"/>
    <w:rsid w:val="002E453C"/>
    <w:rsid w:val="002E515F"/>
    <w:rsid w:val="002E66E2"/>
    <w:rsid w:val="002E67B8"/>
    <w:rsid w:val="002E6C85"/>
    <w:rsid w:val="002E702C"/>
    <w:rsid w:val="002E7CA4"/>
    <w:rsid w:val="002E7F72"/>
    <w:rsid w:val="002F2723"/>
    <w:rsid w:val="002F2CE6"/>
    <w:rsid w:val="002F460D"/>
    <w:rsid w:val="002F46BF"/>
    <w:rsid w:val="002F5026"/>
    <w:rsid w:val="002F525E"/>
    <w:rsid w:val="002F5BEF"/>
    <w:rsid w:val="002F60D7"/>
    <w:rsid w:val="002F704B"/>
    <w:rsid w:val="002F728F"/>
    <w:rsid w:val="002F7652"/>
    <w:rsid w:val="002F7D6C"/>
    <w:rsid w:val="0030144C"/>
    <w:rsid w:val="00301820"/>
    <w:rsid w:val="003018B0"/>
    <w:rsid w:val="00301DAA"/>
    <w:rsid w:val="00303624"/>
    <w:rsid w:val="00303657"/>
    <w:rsid w:val="00304330"/>
    <w:rsid w:val="0030446C"/>
    <w:rsid w:val="00304530"/>
    <w:rsid w:val="00305B9A"/>
    <w:rsid w:val="00305C1A"/>
    <w:rsid w:val="00306920"/>
    <w:rsid w:val="003078C5"/>
    <w:rsid w:val="00307A0B"/>
    <w:rsid w:val="00311941"/>
    <w:rsid w:val="003119AF"/>
    <w:rsid w:val="00311E78"/>
    <w:rsid w:val="00312378"/>
    <w:rsid w:val="00312487"/>
    <w:rsid w:val="00313050"/>
    <w:rsid w:val="003140B9"/>
    <w:rsid w:val="00315E0D"/>
    <w:rsid w:val="00316144"/>
    <w:rsid w:val="0031643F"/>
    <w:rsid w:val="00316B55"/>
    <w:rsid w:val="00316DB7"/>
    <w:rsid w:val="0032014F"/>
    <w:rsid w:val="00322286"/>
    <w:rsid w:val="00322722"/>
    <w:rsid w:val="00323371"/>
    <w:rsid w:val="00324E1B"/>
    <w:rsid w:val="00326B74"/>
    <w:rsid w:val="0032720E"/>
    <w:rsid w:val="00327829"/>
    <w:rsid w:val="00327BE5"/>
    <w:rsid w:val="00330216"/>
    <w:rsid w:val="00330A25"/>
    <w:rsid w:val="00331162"/>
    <w:rsid w:val="00331C1D"/>
    <w:rsid w:val="003320B4"/>
    <w:rsid w:val="00332171"/>
    <w:rsid w:val="00332720"/>
    <w:rsid w:val="00332A88"/>
    <w:rsid w:val="00336985"/>
    <w:rsid w:val="00336DCF"/>
    <w:rsid w:val="0033746C"/>
    <w:rsid w:val="00341268"/>
    <w:rsid w:val="003415A3"/>
    <w:rsid w:val="00341DCD"/>
    <w:rsid w:val="00342051"/>
    <w:rsid w:val="00342C20"/>
    <w:rsid w:val="00344063"/>
    <w:rsid w:val="00344F3E"/>
    <w:rsid w:val="0034514A"/>
    <w:rsid w:val="00346903"/>
    <w:rsid w:val="00346A61"/>
    <w:rsid w:val="00346BEA"/>
    <w:rsid w:val="00346C6A"/>
    <w:rsid w:val="003470E4"/>
    <w:rsid w:val="003505C8"/>
    <w:rsid w:val="00350F99"/>
    <w:rsid w:val="00352090"/>
    <w:rsid w:val="00352584"/>
    <w:rsid w:val="003532BD"/>
    <w:rsid w:val="0035366C"/>
    <w:rsid w:val="003538A0"/>
    <w:rsid w:val="00354C3D"/>
    <w:rsid w:val="003554DD"/>
    <w:rsid w:val="003557DD"/>
    <w:rsid w:val="0035653C"/>
    <w:rsid w:val="003566AD"/>
    <w:rsid w:val="003567B6"/>
    <w:rsid w:val="0035794A"/>
    <w:rsid w:val="00363014"/>
    <w:rsid w:val="003631E0"/>
    <w:rsid w:val="0036424E"/>
    <w:rsid w:val="0036460F"/>
    <w:rsid w:val="003648C0"/>
    <w:rsid w:val="0036510E"/>
    <w:rsid w:val="00365A99"/>
    <w:rsid w:val="00366ACC"/>
    <w:rsid w:val="0036740E"/>
    <w:rsid w:val="00367CCE"/>
    <w:rsid w:val="00367E08"/>
    <w:rsid w:val="0037105C"/>
    <w:rsid w:val="003723AC"/>
    <w:rsid w:val="00372AAE"/>
    <w:rsid w:val="00374A0E"/>
    <w:rsid w:val="0037576D"/>
    <w:rsid w:val="00376CF1"/>
    <w:rsid w:val="00376D7D"/>
    <w:rsid w:val="00381840"/>
    <w:rsid w:val="0038197E"/>
    <w:rsid w:val="0038226E"/>
    <w:rsid w:val="00382997"/>
    <w:rsid w:val="00382C91"/>
    <w:rsid w:val="00383861"/>
    <w:rsid w:val="0038473C"/>
    <w:rsid w:val="00385057"/>
    <w:rsid w:val="003858AB"/>
    <w:rsid w:val="0038684E"/>
    <w:rsid w:val="00386D5A"/>
    <w:rsid w:val="00387562"/>
    <w:rsid w:val="003901C9"/>
    <w:rsid w:val="0039039F"/>
    <w:rsid w:val="003906BF"/>
    <w:rsid w:val="00390B9C"/>
    <w:rsid w:val="0039101D"/>
    <w:rsid w:val="00391158"/>
    <w:rsid w:val="00392B76"/>
    <w:rsid w:val="00393F9B"/>
    <w:rsid w:val="00394E08"/>
    <w:rsid w:val="00395948"/>
    <w:rsid w:val="00395E92"/>
    <w:rsid w:val="00395FD2"/>
    <w:rsid w:val="00396A5F"/>
    <w:rsid w:val="003A16B2"/>
    <w:rsid w:val="003A1C8E"/>
    <w:rsid w:val="003A264A"/>
    <w:rsid w:val="003A270F"/>
    <w:rsid w:val="003A27C0"/>
    <w:rsid w:val="003A30E2"/>
    <w:rsid w:val="003A4D25"/>
    <w:rsid w:val="003A5540"/>
    <w:rsid w:val="003A5BAD"/>
    <w:rsid w:val="003A71A3"/>
    <w:rsid w:val="003A7556"/>
    <w:rsid w:val="003A78E9"/>
    <w:rsid w:val="003A7CE3"/>
    <w:rsid w:val="003B040D"/>
    <w:rsid w:val="003B0A16"/>
    <w:rsid w:val="003B1040"/>
    <w:rsid w:val="003B1559"/>
    <w:rsid w:val="003B181C"/>
    <w:rsid w:val="003B1DDC"/>
    <w:rsid w:val="003B23C1"/>
    <w:rsid w:val="003B338E"/>
    <w:rsid w:val="003B37A1"/>
    <w:rsid w:val="003B3D1D"/>
    <w:rsid w:val="003B4596"/>
    <w:rsid w:val="003B5DB5"/>
    <w:rsid w:val="003B6C10"/>
    <w:rsid w:val="003B7120"/>
    <w:rsid w:val="003B71F5"/>
    <w:rsid w:val="003B73F1"/>
    <w:rsid w:val="003C02FD"/>
    <w:rsid w:val="003C04C6"/>
    <w:rsid w:val="003C0A92"/>
    <w:rsid w:val="003C0BCA"/>
    <w:rsid w:val="003C127E"/>
    <w:rsid w:val="003C17F1"/>
    <w:rsid w:val="003C1885"/>
    <w:rsid w:val="003C1D22"/>
    <w:rsid w:val="003C2602"/>
    <w:rsid w:val="003C26E2"/>
    <w:rsid w:val="003C3496"/>
    <w:rsid w:val="003C3E4A"/>
    <w:rsid w:val="003C490E"/>
    <w:rsid w:val="003C4A90"/>
    <w:rsid w:val="003C4EAD"/>
    <w:rsid w:val="003C6137"/>
    <w:rsid w:val="003C7053"/>
    <w:rsid w:val="003C72CF"/>
    <w:rsid w:val="003C76F8"/>
    <w:rsid w:val="003C7C46"/>
    <w:rsid w:val="003C7E8B"/>
    <w:rsid w:val="003D08E8"/>
    <w:rsid w:val="003D0A59"/>
    <w:rsid w:val="003D117E"/>
    <w:rsid w:val="003D14D1"/>
    <w:rsid w:val="003D1B8C"/>
    <w:rsid w:val="003D1D11"/>
    <w:rsid w:val="003D20A1"/>
    <w:rsid w:val="003D24B3"/>
    <w:rsid w:val="003D2E12"/>
    <w:rsid w:val="003D35EE"/>
    <w:rsid w:val="003D370F"/>
    <w:rsid w:val="003D45E7"/>
    <w:rsid w:val="003D47E2"/>
    <w:rsid w:val="003D4CD4"/>
    <w:rsid w:val="003D5018"/>
    <w:rsid w:val="003D50A4"/>
    <w:rsid w:val="003D6D0F"/>
    <w:rsid w:val="003D77DF"/>
    <w:rsid w:val="003D791A"/>
    <w:rsid w:val="003D7CAC"/>
    <w:rsid w:val="003D7FCE"/>
    <w:rsid w:val="003E07A8"/>
    <w:rsid w:val="003E119E"/>
    <w:rsid w:val="003E1F58"/>
    <w:rsid w:val="003E236B"/>
    <w:rsid w:val="003E25D9"/>
    <w:rsid w:val="003E2613"/>
    <w:rsid w:val="003E26D4"/>
    <w:rsid w:val="003E33C1"/>
    <w:rsid w:val="003E3E33"/>
    <w:rsid w:val="003E48BE"/>
    <w:rsid w:val="003E524A"/>
    <w:rsid w:val="003E595D"/>
    <w:rsid w:val="003E60F0"/>
    <w:rsid w:val="003E673E"/>
    <w:rsid w:val="003E75C4"/>
    <w:rsid w:val="003E794C"/>
    <w:rsid w:val="003E7CAC"/>
    <w:rsid w:val="003E7CF9"/>
    <w:rsid w:val="003F018D"/>
    <w:rsid w:val="003F0305"/>
    <w:rsid w:val="003F055E"/>
    <w:rsid w:val="003F0853"/>
    <w:rsid w:val="003F09FC"/>
    <w:rsid w:val="003F0D61"/>
    <w:rsid w:val="003F1CAA"/>
    <w:rsid w:val="003F1E9D"/>
    <w:rsid w:val="003F30CB"/>
    <w:rsid w:val="003F30D0"/>
    <w:rsid w:val="003F37B0"/>
    <w:rsid w:val="003F3990"/>
    <w:rsid w:val="003F40BA"/>
    <w:rsid w:val="003F48AE"/>
    <w:rsid w:val="003F508E"/>
    <w:rsid w:val="003F5286"/>
    <w:rsid w:val="003F577A"/>
    <w:rsid w:val="003F59A8"/>
    <w:rsid w:val="003F5A6A"/>
    <w:rsid w:val="003F7319"/>
    <w:rsid w:val="003F7669"/>
    <w:rsid w:val="00400849"/>
    <w:rsid w:val="004008C0"/>
    <w:rsid w:val="00400DB5"/>
    <w:rsid w:val="00400E40"/>
    <w:rsid w:val="00401260"/>
    <w:rsid w:val="00401A7F"/>
    <w:rsid w:val="00401DCB"/>
    <w:rsid w:val="00401E32"/>
    <w:rsid w:val="00401E90"/>
    <w:rsid w:val="00402A8F"/>
    <w:rsid w:val="00403E64"/>
    <w:rsid w:val="00403E7D"/>
    <w:rsid w:val="00404239"/>
    <w:rsid w:val="00404ED3"/>
    <w:rsid w:val="004052D5"/>
    <w:rsid w:val="004060E6"/>
    <w:rsid w:val="00406BE6"/>
    <w:rsid w:val="00406CD0"/>
    <w:rsid w:val="00406F24"/>
    <w:rsid w:val="00407193"/>
    <w:rsid w:val="004071CA"/>
    <w:rsid w:val="00407C3D"/>
    <w:rsid w:val="00407FE1"/>
    <w:rsid w:val="00410394"/>
    <w:rsid w:val="00410643"/>
    <w:rsid w:val="00411B6A"/>
    <w:rsid w:val="00412ABE"/>
    <w:rsid w:val="0041311E"/>
    <w:rsid w:val="00413131"/>
    <w:rsid w:val="004137D2"/>
    <w:rsid w:val="004138AA"/>
    <w:rsid w:val="00413938"/>
    <w:rsid w:val="00413CC8"/>
    <w:rsid w:val="00414136"/>
    <w:rsid w:val="0041426D"/>
    <w:rsid w:val="00414CF4"/>
    <w:rsid w:val="00414F66"/>
    <w:rsid w:val="00416088"/>
    <w:rsid w:val="00417BC6"/>
    <w:rsid w:val="00421123"/>
    <w:rsid w:val="00421235"/>
    <w:rsid w:val="0042142D"/>
    <w:rsid w:val="00421D49"/>
    <w:rsid w:val="004222DA"/>
    <w:rsid w:val="00422487"/>
    <w:rsid w:val="00422749"/>
    <w:rsid w:val="00425346"/>
    <w:rsid w:val="00425A71"/>
    <w:rsid w:val="00425C0D"/>
    <w:rsid w:val="00427898"/>
    <w:rsid w:val="00427AD1"/>
    <w:rsid w:val="0043002D"/>
    <w:rsid w:val="00430113"/>
    <w:rsid w:val="0043084A"/>
    <w:rsid w:val="00431883"/>
    <w:rsid w:val="00431B12"/>
    <w:rsid w:val="00431F95"/>
    <w:rsid w:val="00432908"/>
    <w:rsid w:val="004339D4"/>
    <w:rsid w:val="00433E4E"/>
    <w:rsid w:val="00434534"/>
    <w:rsid w:val="00434737"/>
    <w:rsid w:val="00435153"/>
    <w:rsid w:val="004351A6"/>
    <w:rsid w:val="004352A5"/>
    <w:rsid w:val="00435575"/>
    <w:rsid w:val="004360CD"/>
    <w:rsid w:val="004361BE"/>
    <w:rsid w:val="00436321"/>
    <w:rsid w:val="00436E49"/>
    <w:rsid w:val="00436F6C"/>
    <w:rsid w:val="004375E6"/>
    <w:rsid w:val="0043781A"/>
    <w:rsid w:val="00437CA5"/>
    <w:rsid w:val="00437F89"/>
    <w:rsid w:val="00440695"/>
    <w:rsid w:val="0044101F"/>
    <w:rsid w:val="004410C3"/>
    <w:rsid w:val="00442528"/>
    <w:rsid w:val="004427DD"/>
    <w:rsid w:val="00442DC9"/>
    <w:rsid w:val="00443F9B"/>
    <w:rsid w:val="00444310"/>
    <w:rsid w:val="0044452F"/>
    <w:rsid w:val="00444AB9"/>
    <w:rsid w:val="004452E5"/>
    <w:rsid w:val="004457D9"/>
    <w:rsid w:val="0044598F"/>
    <w:rsid w:val="00445C41"/>
    <w:rsid w:val="00445DA1"/>
    <w:rsid w:val="00445E20"/>
    <w:rsid w:val="004468F4"/>
    <w:rsid w:val="00447347"/>
    <w:rsid w:val="00447455"/>
    <w:rsid w:val="004478A0"/>
    <w:rsid w:val="004504B1"/>
    <w:rsid w:val="0045050E"/>
    <w:rsid w:val="00450C6A"/>
    <w:rsid w:val="00451859"/>
    <w:rsid w:val="00451C5C"/>
    <w:rsid w:val="00453B08"/>
    <w:rsid w:val="00453B8D"/>
    <w:rsid w:val="00454556"/>
    <w:rsid w:val="00455973"/>
    <w:rsid w:val="00456113"/>
    <w:rsid w:val="004579A5"/>
    <w:rsid w:val="00457E86"/>
    <w:rsid w:val="00460194"/>
    <w:rsid w:val="004604D7"/>
    <w:rsid w:val="00460F40"/>
    <w:rsid w:val="00461432"/>
    <w:rsid w:val="00461554"/>
    <w:rsid w:val="0046312B"/>
    <w:rsid w:val="00463832"/>
    <w:rsid w:val="00463990"/>
    <w:rsid w:val="00463D5E"/>
    <w:rsid w:val="00464B37"/>
    <w:rsid w:val="00464BCD"/>
    <w:rsid w:val="004657AD"/>
    <w:rsid w:val="00465C66"/>
    <w:rsid w:val="00465E52"/>
    <w:rsid w:val="004661B7"/>
    <w:rsid w:val="00466641"/>
    <w:rsid w:val="0046772E"/>
    <w:rsid w:val="0046784C"/>
    <w:rsid w:val="00471062"/>
    <w:rsid w:val="00471627"/>
    <w:rsid w:val="00471CB7"/>
    <w:rsid w:val="00472DFA"/>
    <w:rsid w:val="00473483"/>
    <w:rsid w:val="00473E98"/>
    <w:rsid w:val="0047450C"/>
    <w:rsid w:val="00474867"/>
    <w:rsid w:val="004758F3"/>
    <w:rsid w:val="00475D2D"/>
    <w:rsid w:val="004768BC"/>
    <w:rsid w:val="00477144"/>
    <w:rsid w:val="00477708"/>
    <w:rsid w:val="00477771"/>
    <w:rsid w:val="00480EC6"/>
    <w:rsid w:val="00481209"/>
    <w:rsid w:val="0048168F"/>
    <w:rsid w:val="00482A81"/>
    <w:rsid w:val="00483FD1"/>
    <w:rsid w:val="00484429"/>
    <w:rsid w:val="00484CAE"/>
    <w:rsid w:val="00484F00"/>
    <w:rsid w:val="00485537"/>
    <w:rsid w:val="0048576D"/>
    <w:rsid w:val="00485B3D"/>
    <w:rsid w:val="00485B7B"/>
    <w:rsid w:val="00485F16"/>
    <w:rsid w:val="004863CA"/>
    <w:rsid w:val="004869DE"/>
    <w:rsid w:val="00490CC1"/>
    <w:rsid w:val="00490ED1"/>
    <w:rsid w:val="004916DA"/>
    <w:rsid w:val="0049237A"/>
    <w:rsid w:val="00492D5C"/>
    <w:rsid w:val="0049342F"/>
    <w:rsid w:val="00494436"/>
    <w:rsid w:val="004949F6"/>
    <w:rsid w:val="00494E0C"/>
    <w:rsid w:val="004959B4"/>
    <w:rsid w:val="004962A6"/>
    <w:rsid w:val="00496F51"/>
    <w:rsid w:val="00496FC0"/>
    <w:rsid w:val="00497288"/>
    <w:rsid w:val="004977C7"/>
    <w:rsid w:val="0049789C"/>
    <w:rsid w:val="00497F0B"/>
    <w:rsid w:val="004A064A"/>
    <w:rsid w:val="004A0898"/>
    <w:rsid w:val="004A0E27"/>
    <w:rsid w:val="004A0F3A"/>
    <w:rsid w:val="004A11C4"/>
    <w:rsid w:val="004A1517"/>
    <w:rsid w:val="004A172A"/>
    <w:rsid w:val="004A2D3B"/>
    <w:rsid w:val="004A340F"/>
    <w:rsid w:val="004A35A6"/>
    <w:rsid w:val="004A3F41"/>
    <w:rsid w:val="004A430E"/>
    <w:rsid w:val="004A5CCB"/>
    <w:rsid w:val="004A5D87"/>
    <w:rsid w:val="004A62B0"/>
    <w:rsid w:val="004A63C2"/>
    <w:rsid w:val="004A647F"/>
    <w:rsid w:val="004A6EE2"/>
    <w:rsid w:val="004A6EE9"/>
    <w:rsid w:val="004A73FD"/>
    <w:rsid w:val="004A7613"/>
    <w:rsid w:val="004A788E"/>
    <w:rsid w:val="004A7BCC"/>
    <w:rsid w:val="004B0090"/>
    <w:rsid w:val="004B0799"/>
    <w:rsid w:val="004B0C74"/>
    <w:rsid w:val="004B0CEF"/>
    <w:rsid w:val="004B284F"/>
    <w:rsid w:val="004B30AC"/>
    <w:rsid w:val="004B30BF"/>
    <w:rsid w:val="004B33C5"/>
    <w:rsid w:val="004B4F8D"/>
    <w:rsid w:val="004B56FD"/>
    <w:rsid w:val="004B589B"/>
    <w:rsid w:val="004B5F2D"/>
    <w:rsid w:val="004B64FA"/>
    <w:rsid w:val="004B68A8"/>
    <w:rsid w:val="004B69C2"/>
    <w:rsid w:val="004B6F4D"/>
    <w:rsid w:val="004B7268"/>
    <w:rsid w:val="004B752C"/>
    <w:rsid w:val="004B7B11"/>
    <w:rsid w:val="004C0233"/>
    <w:rsid w:val="004C06A3"/>
    <w:rsid w:val="004C0A85"/>
    <w:rsid w:val="004C1609"/>
    <w:rsid w:val="004C191B"/>
    <w:rsid w:val="004C22E6"/>
    <w:rsid w:val="004C2617"/>
    <w:rsid w:val="004C2CD7"/>
    <w:rsid w:val="004C39AB"/>
    <w:rsid w:val="004C4048"/>
    <w:rsid w:val="004C6C32"/>
    <w:rsid w:val="004C7494"/>
    <w:rsid w:val="004C75BB"/>
    <w:rsid w:val="004C76AC"/>
    <w:rsid w:val="004C76C8"/>
    <w:rsid w:val="004C7F44"/>
    <w:rsid w:val="004D073B"/>
    <w:rsid w:val="004D07A1"/>
    <w:rsid w:val="004D1B28"/>
    <w:rsid w:val="004D1BE4"/>
    <w:rsid w:val="004D221C"/>
    <w:rsid w:val="004D2445"/>
    <w:rsid w:val="004D2B09"/>
    <w:rsid w:val="004D3316"/>
    <w:rsid w:val="004D3EC5"/>
    <w:rsid w:val="004D59A2"/>
    <w:rsid w:val="004D5EED"/>
    <w:rsid w:val="004D5F99"/>
    <w:rsid w:val="004D6529"/>
    <w:rsid w:val="004D6829"/>
    <w:rsid w:val="004D6924"/>
    <w:rsid w:val="004D6C71"/>
    <w:rsid w:val="004D6CCA"/>
    <w:rsid w:val="004D746F"/>
    <w:rsid w:val="004D7785"/>
    <w:rsid w:val="004D778C"/>
    <w:rsid w:val="004D78FF"/>
    <w:rsid w:val="004E04DB"/>
    <w:rsid w:val="004E051E"/>
    <w:rsid w:val="004E0ABC"/>
    <w:rsid w:val="004E112F"/>
    <w:rsid w:val="004E1690"/>
    <w:rsid w:val="004E23C8"/>
    <w:rsid w:val="004E2876"/>
    <w:rsid w:val="004E2F44"/>
    <w:rsid w:val="004E328C"/>
    <w:rsid w:val="004E347B"/>
    <w:rsid w:val="004E444E"/>
    <w:rsid w:val="004E651D"/>
    <w:rsid w:val="004E7B89"/>
    <w:rsid w:val="004F0206"/>
    <w:rsid w:val="004F1174"/>
    <w:rsid w:val="004F1635"/>
    <w:rsid w:val="004F1882"/>
    <w:rsid w:val="004F1886"/>
    <w:rsid w:val="004F196A"/>
    <w:rsid w:val="004F1E7F"/>
    <w:rsid w:val="004F1FB2"/>
    <w:rsid w:val="004F2863"/>
    <w:rsid w:val="004F32A2"/>
    <w:rsid w:val="004F3757"/>
    <w:rsid w:val="004F47CB"/>
    <w:rsid w:val="004F52C8"/>
    <w:rsid w:val="004F5410"/>
    <w:rsid w:val="004F6581"/>
    <w:rsid w:val="004F77A1"/>
    <w:rsid w:val="004F7DC8"/>
    <w:rsid w:val="004F7F87"/>
    <w:rsid w:val="0050053A"/>
    <w:rsid w:val="00500761"/>
    <w:rsid w:val="00503F14"/>
    <w:rsid w:val="005040A0"/>
    <w:rsid w:val="00504517"/>
    <w:rsid w:val="005053BF"/>
    <w:rsid w:val="00505931"/>
    <w:rsid w:val="00505983"/>
    <w:rsid w:val="0050682A"/>
    <w:rsid w:val="00510178"/>
    <w:rsid w:val="00510A2B"/>
    <w:rsid w:val="00510B61"/>
    <w:rsid w:val="00511927"/>
    <w:rsid w:val="005125F1"/>
    <w:rsid w:val="0051310C"/>
    <w:rsid w:val="00513233"/>
    <w:rsid w:val="00513247"/>
    <w:rsid w:val="005137E7"/>
    <w:rsid w:val="00513C10"/>
    <w:rsid w:val="0051448C"/>
    <w:rsid w:val="00514D24"/>
    <w:rsid w:val="00514EE3"/>
    <w:rsid w:val="005206F2"/>
    <w:rsid w:val="00520A3F"/>
    <w:rsid w:val="00520B1C"/>
    <w:rsid w:val="005212AE"/>
    <w:rsid w:val="00521FEE"/>
    <w:rsid w:val="00522503"/>
    <w:rsid w:val="00522EF8"/>
    <w:rsid w:val="0052322A"/>
    <w:rsid w:val="0052344B"/>
    <w:rsid w:val="005235AB"/>
    <w:rsid w:val="005240B1"/>
    <w:rsid w:val="00524227"/>
    <w:rsid w:val="00524D03"/>
    <w:rsid w:val="00525F1A"/>
    <w:rsid w:val="00526AB2"/>
    <w:rsid w:val="00526EF5"/>
    <w:rsid w:val="005306C5"/>
    <w:rsid w:val="00530B64"/>
    <w:rsid w:val="00530DF8"/>
    <w:rsid w:val="0053197E"/>
    <w:rsid w:val="00531B2F"/>
    <w:rsid w:val="00532941"/>
    <w:rsid w:val="00532993"/>
    <w:rsid w:val="005349EA"/>
    <w:rsid w:val="0053521A"/>
    <w:rsid w:val="005357A5"/>
    <w:rsid w:val="005357B3"/>
    <w:rsid w:val="0053686D"/>
    <w:rsid w:val="0053790A"/>
    <w:rsid w:val="00537AB5"/>
    <w:rsid w:val="005423A3"/>
    <w:rsid w:val="0054251F"/>
    <w:rsid w:val="00542539"/>
    <w:rsid w:val="00543592"/>
    <w:rsid w:val="0054406F"/>
    <w:rsid w:val="00545194"/>
    <w:rsid w:val="00545215"/>
    <w:rsid w:val="0054578D"/>
    <w:rsid w:val="00545D12"/>
    <w:rsid w:val="005460C0"/>
    <w:rsid w:val="00546A5A"/>
    <w:rsid w:val="00547632"/>
    <w:rsid w:val="00547ED0"/>
    <w:rsid w:val="005505A7"/>
    <w:rsid w:val="00550DE4"/>
    <w:rsid w:val="00551389"/>
    <w:rsid w:val="00551619"/>
    <w:rsid w:val="0055174B"/>
    <w:rsid w:val="00551EC8"/>
    <w:rsid w:val="00552B27"/>
    <w:rsid w:val="00552CD1"/>
    <w:rsid w:val="00553DAB"/>
    <w:rsid w:val="005544A6"/>
    <w:rsid w:val="0055563A"/>
    <w:rsid w:val="005559EC"/>
    <w:rsid w:val="00556241"/>
    <w:rsid w:val="00556C3A"/>
    <w:rsid w:val="0055789E"/>
    <w:rsid w:val="00557A5F"/>
    <w:rsid w:val="00560403"/>
    <w:rsid w:val="00560E59"/>
    <w:rsid w:val="00561BE9"/>
    <w:rsid w:val="00561D34"/>
    <w:rsid w:val="00562017"/>
    <w:rsid w:val="0056274D"/>
    <w:rsid w:val="005628EB"/>
    <w:rsid w:val="00564D18"/>
    <w:rsid w:val="00564E96"/>
    <w:rsid w:val="00565C5F"/>
    <w:rsid w:val="005662A2"/>
    <w:rsid w:val="005663AB"/>
    <w:rsid w:val="00566495"/>
    <w:rsid w:val="00566AB6"/>
    <w:rsid w:val="0056783B"/>
    <w:rsid w:val="005703D8"/>
    <w:rsid w:val="00571788"/>
    <w:rsid w:val="005719E7"/>
    <w:rsid w:val="005728BA"/>
    <w:rsid w:val="0057298C"/>
    <w:rsid w:val="00572CE3"/>
    <w:rsid w:val="00572E29"/>
    <w:rsid w:val="00573A60"/>
    <w:rsid w:val="00573F02"/>
    <w:rsid w:val="00575B77"/>
    <w:rsid w:val="005762FF"/>
    <w:rsid w:val="005766F4"/>
    <w:rsid w:val="0057706A"/>
    <w:rsid w:val="005770D4"/>
    <w:rsid w:val="0057782B"/>
    <w:rsid w:val="00577F55"/>
    <w:rsid w:val="00577FE2"/>
    <w:rsid w:val="00580184"/>
    <w:rsid w:val="00580D01"/>
    <w:rsid w:val="00580D9A"/>
    <w:rsid w:val="0058163B"/>
    <w:rsid w:val="00583222"/>
    <w:rsid w:val="0058400C"/>
    <w:rsid w:val="00584473"/>
    <w:rsid w:val="005850AE"/>
    <w:rsid w:val="00585A6F"/>
    <w:rsid w:val="005861D9"/>
    <w:rsid w:val="005866C1"/>
    <w:rsid w:val="0058729E"/>
    <w:rsid w:val="005904EE"/>
    <w:rsid w:val="0059143A"/>
    <w:rsid w:val="00592C5E"/>
    <w:rsid w:val="00592F6B"/>
    <w:rsid w:val="0059316E"/>
    <w:rsid w:val="00593D82"/>
    <w:rsid w:val="0059409D"/>
    <w:rsid w:val="00594F84"/>
    <w:rsid w:val="0059545F"/>
    <w:rsid w:val="00595576"/>
    <w:rsid w:val="0059558D"/>
    <w:rsid w:val="0059591C"/>
    <w:rsid w:val="00595E52"/>
    <w:rsid w:val="00596734"/>
    <w:rsid w:val="0059682D"/>
    <w:rsid w:val="00596E6D"/>
    <w:rsid w:val="005972E3"/>
    <w:rsid w:val="00597607"/>
    <w:rsid w:val="005A0DF1"/>
    <w:rsid w:val="005A14E2"/>
    <w:rsid w:val="005A1964"/>
    <w:rsid w:val="005A2198"/>
    <w:rsid w:val="005A2384"/>
    <w:rsid w:val="005A2411"/>
    <w:rsid w:val="005A2838"/>
    <w:rsid w:val="005A2E4D"/>
    <w:rsid w:val="005A3085"/>
    <w:rsid w:val="005A3371"/>
    <w:rsid w:val="005A34C7"/>
    <w:rsid w:val="005A39F2"/>
    <w:rsid w:val="005A3B82"/>
    <w:rsid w:val="005A49F8"/>
    <w:rsid w:val="005A4DBE"/>
    <w:rsid w:val="005A59E0"/>
    <w:rsid w:val="005A5EA8"/>
    <w:rsid w:val="005A6617"/>
    <w:rsid w:val="005A704E"/>
    <w:rsid w:val="005A7706"/>
    <w:rsid w:val="005A7956"/>
    <w:rsid w:val="005A7FCE"/>
    <w:rsid w:val="005B0109"/>
    <w:rsid w:val="005B0321"/>
    <w:rsid w:val="005B100D"/>
    <w:rsid w:val="005B153C"/>
    <w:rsid w:val="005B1866"/>
    <w:rsid w:val="005B1DE0"/>
    <w:rsid w:val="005B21E2"/>
    <w:rsid w:val="005B22C3"/>
    <w:rsid w:val="005B2447"/>
    <w:rsid w:val="005B2787"/>
    <w:rsid w:val="005B34E8"/>
    <w:rsid w:val="005B3886"/>
    <w:rsid w:val="005B38FD"/>
    <w:rsid w:val="005B42A7"/>
    <w:rsid w:val="005B48BA"/>
    <w:rsid w:val="005B511E"/>
    <w:rsid w:val="005B7F96"/>
    <w:rsid w:val="005C1098"/>
    <w:rsid w:val="005C251A"/>
    <w:rsid w:val="005C2A08"/>
    <w:rsid w:val="005C3548"/>
    <w:rsid w:val="005C43B1"/>
    <w:rsid w:val="005C455B"/>
    <w:rsid w:val="005C4A94"/>
    <w:rsid w:val="005C4D4F"/>
    <w:rsid w:val="005C4F6F"/>
    <w:rsid w:val="005C5067"/>
    <w:rsid w:val="005C542C"/>
    <w:rsid w:val="005C6243"/>
    <w:rsid w:val="005C7C86"/>
    <w:rsid w:val="005D02BD"/>
    <w:rsid w:val="005D035C"/>
    <w:rsid w:val="005D08B3"/>
    <w:rsid w:val="005D0D7A"/>
    <w:rsid w:val="005D1451"/>
    <w:rsid w:val="005D159D"/>
    <w:rsid w:val="005D1B6E"/>
    <w:rsid w:val="005D1CD3"/>
    <w:rsid w:val="005D2619"/>
    <w:rsid w:val="005D2AEF"/>
    <w:rsid w:val="005D3F1B"/>
    <w:rsid w:val="005D429E"/>
    <w:rsid w:val="005D491F"/>
    <w:rsid w:val="005D53B5"/>
    <w:rsid w:val="005D5508"/>
    <w:rsid w:val="005D67A5"/>
    <w:rsid w:val="005D7135"/>
    <w:rsid w:val="005D788F"/>
    <w:rsid w:val="005E0002"/>
    <w:rsid w:val="005E02F4"/>
    <w:rsid w:val="005E08F1"/>
    <w:rsid w:val="005E0D3B"/>
    <w:rsid w:val="005E143F"/>
    <w:rsid w:val="005E1619"/>
    <w:rsid w:val="005E20FE"/>
    <w:rsid w:val="005E2168"/>
    <w:rsid w:val="005E21BF"/>
    <w:rsid w:val="005E2661"/>
    <w:rsid w:val="005E26EA"/>
    <w:rsid w:val="005E2FDD"/>
    <w:rsid w:val="005E3C7D"/>
    <w:rsid w:val="005E408B"/>
    <w:rsid w:val="005E41AD"/>
    <w:rsid w:val="005E4627"/>
    <w:rsid w:val="005E48A8"/>
    <w:rsid w:val="005E4B8C"/>
    <w:rsid w:val="005E4D55"/>
    <w:rsid w:val="005E4E0F"/>
    <w:rsid w:val="005E55BD"/>
    <w:rsid w:val="005E5B9A"/>
    <w:rsid w:val="005E6B19"/>
    <w:rsid w:val="005E7FFC"/>
    <w:rsid w:val="005F24D9"/>
    <w:rsid w:val="005F2942"/>
    <w:rsid w:val="005F2AFE"/>
    <w:rsid w:val="005F2B61"/>
    <w:rsid w:val="005F49A7"/>
    <w:rsid w:val="005F5183"/>
    <w:rsid w:val="005F5949"/>
    <w:rsid w:val="005F5DC3"/>
    <w:rsid w:val="005F601B"/>
    <w:rsid w:val="005F735F"/>
    <w:rsid w:val="00600B2B"/>
    <w:rsid w:val="00600DCF"/>
    <w:rsid w:val="00601683"/>
    <w:rsid w:val="00602254"/>
    <w:rsid w:val="00602743"/>
    <w:rsid w:val="006027B9"/>
    <w:rsid w:val="006028B9"/>
    <w:rsid w:val="00602B8A"/>
    <w:rsid w:val="00603642"/>
    <w:rsid w:val="00605397"/>
    <w:rsid w:val="00606B25"/>
    <w:rsid w:val="00607DF0"/>
    <w:rsid w:val="006109D3"/>
    <w:rsid w:val="00610BA1"/>
    <w:rsid w:val="006119AC"/>
    <w:rsid w:val="00611ACF"/>
    <w:rsid w:val="00612155"/>
    <w:rsid w:val="00613291"/>
    <w:rsid w:val="006136CA"/>
    <w:rsid w:val="00615E1C"/>
    <w:rsid w:val="006163D7"/>
    <w:rsid w:val="006168E0"/>
    <w:rsid w:val="006177FA"/>
    <w:rsid w:val="00617D4E"/>
    <w:rsid w:val="0062025E"/>
    <w:rsid w:val="006208A6"/>
    <w:rsid w:val="006210FA"/>
    <w:rsid w:val="0062128F"/>
    <w:rsid w:val="00621C74"/>
    <w:rsid w:val="00622B2A"/>
    <w:rsid w:val="00622D53"/>
    <w:rsid w:val="00623DC8"/>
    <w:rsid w:val="006241CD"/>
    <w:rsid w:val="0062675C"/>
    <w:rsid w:val="00626CA9"/>
    <w:rsid w:val="00626E33"/>
    <w:rsid w:val="006279EA"/>
    <w:rsid w:val="006302AD"/>
    <w:rsid w:val="00630CA9"/>
    <w:rsid w:val="0063158D"/>
    <w:rsid w:val="00631817"/>
    <w:rsid w:val="006322CC"/>
    <w:rsid w:val="00632A61"/>
    <w:rsid w:val="00632D0A"/>
    <w:rsid w:val="00632F0E"/>
    <w:rsid w:val="006338A0"/>
    <w:rsid w:val="00633ADA"/>
    <w:rsid w:val="00634131"/>
    <w:rsid w:val="006344FC"/>
    <w:rsid w:val="006355FD"/>
    <w:rsid w:val="00635967"/>
    <w:rsid w:val="00635F05"/>
    <w:rsid w:val="0063615A"/>
    <w:rsid w:val="00640063"/>
    <w:rsid w:val="006400F5"/>
    <w:rsid w:val="00640143"/>
    <w:rsid w:val="0064025A"/>
    <w:rsid w:val="00641282"/>
    <w:rsid w:val="00641388"/>
    <w:rsid w:val="006425D8"/>
    <w:rsid w:val="00644E6C"/>
    <w:rsid w:val="00645815"/>
    <w:rsid w:val="00645832"/>
    <w:rsid w:val="00646FCA"/>
    <w:rsid w:val="006476D9"/>
    <w:rsid w:val="00647848"/>
    <w:rsid w:val="00647B2D"/>
    <w:rsid w:val="00647BDA"/>
    <w:rsid w:val="006509E0"/>
    <w:rsid w:val="00651C84"/>
    <w:rsid w:val="00653471"/>
    <w:rsid w:val="0065782A"/>
    <w:rsid w:val="00657F5D"/>
    <w:rsid w:val="00660801"/>
    <w:rsid w:val="00660C0D"/>
    <w:rsid w:val="006612FA"/>
    <w:rsid w:val="00661C71"/>
    <w:rsid w:val="00661EF9"/>
    <w:rsid w:val="006623EC"/>
    <w:rsid w:val="00665CF8"/>
    <w:rsid w:val="006666EC"/>
    <w:rsid w:val="00666E2D"/>
    <w:rsid w:val="00666E69"/>
    <w:rsid w:val="0066750B"/>
    <w:rsid w:val="0067016C"/>
    <w:rsid w:val="006719BE"/>
    <w:rsid w:val="00671BBE"/>
    <w:rsid w:val="00671E6F"/>
    <w:rsid w:val="00672083"/>
    <w:rsid w:val="00672218"/>
    <w:rsid w:val="00672648"/>
    <w:rsid w:val="00672C9D"/>
    <w:rsid w:val="00672D47"/>
    <w:rsid w:val="00673615"/>
    <w:rsid w:val="0067505C"/>
    <w:rsid w:val="006753D0"/>
    <w:rsid w:val="0067690D"/>
    <w:rsid w:val="00677341"/>
    <w:rsid w:val="00681039"/>
    <w:rsid w:val="00681A50"/>
    <w:rsid w:val="00681B52"/>
    <w:rsid w:val="0068234E"/>
    <w:rsid w:val="00682CC2"/>
    <w:rsid w:val="00683195"/>
    <w:rsid w:val="00683333"/>
    <w:rsid w:val="00683EEF"/>
    <w:rsid w:val="0068412D"/>
    <w:rsid w:val="0068419E"/>
    <w:rsid w:val="0068465D"/>
    <w:rsid w:val="006846BD"/>
    <w:rsid w:val="00685837"/>
    <w:rsid w:val="00685997"/>
    <w:rsid w:val="00685A5A"/>
    <w:rsid w:val="006869DC"/>
    <w:rsid w:val="006873B1"/>
    <w:rsid w:val="00690217"/>
    <w:rsid w:val="00690250"/>
    <w:rsid w:val="00691095"/>
    <w:rsid w:val="0069208E"/>
    <w:rsid w:val="0069328D"/>
    <w:rsid w:val="00693BFF"/>
    <w:rsid w:val="00695209"/>
    <w:rsid w:val="006952A8"/>
    <w:rsid w:val="006959A7"/>
    <w:rsid w:val="0069619B"/>
    <w:rsid w:val="006962E9"/>
    <w:rsid w:val="00697756"/>
    <w:rsid w:val="006A01BA"/>
    <w:rsid w:val="006A0392"/>
    <w:rsid w:val="006A0D27"/>
    <w:rsid w:val="006A0FCD"/>
    <w:rsid w:val="006A1A3E"/>
    <w:rsid w:val="006A1D4E"/>
    <w:rsid w:val="006A1E08"/>
    <w:rsid w:val="006A23D3"/>
    <w:rsid w:val="006A2961"/>
    <w:rsid w:val="006A31C4"/>
    <w:rsid w:val="006A367A"/>
    <w:rsid w:val="006A3702"/>
    <w:rsid w:val="006A39B6"/>
    <w:rsid w:val="006A3F73"/>
    <w:rsid w:val="006A4E1F"/>
    <w:rsid w:val="006A5782"/>
    <w:rsid w:val="006A58AF"/>
    <w:rsid w:val="006A5C1B"/>
    <w:rsid w:val="006A6CD3"/>
    <w:rsid w:val="006A7213"/>
    <w:rsid w:val="006A7D0E"/>
    <w:rsid w:val="006B1DF7"/>
    <w:rsid w:val="006B277B"/>
    <w:rsid w:val="006B3A4B"/>
    <w:rsid w:val="006B3C63"/>
    <w:rsid w:val="006B3D94"/>
    <w:rsid w:val="006B4044"/>
    <w:rsid w:val="006B430D"/>
    <w:rsid w:val="006B4A92"/>
    <w:rsid w:val="006B5654"/>
    <w:rsid w:val="006B581A"/>
    <w:rsid w:val="006B5D1E"/>
    <w:rsid w:val="006B6A4C"/>
    <w:rsid w:val="006B6F93"/>
    <w:rsid w:val="006B70AF"/>
    <w:rsid w:val="006B70EB"/>
    <w:rsid w:val="006B7B48"/>
    <w:rsid w:val="006C025E"/>
    <w:rsid w:val="006C09F1"/>
    <w:rsid w:val="006C171B"/>
    <w:rsid w:val="006C21CB"/>
    <w:rsid w:val="006C2E30"/>
    <w:rsid w:val="006C3114"/>
    <w:rsid w:val="006C334B"/>
    <w:rsid w:val="006C369A"/>
    <w:rsid w:val="006C418E"/>
    <w:rsid w:val="006C43BF"/>
    <w:rsid w:val="006C5A3C"/>
    <w:rsid w:val="006C66C0"/>
    <w:rsid w:val="006C7D43"/>
    <w:rsid w:val="006C7DED"/>
    <w:rsid w:val="006D02C6"/>
    <w:rsid w:val="006D0C70"/>
    <w:rsid w:val="006D0C95"/>
    <w:rsid w:val="006D13B5"/>
    <w:rsid w:val="006D161E"/>
    <w:rsid w:val="006D179F"/>
    <w:rsid w:val="006D1A54"/>
    <w:rsid w:val="006D1C20"/>
    <w:rsid w:val="006D2881"/>
    <w:rsid w:val="006D320D"/>
    <w:rsid w:val="006D37D0"/>
    <w:rsid w:val="006D41ED"/>
    <w:rsid w:val="006D4BA3"/>
    <w:rsid w:val="006D5B80"/>
    <w:rsid w:val="006D5D40"/>
    <w:rsid w:val="006D6973"/>
    <w:rsid w:val="006D7A59"/>
    <w:rsid w:val="006D7E4C"/>
    <w:rsid w:val="006E0361"/>
    <w:rsid w:val="006E0474"/>
    <w:rsid w:val="006E06CE"/>
    <w:rsid w:val="006E0B56"/>
    <w:rsid w:val="006E0D82"/>
    <w:rsid w:val="006E22C4"/>
    <w:rsid w:val="006E29E0"/>
    <w:rsid w:val="006E424B"/>
    <w:rsid w:val="006E4359"/>
    <w:rsid w:val="006E54B0"/>
    <w:rsid w:val="006E5715"/>
    <w:rsid w:val="006E5E83"/>
    <w:rsid w:val="006E71A4"/>
    <w:rsid w:val="006E7AC1"/>
    <w:rsid w:val="006E7C3A"/>
    <w:rsid w:val="006F1262"/>
    <w:rsid w:val="006F131B"/>
    <w:rsid w:val="006F2352"/>
    <w:rsid w:val="006F2C70"/>
    <w:rsid w:val="006F38F8"/>
    <w:rsid w:val="006F4349"/>
    <w:rsid w:val="006F4DAC"/>
    <w:rsid w:val="006F5BE6"/>
    <w:rsid w:val="006F6FAD"/>
    <w:rsid w:val="006F7197"/>
    <w:rsid w:val="006F7996"/>
    <w:rsid w:val="00700D7F"/>
    <w:rsid w:val="007019A7"/>
    <w:rsid w:val="00702410"/>
    <w:rsid w:val="00703F27"/>
    <w:rsid w:val="007043E4"/>
    <w:rsid w:val="00704982"/>
    <w:rsid w:val="00705673"/>
    <w:rsid w:val="007059B8"/>
    <w:rsid w:val="007064DC"/>
    <w:rsid w:val="00706C3D"/>
    <w:rsid w:val="00707A7C"/>
    <w:rsid w:val="007102CB"/>
    <w:rsid w:val="007115CB"/>
    <w:rsid w:val="007116B2"/>
    <w:rsid w:val="00712ADF"/>
    <w:rsid w:val="00712BFF"/>
    <w:rsid w:val="00713053"/>
    <w:rsid w:val="0071314F"/>
    <w:rsid w:val="00714773"/>
    <w:rsid w:val="00715918"/>
    <w:rsid w:val="0071592A"/>
    <w:rsid w:val="00715A88"/>
    <w:rsid w:val="00715AE2"/>
    <w:rsid w:val="0071621A"/>
    <w:rsid w:val="00716D7A"/>
    <w:rsid w:val="00717BDF"/>
    <w:rsid w:val="00717F5A"/>
    <w:rsid w:val="0072024E"/>
    <w:rsid w:val="007208EC"/>
    <w:rsid w:val="00721144"/>
    <w:rsid w:val="00722B4B"/>
    <w:rsid w:val="00722E88"/>
    <w:rsid w:val="007238B4"/>
    <w:rsid w:val="00723A03"/>
    <w:rsid w:val="00723A2E"/>
    <w:rsid w:val="00725495"/>
    <w:rsid w:val="00725F6A"/>
    <w:rsid w:val="007269C8"/>
    <w:rsid w:val="00726E5C"/>
    <w:rsid w:val="00730190"/>
    <w:rsid w:val="007307FB"/>
    <w:rsid w:val="00731A6E"/>
    <w:rsid w:val="00731C4A"/>
    <w:rsid w:val="00732663"/>
    <w:rsid w:val="0073272D"/>
    <w:rsid w:val="00733834"/>
    <w:rsid w:val="00734B2C"/>
    <w:rsid w:val="00736AD2"/>
    <w:rsid w:val="00736F36"/>
    <w:rsid w:val="007370BB"/>
    <w:rsid w:val="00737783"/>
    <w:rsid w:val="00737D11"/>
    <w:rsid w:val="007411E1"/>
    <w:rsid w:val="007415A6"/>
    <w:rsid w:val="007420C5"/>
    <w:rsid w:val="00742702"/>
    <w:rsid w:val="007431F6"/>
    <w:rsid w:val="007443F1"/>
    <w:rsid w:val="00745091"/>
    <w:rsid w:val="007468DA"/>
    <w:rsid w:val="00746A0B"/>
    <w:rsid w:val="00746B77"/>
    <w:rsid w:val="00747E26"/>
    <w:rsid w:val="00750764"/>
    <w:rsid w:val="007509E3"/>
    <w:rsid w:val="00750DEC"/>
    <w:rsid w:val="0075146D"/>
    <w:rsid w:val="0075182B"/>
    <w:rsid w:val="0075290E"/>
    <w:rsid w:val="007538EA"/>
    <w:rsid w:val="00753F7F"/>
    <w:rsid w:val="007540E4"/>
    <w:rsid w:val="00754285"/>
    <w:rsid w:val="00754D06"/>
    <w:rsid w:val="0075551E"/>
    <w:rsid w:val="00755A15"/>
    <w:rsid w:val="007561E8"/>
    <w:rsid w:val="007564A0"/>
    <w:rsid w:val="007566B1"/>
    <w:rsid w:val="00756DDF"/>
    <w:rsid w:val="0075700C"/>
    <w:rsid w:val="007578F7"/>
    <w:rsid w:val="0075792E"/>
    <w:rsid w:val="00757BE3"/>
    <w:rsid w:val="0076066A"/>
    <w:rsid w:val="0076145E"/>
    <w:rsid w:val="00761BC5"/>
    <w:rsid w:val="007621E9"/>
    <w:rsid w:val="00762506"/>
    <w:rsid w:val="00763008"/>
    <w:rsid w:val="00763E03"/>
    <w:rsid w:val="0076402D"/>
    <w:rsid w:val="007645E3"/>
    <w:rsid w:val="007649BB"/>
    <w:rsid w:val="00764FB6"/>
    <w:rsid w:val="00765042"/>
    <w:rsid w:val="00765401"/>
    <w:rsid w:val="00766337"/>
    <w:rsid w:val="0076672D"/>
    <w:rsid w:val="007679EE"/>
    <w:rsid w:val="00770D76"/>
    <w:rsid w:val="00771533"/>
    <w:rsid w:val="007716F8"/>
    <w:rsid w:val="007726B6"/>
    <w:rsid w:val="00772EE1"/>
    <w:rsid w:val="00772F06"/>
    <w:rsid w:val="00773DC2"/>
    <w:rsid w:val="00774DC3"/>
    <w:rsid w:val="007754EF"/>
    <w:rsid w:val="007776B8"/>
    <w:rsid w:val="00777825"/>
    <w:rsid w:val="007779DA"/>
    <w:rsid w:val="00777A04"/>
    <w:rsid w:val="00777A68"/>
    <w:rsid w:val="0078029E"/>
    <w:rsid w:val="007803BF"/>
    <w:rsid w:val="00780680"/>
    <w:rsid w:val="00780A71"/>
    <w:rsid w:val="00780E40"/>
    <w:rsid w:val="007826C3"/>
    <w:rsid w:val="007835D1"/>
    <w:rsid w:val="00783A52"/>
    <w:rsid w:val="00784ABE"/>
    <w:rsid w:val="007857C3"/>
    <w:rsid w:val="00785F65"/>
    <w:rsid w:val="00785F9C"/>
    <w:rsid w:val="007862DF"/>
    <w:rsid w:val="00787C28"/>
    <w:rsid w:val="00791394"/>
    <w:rsid w:val="007915DD"/>
    <w:rsid w:val="00791CEF"/>
    <w:rsid w:val="0079258E"/>
    <w:rsid w:val="00794522"/>
    <w:rsid w:val="00794578"/>
    <w:rsid w:val="00794B76"/>
    <w:rsid w:val="0079504D"/>
    <w:rsid w:val="00795239"/>
    <w:rsid w:val="00795561"/>
    <w:rsid w:val="00795847"/>
    <w:rsid w:val="00795CE1"/>
    <w:rsid w:val="00795D3F"/>
    <w:rsid w:val="00796E0E"/>
    <w:rsid w:val="00796F2D"/>
    <w:rsid w:val="00797FE4"/>
    <w:rsid w:val="007A01D2"/>
    <w:rsid w:val="007A0249"/>
    <w:rsid w:val="007A026C"/>
    <w:rsid w:val="007A05E2"/>
    <w:rsid w:val="007A09D9"/>
    <w:rsid w:val="007A157D"/>
    <w:rsid w:val="007A158F"/>
    <w:rsid w:val="007A181D"/>
    <w:rsid w:val="007A1861"/>
    <w:rsid w:val="007A2087"/>
    <w:rsid w:val="007A2836"/>
    <w:rsid w:val="007A2D99"/>
    <w:rsid w:val="007A387A"/>
    <w:rsid w:val="007A3A83"/>
    <w:rsid w:val="007A3B9A"/>
    <w:rsid w:val="007A3BE3"/>
    <w:rsid w:val="007A4746"/>
    <w:rsid w:val="007A48A3"/>
    <w:rsid w:val="007A4ADD"/>
    <w:rsid w:val="007A4B5A"/>
    <w:rsid w:val="007A6347"/>
    <w:rsid w:val="007A6746"/>
    <w:rsid w:val="007A6A68"/>
    <w:rsid w:val="007A780B"/>
    <w:rsid w:val="007B0092"/>
    <w:rsid w:val="007B0157"/>
    <w:rsid w:val="007B0836"/>
    <w:rsid w:val="007B1CD3"/>
    <w:rsid w:val="007B2C18"/>
    <w:rsid w:val="007B2D83"/>
    <w:rsid w:val="007B396B"/>
    <w:rsid w:val="007B3BC2"/>
    <w:rsid w:val="007B41D1"/>
    <w:rsid w:val="007B41E6"/>
    <w:rsid w:val="007B48FA"/>
    <w:rsid w:val="007B537B"/>
    <w:rsid w:val="007B5619"/>
    <w:rsid w:val="007B67F0"/>
    <w:rsid w:val="007B7E7D"/>
    <w:rsid w:val="007C02AC"/>
    <w:rsid w:val="007C0BBC"/>
    <w:rsid w:val="007C18F8"/>
    <w:rsid w:val="007C1EC7"/>
    <w:rsid w:val="007C1FC6"/>
    <w:rsid w:val="007C2850"/>
    <w:rsid w:val="007C2E48"/>
    <w:rsid w:val="007C3744"/>
    <w:rsid w:val="007C3949"/>
    <w:rsid w:val="007C3CE0"/>
    <w:rsid w:val="007C4218"/>
    <w:rsid w:val="007C499A"/>
    <w:rsid w:val="007C4A09"/>
    <w:rsid w:val="007C4D27"/>
    <w:rsid w:val="007C4DEB"/>
    <w:rsid w:val="007C4F96"/>
    <w:rsid w:val="007C5139"/>
    <w:rsid w:val="007C5255"/>
    <w:rsid w:val="007D0983"/>
    <w:rsid w:val="007D10F7"/>
    <w:rsid w:val="007D11F0"/>
    <w:rsid w:val="007D12DF"/>
    <w:rsid w:val="007D260E"/>
    <w:rsid w:val="007D2A95"/>
    <w:rsid w:val="007D328D"/>
    <w:rsid w:val="007D38F0"/>
    <w:rsid w:val="007D4320"/>
    <w:rsid w:val="007D458E"/>
    <w:rsid w:val="007D461E"/>
    <w:rsid w:val="007D51CE"/>
    <w:rsid w:val="007D5921"/>
    <w:rsid w:val="007D63CE"/>
    <w:rsid w:val="007D696B"/>
    <w:rsid w:val="007D6BB7"/>
    <w:rsid w:val="007D7192"/>
    <w:rsid w:val="007D7D3E"/>
    <w:rsid w:val="007E0D39"/>
    <w:rsid w:val="007E1F25"/>
    <w:rsid w:val="007E242B"/>
    <w:rsid w:val="007E3264"/>
    <w:rsid w:val="007E410A"/>
    <w:rsid w:val="007E4305"/>
    <w:rsid w:val="007E4692"/>
    <w:rsid w:val="007E4A9D"/>
    <w:rsid w:val="007E5274"/>
    <w:rsid w:val="007F01D3"/>
    <w:rsid w:val="007F062E"/>
    <w:rsid w:val="007F08A9"/>
    <w:rsid w:val="007F1DC7"/>
    <w:rsid w:val="007F1E81"/>
    <w:rsid w:val="007F2417"/>
    <w:rsid w:val="007F31E7"/>
    <w:rsid w:val="007F3756"/>
    <w:rsid w:val="007F4914"/>
    <w:rsid w:val="007F4EEE"/>
    <w:rsid w:val="007F4FD9"/>
    <w:rsid w:val="007F65F3"/>
    <w:rsid w:val="007F6737"/>
    <w:rsid w:val="007F68C5"/>
    <w:rsid w:val="007F6CBE"/>
    <w:rsid w:val="007F7DAF"/>
    <w:rsid w:val="007F7DD4"/>
    <w:rsid w:val="007F7EC7"/>
    <w:rsid w:val="008001DD"/>
    <w:rsid w:val="008005CC"/>
    <w:rsid w:val="00800E9F"/>
    <w:rsid w:val="00803350"/>
    <w:rsid w:val="00805BEC"/>
    <w:rsid w:val="0080762C"/>
    <w:rsid w:val="00811B84"/>
    <w:rsid w:val="008123B8"/>
    <w:rsid w:val="0081332F"/>
    <w:rsid w:val="00813EEA"/>
    <w:rsid w:val="0081455F"/>
    <w:rsid w:val="0081462C"/>
    <w:rsid w:val="008146BD"/>
    <w:rsid w:val="008147D7"/>
    <w:rsid w:val="0081505B"/>
    <w:rsid w:val="00815773"/>
    <w:rsid w:val="008159DD"/>
    <w:rsid w:val="00816B47"/>
    <w:rsid w:val="00817173"/>
    <w:rsid w:val="008173C5"/>
    <w:rsid w:val="008178EF"/>
    <w:rsid w:val="00820B5B"/>
    <w:rsid w:val="00821903"/>
    <w:rsid w:val="00822125"/>
    <w:rsid w:val="00822233"/>
    <w:rsid w:val="008226EB"/>
    <w:rsid w:val="00823082"/>
    <w:rsid w:val="0082318D"/>
    <w:rsid w:val="008234F7"/>
    <w:rsid w:val="008244F2"/>
    <w:rsid w:val="00824607"/>
    <w:rsid w:val="00824B57"/>
    <w:rsid w:val="00824BA4"/>
    <w:rsid w:val="00824FBC"/>
    <w:rsid w:val="00826061"/>
    <w:rsid w:val="00826825"/>
    <w:rsid w:val="008276BE"/>
    <w:rsid w:val="00827989"/>
    <w:rsid w:val="00830A70"/>
    <w:rsid w:val="00830D66"/>
    <w:rsid w:val="008314F4"/>
    <w:rsid w:val="00832313"/>
    <w:rsid w:val="008327A9"/>
    <w:rsid w:val="00832C31"/>
    <w:rsid w:val="00832EB2"/>
    <w:rsid w:val="00833211"/>
    <w:rsid w:val="00835090"/>
    <w:rsid w:val="008353F7"/>
    <w:rsid w:val="008354AD"/>
    <w:rsid w:val="00835A69"/>
    <w:rsid w:val="0083660C"/>
    <w:rsid w:val="00836835"/>
    <w:rsid w:val="00837DF0"/>
    <w:rsid w:val="00837E54"/>
    <w:rsid w:val="00837FD1"/>
    <w:rsid w:val="00840814"/>
    <w:rsid w:val="0084128B"/>
    <w:rsid w:val="008416BB"/>
    <w:rsid w:val="00841D3B"/>
    <w:rsid w:val="008432B2"/>
    <w:rsid w:val="00843442"/>
    <w:rsid w:val="008436BA"/>
    <w:rsid w:val="00843DCA"/>
    <w:rsid w:val="00844012"/>
    <w:rsid w:val="0084404D"/>
    <w:rsid w:val="0084423D"/>
    <w:rsid w:val="008442DB"/>
    <w:rsid w:val="00844407"/>
    <w:rsid w:val="008449F1"/>
    <w:rsid w:val="00844CD6"/>
    <w:rsid w:val="00844EFF"/>
    <w:rsid w:val="00845127"/>
    <w:rsid w:val="00846C76"/>
    <w:rsid w:val="00846D3D"/>
    <w:rsid w:val="00846FEB"/>
    <w:rsid w:val="00847424"/>
    <w:rsid w:val="00847E97"/>
    <w:rsid w:val="008500F1"/>
    <w:rsid w:val="00850C9D"/>
    <w:rsid w:val="00852F45"/>
    <w:rsid w:val="00853B13"/>
    <w:rsid w:val="00853B7A"/>
    <w:rsid w:val="00854973"/>
    <w:rsid w:val="00855821"/>
    <w:rsid w:val="00855CBA"/>
    <w:rsid w:val="0085604B"/>
    <w:rsid w:val="00856147"/>
    <w:rsid w:val="00856993"/>
    <w:rsid w:val="00856BB3"/>
    <w:rsid w:val="00860407"/>
    <w:rsid w:val="0086157B"/>
    <w:rsid w:val="00861978"/>
    <w:rsid w:val="008624AE"/>
    <w:rsid w:val="008631E7"/>
    <w:rsid w:val="00863CFB"/>
    <w:rsid w:val="00863DA7"/>
    <w:rsid w:val="00864B82"/>
    <w:rsid w:val="00864B8D"/>
    <w:rsid w:val="00864EA8"/>
    <w:rsid w:val="00864F68"/>
    <w:rsid w:val="00865591"/>
    <w:rsid w:val="00865AF6"/>
    <w:rsid w:val="0086630F"/>
    <w:rsid w:val="00867681"/>
    <w:rsid w:val="0087096A"/>
    <w:rsid w:val="00870F36"/>
    <w:rsid w:val="00871508"/>
    <w:rsid w:val="00871846"/>
    <w:rsid w:val="00871A35"/>
    <w:rsid w:val="0087370F"/>
    <w:rsid w:val="00873F10"/>
    <w:rsid w:val="008740D9"/>
    <w:rsid w:val="00874AB1"/>
    <w:rsid w:val="00874E4B"/>
    <w:rsid w:val="00875013"/>
    <w:rsid w:val="00875153"/>
    <w:rsid w:val="0087572F"/>
    <w:rsid w:val="00875E49"/>
    <w:rsid w:val="0087644A"/>
    <w:rsid w:val="00876923"/>
    <w:rsid w:val="00876E13"/>
    <w:rsid w:val="0087711C"/>
    <w:rsid w:val="00877A3F"/>
    <w:rsid w:val="00877E63"/>
    <w:rsid w:val="0088065D"/>
    <w:rsid w:val="008806E0"/>
    <w:rsid w:val="008837E1"/>
    <w:rsid w:val="00883DF1"/>
    <w:rsid w:val="0088409A"/>
    <w:rsid w:val="0088460F"/>
    <w:rsid w:val="00884B16"/>
    <w:rsid w:val="008855C7"/>
    <w:rsid w:val="00885AAC"/>
    <w:rsid w:val="00886244"/>
    <w:rsid w:val="00886BA5"/>
    <w:rsid w:val="00887404"/>
    <w:rsid w:val="00887517"/>
    <w:rsid w:val="00887709"/>
    <w:rsid w:val="0088783E"/>
    <w:rsid w:val="00890661"/>
    <w:rsid w:val="00891236"/>
    <w:rsid w:val="0089155B"/>
    <w:rsid w:val="008916D6"/>
    <w:rsid w:val="00891817"/>
    <w:rsid w:val="00892158"/>
    <w:rsid w:val="008924D7"/>
    <w:rsid w:val="00892705"/>
    <w:rsid w:val="00892C2D"/>
    <w:rsid w:val="008937B8"/>
    <w:rsid w:val="00893B7F"/>
    <w:rsid w:val="00893C19"/>
    <w:rsid w:val="00893D31"/>
    <w:rsid w:val="00893DBA"/>
    <w:rsid w:val="0089402D"/>
    <w:rsid w:val="008954CA"/>
    <w:rsid w:val="00895630"/>
    <w:rsid w:val="00896046"/>
    <w:rsid w:val="0089606D"/>
    <w:rsid w:val="008978FD"/>
    <w:rsid w:val="00897D71"/>
    <w:rsid w:val="008A0186"/>
    <w:rsid w:val="008A01C1"/>
    <w:rsid w:val="008A0A50"/>
    <w:rsid w:val="008A0CBA"/>
    <w:rsid w:val="008A12D2"/>
    <w:rsid w:val="008A193B"/>
    <w:rsid w:val="008A2B35"/>
    <w:rsid w:val="008A347D"/>
    <w:rsid w:val="008A3DD0"/>
    <w:rsid w:val="008A458F"/>
    <w:rsid w:val="008A474B"/>
    <w:rsid w:val="008A57F9"/>
    <w:rsid w:val="008A6C52"/>
    <w:rsid w:val="008B0882"/>
    <w:rsid w:val="008B2462"/>
    <w:rsid w:val="008B28E2"/>
    <w:rsid w:val="008B30D3"/>
    <w:rsid w:val="008B3786"/>
    <w:rsid w:val="008B3C2A"/>
    <w:rsid w:val="008B4AAC"/>
    <w:rsid w:val="008B5436"/>
    <w:rsid w:val="008B5471"/>
    <w:rsid w:val="008B5F4A"/>
    <w:rsid w:val="008B68B0"/>
    <w:rsid w:val="008B7591"/>
    <w:rsid w:val="008B79D1"/>
    <w:rsid w:val="008B7E36"/>
    <w:rsid w:val="008C0736"/>
    <w:rsid w:val="008C130B"/>
    <w:rsid w:val="008C1EE6"/>
    <w:rsid w:val="008C2943"/>
    <w:rsid w:val="008C3120"/>
    <w:rsid w:val="008C351A"/>
    <w:rsid w:val="008C3687"/>
    <w:rsid w:val="008C3FF4"/>
    <w:rsid w:val="008C4303"/>
    <w:rsid w:val="008C46A0"/>
    <w:rsid w:val="008C5518"/>
    <w:rsid w:val="008C5F6D"/>
    <w:rsid w:val="008C6B36"/>
    <w:rsid w:val="008C7422"/>
    <w:rsid w:val="008C743F"/>
    <w:rsid w:val="008C786D"/>
    <w:rsid w:val="008D019B"/>
    <w:rsid w:val="008D16A6"/>
    <w:rsid w:val="008D1737"/>
    <w:rsid w:val="008D1A70"/>
    <w:rsid w:val="008D24A1"/>
    <w:rsid w:val="008D26AF"/>
    <w:rsid w:val="008D2867"/>
    <w:rsid w:val="008D2B00"/>
    <w:rsid w:val="008D356B"/>
    <w:rsid w:val="008D3739"/>
    <w:rsid w:val="008D3975"/>
    <w:rsid w:val="008D4342"/>
    <w:rsid w:val="008D4638"/>
    <w:rsid w:val="008D4D4B"/>
    <w:rsid w:val="008D6E32"/>
    <w:rsid w:val="008E14B9"/>
    <w:rsid w:val="008E1865"/>
    <w:rsid w:val="008E1F20"/>
    <w:rsid w:val="008E227E"/>
    <w:rsid w:val="008E22B7"/>
    <w:rsid w:val="008E30A2"/>
    <w:rsid w:val="008E3506"/>
    <w:rsid w:val="008E37D0"/>
    <w:rsid w:val="008E3A35"/>
    <w:rsid w:val="008E3B57"/>
    <w:rsid w:val="008E409A"/>
    <w:rsid w:val="008E492D"/>
    <w:rsid w:val="008E4D5C"/>
    <w:rsid w:val="008E5337"/>
    <w:rsid w:val="008E5F2F"/>
    <w:rsid w:val="008E7574"/>
    <w:rsid w:val="008E7E37"/>
    <w:rsid w:val="008E7EA3"/>
    <w:rsid w:val="008E7FAE"/>
    <w:rsid w:val="008F05FB"/>
    <w:rsid w:val="008F19E0"/>
    <w:rsid w:val="008F1A17"/>
    <w:rsid w:val="008F1DDD"/>
    <w:rsid w:val="008F1FD7"/>
    <w:rsid w:val="008F22B1"/>
    <w:rsid w:val="008F3088"/>
    <w:rsid w:val="008F36BD"/>
    <w:rsid w:val="008F3D02"/>
    <w:rsid w:val="008F4459"/>
    <w:rsid w:val="008F44C2"/>
    <w:rsid w:val="008F45F5"/>
    <w:rsid w:val="008F6068"/>
    <w:rsid w:val="008F6450"/>
    <w:rsid w:val="008F6479"/>
    <w:rsid w:val="008F69A2"/>
    <w:rsid w:val="008F6BEF"/>
    <w:rsid w:val="009002F8"/>
    <w:rsid w:val="00900820"/>
    <w:rsid w:val="0090137F"/>
    <w:rsid w:val="00901A5B"/>
    <w:rsid w:val="00901F89"/>
    <w:rsid w:val="00902852"/>
    <w:rsid w:val="00902B2D"/>
    <w:rsid w:val="00903F05"/>
    <w:rsid w:val="00905058"/>
    <w:rsid w:val="009050DA"/>
    <w:rsid w:val="009066D0"/>
    <w:rsid w:val="00910030"/>
    <w:rsid w:val="0091076D"/>
    <w:rsid w:val="009109A6"/>
    <w:rsid w:val="00911CA7"/>
    <w:rsid w:val="009121DF"/>
    <w:rsid w:val="009125A8"/>
    <w:rsid w:val="009130E2"/>
    <w:rsid w:val="009133F6"/>
    <w:rsid w:val="00913478"/>
    <w:rsid w:val="009138C4"/>
    <w:rsid w:val="00913A29"/>
    <w:rsid w:val="00913C7E"/>
    <w:rsid w:val="0091400F"/>
    <w:rsid w:val="00914194"/>
    <w:rsid w:val="009145D7"/>
    <w:rsid w:val="009146C9"/>
    <w:rsid w:val="00914B02"/>
    <w:rsid w:val="00914F53"/>
    <w:rsid w:val="0091511E"/>
    <w:rsid w:val="00916AC3"/>
    <w:rsid w:val="0091789C"/>
    <w:rsid w:val="00917CDB"/>
    <w:rsid w:val="00920282"/>
    <w:rsid w:val="00920913"/>
    <w:rsid w:val="00920C44"/>
    <w:rsid w:val="0092182C"/>
    <w:rsid w:val="009220E5"/>
    <w:rsid w:val="00922359"/>
    <w:rsid w:val="009227B1"/>
    <w:rsid w:val="0092333B"/>
    <w:rsid w:val="00926064"/>
    <w:rsid w:val="00926463"/>
    <w:rsid w:val="009264E8"/>
    <w:rsid w:val="00927246"/>
    <w:rsid w:val="00927987"/>
    <w:rsid w:val="00927F69"/>
    <w:rsid w:val="009303A9"/>
    <w:rsid w:val="00930DD3"/>
    <w:rsid w:val="00930E1B"/>
    <w:rsid w:val="00931641"/>
    <w:rsid w:val="009316C4"/>
    <w:rsid w:val="0093266B"/>
    <w:rsid w:val="00932BA0"/>
    <w:rsid w:val="00932BFB"/>
    <w:rsid w:val="00933394"/>
    <w:rsid w:val="00933F95"/>
    <w:rsid w:val="00934B80"/>
    <w:rsid w:val="00934C3E"/>
    <w:rsid w:val="00935B3D"/>
    <w:rsid w:val="0093648E"/>
    <w:rsid w:val="00936D81"/>
    <w:rsid w:val="009370B6"/>
    <w:rsid w:val="009372B8"/>
    <w:rsid w:val="0093767E"/>
    <w:rsid w:val="00937B9A"/>
    <w:rsid w:val="00937C2F"/>
    <w:rsid w:val="00937D1F"/>
    <w:rsid w:val="00937F07"/>
    <w:rsid w:val="00937F24"/>
    <w:rsid w:val="00941351"/>
    <w:rsid w:val="00942340"/>
    <w:rsid w:val="00942497"/>
    <w:rsid w:val="00943733"/>
    <w:rsid w:val="00943DF1"/>
    <w:rsid w:val="00944246"/>
    <w:rsid w:val="009447B9"/>
    <w:rsid w:val="00944B80"/>
    <w:rsid w:val="00944D9A"/>
    <w:rsid w:val="00944EBF"/>
    <w:rsid w:val="00945D52"/>
    <w:rsid w:val="009464D7"/>
    <w:rsid w:val="0094656A"/>
    <w:rsid w:val="009466C5"/>
    <w:rsid w:val="0094684F"/>
    <w:rsid w:val="0094734C"/>
    <w:rsid w:val="00947595"/>
    <w:rsid w:val="00947775"/>
    <w:rsid w:val="009505EE"/>
    <w:rsid w:val="00950C7D"/>
    <w:rsid w:val="009511B0"/>
    <w:rsid w:val="009519BF"/>
    <w:rsid w:val="00951B4F"/>
    <w:rsid w:val="0095249D"/>
    <w:rsid w:val="00952D7B"/>
    <w:rsid w:val="0095339B"/>
    <w:rsid w:val="00953725"/>
    <w:rsid w:val="00953F55"/>
    <w:rsid w:val="0095472C"/>
    <w:rsid w:val="00954DEF"/>
    <w:rsid w:val="0095528A"/>
    <w:rsid w:val="0095701C"/>
    <w:rsid w:val="009570DA"/>
    <w:rsid w:val="00957715"/>
    <w:rsid w:val="00957ABD"/>
    <w:rsid w:val="00960C72"/>
    <w:rsid w:val="00961320"/>
    <w:rsid w:val="0096147C"/>
    <w:rsid w:val="0096195C"/>
    <w:rsid w:val="00961979"/>
    <w:rsid w:val="00961F45"/>
    <w:rsid w:val="00962264"/>
    <w:rsid w:val="0096392D"/>
    <w:rsid w:val="009639BC"/>
    <w:rsid w:val="00963B82"/>
    <w:rsid w:val="009653DC"/>
    <w:rsid w:val="00965A04"/>
    <w:rsid w:val="0096613A"/>
    <w:rsid w:val="00966B00"/>
    <w:rsid w:val="009670AA"/>
    <w:rsid w:val="00967270"/>
    <w:rsid w:val="00967DFD"/>
    <w:rsid w:val="0097041D"/>
    <w:rsid w:val="00970497"/>
    <w:rsid w:val="00970C34"/>
    <w:rsid w:val="00970E24"/>
    <w:rsid w:val="00971268"/>
    <w:rsid w:val="009714D5"/>
    <w:rsid w:val="009715B9"/>
    <w:rsid w:val="00971711"/>
    <w:rsid w:val="00971A9D"/>
    <w:rsid w:val="00971C80"/>
    <w:rsid w:val="009728E9"/>
    <w:rsid w:val="00972979"/>
    <w:rsid w:val="00973616"/>
    <w:rsid w:val="00973D2E"/>
    <w:rsid w:val="00974481"/>
    <w:rsid w:val="0097499D"/>
    <w:rsid w:val="00974C22"/>
    <w:rsid w:val="00974EAD"/>
    <w:rsid w:val="00976003"/>
    <w:rsid w:val="0097651A"/>
    <w:rsid w:val="00976576"/>
    <w:rsid w:val="00977038"/>
    <w:rsid w:val="00977795"/>
    <w:rsid w:val="00977C0A"/>
    <w:rsid w:val="00977C88"/>
    <w:rsid w:val="00977D86"/>
    <w:rsid w:val="00977F74"/>
    <w:rsid w:val="009807B5"/>
    <w:rsid w:val="0098176D"/>
    <w:rsid w:val="009819F4"/>
    <w:rsid w:val="009821A3"/>
    <w:rsid w:val="00983296"/>
    <w:rsid w:val="00984225"/>
    <w:rsid w:val="00984995"/>
    <w:rsid w:val="00984CCA"/>
    <w:rsid w:val="009853DA"/>
    <w:rsid w:val="0098575E"/>
    <w:rsid w:val="009867B7"/>
    <w:rsid w:val="00986AE0"/>
    <w:rsid w:val="00986C86"/>
    <w:rsid w:val="00986E05"/>
    <w:rsid w:val="00987326"/>
    <w:rsid w:val="00987668"/>
    <w:rsid w:val="009901AA"/>
    <w:rsid w:val="0099053F"/>
    <w:rsid w:val="00990778"/>
    <w:rsid w:val="009917EB"/>
    <w:rsid w:val="009922EA"/>
    <w:rsid w:val="00993B47"/>
    <w:rsid w:val="009940D0"/>
    <w:rsid w:val="00996E21"/>
    <w:rsid w:val="009971DF"/>
    <w:rsid w:val="00997E43"/>
    <w:rsid w:val="009A0DBB"/>
    <w:rsid w:val="009A11C7"/>
    <w:rsid w:val="009A149F"/>
    <w:rsid w:val="009A1AC5"/>
    <w:rsid w:val="009A1AF7"/>
    <w:rsid w:val="009A1C65"/>
    <w:rsid w:val="009A1F3C"/>
    <w:rsid w:val="009A2B30"/>
    <w:rsid w:val="009A2D44"/>
    <w:rsid w:val="009A34F2"/>
    <w:rsid w:val="009A35D1"/>
    <w:rsid w:val="009A41FB"/>
    <w:rsid w:val="009A4231"/>
    <w:rsid w:val="009A4A35"/>
    <w:rsid w:val="009A4CA9"/>
    <w:rsid w:val="009A570E"/>
    <w:rsid w:val="009A586C"/>
    <w:rsid w:val="009A5D7D"/>
    <w:rsid w:val="009A69FF"/>
    <w:rsid w:val="009A6F47"/>
    <w:rsid w:val="009A6F93"/>
    <w:rsid w:val="009B075F"/>
    <w:rsid w:val="009B0910"/>
    <w:rsid w:val="009B0A20"/>
    <w:rsid w:val="009B0A6A"/>
    <w:rsid w:val="009B1D41"/>
    <w:rsid w:val="009B2245"/>
    <w:rsid w:val="009B2A87"/>
    <w:rsid w:val="009B35A5"/>
    <w:rsid w:val="009B3CFF"/>
    <w:rsid w:val="009B3FD8"/>
    <w:rsid w:val="009B47D0"/>
    <w:rsid w:val="009B5633"/>
    <w:rsid w:val="009B6D56"/>
    <w:rsid w:val="009B7C21"/>
    <w:rsid w:val="009B7D80"/>
    <w:rsid w:val="009C125D"/>
    <w:rsid w:val="009C1627"/>
    <w:rsid w:val="009C39E7"/>
    <w:rsid w:val="009C3E8E"/>
    <w:rsid w:val="009C43B1"/>
    <w:rsid w:val="009C4CE0"/>
    <w:rsid w:val="009C59DE"/>
    <w:rsid w:val="009C5DD0"/>
    <w:rsid w:val="009C5F7A"/>
    <w:rsid w:val="009C61C6"/>
    <w:rsid w:val="009C68ED"/>
    <w:rsid w:val="009C734A"/>
    <w:rsid w:val="009C77DA"/>
    <w:rsid w:val="009D0DEC"/>
    <w:rsid w:val="009D16C6"/>
    <w:rsid w:val="009D175E"/>
    <w:rsid w:val="009D1DDE"/>
    <w:rsid w:val="009D34B8"/>
    <w:rsid w:val="009D393F"/>
    <w:rsid w:val="009D4073"/>
    <w:rsid w:val="009D438C"/>
    <w:rsid w:val="009D4888"/>
    <w:rsid w:val="009D4EDB"/>
    <w:rsid w:val="009D5603"/>
    <w:rsid w:val="009D56FE"/>
    <w:rsid w:val="009D6D95"/>
    <w:rsid w:val="009E0370"/>
    <w:rsid w:val="009E03D0"/>
    <w:rsid w:val="009E04A6"/>
    <w:rsid w:val="009E05BC"/>
    <w:rsid w:val="009E116F"/>
    <w:rsid w:val="009E1E27"/>
    <w:rsid w:val="009E3287"/>
    <w:rsid w:val="009E39E4"/>
    <w:rsid w:val="009E43E4"/>
    <w:rsid w:val="009E43E9"/>
    <w:rsid w:val="009E5333"/>
    <w:rsid w:val="009E596A"/>
    <w:rsid w:val="009E70CB"/>
    <w:rsid w:val="009E74E4"/>
    <w:rsid w:val="009E7BA4"/>
    <w:rsid w:val="009F0B81"/>
    <w:rsid w:val="009F0EAF"/>
    <w:rsid w:val="009F219C"/>
    <w:rsid w:val="009F2A7D"/>
    <w:rsid w:val="009F317B"/>
    <w:rsid w:val="009F3262"/>
    <w:rsid w:val="009F4BF7"/>
    <w:rsid w:val="009F4C1C"/>
    <w:rsid w:val="009F4C58"/>
    <w:rsid w:val="009F4DCE"/>
    <w:rsid w:val="009F4E38"/>
    <w:rsid w:val="009F52D6"/>
    <w:rsid w:val="009F53E8"/>
    <w:rsid w:val="009F551F"/>
    <w:rsid w:val="009F65CC"/>
    <w:rsid w:val="009F752F"/>
    <w:rsid w:val="009F797C"/>
    <w:rsid w:val="009F7E6B"/>
    <w:rsid w:val="00A00EE5"/>
    <w:rsid w:val="00A028F5"/>
    <w:rsid w:val="00A02E1A"/>
    <w:rsid w:val="00A03C0F"/>
    <w:rsid w:val="00A03E3C"/>
    <w:rsid w:val="00A04506"/>
    <w:rsid w:val="00A0529E"/>
    <w:rsid w:val="00A05EC0"/>
    <w:rsid w:val="00A0630D"/>
    <w:rsid w:val="00A071E6"/>
    <w:rsid w:val="00A07615"/>
    <w:rsid w:val="00A105A0"/>
    <w:rsid w:val="00A12C2D"/>
    <w:rsid w:val="00A1381D"/>
    <w:rsid w:val="00A139D1"/>
    <w:rsid w:val="00A1455E"/>
    <w:rsid w:val="00A14D61"/>
    <w:rsid w:val="00A15246"/>
    <w:rsid w:val="00A15E1F"/>
    <w:rsid w:val="00A16402"/>
    <w:rsid w:val="00A17070"/>
    <w:rsid w:val="00A17DA8"/>
    <w:rsid w:val="00A2048E"/>
    <w:rsid w:val="00A20C63"/>
    <w:rsid w:val="00A20D17"/>
    <w:rsid w:val="00A219F7"/>
    <w:rsid w:val="00A21FF8"/>
    <w:rsid w:val="00A22122"/>
    <w:rsid w:val="00A22558"/>
    <w:rsid w:val="00A22851"/>
    <w:rsid w:val="00A2314C"/>
    <w:rsid w:val="00A2434D"/>
    <w:rsid w:val="00A246CF"/>
    <w:rsid w:val="00A248A9"/>
    <w:rsid w:val="00A24DBC"/>
    <w:rsid w:val="00A25811"/>
    <w:rsid w:val="00A266BC"/>
    <w:rsid w:val="00A26B38"/>
    <w:rsid w:val="00A27817"/>
    <w:rsid w:val="00A30EC0"/>
    <w:rsid w:val="00A32405"/>
    <w:rsid w:val="00A32583"/>
    <w:rsid w:val="00A33033"/>
    <w:rsid w:val="00A330E2"/>
    <w:rsid w:val="00A33507"/>
    <w:rsid w:val="00A33508"/>
    <w:rsid w:val="00A3362E"/>
    <w:rsid w:val="00A3382E"/>
    <w:rsid w:val="00A33C62"/>
    <w:rsid w:val="00A34E9A"/>
    <w:rsid w:val="00A35EC4"/>
    <w:rsid w:val="00A36696"/>
    <w:rsid w:val="00A36E9F"/>
    <w:rsid w:val="00A370AC"/>
    <w:rsid w:val="00A377B8"/>
    <w:rsid w:val="00A404AE"/>
    <w:rsid w:val="00A404F9"/>
    <w:rsid w:val="00A40CB8"/>
    <w:rsid w:val="00A41267"/>
    <w:rsid w:val="00A41341"/>
    <w:rsid w:val="00A415CD"/>
    <w:rsid w:val="00A416A4"/>
    <w:rsid w:val="00A41F48"/>
    <w:rsid w:val="00A427E5"/>
    <w:rsid w:val="00A42FA6"/>
    <w:rsid w:val="00A431F2"/>
    <w:rsid w:val="00A43BF4"/>
    <w:rsid w:val="00A43C7B"/>
    <w:rsid w:val="00A43E12"/>
    <w:rsid w:val="00A446A5"/>
    <w:rsid w:val="00A458AF"/>
    <w:rsid w:val="00A45A3B"/>
    <w:rsid w:val="00A462B7"/>
    <w:rsid w:val="00A4634B"/>
    <w:rsid w:val="00A47452"/>
    <w:rsid w:val="00A4768C"/>
    <w:rsid w:val="00A50031"/>
    <w:rsid w:val="00A50F7C"/>
    <w:rsid w:val="00A51D84"/>
    <w:rsid w:val="00A5359B"/>
    <w:rsid w:val="00A54319"/>
    <w:rsid w:val="00A54D74"/>
    <w:rsid w:val="00A55391"/>
    <w:rsid w:val="00A55998"/>
    <w:rsid w:val="00A56426"/>
    <w:rsid w:val="00A609A4"/>
    <w:rsid w:val="00A60F43"/>
    <w:rsid w:val="00A61347"/>
    <w:rsid w:val="00A615BD"/>
    <w:rsid w:val="00A615BF"/>
    <w:rsid w:val="00A61929"/>
    <w:rsid w:val="00A61AAB"/>
    <w:rsid w:val="00A61BE2"/>
    <w:rsid w:val="00A624F8"/>
    <w:rsid w:val="00A6485B"/>
    <w:rsid w:val="00A652B7"/>
    <w:rsid w:val="00A66BCA"/>
    <w:rsid w:val="00A66E76"/>
    <w:rsid w:val="00A673C8"/>
    <w:rsid w:val="00A70B31"/>
    <w:rsid w:val="00A70F62"/>
    <w:rsid w:val="00A71602"/>
    <w:rsid w:val="00A71B9E"/>
    <w:rsid w:val="00A72846"/>
    <w:rsid w:val="00A73E14"/>
    <w:rsid w:val="00A744CB"/>
    <w:rsid w:val="00A74CE6"/>
    <w:rsid w:val="00A74E72"/>
    <w:rsid w:val="00A75361"/>
    <w:rsid w:val="00A75ED3"/>
    <w:rsid w:val="00A764F7"/>
    <w:rsid w:val="00A76514"/>
    <w:rsid w:val="00A76759"/>
    <w:rsid w:val="00A76829"/>
    <w:rsid w:val="00A76AE1"/>
    <w:rsid w:val="00A775C8"/>
    <w:rsid w:val="00A80081"/>
    <w:rsid w:val="00A8078D"/>
    <w:rsid w:val="00A80BEB"/>
    <w:rsid w:val="00A80F22"/>
    <w:rsid w:val="00A81DD1"/>
    <w:rsid w:val="00A81F3B"/>
    <w:rsid w:val="00A822EE"/>
    <w:rsid w:val="00A82E4A"/>
    <w:rsid w:val="00A8356A"/>
    <w:rsid w:val="00A83DE6"/>
    <w:rsid w:val="00A83EC5"/>
    <w:rsid w:val="00A846C9"/>
    <w:rsid w:val="00A85270"/>
    <w:rsid w:val="00A85950"/>
    <w:rsid w:val="00A87EC7"/>
    <w:rsid w:val="00A904C0"/>
    <w:rsid w:val="00A905C3"/>
    <w:rsid w:val="00A90A27"/>
    <w:rsid w:val="00A916B8"/>
    <w:rsid w:val="00A9174E"/>
    <w:rsid w:val="00A93215"/>
    <w:rsid w:val="00A9358E"/>
    <w:rsid w:val="00A93C35"/>
    <w:rsid w:val="00A93D2F"/>
    <w:rsid w:val="00A942F7"/>
    <w:rsid w:val="00A948FE"/>
    <w:rsid w:val="00A94B51"/>
    <w:rsid w:val="00A94F02"/>
    <w:rsid w:val="00A9573B"/>
    <w:rsid w:val="00A96DCB"/>
    <w:rsid w:val="00A96DD7"/>
    <w:rsid w:val="00A97265"/>
    <w:rsid w:val="00A977CA"/>
    <w:rsid w:val="00AA0CBE"/>
    <w:rsid w:val="00AA1795"/>
    <w:rsid w:val="00AA17C8"/>
    <w:rsid w:val="00AA2135"/>
    <w:rsid w:val="00AA2B9A"/>
    <w:rsid w:val="00AA3F41"/>
    <w:rsid w:val="00AA5899"/>
    <w:rsid w:val="00AA6B4B"/>
    <w:rsid w:val="00AA6B79"/>
    <w:rsid w:val="00AA6FC3"/>
    <w:rsid w:val="00AA74CA"/>
    <w:rsid w:val="00AA7541"/>
    <w:rsid w:val="00AA7C6C"/>
    <w:rsid w:val="00AB1537"/>
    <w:rsid w:val="00AB1CFA"/>
    <w:rsid w:val="00AB1E50"/>
    <w:rsid w:val="00AB3050"/>
    <w:rsid w:val="00AB5CE9"/>
    <w:rsid w:val="00AB5E6B"/>
    <w:rsid w:val="00AB63D8"/>
    <w:rsid w:val="00AB6879"/>
    <w:rsid w:val="00AB6F3C"/>
    <w:rsid w:val="00AB762C"/>
    <w:rsid w:val="00AB7E8E"/>
    <w:rsid w:val="00AC0A6A"/>
    <w:rsid w:val="00AC129B"/>
    <w:rsid w:val="00AC1611"/>
    <w:rsid w:val="00AC1957"/>
    <w:rsid w:val="00AC217F"/>
    <w:rsid w:val="00AC2941"/>
    <w:rsid w:val="00AC2ABA"/>
    <w:rsid w:val="00AC3DAF"/>
    <w:rsid w:val="00AC4294"/>
    <w:rsid w:val="00AC47AC"/>
    <w:rsid w:val="00AC4CD9"/>
    <w:rsid w:val="00AC4E20"/>
    <w:rsid w:val="00AC54B7"/>
    <w:rsid w:val="00AC5928"/>
    <w:rsid w:val="00AC5C86"/>
    <w:rsid w:val="00AC61E5"/>
    <w:rsid w:val="00AC6677"/>
    <w:rsid w:val="00AC6E72"/>
    <w:rsid w:val="00AD0081"/>
    <w:rsid w:val="00AD069B"/>
    <w:rsid w:val="00AD220D"/>
    <w:rsid w:val="00AD243A"/>
    <w:rsid w:val="00AD3C2E"/>
    <w:rsid w:val="00AD3F27"/>
    <w:rsid w:val="00AD46E8"/>
    <w:rsid w:val="00AD4825"/>
    <w:rsid w:val="00AD513D"/>
    <w:rsid w:val="00AD5B1C"/>
    <w:rsid w:val="00AD628C"/>
    <w:rsid w:val="00AD660E"/>
    <w:rsid w:val="00AD6C98"/>
    <w:rsid w:val="00AD7118"/>
    <w:rsid w:val="00AD7388"/>
    <w:rsid w:val="00AE065C"/>
    <w:rsid w:val="00AE0B4F"/>
    <w:rsid w:val="00AE0CE4"/>
    <w:rsid w:val="00AE0EE4"/>
    <w:rsid w:val="00AE1FDB"/>
    <w:rsid w:val="00AE2791"/>
    <w:rsid w:val="00AE293E"/>
    <w:rsid w:val="00AE3124"/>
    <w:rsid w:val="00AE35EA"/>
    <w:rsid w:val="00AE3875"/>
    <w:rsid w:val="00AE3D82"/>
    <w:rsid w:val="00AE3EEA"/>
    <w:rsid w:val="00AE49A0"/>
    <w:rsid w:val="00AE4CD3"/>
    <w:rsid w:val="00AE5978"/>
    <w:rsid w:val="00AE67BA"/>
    <w:rsid w:val="00AE6C6F"/>
    <w:rsid w:val="00AE6C98"/>
    <w:rsid w:val="00AE7139"/>
    <w:rsid w:val="00AE7A3C"/>
    <w:rsid w:val="00AE7AFF"/>
    <w:rsid w:val="00AF00AE"/>
    <w:rsid w:val="00AF01EF"/>
    <w:rsid w:val="00AF0553"/>
    <w:rsid w:val="00AF0CD3"/>
    <w:rsid w:val="00AF0D2E"/>
    <w:rsid w:val="00AF14AF"/>
    <w:rsid w:val="00AF26FD"/>
    <w:rsid w:val="00AF29D5"/>
    <w:rsid w:val="00AF43F0"/>
    <w:rsid w:val="00AF55BE"/>
    <w:rsid w:val="00AF58C3"/>
    <w:rsid w:val="00AF6379"/>
    <w:rsid w:val="00AF6411"/>
    <w:rsid w:val="00AF66B0"/>
    <w:rsid w:val="00AF7CF2"/>
    <w:rsid w:val="00B013C7"/>
    <w:rsid w:val="00B02786"/>
    <w:rsid w:val="00B03058"/>
    <w:rsid w:val="00B035AE"/>
    <w:rsid w:val="00B038FC"/>
    <w:rsid w:val="00B04113"/>
    <w:rsid w:val="00B0462D"/>
    <w:rsid w:val="00B05058"/>
    <w:rsid w:val="00B067DC"/>
    <w:rsid w:val="00B0796A"/>
    <w:rsid w:val="00B07B72"/>
    <w:rsid w:val="00B07BE2"/>
    <w:rsid w:val="00B07C20"/>
    <w:rsid w:val="00B10F48"/>
    <w:rsid w:val="00B111FA"/>
    <w:rsid w:val="00B11326"/>
    <w:rsid w:val="00B114C2"/>
    <w:rsid w:val="00B1200B"/>
    <w:rsid w:val="00B125FC"/>
    <w:rsid w:val="00B127B2"/>
    <w:rsid w:val="00B1289F"/>
    <w:rsid w:val="00B13030"/>
    <w:rsid w:val="00B13E6E"/>
    <w:rsid w:val="00B14082"/>
    <w:rsid w:val="00B14D53"/>
    <w:rsid w:val="00B14DE0"/>
    <w:rsid w:val="00B15090"/>
    <w:rsid w:val="00B15F65"/>
    <w:rsid w:val="00B169C7"/>
    <w:rsid w:val="00B16D21"/>
    <w:rsid w:val="00B1787D"/>
    <w:rsid w:val="00B20598"/>
    <w:rsid w:val="00B207CF"/>
    <w:rsid w:val="00B20A23"/>
    <w:rsid w:val="00B21739"/>
    <w:rsid w:val="00B21AAF"/>
    <w:rsid w:val="00B21E9E"/>
    <w:rsid w:val="00B21F98"/>
    <w:rsid w:val="00B229D7"/>
    <w:rsid w:val="00B22AE3"/>
    <w:rsid w:val="00B22BA9"/>
    <w:rsid w:val="00B22EF4"/>
    <w:rsid w:val="00B23D4C"/>
    <w:rsid w:val="00B23F9E"/>
    <w:rsid w:val="00B252F9"/>
    <w:rsid w:val="00B25324"/>
    <w:rsid w:val="00B25A7A"/>
    <w:rsid w:val="00B25ACF"/>
    <w:rsid w:val="00B25FDE"/>
    <w:rsid w:val="00B27993"/>
    <w:rsid w:val="00B27AD1"/>
    <w:rsid w:val="00B27C1C"/>
    <w:rsid w:val="00B27F37"/>
    <w:rsid w:val="00B3013D"/>
    <w:rsid w:val="00B301F9"/>
    <w:rsid w:val="00B31BF0"/>
    <w:rsid w:val="00B3281C"/>
    <w:rsid w:val="00B32D78"/>
    <w:rsid w:val="00B32E16"/>
    <w:rsid w:val="00B349CF"/>
    <w:rsid w:val="00B34C49"/>
    <w:rsid w:val="00B34FD7"/>
    <w:rsid w:val="00B35B29"/>
    <w:rsid w:val="00B3685A"/>
    <w:rsid w:val="00B36862"/>
    <w:rsid w:val="00B36A27"/>
    <w:rsid w:val="00B36F64"/>
    <w:rsid w:val="00B36FC5"/>
    <w:rsid w:val="00B372A6"/>
    <w:rsid w:val="00B37A6A"/>
    <w:rsid w:val="00B37C13"/>
    <w:rsid w:val="00B40223"/>
    <w:rsid w:val="00B405E9"/>
    <w:rsid w:val="00B40FF0"/>
    <w:rsid w:val="00B41C32"/>
    <w:rsid w:val="00B41D93"/>
    <w:rsid w:val="00B41E58"/>
    <w:rsid w:val="00B43DCF"/>
    <w:rsid w:val="00B43ED1"/>
    <w:rsid w:val="00B44998"/>
    <w:rsid w:val="00B44A18"/>
    <w:rsid w:val="00B44D33"/>
    <w:rsid w:val="00B4521F"/>
    <w:rsid w:val="00B454F9"/>
    <w:rsid w:val="00B46483"/>
    <w:rsid w:val="00B46D7E"/>
    <w:rsid w:val="00B47A72"/>
    <w:rsid w:val="00B47F1F"/>
    <w:rsid w:val="00B515C7"/>
    <w:rsid w:val="00B51EA0"/>
    <w:rsid w:val="00B520E7"/>
    <w:rsid w:val="00B52A63"/>
    <w:rsid w:val="00B5395B"/>
    <w:rsid w:val="00B54B82"/>
    <w:rsid w:val="00B54CAE"/>
    <w:rsid w:val="00B577B6"/>
    <w:rsid w:val="00B57D1D"/>
    <w:rsid w:val="00B60122"/>
    <w:rsid w:val="00B6090B"/>
    <w:rsid w:val="00B6152F"/>
    <w:rsid w:val="00B61571"/>
    <w:rsid w:val="00B61D53"/>
    <w:rsid w:val="00B625D6"/>
    <w:rsid w:val="00B62866"/>
    <w:rsid w:val="00B631D2"/>
    <w:rsid w:val="00B6387D"/>
    <w:rsid w:val="00B63BA9"/>
    <w:rsid w:val="00B63BBD"/>
    <w:rsid w:val="00B64184"/>
    <w:rsid w:val="00B64202"/>
    <w:rsid w:val="00B647B8"/>
    <w:rsid w:val="00B659D6"/>
    <w:rsid w:val="00B6764A"/>
    <w:rsid w:val="00B67A20"/>
    <w:rsid w:val="00B7006A"/>
    <w:rsid w:val="00B707E6"/>
    <w:rsid w:val="00B70C04"/>
    <w:rsid w:val="00B712D8"/>
    <w:rsid w:val="00B732DF"/>
    <w:rsid w:val="00B734EE"/>
    <w:rsid w:val="00B736E1"/>
    <w:rsid w:val="00B7429E"/>
    <w:rsid w:val="00B74881"/>
    <w:rsid w:val="00B74A5E"/>
    <w:rsid w:val="00B75786"/>
    <w:rsid w:val="00B75C21"/>
    <w:rsid w:val="00B76024"/>
    <w:rsid w:val="00B76131"/>
    <w:rsid w:val="00B76980"/>
    <w:rsid w:val="00B77E03"/>
    <w:rsid w:val="00B80204"/>
    <w:rsid w:val="00B81B4F"/>
    <w:rsid w:val="00B81DB9"/>
    <w:rsid w:val="00B82734"/>
    <w:rsid w:val="00B82A96"/>
    <w:rsid w:val="00B82E40"/>
    <w:rsid w:val="00B83493"/>
    <w:rsid w:val="00B83734"/>
    <w:rsid w:val="00B839FB"/>
    <w:rsid w:val="00B84CBD"/>
    <w:rsid w:val="00B84FDC"/>
    <w:rsid w:val="00B86086"/>
    <w:rsid w:val="00B86AFF"/>
    <w:rsid w:val="00B86FED"/>
    <w:rsid w:val="00B87142"/>
    <w:rsid w:val="00B874C6"/>
    <w:rsid w:val="00B9044B"/>
    <w:rsid w:val="00B9160E"/>
    <w:rsid w:val="00B918CB"/>
    <w:rsid w:val="00B91E1D"/>
    <w:rsid w:val="00B926F6"/>
    <w:rsid w:val="00B92805"/>
    <w:rsid w:val="00B92877"/>
    <w:rsid w:val="00B929DC"/>
    <w:rsid w:val="00B92C36"/>
    <w:rsid w:val="00B931DA"/>
    <w:rsid w:val="00B9324B"/>
    <w:rsid w:val="00B93803"/>
    <w:rsid w:val="00B93C30"/>
    <w:rsid w:val="00B93DFF"/>
    <w:rsid w:val="00B9408B"/>
    <w:rsid w:val="00B943B5"/>
    <w:rsid w:val="00B94D5D"/>
    <w:rsid w:val="00B94E18"/>
    <w:rsid w:val="00B95EF9"/>
    <w:rsid w:val="00B95FF7"/>
    <w:rsid w:val="00B966F2"/>
    <w:rsid w:val="00B96812"/>
    <w:rsid w:val="00B96AFE"/>
    <w:rsid w:val="00B96B05"/>
    <w:rsid w:val="00B96C55"/>
    <w:rsid w:val="00B97400"/>
    <w:rsid w:val="00BA0986"/>
    <w:rsid w:val="00BA218B"/>
    <w:rsid w:val="00BA2DD4"/>
    <w:rsid w:val="00BA3171"/>
    <w:rsid w:val="00BA349C"/>
    <w:rsid w:val="00BA34B4"/>
    <w:rsid w:val="00BA3932"/>
    <w:rsid w:val="00BA4179"/>
    <w:rsid w:val="00BA4A4D"/>
    <w:rsid w:val="00BA4CA3"/>
    <w:rsid w:val="00BA51A2"/>
    <w:rsid w:val="00BA52CB"/>
    <w:rsid w:val="00BA7C34"/>
    <w:rsid w:val="00BB0F59"/>
    <w:rsid w:val="00BB107D"/>
    <w:rsid w:val="00BB10D4"/>
    <w:rsid w:val="00BB11ED"/>
    <w:rsid w:val="00BB1950"/>
    <w:rsid w:val="00BB1C8C"/>
    <w:rsid w:val="00BB209F"/>
    <w:rsid w:val="00BB2281"/>
    <w:rsid w:val="00BB3E59"/>
    <w:rsid w:val="00BB40D1"/>
    <w:rsid w:val="00BB4E25"/>
    <w:rsid w:val="00BB4F36"/>
    <w:rsid w:val="00BB5C00"/>
    <w:rsid w:val="00BB640F"/>
    <w:rsid w:val="00BB7320"/>
    <w:rsid w:val="00BC081A"/>
    <w:rsid w:val="00BC19FA"/>
    <w:rsid w:val="00BC22A0"/>
    <w:rsid w:val="00BC2C0A"/>
    <w:rsid w:val="00BC2D74"/>
    <w:rsid w:val="00BC39BD"/>
    <w:rsid w:val="00BC40D8"/>
    <w:rsid w:val="00BC416C"/>
    <w:rsid w:val="00BC4404"/>
    <w:rsid w:val="00BC5071"/>
    <w:rsid w:val="00BC5191"/>
    <w:rsid w:val="00BC5C08"/>
    <w:rsid w:val="00BC627F"/>
    <w:rsid w:val="00BC635D"/>
    <w:rsid w:val="00BC646F"/>
    <w:rsid w:val="00BC6625"/>
    <w:rsid w:val="00BC7F30"/>
    <w:rsid w:val="00BD0FA6"/>
    <w:rsid w:val="00BD1304"/>
    <w:rsid w:val="00BD1B9E"/>
    <w:rsid w:val="00BD2E27"/>
    <w:rsid w:val="00BD3CBD"/>
    <w:rsid w:val="00BD40AC"/>
    <w:rsid w:val="00BD444C"/>
    <w:rsid w:val="00BD47F3"/>
    <w:rsid w:val="00BD4A9C"/>
    <w:rsid w:val="00BD6ADF"/>
    <w:rsid w:val="00BD7A93"/>
    <w:rsid w:val="00BD7E70"/>
    <w:rsid w:val="00BE0899"/>
    <w:rsid w:val="00BE0C15"/>
    <w:rsid w:val="00BE122D"/>
    <w:rsid w:val="00BE2710"/>
    <w:rsid w:val="00BE29B6"/>
    <w:rsid w:val="00BE3119"/>
    <w:rsid w:val="00BE3EA5"/>
    <w:rsid w:val="00BE4B12"/>
    <w:rsid w:val="00BE59F6"/>
    <w:rsid w:val="00BE5C74"/>
    <w:rsid w:val="00BE7264"/>
    <w:rsid w:val="00BE7A1E"/>
    <w:rsid w:val="00BF0209"/>
    <w:rsid w:val="00BF0D23"/>
    <w:rsid w:val="00BF10F4"/>
    <w:rsid w:val="00BF1166"/>
    <w:rsid w:val="00BF16E5"/>
    <w:rsid w:val="00BF190C"/>
    <w:rsid w:val="00BF1E4B"/>
    <w:rsid w:val="00BF1FEB"/>
    <w:rsid w:val="00BF2101"/>
    <w:rsid w:val="00BF2514"/>
    <w:rsid w:val="00BF40C1"/>
    <w:rsid w:val="00BF4699"/>
    <w:rsid w:val="00BF4D3D"/>
    <w:rsid w:val="00BF4E39"/>
    <w:rsid w:val="00BF63BF"/>
    <w:rsid w:val="00BF6BD3"/>
    <w:rsid w:val="00BF72F8"/>
    <w:rsid w:val="00C0019F"/>
    <w:rsid w:val="00C00C6D"/>
    <w:rsid w:val="00C017EC"/>
    <w:rsid w:val="00C01B23"/>
    <w:rsid w:val="00C0242A"/>
    <w:rsid w:val="00C02AB8"/>
    <w:rsid w:val="00C03545"/>
    <w:rsid w:val="00C036A0"/>
    <w:rsid w:val="00C03966"/>
    <w:rsid w:val="00C03E18"/>
    <w:rsid w:val="00C042D2"/>
    <w:rsid w:val="00C049F9"/>
    <w:rsid w:val="00C04BC4"/>
    <w:rsid w:val="00C05613"/>
    <w:rsid w:val="00C062D9"/>
    <w:rsid w:val="00C06539"/>
    <w:rsid w:val="00C07736"/>
    <w:rsid w:val="00C10478"/>
    <w:rsid w:val="00C109EC"/>
    <w:rsid w:val="00C1126E"/>
    <w:rsid w:val="00C114D8"/>
    <w:rsid w:val="00C119A5"/>
    <w:rsid w:val="00C11A29"/>
    <w:rsid w:val="00C11EF1"/>
    <w:rsid w:val="00C12FA6"/>
    <w:rsid w:val="00C1372E"/>
    <w:rsid w:val="00C13C0E"/>
    <w:rsid w:val="00C13D51"/>
    <w:rsid w:val="00C1487B"/>
    <w:rsid w:val="00C14AA5"/>
    <w:rsid w:val="00C156F6"/>
    <w:rsid w:val="00C161D4"/>
    <w:rsid w:val="00C165CE"/>
    <w:rsid w:val="00C169BE"/>
    <w:rsid w:val="00C16F01"/>
    <w:rsid w:val="00C1719F"/>
    <w:rsid w:val="00C172ED"/>
    <w:rsid w:val="00C21112"/>
    <w:rsid w:val="00C21115"/>
    <w:rsid w:val="00C217BD"/>
    <w:rsid w:val="00C233AA"/>
    <w:rsid w:val="00C2396D"/>
    <w:rsid w:val="00C24506"/>
    <w:rsid w:val="00C25348"/>
    <w:rsid w:val="00C26534"/>
    <w:rsid w:val="00C26942"/>
    <w:rsid w:val="00C27F83"/>
    <w:rsid w:val="00C31353"/>
    <w:rsid w:val="00C31A5A"/>
    <w:rsid w:val="00C31D48"/>
    <w:rsid w:val="00C33942"/>
    <w:rsid w:val="00C351D7"/>
    <w:rsid w:val="00C35646"/>
    <w:rsid w:val="00C356E3"/>
    <w:rsid w:val="00C35B8A"/>
    <w:rsid w:val="00C36449"/>
    <w:rsid w:val="00C36A81"/>
    <w:rsid w:val="00C40508"/>
    <w:rsid w:val="00C40C64"/>
    <w:rsid w:val="00C41531"/>
    <w:rsid w:val="00C415C8"/>
    <w:rsid w:val="00C42006"/>
    <w:rsid w:val="00C422EB"/>
    <w:rsid w:val="00C422FE"/>
    <w:rsid w:val="00C42411"/>
    <w:rsid w:val="00C430B1"/>
    <w:rsid w:val="00C44136"/>
    <w:rsid w:val="00C4436B"/>
    <w:rsid w:val="00C4484F"/>
    <w:rsid w:val="00C44FDA"/>
    <w:rsid w:val="00C457D2"/>
    <w:rsid w:val="00C45CB1"/>
    <w:rsid w:val="00C46287"/>
    <w:rsid w:val="00C47646"/>
    <w:rsid w:val="00C47AAE"/>
    <w:rsid w:val="00C47D56"/>
    <w:rsid w:val="00C5017B"/>
    <w:rsid w:val="00C523AC"/>
    <w:rsid w:val="00C52419"/>
    <w:rsid w:val="00C52468"/>
    <w:rsid w:val="00C5281E"/>
    <w:rsid w:val="00C52C5F"/>
    <w:rsid w:val="00C52E23"/>
    <w:rsid w:val="00C53867"/>
    <w:rsid w:val="00C53C07"/>
    <w:rsid w:val="00C54AA5"/>
    <w:rsid w:val="00C55215"/>
    <w:rsid w:val="00C572D1"/>
    <w:rsid w:val="00C5769E"/>
    <w:rsid w:val="00C57E42"/>
    <w:rsid w:val="00C615C4"/>
    <w:rsid w:val="00C618D7"/>
    <w:rsid w:val="00C61F61"/>
    <w:rsid w:val="00C61F7A"/>
    <w:rsid w:val="00C61FA3"/>
    <w:rsid w:val="00C6266F"/>
    <w:rsid w:val="00C6315C"/>
    <w:rsid w:val="00C633D6"/>
    <w:rsid w:val="00C636B4"/>
    <w:rsid w:val="00C63EE2"/>
    <w:rsid w:val="00C6419A"/>
    <w:rsid w:val="00C642E0"/>
    <w:rsid w:val="00C644E1"/>
    <w:rsid w:val="00C6455B"/>
    <w:rsid w:val="00C64B8A"/>
    <w:rsid w:val="00C64C3E"/>
    <w:rsid w:val="00C64DE1"/>
    <w:rsid w:val="00C65389"/>
    <w:rsid w:val="00C6765F"/>
    <w:rsid w:val="00C678BB"/>
    <w:rsid w:val="00C67E1A"/>
    <w:rsid w:val="00C7015C"/>
    <w:rsid w:val="00C70D17"/>
    <w:rsid w:val="00C71F76"/>
    <w:rsid w:val="00C72C5B"/>
    <w:rsid w:val="00C73BCF"/>
    <w:rsid w:val="00C746DE"/>
    <w:rsid w:val="00C74770"/>
    <w:rsid w:val="00C754BA"/>
    <w:rsid w:val="00C75AC8"/>
    <w:rsid w:val="00C75BEB"/>
    <w:rsid w:val="00C7623C"/>
    <w:rsid w:val="00C76389"/>
    <w:rsid w:val="00C7745D"/>
    <w:rsid w:val="00C77813"/>
    <w:rsid w:val="00C77883"/>
    <w:rsid w:val="00C77D03"/>
    <w:rsid w:val="00C77DF1"/>
    <w:rsid w:val="00C814AB"/>
    <w:rsid w:val="00C81D61"/>
    <w:rsid w:val="00C82089"/>
    <w:rsid w:val="00C83C62"/>
    <w:rsid w:val="00C83D18"/>
    <w:rsid w:val="00C83E93"/>
    <w:rsid w:val="00C840DF"/>
    <w:rsid w:val="00C84C68"/>
    <w:rsid w:val="00C851CE"/>
    <w:rsid w:val="00C8534A"/>
    <w:rsid w:val="00C85395"/>
    <w:rsid w:val="00C85EDE"/>
    <w:rsid w:val="00C868E5"/>
    <w:rsid w:val="00C86C6E"/>
    <w:rsid w:val="00C86C78"/>
    <w:rsid w:val="00C87307"/>
    <w:rsid w:val="00C9039B"/>
    <w:rsid w:val="00C906C4"/>
    <w:rsid w:val="00C90CD5"/>
    <w:rsid w:val="00C91D0D"/>
    <w:rsid w:val="00C92772"/>
    <w:rsid w:val="00C934CF"/>
    <w:rsid w:val="00C93B49"/>
    <w:rsid w:val="00C942C2"/>
    <w:rsid w:val="00C95CE1"/>
    <w:rsid w:val="00C95E28"/>
    <w:rsid w:val="00C96224"/>
    <w:rsid w:val="00C97C3B"/>
    <w:rsid w:val="00CA07F8"/>
    <w:rsid w:val="00CA173F"/>
    <w:rsid w:val="00CA3835"/>
    <w:rsid w:val="00CA55A3"/>
    <w:rsid w:val="00CA57AD"/>
    <w:rsid w:val="00CA5F24"/>
    <w:rsid w:val="00CA651C"/>
    <w:rsid w:val="00CA6C4C"/>
    <w:rsid w:val="00CA7051"/>
    <w:rsid w:val="00CA72A7"/>
    <w:rsid w:val="00CA75B4"/>
    <w:rsid w:val="00CA7F51"/>
    <w:rsid w:val="00CB00C8"/>
    <w:rsid w:val="00CB017A"/>
    <w:rsid w:val="00CB071D"/>
    <w:rsid w:val="00CB0C8D"/>
    <w:rsid w:val="00CB0EE4"/>
    <w:rsid w:val="00CB1F4C"/>
    <w:rsid w:val="00CB24DC"/>
    <w:rsid w:val="00CB400C"/>
    <w:rsid w:val="00CB41D6"/>
    <w:rsid w:val="00CB5F82"/>
    <w:rsid w:val="00CB6A55"/>
    <w:rsid w:val="00CB7114"/>
    <w:rsid w:val="00CB712D"/>
    <w:rsid w:val="00CB72F4"/>
    <w:rsid w:val="00CB7D8F"/>
    <w:rsid w:val="00CC0058"/>
    <w:rsid w:val="00CC04CD"/>
    <w:rsid w:val="00CC088E"/>
    <w:rsid w:val="00CC1B0A"/>
    <w:rsid w:val="00CC1D5A"/>
    <w:rsid w:val="00CC3A84"/>
    <w:rsid w:val="00CC3BF3"/>
    <w:rsid w:val="00CC4165"/>
    <w:rsid w:val="00CC4535"/>
    <w:rsid w:val="00CC458D"/>
    <w:rsid w:val="00CC48F8"/>
    <w:rsid w:val="00CC4BEF"/>
    <w:rsid w:val="00CC4DE2"/>
    <w:rsid w:val="00CC57B8"/>
    <w:rsid w:val="00CC5851"/>
    <w:rsid w:val="00CC5863"/>
    <w:rsid w:val="00CC5D19"/>
    <w:rsid w:val="00CC5D59"/>
    <w:rsid w:val="00CC60AC"/>
    <w:rsid w:val="00CC60EB"/>
    <w:rsid w:val="00CC61B6"/>
    <w:rsid w:val="00CC7DA4"/>
    <w:rsid w:val="00CD0418"/>
    <w:rsid w:val="00CD0942"/>
    <w:rsid w:val="00CD0CD6"/>
    <w:rsid w:val="00CD15EF"/>
    <w:rsid w:val="00CD1B10"/>
    <w:rsid w:val="00CD1BD2"/>
    <w:rsid w:val="00CD252F"/>
    <w:rsid w:val="00CD2A3A"/>
    <w:rsid w:val="00CD49FA"/>
    <w:rsid w:val="00CD50C0"/>
    <w:rsid w:val="00CD53B4"/>
    <w:rsid w:val="00CD561C"/>
    <w:rsid w:val="00CD5951"/>
    <w:rsid w:val="00CD5C5C"/>
    <w:rsid w:val="00CD5E75"/>
    <w:rsid w:val="00CD5FB6"/>
    <w:rsid w:val="00CD78A0"/>
    <w:rsid w:val="00CD7B9E"/>
    <w:rsid w:val="00CD7BC6"/>
    <w:rsid w:val="00CD7C18"/>
    <w:rsid w:val="00CE0B01"/>
    <w:rsid w:val="00CE1220"/>
    <w:rsid w:val="00CE3455"/>
    <w:rsid w:val="00CE3476"/>
    <w:rsid w:val="00CE3781"/>
    <w:rsid w:val="00CE49D1"/>
    <w:rsid w:val="00CE4CCA"/>
    <w:rsid w:val="00CE4D40"/>
    <w:rsid w:val="00CE7056"/>
    <w:rsid w:val="00CE785F"/>
    <w:rsid w:val="00CE7B21"/>
    <w:rsid w:val="00CE7DBC"/>
    <w:rsid w:val="00CE7EA1"/>
    <w:rsid w:val="00CF01AA"/>
    <w:rsid w:val="00CF03F7"/>
    <w:rsid w:val="00CF0C48"/>
    <w:rsid w:val="00CF175A"/>
    <w:rsid w:val="00CF1C68"/>
    <w:rsid w:val="00CF2380"/>
    <w:rsid w:val="00CF26BF"/>
    <w:rsid w:val="00CF2E89"/>
    <w:rsid w:val="00CF3DE4"/>
    <w:rsid w:val="00CF4891"/>
    <w:rsid w:val="00CF56A0"/>
    <w:rsid w:val="00CF59A0"/>
    <w:rsid w:val="00CF5D7C"/>
    <w:rsid w:val="00CF6AA0"/>
    <w:rsid w:val="00CF72B1"/>
    <w:rsid w:val="00CF740B"/>
    <w:rsid w:val="00CF78E2"/>
    <w:rsid w:val="00D0031F"/>
    <w:rsid w:val="00D00B43"/>
    <w:rsid w:val="00D00D25"/>
    <w:rsid w:val="00D00F23"/>
    <w:rsid w:val="00D00F50"/>
    <w:rsid w:val="00D0155B"/>
    <w:rsid w:val="00D02579"/>
    <w:rsid w:val="00D02616"/>
    <w:rsid w:val="00D03206"/>
    <w:rsid w:val="00D0472D"/>
    <w:rsid w:val="00D05BB0"/>
    <w:rsid w:val="00D05E7B"/>
    <w:rsid w:val="00D05FE8"/>
    <w:rsid w:val="00D061BB"/>
    <w:rsid w:val="00D061D7"/>
    <w:rsid w:val="00D0625D"/>
    <w:rsid w:val="00D06712"/>
    <w:rsid w:val="00D06AE6"/>
    <w:rsid w:val="00D07333"/>
    <w:rsid w:val="00D07B77"/>
    <w:rsid w:val="00D10BE3"/>
    <w:rsid w:val="00D111FB"/>
    <w:rsid w:val="00D12226"/>
    <w:rsid w:val="00D132DE"/>
    <w:rsid w:val="00D13EDA"/>
    <w:rsid w:val="00D14302"/>
    <w:rsid w:val="00D1455E"/>
    <w:rsid w:val="00D15175"/>
    <w:rsid w:val="00D15351"/>
    <w:rsid w:val="00D1685B"/>
    <w:rsid w:val="00D16AE8"/>
    <w:rsid w:val="00D16CB9"/>
    <w:rsid w:val="00D17A03"/>
    <w:rsid w:val="00D207C1"/>
    <w:rsid w:val="00D21B8B"/>
    <w:rsid w:val="00D21E60"/>
    <w:rsid w:val="00D2211F"/>
    <w:rsid w:val="00D25EDE"/>
    <w:rsid w:val="00D27829"/>
    <w:rsid w:val="00D30E51"/>
    <w:rsid w:val="00D314AD"/>
    <w:rsid w:val="00D314D7"/>
    <w:rsid w:val="00D3201E"/>
    <w:rsid w:val="00D3253C"/>
    <w:rsid w:val="00D32FA8"/>
    <w:rsid w:val="00D337DE"/>
    <w:rsid w:val="00D33A6E"/>
    <w:rsid w:val="00D344AE"/>
    <w:rsid w:val="00D34718"/>
    <w:rsid w:val="00D35232"/>
    <w:rsid w:val="00D35777"/>
    <w:rsid w:val="00D3583C"/>
    <w:rsid w:val="00D35907"/>
    <w:rsid w:val="00D35BD2"/>
    <w:rsid w:val="00D3680C"/>
    <w:rsid w:val="00D368D9"/>
    <w:rsid w:val="00D36D16"/>
    <w:rsid w:val="00D3730E"/>
    <w:rsid w:val="00D4101A"/>
    <w:rsid w:val="00D41C68"/>
    <w:rsid w:val="00D41EFE"/>
    <w:rsid w:val="00D42601"/>
    <w:rsid w:val="00D4299D"/>
    <w:rsid w:val="00D42AAC"/>
    <w:rsid w:val="00D42B22"/>
    <w:rsid w:val="00D42C0E"/>
    <w:rsid w:val="00D43F7A"/>
    <w:rsid w:val="00D44906"/>
    <w:rsid w:val="00D44BB4"/>
    <w:rsid w:val="00D450F3"/>
    <w:rsid w:val="00D45330"/>
    <w:rsid w:val="00D45AED"/>
    <w:rsid w:val="00D45EAC"/>
    <w:rsid w:val="00D462C7"/>
    <w:rsid w:val="00D468F0"/>
    <w:rsid w:val="00D46E9C"/>
    <w:rsid w:val="00D475B1"/>
    <w:rsid w:val="00D47C4B"/>
    <w:rsid w:val="00D47E28"/>
    <w:rsid w:val="00D50A36"/>
    <w:rsid w:val="00D51055"/>
    <w:rsid w:val="00D5124A"/>
    <w:rsid w:val="00D51704"/>
    <w:rsid w:val="00D51920"/>
    <w:rsid w:val="00D521F9"/>
    <w:rsid w:val="00D527EF"/>
    <w:rsid w:val="00D52F59"/>
    <w:rsid w:val="00D53742"/>
    <w:rsid w:val="00D540E7"/>
    <w:rsid w:val="00D5449E"/>
    <w:rsid w:val="00D54539"/>
    <w:rsid w:val="00D54BD3"/>
    <w:rsid w:val="00D553EE"/>
    <w:rsid w:val="00D5549A"/>
    <w:rsid w:val="00D5594E"/>
    <w:rsid w:val="00D55ACB"/>
    <w:rsid w:val="00D56A03"/>
    <w:rsid w:val="00D56D61"/>
    <w:rsid w:val="00D57626"/>
    <w:rsid w:val="00D57E68"/>
    <w:rsid w:val="00D6075E"/>
    <w:rsid w:val="00D60848"/>
    <w:rsid w:val="00D609A5"/>
    <w:rsid w:val="00D60B2A"/>
    <w:rsid w:val="00D60F81"/>
    <w:rsid w:val="00D6382D"/>
    <w:rsid w:val="00D64B84"/>
    <w:rsid w:val="00D65419"/>
    <w:rsid w:val="00D66B8E"/>
    <w:rsid w:val="00D672D0"/>
    <w:rsid w:val="00D677DD"/>
    <w:rsid w:val="00D677F2"/>
    <w:rsid w:val="00D67F34"/>
    <w:rsid w:val="00D7010C"/>
    <w:rsid w:val="00D70134"/>
    <w:rsid w:val="00D702AE"/>
    <w:rsid w:val="00D707A4"/>
    <w:rsid w:val="00D7121E"/>
    <w:rsid w:val="00D7182D"/>
    <w:rsid w:val="00D7228C"/>
    <w:rsid w:val="00D729C0"/>
    <w:rsid w:val="00D73192"/>
    <w:rsid w:val="00D732DD"/>
    <w:rsid w:val="00D73B5D"/>
    <w:rsid w:val="00D747D0"/>
    <w:rsid w:val="00D74928"/>
    <w:rsid w:val="00D74AFF"/>
    <w:rsid w:val="00D74DBD"/>
    <w:rsid w:val="00D751CD"/>
    <w:rsid w:val="00D75777"/>
    <w:rsid w:val="00D759C1"/>
    <w:rsid w:val="00D77084"/>
    <w:rsid w:val="00D7772E"/>
    <w:rsid w:val="00D777BB"/>
    <w:rsid w:val="00D779AF"/>
    <w:rsid w:val="00D8031A"/>
    <w:rsid w:val="00D807B3"/>
    <w:rsid w:val="00D81039"/>
    <w:rsid w:val="00D81BC9"/>
    <w:rsid w:val="00D822EC"/>
    <w:rsid w:val="00D82BB1"/>
    <w:rsid w:val="00D83496"/>
    <w:rsid w:val="00D834C1"/>
    <w:rsid w:val="00D85314"/>
    <w:rsid w:val="00D853D9"/>
    <w:rsid w:val="00D860A5"/>
    <w:rsid w:val="00D87D5C"/>
    <w:rsid w:val="00D87E81"/>
    <w:rsid w:val="00D9042F"/>
    <w:rsid w:val="00D9061E"/>
    <w:rsid w:val="00D9063E"/>
    <w:rsid w:val="00D908BB"/>
    <w:rsid w:val="00D90F4E"/>
    <w:rsid w:val="00D91082"/>
    <w:rsid w:val="00D91B05"/>
    <w:rsid w:val="00D926F6"/>
    <w:rsid w:val="00D92ABB"/>
    <w:rsid w:val="00D9316A"/>
    <w:rsid w:val="00D93D05"/>
    <w:rsid w:val="00D93F9A"/>
    <w:rsid w:val="00D95536"/>
    <w:rsid w:val="00D95855"/>
    <w:rsid w:val="00D971CE"/>
    <w:rsid w:val="00D97671"/>
    <w:rsid w:val="00D97D18"/>
    <w:rsid w:val="00D97F82"/>
    <w:rsid w:val="00DA07F1"/>
    <w:rsid w:val="00DA168F"/>
    <w:rsid w:val="00DA1985"/>
    <w:rsid w:val="00DA1C40"/>
    <w:rsid w:val="00DA1CCA"/>
    <w:rsid w:val="00DA24EA"/>
    <w:rsid w:val="00DA26D6"/>
    <w:rsid w:val="00DA2F64"/>
    <w:rsid w:val="00DA4188"/>
    <w:rsid w:val="00DA4236"/>
    <w:rsid w:val="00DA47AB"/>
    <w:rsid w:val="00DA4F77"/>
    <w:rsid w:val="00DA57F1"/>
    <w:rsid w:val="00DA5DCC"/>
    <w:rsid w:val="00DA68D5"/>
    <w:rsid w:val="00DA697C"/>
    <w:rsid w:val="00DA6C6E"/>
    <w:rsid w:val="00DA751E"/>
    <w:rsid w:val="00DA7AD8"/>
    <w:rsid w:val="00DA7FBA"/>
    <w:rsid w:val="00DB0315"/>
    <w:rsid w:val="00DB0620"/>
    <w:rsid w:val="00DB0E3E"/>
    <w:rsid w:val="00DB100E"/>
    <w:rsid w:val="00DB1463"/>
    <w:rsid w:val="00DB14A5"/>
    <w:rsid w:val="00DB1F75"/>
    <w:rsid w:val="00DB20A6"/>
    <w:rsid w:val="00DB25B0"/>
    <w:rsid w:val="00DB34AB"/>
    <w:rsid w:val="00DB40C3"/>
    <w:rsid w:val="00DB44DA"/>
    <w:rsid w:val="00DB4B57"/>
    <w:rsid w:val="00DB51D2"/>
    <w:rsid w:val="00DB5262"/>
    <w:rsid w:val="00DB6F3A"/>
    <w:rsid w:val="00DB70A0"/>
    <w:rsid w:val="00DB7994"/>
    <w:rsid w:val="00DB7C81"/>
    <w:rsid w:val="00DC0FDC"/>
    <w:rsid w:val="00DC1195"/>
    <w:rsid w:val="00DC1689"/>
    <w:rsid w:val="00DC1AD5"/>
    <w:rsid w:val="00DC1E02"/>
    <w:rsid w:val="00DC22AE"/>
    <w:rsid w:val="00DC3377"/>
    <w:rsid w:val="00DC36B9"/>
    <w:rsid w:val="00DC41FE"/>
    <w:rsid w:val="00DC4C1F"/>
    <w:rsid w:val="00DC50E7"/>
    <w:rsid w:val="00DC628F"/>
    <w:rsid w:val="00DC66BB"/>
    <w:rsid w:val="00DC680A"/>
    <w:rsid w:val="00DC6F07"/>
    <w:rsid w:val="00DC7691"/>
    <w:rsid w:val="00DC785D"/>
    <w:rsid w:val="00DC797C"/>
    <w:rsid w:val="00DD0F38"/>
    <w:rsid w:val="00DD13CC"/>
    <w:rsid w:val="00DD14E3"/>
    <w:rsid w:val="00DD16C3"/>
    <w:rsid w:val="00DD1DEC"/>
    <w:rsid w:val="00DD232E"/>
    <w:rsid w:val="00DD31B5"/>
    <w:rsid w:val="00DD35EE"/>
    <w:rsid w:val="00DD38A6"/>
    <w:rsid w:val="00DD3BC4"/>
    <w:rsid w:val="00DD443D"/>
    <w:rsid w:val="00DD44CF"/>
    <w:rsid w:val="00DD453E"/>
    <w:rsid w:val="00DD48DA"/>
    <w:rsid w:val="00DD4B30"/>
    <w:rsid w:val="00DD4F94"/>
    <w:rsid w:val="00DD62C6"/>
    <w:rsid w:val="00DD66B6"/>
    <w:rsid w:val="00DD7088"/>
    <w:rsid w:val="00DD7977"/>
    <w:rsid w:val="00DE17B7"/>
    <w:rsid w:val="00DE1876"/>
    <w:rsid w:val="00DE2512"/>
    <w:rsid w:val="00DE31C1"/>
    <w:rsid w:val="00DE32A0"/>
    <w:rsid w:val="00DE3361"/>
    <w:rsid w:val="00DE464B"/>
    <w:rsid w:val="00DE4BA6"/>
    <w:rsid w:val="00DE5814"/>
    <w:rsid w:val="00DE67A8"/>
    <w:rsid w:val="00DE7777"/>
    <w:rsid w:val="00DF066E"/>
    <w:rsid w:val="00DF09E7"/>
    <w:rsid w:val="00DF0ADE"/>
    <w:rsid w:val="00DF1135"/>
    <w:rsid w:val="00DF11A7"/>
    <w:rsid w:val="00DF254E"/>
    <w:rsid w:val="00DF26CA"/>
    <w:rsid w:val="00DF2809"/>
    <w:rsid w:val="00DF402D"/>
    <w:rsid w:val="00DF5551"/>
    <w:rsid w:val="00DF5C8F"/>
    <w:rsid w:val="00DF5FB2"/>
    <w:rsid w:val="00DF6EE3"/>
    <w:rsid w:val="00DF6F45"/>
    <w:rsid w:val="00DF7727"/>
    <w:rsid w:val="00DF784D"/>
    <w:rsid w:val="00DF7AC8"/>
    <w:rsid w:val="00DF7BC8"/>
    <w:rsid w:val="00E000DE"/>
    <w:rsid w:val="00E0064E"/>
    <w:rsid w:val="00E0095E"/>
    <w:rsid w:val="00E00C17"/>
    <w:rsid w:val="00E01EFA"/>
    <w:rsid w:val="00E0367C"/>
    <w:rsid w:val="00E036F3"/>
    <w:rsid w:val="00E05302"/>
    <w:rsid w:val="00E0572B"/>
    <w:rsid w:val="00E05F2F"/>
    <w:rsid w:val="00E06650"/>
    <w:rsid w:val="00E0793C"/>
    <w:rsid w:val="00E108AA"/>
    <w:rsid w:val="00E108DD"/>
    <w:rsid w:val="00E1099F"/>
    <w:rsid w:val="00E10F97"/>
    <w:rsid w:val="00E129D3"/>
    <w:rsid w:val="00E137C7"/>
    <w:rsid w:val="00E1380D"/>
    <w:rsid w:val="00E143A1"/>
    <w:rsid w:val="00E14B06"/>
    <w:rsid w:val="00E161E6"/>
    <w:rsid w:val="00E1627E"/>
    <w:rsid w:val="00E16D5A"/>
    <w:rsid w:val="00E173D4"/>
    <w:rsid w:val="00E17DCF"/>
    <w:rsid w:val="00E217E4"/>
    <w:rsid w:val="00E22424"/>
    <w:rsid w:val="00E22DEA"/>
    <w:rsid w:val="00E24B74"/>
    <w:rsid w:val="00E24FA7"/>
    <w:rsid w:val="00E25195"/>
    <w:rsid w:val="00E2541F"/>
    <w:rsid w:val="00E25A2A"/>
    <w:rsid w:val="00E25AAC"/>
    <w:rsid w:val="00E26B20"/>
    <w:rsid w:val="00E27069"/>
    <w:rsid w:val="00E275EA"/>
    <w:rsid w:val="00E27696"/>
    <w:rsid w:val="00E2794A"/>
    <w:rsid w:val="00E27984"/>
    <w:rsid w:val="00E27C45"/>
    <w:rsid w:val="00E300E8"/>
    <w:rsid w:val="00E30D71"/>
    <w:rsid w:val="00E31799"/>
    <w:rsid w:val="00E31975"/>
    <w:rsid w:val="00E32600"/>
    <w:rsid w:val="00E3286E"/>
    <w:rsid w:val="00E32C88"/>
    <w:rsid w:val="00E33318"/>
    <w:rsid w:val="00E33EF4"/>
    <w:rsid w:val="00E352BD"/>
    <w:rsid w:val="00E357BE"/>
    <w:rsid w:val="00E361B2"/>
    <w:rsid w:val="00E366FC"/>
    <w:rsid w:val="00E36E41"/>
    <w:rsid w:val="00E373C7"/>
    <w:rsid w:val="00E376C8"/>
    <w:rsid w:val="00E37A14"/>
    <w:rsid w:val="00E37CC3"/>
    <w:rsid w:val="00E40CB5"/>
    <w:rsid w:val="00E40F34"/>
    <w:rsid w:val="00E4156A"/>
    <w:rsid w:val="00E42177"/>
    <w:rsid w:val="00E427D2"/>
    <w:rsid w:val="00E4291F"/>
    <w:rsid w:val="00E42EAD"/>
    <w:rsid w:val="00E43655"/>
    <w:rsid w:val="00E43B50"/>
    <w:rsid w:val="00E456F1"/>
    <w:rsid w:val="00E46F00"/>
    <w:rsid w:val="00E47306"/>
    <w:rsid w:val="00E47616"/>
    <w:rsid w:val="00E47A6B"/>
    <w:rsid w:val="00E47D02"/>
    <w:rsid w:val="00E50117"/>
    <w:rsid w:val="00E50162"/>
    <w:rsid w:val="00E5212F"/>
    <w:rsid w:val="00E52307"/>
    <w:rsid w:val="00E5290C"/>
    <w:rsid w:val="00E531D7"/>
    <w:rsid w:val="00E53625"/>
    <w:rsid w:val="00E536D4"/>
    <w:rsid w:val="00E53C1D"/>
    <w:rsid w:val="00E53E62"/>
    <w:rsid w:val="00E556EE"/>
    <w:rsid w:val="00E55CD9"/>
    <w:rsid w:val="00E5793D"/>
    <w:rsid w:val="00E57CA4"/>
    <w:rsid w:val="00E601C9"/>
    <w:rsid w:val="00E60570"/>
    <w:rsid w:val="00E60CB3"/>
    <w:rsid w:val="00E60E7E"/>
    <w:rsid w:val="00E62BD7"/>
    <w:rsid w:val="00E62CD6"/>
    <w:rsid w:val="00E62D56"/>
    <w:rsid w:val="00E63360"/>
    <w:rsid w:val="00E63A08"/>
    <w:rsid w:val="00E64AAA"/>
    <w:rsid w:val="00E6747B"/>
    <w:rsid w:val="00E67A9E"/>
    <w:rsid w:val="00E67C55"/>
    <w:rsid w:val="00E70BD7"/>
    <w:rsid w:val="00E70DC2"/>
    <w:rsid w:val="00E70E9E"/>
    <w:rsid w:val="00E715C9"/>
    <w:rsid w:val="00E7190E"/>
    <w:rsid w:val="00E7208A"/>
    <w:rsid w:val="00E72881"/>
    <w:rsid w:val="00E72BB8"/>
    <w:rsid w:val="00E72BBE"/>
    <w:rsid w:val="00E73B52"/>
    <w:rsid w:val="00E74355"/>
    <w:rsid w:val="00E74880"/>
    <w:rsid w:val="00E749BA"/>
    <w:rsid w:val="00E74A12"/>
    <w:rsid w:val="00E74E5C"/>
    <w:rsid w:val="00E75B7D"/>
    <w:rsid w:val="00E761A1"/>
    <w:rsid w:val="00E7653A"/>
    <w:rsid w:val="00E76829"/>
    <w:rsid w:val="00E7793E"/>
    <w:rsid w:val="00E77EE7"/>
    <w:rsid w:val="00E80286"/>
    <w:rsid w:val="00E80817"/>
    <w:rsid w:val="00E82004"/>
    <w:rsid w:val="00E8224A"/>
    <w:rsid w:val="00E823E1"/>
    <w:rsid w:val="00E82AE1"/>
    <w:rsid w:val="00E83364"/>
    <w:rsid w:val="00E83BE3"/>
    <w:rsid w:val="00E85217"/>
    <w:rsid w:val="00E8534C"/>
    <w:rsid w:val="00E85DDF"/>
    <w:rsid w:val="00E865D4"/>
    <w:rsid w:val="00E8728C"/>
    <w:rsid w:val="00E873DB"/>
    <w:rsid w:val="00E9012E"/>
    <w:rsid w:val="00E90166"/>
    <w:rsid w:val="00E905EF"/>
    <w:rsid w:val="00E91B19"/>
    <w:rsid w:val="00E92B83"/>
    <w:rsid w:val="00E93742"/>
    <w:rsid w:val="00E941D7"/>
    <w:rsid w:val="00E942C3"/>
    <w:rsid w:val="00E94384"/>
    <w:rsid w:val="00E94481"/>
    <w:rsid w:val="00E94494"/>
    <w:rsid w:val="00E945D8"/>
    <w:rsid w:val="00E94C07"/>
    <w:rsid w:val="00E961EB"/>
    <w:rsid w:val="00E96F14"/>
    <w:rsid w:val="00E97381"/>
    <w:rsid w:val="00E97CCC"/>
    <w:rsid w:val="00EA00BE"/>
    <w:rsid w:val="00EA056B"/>
    <w:rsid w:val="00EA09AF"/>
    <w:rsid w:val="00EA0EFC"/>
    <w:rsid w:val="00EA37DC"/>
    <w:rsid w:val="00EA53BA"/>
    <w:rsid w:val="00EA58CC"/>
    <w:rsid w:val="00EA5FCA"/>
    <w:rsid w:val="00EA6117"/>
    <w:rsid w:val="00EB05D5"/>
    <w:rsid w:val="00EB08D4"/>
    <w:rsid w:val="00EB0F09"/>
    <w:rsid w:val="00EB1A52"/>
    <w:rsid w:val="00EB1AD9"/>
    <w:rsid w:val="00EB1BFD"/>
    <w:rsid w:val="00EB20A2"/>
    <w:rsid w:val="00EB2810"/>
    <w:rsid w:val="00EB2E34"/>
    <w:rsid w:val="00EB3027"/>
    <w:rsid w:val="00EB34D5"/>
    <w:rsid w:val="00EB3826"/>
    <w:rsid w:val="00EB3956"/>
    <w:rsid w:val="00EB3E40"/>
    <w:rsid w:val="00EB4174"/>
    <w:rsid w:val="00EB46DD"/>
    <w:rsid w:val="00EB4D95"/>
    <w:rsid w:val="00EB4ED6"/>
    <w:rsid w:val="00EB5C67"/>
    <w:rsid w:val="00EB708A"/>
    <w:rsid w:val="00EB7C09"/>
    <w:rsid w:val="00EC09E5"/>
    <w:rsid w:val="00EC196E"/>
    <w:rsid w:val="00EC1B42"/>
    <w:rsid w:val="00EC2329"/>
    <w:rsid w:val="00EC240B"/>
    <w:rsid w:val="00EC2791"/>
    <w:rsid w:val="00EC325C"/>
    <w:rsid w:val="00EC325F"/>
    <w:rsid w:val="00EC404D"/>
    <w:rsid w:val="00EC469E"/>
    <w:rsid w:val="00EC49AF"/>
    <w:rsid w:val="00EC4B80"/>
    <w:rsid w:val="00EC4C2E"/>
    <w:rsid w:val="00EC4D78"/>
    <w:rsid w:val="00EC4FBD"/>
    <w:rsid w:val="00EC52DB"/>
    <w:rsid w:val="00EC53BA"/>
    <w:rsid w:val="00EC7FAA"/>
    <w:rsid w:val="00ED06C3"/>
    <w:rsid w:val="00ED08D0"/>
    <w:rsid w:val="00ED0B8E"/>
    <w:rsid w:val="00ED0C18"/>
    <w:rsid w:val="00ED0CC5"/>
    <w:rsid w:val="00ED1E10"/>
    <w:rsid w:val="00ED1E26"/>
    <w:rsid w:val="00ED20D7"/>
    <w:rsid w:val="00ED21F0"/>
    <w:rsid w:val="00ED2389"/>
    <w:rsid w:val="00ED2A37"/>
    <w:rsid w:val="00ED2D50"/>
    <w:rsid w:val="00ED3A0F"/>
    <w:rsid w:val="00ED3A52"/>
    <w:rsid w:val="00ED3DFD"/>
    <w:rsid w:val="00ED4284"/>
    <w:rsid w:val="00ED4675"/>
    <w:rsid w:val="00ED4C66"/>
    <w:rsid w:val="00ED54F3"/>
    <w:rsid w:val="00ED6156"/>
    <w:rsid w:val="00ED6483"/>
    <w:rsid w:val="00ED675A"/>
    <w:rsid w:val="00ED676D"/>
    <w:rsid w:val="00ED6848"/>
    <w:rsid w:val="00ED7237"/>
    <w:rsid w:val="00ED74B0"/>
    <w:rsid w:val="00EE03CF"/>
    <w:rsid w:val="00EE1056"/>
    <w:rsid w:val="00EE157E"/>
    <w:rsid w:val="00EE1B2C"/>
    <w:rsid w:val="00EE1DBF"/>
    <w:rsid w:val="00EE282C"/>
    <w:rsid w:val="00EE2BF4"/>
    <w:rsid w:val="00EE2C7D"/>
    <w:rsid w:val="00EE2F6F"/>
    <w:rsid w:val="00EE3714"/>
    <w:rsid w:val="00EE39B7"/>
    <w:rsid w:val="00EE48F3"/>
    <w:rsid w:val="00EE4A86"/>
    <w:rsid w:val="00EE4E63"/>
    <w:rsid w:val="00EE5533"/>
    <w:rsid w:val="00EE565D"/>
    <w:rsid w:val="00EE5895"/>
    <w:rsid w:val="00EE5C4D"/>
    <w:rsid w:val="00EE5ECF"/>
    <w:rsid w:val="00EE6B51"/>
    <w:rsid w:val="00EE6E06"/>
    <w:rsid w:val="00EE6E13"/>
    <w:rsid w:val="00EE782D"/>
    <w:rsid w:val="00EE7B8A"/>
    <w:rsid w:val="00EF020B"/>
    <w:rsid w:val="00EF0799"/>
    <w:rsid w:val="00EF0B94"/>
    <w:rsid w:val="00EF0F6E"/>
    <w:rsid w:val="00EF1A5F"/>
    <w:rsid w:val="00EF2B98"/>
    <w:rsid w:val="00EF2D43"/>
    <w:rsid w:val="00EF2D89"/>
    <w:rsid w:val="00EF32F6"/>
    <w:rsid w:val="00EF3454"/>
    <w:rsid w:val="00EF348E"/>
    <w:rsid w:val="00EF34CE"/>
    <w:rsid w:val="00EF34F5"/>
    <w:rsid w:val="00EF402E"/>
    <w:rsid w:val="00EF4344"/>
    <w:rsid w:val="00EF79C5"/>
    <w:rsid w:val="00F003AE"/>
    <w:rsid w:val="00F01A00"/>
    <w:rsid w:val="00F01D7D"/>
    <w:rsid w:val="00F01D97"/>
    <w:rsid w:val="00F0355E"/>
    <w:rsid w:val="00F03F30"/>
    <w:rsid w:val="00F0487E"/>
    <w:rsid w:val="00F048E1"/>
    <w:rsid w:val="00F04CFD"/>
    <w:rsid w:val="00F0689D"/>
    <w:rsid w:val="00F06B18"/>
    <w:rsid w:val="00F07614"/>
    <w:rsid w:val="00F079C6"/>
    <w:rsid w:val="00F1000C"/>
    <w:rsid w:val="00F10289"/>
    <w:rsid w:val="00F10505"/>
    <w:rsid w:val="00F10610"/>
    <w:rsid w:val="00F106E8"/>
    <w:rsid w:val="00F10BA4"/>
    <w:rsid w:val="00F10C59"/>
    <w:rsid w:val="00F10EA5"/>
    <w:rsid w:val="00F11126"/>
    <w:rsid w:val="00F115CB"/>
    <w:rsid w:val="00F121E7"/>
    <w:rsid w:val="00F1259F"/>
    <w:rsid w:val="00F12BCD"/>
    <w:rsid w:val="00F12C4C"/>
    <w:rsid w:val="00F13CF3"/>
    <w:rsid w:val="00F13DFE"/>
    <w:rsid w:val="00F14818"/>
    <w:rsid w:val="00F14AFB"/>
    <w:rsid w:val="00F14BE4"/>
    <w:rsid w:val="00F14EBD"/>
    <w:rsid w:val="00F14FDA"/>
    <w:rsid w:val="00F150A7"/>
    <w:rsid w:val="00F1582E"/>
    <w:rsid w:val="00F1665D"/>
    <w:rsid w:val="00F1702E"/>
    <w:rsid w:val="00F170E3"/>
    <w:rsid w:val="00F17811"/>
    <w:rsid w:val="00F17899"/>
    <w:rsid w:val="00F208EA"/>
    <w:rsid w:val="00F20E21"/>
    <w:rsid w:val="00F21192"/>
    <w:rsid w:val="00F21DCF"/>
    <w:rsid w:val="00F231EC"/>
    <w:rsid w:val="00F239FB"/>
    <w:rsid w:val="00F24EC1"/>
    <w:rsid w:val="00F253C5"/>
    <w:rsid w:val="00F25610"/>
    <w:rsid w:val="00F256F1"/>
    <w:rsid w:val="00F265C7"/>
    <w:rsid w:val="00F26F26"/>
    <w:rsid w:val="00F27721"/>
    <w:rsid w:val="00F30137"/>
    <w:rsid w:val="00F31938"/>
    <w:rsid w:val="00F32258"/>
    <w:rsid w:val="00F3244D"/>
    <w:rsid w:val="00F327D8"/>
    <w:rsid w:val="00F32D75"/>
    <w:rsid w:val="00F3339C"/>
    <w:rsid w:val="00F333C9"/>
    <w:rsid w:val="00F3391B"/>
    <w:rsid w:val="00F33B6D"/>
    <w:rsid w:val="00F33FDF"/>
    <w:rsid w:val="00F3406D"/>
    <w:rsid w:val="00F34CA9"/>
    <w:rsid w:val="00F351EB"/>
    <w:rsid w:val="00F367C9"/>
    <w:rsid w:val="00F36F1C"/>
    <w:rsid w:val="00F400AF"/>
    <w:rsid w:val="00F403A3"/>
    <w:rsid w:val="00F40A84"/>
    <w:rsid w:val="00F40E93"/>
    <w:rsid w:val="00F40F79"/>
    <w:rsid w:val="00F41EDD"/>
    <w:rsid w:val="00F4254D"/>
    <w:rsid w:val="00F428E9"/>
    <w:rsid w:val="00F4341E"/>
    <w:rsid w:val="00F43CA0"/>
    <w:rsid w:val="00F43EBF"/>
    <w:rsid w:val="00F44F3B"/>
    <w:rsid w:val="00F44F67"/>
    <w:rsid w:val="00F4611F"/>
    <w:rsid w:val="00F462DF"/>
    <w:rsid w:val="00F4670F"/>
    <w:rsid w:val="00F471C9"/>
    <w:rsid w:val="00F472AA"/>
    <w:rsid w:val="00F474ED"/>
    <w:rsid w:val="00F476D5"/>
    <w:rsid w:val="00F477D1"/>
    <w:rsid w:val="00F47934"/>
    <w:rsid w:val="00F50CEE"/>
    <w:rsid w:val="00F519B5"/>
    <w:rsid w:val="00F525D7"/>
    <w:rsid w:val="00F532D7"/>
    <w:rsid w:val="00F54386"/>
    <w:rsid w:val="00F543B2"/>
    <w:rsid w:val="00F544C1"/>
    <w:rsid w:val="00F56478"/>
    <w:rsid w:val="00F567C7"/>
    <w:rsid w:val="00F56EEE"/>
    <w:rsid w:val="00F5769B"/>
    <w:rsid w:val="00F57709"/>
    <w:rsid w:val="00F6000F"/>
    <w:rsid w:val="00F603D9"/>
    <w:rsid w:val="00F604A5"/>
    <w:rsid w:val="00F60890"/>
    <w:rsid w:val="00F6101B"/>
    <w:rsid w:val="00F6115C"/>
    <w:rsid w:val="00F6161F"/>
    <w:rsid w:val="00F6259C"/>
    <w:rsid w:val="00F642E1"/>
    <w:rsid w:val="00F64E0E"/>
    <w:rsid w:val="00F653A0"/>
    <w:rsid w:val="00F65DE1"/>
    <w:rsid w:val="00F66014"/>
    <w:rsid w:val="00F66C98"/>
    <w:rsid w:val="00F670AC"/>
    <w:rsid w:val="00F671D8"/>
    <w:rsid w:val="00F67AE9"/>
    <w:rsid w:val="00F70110"/>
    <w:rsid w:val="00F702A8"/>
    <w:rsid w:val="00F70BA9"/>
    <w:rsid w:val="00F70DC7"/>
    <w:rsid w:val="00F71948"/>
    <w:rsid w:val="00F719DD"/>
    <w:rsid w:val="00F71A3E"/>
    <w:rsid w:val="00F71AF2"/>
    <w:rsid w:val="00F71BAF"/>
    <w:rsid w:val="00F71CEC"/>
    <w:rsid w:val="00F72415"/>
    <w:rsid w:val="00F72DA7"/>
    <w:rsid w:val="00F73853"/>
    <w:rsid w:val="00F740D3"/>
    <w:rsid w:val="00F7475A"/>
    <w:rsid w:val="00F74C5F"/>
    <w:rsid w:val="00F74EE5"/>
    <w:rsid w:val="00F75423"/>
    <w:rsid w:val="00F75C6C"/>
    <w:rsid w:val="00F75FD2"/>
    <w:rsid w:val="00F7639C"/>
    <w:rsid w:val="00F76964"/>
    <w:rsid w:val="00F76EF8"/>
    <w:rsid w:val="00F77274"/>
    <w:rsid w:val="00F801E2"/>
    <w:rsid w:val="00F80A6E"/>
    <w:rsid w:val="00F81B2B"/>
    <w:rsid w:val="00F823C5"/>
    <w:rsid w:val="00F8261F"/>
    <w:rsid w:val="00F834ED"/>
    <w:rsid w:val="00F83924"/>
    <w:rsid w:val="00F83A6D"/>
    <w:rsid w:val="00F83D92"/>
    <w:rsid w:val="00F846CE"/>
    <w:rsid w:val="00F8479A"/>
    <w:rsid w:val="00F84AA4"/>
    <w:rsid w:val="00F84CFC"/>
    <w:rsid w:val="00F84EC4"/>
    <w:rsid w:val="00F857E4"/>
    <w:rsid w:val="00F85D5F"/>
    <w:rsid w:val="00F85FA3"/>
    <w:rsid w:val="00F86369"/>
    <w:rsid w:val="00F8660C"/>
    <w:rsid w:val="00F8763E"/>
    <w:rsid w:val="00F87A53"/>
    <w:rsid w:val="00F87D9B"/>
    <w:rsid w:val="00F87E60"/>
    <w:rsid w:val="00F902DC"/>
    <w:rsid w:val="00F910D0"/>
    <w:rsid w:val="00F91343"/>
    <w:rsid w:val="00F91497"/>
    <w:rsid w:val="00F92F66"/>
    <w:rsid w:val="00F941A5"/>
    <w:rsid w:val="00F94287"/>
    <w:rsid w:val="00F955C0"/>
    <w:rsid w:val="00F95B12"/>
    <w:rsid w:val="00F974F2"/>
    <w:rsid w:val="00FA0159"/>
    <w:rsid w:val="00FA0AD0"/>
    <w:rsid w:val="00FA0BCC"/>
    <w:rsid w:val="00FA1CE8"/>
    <w:rsid w:val="00FA2FD8"/>
    <w:rsid w:val="00FA3B0F"/>
    <w:rsid w:val="00FA3E95"/>
    <w:rsid w:val="00FA44D5"/>
    <w:rsid w:val="00FA4900"/>
    <w:rsid w:val="00FA50E3"/>
    <w:rsid w:val="00FA5F00"/>
    <w:rsid w:val="00FA65E3"/>
    <w:rsid w:val="00FA741C"/>
    <w:rsid w:val="00FA752E"/>
    <w:rsid w:val="00FA7FEA"/>
    <w:rsid w:val="00FB1BC0"/>
    <w:rsid w:val="00FB2222"/>
    <w:rsid w:val="00FB3438"/>
    <w:rsid w:val="00FB3534"/>
    <w:rsid w:val="00FB3AEF"/>
    <w:rsid w:val="00FB401E"/>
    <w:rsid w:val="00FB5148"/>
    <w:rsid w:val="00FB51A3"/>
    <w:rsid w:val="00FB5871"/>
    <w:rsid w:val="00FB5D88"/>
    <w:rsid w:val="00FB6BD2"/>
    <w:rsid w:val="00FB6FC2"/>
    <w:rsid w:val="00FB7F6E"/>
    <w:rsid w:val="00FC0A34"/>
    <w:rsid w:val="00FC1C0A"/>
    <w:rsid w:val="00FC2156"/>
    <w:rsid w:val="00FC219F"/>
    <w:rsid w:val="00FC21B0"/>
    <w:rsid w:val="00FC2B48"/>
    <w:rsid w:val="00FC2D6B"/>
    <w:rsid w:val="00FC303A"/>
    <w:rsid w:val="00FC35EB"/>
    <w:rsid w:val="00FC3683"/>
    <w:rsid w:val="00FC37B5"/>
    <w:rsid w:val="00FC3FCA"/>
    <w:rsid w:val="00FC468B"/>
    <w:rsid w:val="00FC4C75"/>
    <w:rsid w:val="00FC5375"/>
    <w:rsid w:val="00FC5731"/>
    <w:rsid w:val="00FC584D"/>
    <w:rsid w:val="00FC5D2A"/>
    <w:rsid w:val="00FC61D2"/>
    <w:rsid w:val="00FC63D9"/>
    <w:rsid w:val="00FC65B0"/>
    <w:rsid w:val="00FC76E2"/>
    <w:rsid w:val="00FD0A29"/>
    <w:rsid w:val="00FD0CA1"/>
    <w:rsid w:val="00FD1D2D"/>
    <w:rsid w:val="00FD20C1"/>
    <w:rsid w:val="00FD30BD"/>
    <w:rsid w:val="00FD4573"/>
    <w:rsid w:val="00FD4E61"/>
    <w:rsid w:val="00FD4FEA"/>
    <w:rsid w:val="00FD531E"/>
    <w:rsid w:val="00FD5468"/>
    <w:rsid w:val="00FD5DA7"/>
    <w:rsid w:val="00FD72CF"/>
    <w:rsid w:val="00FE01C6"/>
    <w:rsid w:val="00FE0989"/>
    <w:rsid w:val="00FE0A4A"/>
    <w:rsid w:val="00FE0B82"/>
    <w:rsid w:val="00FE178A"/>
    <w:rsid w:val="00FE21B6"/>
    <w:rsid w:val="00FE24BC"/>
    <w:rsid w:val="00FE2E38"/>
    <w:rsid w:val="00FE3219"/>
    <w:rsid w:val="00FE380F"/>
    <w:rsid w:val="00FE384B"/>
    <w:rsid w:val="00FE3FA6"/>
    <w:rsid w:val="00FE58AC"/>
    <w:rsid w:val="00FE679B"/>
    <w:rsid w:val="00FE6D65"/>
    <w:rsid w:val="00FE766C"/>
    <w:rsid w:val="00FF0850"/>
    <w:rsid w:val="00FF0E3E"/>
    <w:rsid w:val="00FF1C2D"/>
    <w:rsid w:val="00FF1C95"/>
    <w:rsid w:val="00FF27B0"/>
    <w:rsid w:val="00FF362F"/>
    <w:rsid w:val="00FF4D8D"/>
    <w:rsid w:val="00FF5FF1"/>
    <w:rsid w:val="00FF64B2"/>
    <w:rsid w:val="00FF672C"/>
    <w:rsid w:val="00FF77E9"/>
    <w:rsid w:val="00FF7984"/>
    <w:rsid w:val="00FF7F76"/>
    <w:rsid w:val="017D31AE"/>
    <w:rsid w:val="02657CBE"/>
    <w:rsid w:val="03FB460F"/>
    <w:rsid w:val="041446E8"/>
    <w:rsid w:val="042A55D8"/>
    <w:rsid w:val="04DD3F64"/>
    <w:rsid w:val="050B0AD1"/>
    <w:rsid w:val="06936FD0"/>
    <w:rsid w:val="06C4362D"/>
    <w:rsid w:val="06DC4B23"/>
    <w:rsid w:val="09B118DA"/>
    <w:rsid w:val="09DE0562"/>
    <w:rsid w:val="0A2E20CD"/>
    <w:rsid w:val="0B0B2EF1"/>
    <w:rsid w:val="0BC47C2C"/>
    <w:rsid w:val="0C435010"/>
    <w:rsid w:val="0CAD3E7A"/>
    <w:rsid w:val="0CBA7A48"/>
    <w:rsid w:val="0CE241C3"/>
    <w:rsid w:val="0D5152E1"/>
    <w:rsid w:val="0E8713AA"/>
    <w:rsid w:val="0EC3241C"/>
    <w:rsid w:val="0FB10429"/>
    <w:rsid w:val="1117073E"/>
    <w:rsid w:val="12D74FA3"/>
    <w:rsid w:val="13A12822"/>
    <w:rsid w:val="13AA26C9"/>
    <w:rsid w:val="13D442B5"/>
    <w:rsid w:val="15B73EDF"/>
    <w:rsid w:val="1609090C"/>
    <w:rsid w:val="16F20CF1"/>
    <w:rsid w:val="178F5592"/>
    <w:rsid w:val="17FA6EAF"/>
    <w:rsid w:val="195B7A65"/>
    <w:rsid w:val="19D64923"/>
    <w:rsid w:val="1ACA7B27"/>
    <w:rsid w:val="1B1433AE"/>
    <w:rsid w:val="1B3B4E41"/>
    <w:rsid w:val="1B3B75EA"/>
    <w:rsid w:val="1D972B92"/>
    <w:rsid w:val="1D9C4207"/>
    <w:rsid w:val="1E0D5A0F"/>
    <w:rsid w:val="1EBA6A13"/>
    <w:rsid w:val="1ED57D2E"/>
    <w:rsid w:val="1EE46DE1"/>
    <w:rsid w:val="1F4A2D7B"/>
    <w:rsid w:val="227E2CBB"/>
    <w:rsid w:val="23633C3F"/>
    <w:rsid w:val="240B564B"/>
    <w:rsid w:val="2443185C"/>
    <w:rsid w:val="244C0C02"/>
    <w:rsid w:val="245E715B"/>
    <w:rsid w:val="253D487F"/>
    <w:rsid w:val="26475D6E"/>
    <w:rsid w:val="26532130"/>
    <w:rsid w:val="280A7B0B"/>
    <w:rsid w:val="28390486"/>
    <w:rsid w:val="283D6944"/>
    <w:rsid w:val="28893937"/>
    <w:rsid w:val="29314148"/>
    <w:rsid w:val="295D104C"/>
    <w:rsid w:val="2B6240C1"/>
    <w:rsid w:val="2B7F214B"/>
    <w:rsid w:val="2BEE0F4D"/>
    <w:rsid w:val="2E256DFB"/>
    <w:rsid w:val="2E4D1140"/>
    <w:rsid w:val="2E64779F"/>
    <w:rsid w:val="2E8521A5"/>
    <w:rsid w:val="2E944954"/>
    <w:rsid w:val="2FCE4A60"/>
    <w:rsid w:val="305A1716"/>
    <w:rsid w:val="30915A7F"/>
    <w:rsid w:val="30F33691"/>
    <w:rsid w:val="30FA6C93"/>
    <w:rsid w:val="325C6208"/>
    <w:rsid w:val="329903E4"/>
    <w:rsid w:val="342C311B"/>
    <w:rsid w:val="34A33D34"/>
    <w:rsid w:val="35F16CC3"/>
    <w:rsid w:val="37B53630"/>
    <w:rsid w:val="37B82A4A"/>
    <w:rsid w:val="38186ED8"/>
    <w:rsid w:val="38225D38"/>
    <w:rsid w:val="39693A3D"/>
    <w:rsid w:val="3974301B"/>
    <w:rsid w:val="3A7B0972"/>
    <w:rsid w:val="3BDD06A8"/>
    <w:rsid w:val="3BF8089A"/>
    <w:rsid w:val="3C506391"/>
    <w:rsid w:val="3CE60378"/>
    <w:rsid w:val="3D196FB4"/>
    <w:rsid w:val="3D2611EE"/>
    <w:rsid w:val="3D7227F1"/>
    <w:rsid w:val="3E7A1A09"/>
    <w:rsid w:val="3EC756DC"/>
    <w:rsid w:val="3EF75647"/>
    <w:rsid w:val="3FDB250A"/>
    <w:rsid w:val="406B009A"/>
    <w:rsid w:val="40781213"/>
    <w:rsid w:val="416074D3"/>
    <w:rsid w:val="41A94679"/>
    <w:rsid w:val="41C24765"/>
    <w:rsid w:val="42091919"/>
    <w:rsid w:val="421944D6"/>
    <w:rsid w:val="42911517"/>
    <w:rsid w:val="43966D46"/>
    <w:rsid w:val="43AC5335"/>
    <w:rsid w:val="44126389"/>
    <w:rsid w:val="452047E7"/>
    <w:rsid w:val="45C945D4"/>
    <w:rsid w:val="47E0311C"/>
    <w:rsid w:val="47F237CA"/>
    <w:rsid w:val="481B611D"/>
    <w:rsid w:val="48D717D7"/>
    <w:rsid w:val="493915AD"/>
    <w:rsid w:val="49570036"/>
    <w:rsid w:val="4A067078"/>
    <w:rsid w:val="4A205A52"/>
    <w:rsid w:val="4A507543"/>
    <w:rsid w:val="4A9F2CD1"/>
    <w:rsid w:val="4B5C351C"/>
    <w:rsid w:val="4E5F1D1E"/>
    <w:rsid w:val="4E9E599B"/>
    <w:rsid w:val="510B1904"/>
    <w:rsid w:val="51210094"/>
    <w:rsid w:val="51CE79FD"/>
    <w:rsid w:val="523429E2"/>
    <w:rsid w:val="52C47948"/>
    <w:rsid w:val="531159EB"/>
    <w:rsid w:val="54815C87"/>
    <w:rsid w:val="55564D42"/>
    <w:rsid w:val="556D75A9"/>
    <w:rsid w:val="5579414E"/>
    <w:rsid w:val="57B43C7D"/>
    <w:rsid w:val="57BC3EBC"/>
    <w:rsid w:val="57BF5898"/>
    <w:rsid w:val="585542B4"/>
    <w:rsid w:val="58A76624"/>
    <w:rsid w:val="59205698"/>
    <w:rsid w:val="59F15728"/>
    <w:rsid w:val="5A1D4F2D"/>
    <w:rsid w:val="5C367357"/>
    <w:rsid w:val="5C7246B1"/>
    <w:rsid w:val="5D257EEE"/>
    <w:rsid w:val="5F077100"/>
    <w:rsid w:val="5F69670B"/>
    <w:rsid w:val="61C827FF"/>
    <w:rsid w:val="62032E2B"/>
    <w:rsid w:val="62D535D8"/>
    <w:rsid w:val="62DC43ED"/>
    <w:rsid w:val="62E0001C"/>
    <w:rsid w:val="62EC5FE4"/>
    <w:rsid w:val="648E1F91"/>
    <w:rsid w:val="6530475E"/>
    <w:rsid w:val="65894EA9"/>
    <w:rsid w:val="65A30DD9"/>
    <w:rsid w:val="66247FDA"/>
    <w:rsid w:val="6667252C"/>
    <w:rsid w:val="67254E6F"/>
    <w:rsid w:val="67284CEA"/>
    <w:rsid w:val="677903A6"/>
    <w:rsid w:val="682276EB"/>
    <w:rsid w:val="686A6395"/>
    <w:rsid w:val="687A6737"/>
    <w:rsid w:val="68817288"/>
    <w:rsid w:val="69223D71"/>
    <w:rsid w:val="695B087B"/>
    <w:rsid w:val="69676DA1"/>
    <w:rsid w:val="69EB5605"/>
    <w:rsid w:val="6A3D700A"/>
    <w:rsid w:val="6A591EC9"/>
    <w:rsid w:val="6AE41092"/>
    <w:rsid w:val="6BE20961"/>
    <w:rsid w:val="6C550F79"/>
    <w:rsid w:val="6CEC129F"/>
    <w:rsid w:val="6D185D31"/>
    <w:rsid w:val="6D1E7B0F"/>
    <w:rsid w:val="6DE85743"/>
    <w:rsid w:val="6E3925B2"/>
    <w:rsid w:val="6E5E6212"/>
    <w:rsid w:val="6EB72D32"/>
    <w:rsid w:val="6F7F4719"/>
    <w:rsid w:val="70550DC4"/>
    <w:rsid w:val="71004612"/>
    <w:rsid w:val="71695AFC"/>
    <w:rsid w:val="727F630F"/>
    <w:rsid w:val="72FC1394"/>
    <w:rsid w:val="74682530"/>
    <w:rsid w:val="74AA1D52"/>
    <w:rsid w:val="75873491"/>
    <w:rsid w:val="75F75B2D"/>
    <w:rsid w:val="7637082B"/>
    <w:rsid w:val="767830FB"/>
    <w:rsid w:val="767A287C"/>
    <w:rsid w:val="77AC4246"/>
    <w:rsid w:val="78235C25"/>
    <w:rsid w:val="78DC70A1"/>
    <w:rsid w:val="797F7DF8"/>
    <w:rsid w:val="7AC9063C"/>
    <w:rsid w:val="7AE9560D"/>
    <w:rsid w:val="7B4E6013"/>
    <w:rsid w:val="7B5B07AC"/>
    <w:rsid w:val="7BA12C6E"/>
    <w:rsid w:val="7CA72C4D"/>
    <w:rsid w:val="7CF70596"/>
    <w:rsid w:val="7D0F3304"/>
    <w:rsid w:val="7DD2040D"/>
    <w:rsid w:val="7E243953"/>
    <w:rsid w:val="7ED86B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qFormat="1" w:uiPriority="99" w:semiHidden="0"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semiHidden="0"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3">
    <w:name w:val="heading 1"/>
    <w:basedOn w:val="1"/>
    <w:next w:val="1"/>
    <w:link w:val="33"/>
    <w:autoRedefine/>
    <w:qFormat/>
    <w:uiPriority w:val="9"/>
    <w:pPr>
      <w:keepNext/>
      <w:keepLines/>
      <w:spacing w:line="360" w:lineRule="exact"/>
      <w:jc w:val="center"/>
      <w:outlineLvl w:val="0"/>
    </w:pPr>
    <w:rPr>
      <w:rFonts w:eastAsia="黑体"/>
      <w:b/>
      <w:bCs/>
      <w:kern w:val="44"/>
      <w:sz w:val="28"/>
      <w:szCs w:val="44"/>
    </w:rPr>
  </w:style>
  <w:style w:type="paragraph" w:styleId="4">
    <w:name w:val="heading 2"/>
    <w:basedOn w:val="1"/>
    <w:next w:val="1"/>
    <w:link w:val="34"/>
    <w:autoRedefine/>
    <w:qFormat/>
    <w:uiPriority w:val="9"/>
    <w:pPr>
      <w:keepNext/>
      <w:keepLines/>
      <w:spacing w:line="360" w:lineRule="exact"/>
      <w:jc w:val="center"/>
      <w:outlineLvl w:val="1"/>
    </w:pPr>
    <w:rPr>
      <w:rFonts w:ascii="Arial" w:hAnsi="Arial" w:eastAsia="黑体"/>
      <w:b/>
      <w:bCs/>
      <w:szCs w:val="32"/>
    </w:rPr>
  </w:style>
  <w:style w:type="paragraph" w:styleId="5">
    <w:name w:val="heading 3"/>
    <w:basedOn w:val="1"/>
    <w:next w:val="1"/>
    <w:link w:val="35"/>
    <w:autoRedefine/>
    <w:qFormat/>
    <w:uiPriority w:val="9"/>
    <w:pPr>
      <w:keepNext/>
      <w:keepLines/>
      <w:spacing w:before="260" w:after="260" w:line="416" w:lineRule="auto"/>
      <w:outlineLvl w:val="2"/>
    </w:pPr>
    <w:rPr>
      <w:b/>
      <w:bCs/>
      <w:sz w:val="32"/>
      <w:szCs w:val="32"/>
    </w:rPr>
  </w:style>
  <w:style w:type="character" w:default="1" w:styleId="26">
    <w:name w:val="Default Paragraph Font"/>
    <w:autoRedefine/>
    <w:semiHidden/>
    <w:unhideWhenUsed/>
    <w:qFormat/>
    <w:uiPriority w:val="1"/>
  </w:style>
  <w:style w:type="table" w:default="1" w:styleId="23">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link w:val="32"/>
    <w:autoRedefine/>
    <w:qFormat/>
    <w:uiPriority w:val="0"/>
    <w:pPr>
      <w:spacing w:after="120"/>
    </w:pPr>
    <w:rPr>
      <w:sz w:val="24"/>
      <w:szCs w:val="24"/>
    </w:rPr>
  </w:style>
  <w:style w:type="paragraph" w:styleId="6">
    <w:name w:val="Document Map"/>
    <w:basedOn w:val="1"/>
    <w:link w:val="36"/>
    <w:autoRedefine/>
    <w:semiHidden/>
    <w:qFormat/>
    <w:uiPriority w:val="99"/>
    <w:pPr>
      <w:shd w:val="clear" w:color="auto" w:fill="000080"/>
    </w:pPr>
    <w:rPr>
      <w:kern w:val="0"/>
      <w:sz w:val="16"/>
      <w:szCs w:val="16"/>
    </w:rPr>
  </w:style>
  <w:style w:type="paragraph" w:styleId="7">
    <w:name w:val="annotation text"/>
    <w:basedOn w:val="1"/>
    <w:link w:val="37"/>
    <w:autoRedefine/>
    <w:qFormat/>
    <w:uiPriority w:val="99"/>
    <w:pPr>
      <w:spacing w:before="120" w:after="120" w:line="480" w:lineRule="auto"/>
      <w:jc w:val="left"/>
    </w:pPr>
    <w:rPr>
      <w:szCs w:val="24"/>
    </w:rPr>
  </w:style>
  <w:style w:type="paragraph" w:styleId="8">
    <w:name w:val="Body Text Indent"/>
    <w:basedOn w:val="1"/>
    <w:next w:val="1"/>
    <w:link w:val="38"/>
    <w:autoRedefine/>
    <w:qFormat/>
    <w:uiPriority w:val="0"/>
    <w:pPr>
      <w:spacing w:line="400" w:lineRule="exact"/>
      <w:ind w:firstLine="525"/>
    </w:pPr>
    <w:rPr>
      <w:rFonts w:eastAsia="仿宋_GB2312"/>
      <w:sz w:val="28"/>
      <w:szCs w:val="20"/>
    </w:rPr>
  </w:style>
  <w:style w:type="paragraph" w:styleId="9">
    <w:name w:val="toc 3"/>
    <w:basedOn w:val="1"/>
    <w:next w:val="1"/>
    <w:autoRedefine/>
    <w:qFormat/>
    <w:uiPriority w:val="39"/>
    <w:pPr>
      <w:spacing w:before="120" w:after="120" w:line="480" w:lineRule="auto"/>
      <w:ind w:left="840" w:leftChars="400"/>
    </w:pPr>
    <w:rPr>
      <w:szCs w:val="24"/>
    </w:rPr>
  </w:style>
  <w:style w:type="paragraph" w:styleId="10">
    <w:name w:val="Plain Text"/>
    <w:basedOn w:val="1"/>
    <w:link w:val="39"/>
    <w:autoRedefine/>
    <w:qFormat/>
    <w:uiPriority w:val="0"/>
    <w:rPr>
      <w:rFonts w:ascii="宋体" w:hAnsi="Courier New" w:cs="Courier New"/>
      <w:szCs w:val="21"/>
    </w:rPr>
  </w:style>
  <w:style w:type="paragraph" w:styleId="11">
    <w:name w:val="Date"/>
    <w:basedOn w:val="1"/>
    <w:next w:val="1"/>
    <w:link w:val="40"/>
    <w:autoRedefine/>
    <w:qFormat/>
    <w:uiPriority w:val="99"/>
    <w:pPr>
      <w:ind w:left="100" w:leftChars="2500"/>
    </w:pPr>
  </w:style>
  <w:style w:type="paragraph" w:styleId="12">
    <w:name w:val="Balloon Text"/>
    <w:basedOn w:val="1"/>
    <w:link w:val="41"/>
    <w:autoRedefine/>
    <w:qFormat/>
    <w:uiPriority w:val="99"/>
    <w:rPr>
      <w:sz w:val="18"/>
      <w:szCs w:val="18"/>
    </w:rPr>
  </w:style>
  <w:style w:type="paragraph" w:styleId="13">
    <w:name w:val="footer"/>
    <w:basedOn w:val="1"/>
    <w:link w:val="42"/>
    <w:autoRedefine/>
    <w:qFormat/>
    <w:uiPriority w:val="99"/>
    <w:pPr>
      <w:tabs>
        <w:tab w:val="center" w:pos="4153"/>
        <w:tab w:val="right" w:pos="8306"/>
      </w:tabs>
      <w:snapToGrid w:val="0"/>
      <w:jc w:val="left"/>
    </w:pPr>
    <w:rPr>
      <w:sz w:val="18"/>
      <w:szCs w:val="18"/>
    </w:rPr>
  </w:style>
  <w:style w:type="paragraph" w:styleId="14">
    <w:name w:val="header"/>
    <w:basedOn w:val="1"/>
    <w:link w:val="43"/>
    <w:autoRedefine/>
    <w:qFormat/>
    <w:uiPriority w:val="0"/>
    <w:pPr>
      <w:pBdr>
        <w:bottom w:val="single" w:color="auto" w:sz="6" w:space="1"/>
      </w:pBdr>
      <w:tabs>
        <w:tab w:val="center" w:pos="4153"/>
        <w:tab w:val="right" w:pos="8306"/>
      </w:tabs>
      <w:snapToGrid w:val="0"/>
      <w:jc w:val="center"/>
    </w:pPr>
    <w:rPr>
      <w:sz w:val="18"/>
      <w:szCs w:val="18"/>
    </w:rPr>
  </w:style>
  <w:style w:type="paragraph" w:styleId="15">
    <w:name w:val="toc 1"/>
    <w:basedOn w:val="1"/>
    <w:next w:val="1"/>
    <w:autoRedefine/>
    <w:qFormat/>
    <w:uiPriority w:val="39"/>
  </w:style>
  <w:style w:type="paragraph" w:styleId="16">
    <w:name w:val="List"/>
    <w:basedOn w:val="1"/>
    <w:autoRedefine/>
    <w:unhideWhenUsed/>
    <w:qFormat/>
    <w:uiPriority w:val="99"/>
    <w:pPr>
      <w:ind w:left="200" w:hanging="200" w:hangingChars="200"/>
      <w:contextualSpacing/>
    </w:pPr>
  </w:style>
  <w:style w:type="paragraph" w:styleId="17">
    <w:name w:val="Body Text Indent 3"/>
    <w:basedOn w:val="1"/>
    <w:link w:val="44"/>
    <w:autoRedefine/>
    <w:qFormat/>
    <w:uiPriority w:val="0"/>
    <w:pPr>
      <w:spacing w:after="120"/>
      <w:ind w:left="420" w:leftChars="200"/>
    </w:pPr>
    <w:rPr>
      <w:sz w:val="16"/>
      <w:szCs w:val="16"/>
    </w:rPr>
  </w:style>
  <w:style w:type="paragraph" w:styleId="18">
    <w:name w:val="table of figures"/>
    <w:basedOn w:val="1"/>
    <w:next w:val="1"/>
    <w:autoRedefine/>
    <w:unhideWhenUsed/>
    <w:qFormat/>
    <w:uiPriority w:val="99"/>
    <w:pPr>
      <w:spacing w:before="120" w:after="120" w:line="480" w:lineRule="auto"/>
      <w:ind w:left="200" w:leftChars="200" w:hanging="200" w:hangingChars="200"/>
    </w:pPr>
    <w:rPr>
      <w:szCs w:val="24"/>
    </w:rPr>
  </w:style>
  <w:style w:type="paragraph" w:styleId="19">
    <w:name w:val="toc 2"/>
    <w:basedOn w:val="1"/>
    <w:next w:val="1"/>
    <w:autoRedefine/>
    <w:qFormat/>
    <w:uiPriority w:val="39"/>
    <w:pPr>
      <w:ind w:left="420" w:leftChars="200"/>
    </w:pPr>
  </w:style>
  <w:style w:type="paragraph" w:styleId="20">
    <w:name w:val="Normal (Web)"/>
    <w:basedOn w:val="1"/>
    <w:autoRedefine/>
    <w:qFormat/>
    <w:uiPriority w:val="0"/>
    <w:pPr>
      <w:widowControl/>
      <w:spacing w:before="100" w:beforeAutospacing="1" w:after="100" w:afterAutospacing="1" w:line="440" w:lineRule="atLeast"/>
      <w:jc w:val="left"/>
    </w:pPr>
    <w:rPr>
      <w:rFonts w:ascii="宋体" w:hAnsi="宋体"/>
      <w:kern w:val="0"/>
      <w:sz w:val="22"/>
    </w:rPr>
  </w:style>
  <w:style w:type="paragraph" w:styleId="21">
    <w:name w:val="annotation subject"/>
    <w:basedOn w:val="7"/>
    <w:next w:val="7"/>
    <w:link w:val="45"/>
    <w:autoRedefine/>
    <w:semiHidden/>
    <w:qFormat/>
    <w:uiPriority w:val="99"/>
    <w:pPr>
      <w:spacing w:before="0" w:after="0" w:line="240" w:lineRule="auto"/>
    </w:pPr>
    <w:rPr>
      <w:rFonts w:ascii="Calibri" w:hAnsi="Calibri"/>
      <w:b/>
      <w:bCs/>
      <w:kern w:val="0"/>
      <w:sz w:val="20"/>
      <w:szCs w:val="21"/>
    </w:rPr>
  </w:style>
  <w:style w:type="paragraph" w:styleId="22">
    <w:name w:val="Body Text First Indent"/>
    <w:basedOn w:val="2"/>
    <w:link w:val="46"/>
    <w:autoRedefine/>
    <w:qFormat/>
    <w:uiPriority w:val="0"/>
    <w:pPr>
      <w:ind w:firstLine="420" w:firstLineChars="100"/>
    </w:pPr>
  </w:style>
  <w:style w:type="table" w:styleId="24">
    <w:name w:val="Table Grid"/>
    <w:basedOn w:val="23"/>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25">
    <w:name w:val="Table Grid 5"/>
    <w:basedOn w:val="23"/>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character" w:styleId="27">
    <w:name w:val="Strong"/>
    <w:autoRedefine/>
    <w:qFormat/>
    <w:uiPriority w:val="22"/>
    <w:rPr>
      <w:b/>
      <w:bCs/>
    </w:rPr>
  </w:style>
  <w:style w:type="character" w:styleId="28">
    <w:name w:val="page number"/>
    <w:autoRedefine/>
    <w:qFormat/>
    <w:uiPriority w:val="99"/>
    <w:rPr>
      <w:rFonts w:cs="Times New Roman"/>
    </w:rPr>
  </w:style>
  <w:style w:type="character" w:styleId="29">
    <w:name w:val="Emphasis"/>
    <w:autoRedefine/>
    <w:qFormat/>
    <w:uiPriority w:val="20"/>
    <w:rPr>
      <w:i/>
      <w:iCs/>
    </w:rPr>
  </w:style>
  <w:style w:type="character" w:styleId="30">
    <w:name w:val="Hyperlink"/>
    <w:autoRedefine/>
    <w:qFormat/>
    <w:uiPriority w:val="99"/>
    <w:rPr>
      <w:color w:val="0000FF"/>
      <w:u w:val="single"/>
    </w:rPr>
  </w:style>
  <w:style w:type="character" w:styleId="31">
    <w:name w:val="annotation reference"/>
    <w:autoRedefine/>
    <w:unhideWhenUsed/>
    <w:qFormat/>
    <w:uiPriority w:val="99"/>
    <w:rPr>
      <w:sz w:val="21"/>
      <w:szCs w:val="21"/>
    </w:rPr>
  </w:style>
  <w:style w:type="character" w:customStyle="1" w:styleId="32">
    <w:name w:val="正文文本 字符"/>
    <w:link w:val="2"/>
    <w:autoRedefine/>
    <w:qFormat/>
    <w:uiPriority w:val="0"/>
    <w:rPr>
      <w:rFonts w:eastAsia="宋体"/>
      <w:kern w:val="2"/>
      <w:sz w:val="24"/>
      <w:szCs w:val="24"/>
      <w:lang w:val="en-US" w:eastAsia="zh-CN" w:bidi="ar-SA"/>
    </w:rPr>
  </w:style>
  <w:style w:type="character" w:customStyle="1" w:styleId="33">
    <w:name w:val="标题 1 字符"/>
    <w:link w:val="3"/>
    <w:autoRedefine/>
    <w:qFormat/>
    <w:uiPriority w:val="9"/>
    <w:rPr>
      <w:rFonts w:ascii="Calibri" w:hAnsi="Calibri" w:eastAsia="黑体"/>
      <w:b/>
      <w:bCs/>
      <w:kern w:val="44"/>
      <w:sz w:val="28"/>
      <w:szCs w:val="44"/>
    </w:rPr>
  </w:style>
  <w:style w:type="character" w:customStyle="1" w:styleId="34">
    <w:name w:val="标题 2 字符"/>
    <w:link w:val="4"/>
    <w:autoRedefine/>
    <w:qFormat/>
    <w:uiPriority w:val="9"/>
    <w:rPr>
      <w:rFonts w:ascii="Arial" w:hAnsi="Arial" w:eastAsia="黑体"/>
      <w:b/>
      <w:bCs/>
      <w:kern w:val="2"/>
      <w:sz w:val="21"/>
      <w:szCs w:val="32"/>
    </w:rPr>
  </w:style>
  <w:style w:type="character" w:customStyle="1" w:styleId="35">
    <w:name w:val="标题 3 字符"/>
    <w:link w:val="5"/>
    <w:autoRedefine/>
    <w:qFormat/>
    <w:uiPriority w:val="9"/>
    <w:rPr>
      <w:b/>
      <w:bCs/>
      <w:kern w:val="2"/>
      <w:sz w:val="32"/>
      <w:szCs w:val="32"/>
      <w:lang w:val="en-US" w:eastAsia="zh-CN"/>
    </w:rPr>
  </w:style>
  <w:style w:type="character" w:customStyle="1" w:styleId="36">
    <w:name w:val="文档结构图 字符"/>
    <w:link w:val="6"/>
    <w:autoRedefine/>
    <w:semiHidden/>
    <w:qFormat/>
    <w:uiPriority w:val="99"/>
    <w:rPr>
      <w:sz w:val="16"/>
      <w:szCs w:val="16"/>
      <w:shd w:val="clear" w:color="auto" w:fill="000080"/>
    </w:rPr>
  </w:style>
  <w:style w:type="character" w:customStyle="1" w:styleId="37">
    <w:name w:val="批注文字 字符"/>
    <w:link w:val="7"/>
    <w:autoRedefine/>
    <w:qFormat/>
    <w:uiPriority w:val="99"/>
    <w:rPr>
      <w:kern w:val="2"/>
      <w:sz w:val="21"/>
      <w:szCs w:val="24"/>
    </w:rPr>
  </w:style>
  <w:style w:type="character" w:customStyle="1" w:styleId="38">
    <w:name w:val="正文文本缩进 字符"/>
    <w:link w:val="8"/>
    <w:autoRedefine/>
    <w:qFormat/>
    <w:uiPriority w:val="0"/>
    <w:rPr>
      <w:rFonts w:eastAsia="仿宋_GB2312"/>
      <w:kern w:val="2"/>
      <w:sz w:val="28"/>
    </w:rPr>
  </w:style>
  <w:style w:type="character" w:customStyle="1" w:styleId="39">
    <w:name w:val="纯文本 字符"/>
    <w:link w:val="10"/>
    <w:autoRedefine/>
    <w:qFormat/>
    <w:uiPriority w:val="0"/>
    <w:rPr>
      <w:rFonts w:ascii="宋体" w:hAnsi="Courier New" w:eastAsia="宋体" w:cs="Courier New"/>
      <w:kern w:val="2"/>
      <w:sz w:val="21"/>
      <w:szCs w:val="21"/>
      <w:lang w:val="en-US" w:eastAsia="zh-CN" w:bidi="ar-SA"/>
    </w:rPr>
  </w:style>
  <w:style w:type="character" w:customStyle="1" w:styleId="40">
    <w:name w:val="日期 字符"/>
    <w:link w:val="11"/>
    <w:autoRedefine/>
    <w:qFormat/>
    <w:uiPriority w:val="99"/>
    <w:rPr>
      <w:rFonts w:ascii="Calibri" w:hAnsi="Calibri" w:eastAsia="宋体"/>
      <w:kern w:val="2"/>
      <w:sz w:val="21"/>
      <w:szCs w:val="22"/>
      <w:lang w:val="en-US" w:eastAsia="zh-CN" w:bidi="ar-SA"/>
    </w:rPr>
  </w:style>
  <w:style w:type="character" w:customStyle="1" w:styleId="41">
    <w:name w:val="批注框文本 字符"/>
    <w:link w:val="12"/>
    <w:autoRedefine/>
    <w:qFormat/>
    <w:uiPriority w:val="99"/>
    <w:rPr>
      <w:rFonts w:ascii="Calibri" w:hAnsi="Calibri" w:eastAsia="宋体"/>
      <w:kern w:val="2"/>
      <w:sz w:val="18"/>
      <w:szCs w:val="18"/>
      <w:lang w:val="en-US" w:eastAsia="zh-CN" w:bidi="ar-SA"/>
    </w:rPr>
  </w:style>
  <w:style w:type="character" w:customStyle="1" w:styleId="42">
    <w:name w:val="页脚 字符"/>
    <w:link w:val="13"/>
    <w:autoRedefine/>
    <w:qFormat/>
    <w:uiPriority w:val="99"/>
    <w:rPr>
      <w:rFonts w:ascii="Calibri" w:hAnsi="Calibri" w:eastAsia="宋体"/>
      <w:kern w:val="2"/>
      <w:sz w:val="18"/>
      <w:szCs w:val="18"/>
      <w:lang w:val="en-US" w:eastAsia="zh-CN" w:bidi="ar-SA"/>
    </w:rPr>
  </w:style>
  <w:style w:type="character" w:customStyle="1" w:styleId="43">
    <w:name w:val="页眉 字符"/>
    <w:link w:val="14"/>
    <w:autoRedefine/>
    <w:qFormat/>
    <w:uiPriority w:val="0"/>
    <w:rPr>
      <w:rFonts w:ascii="Calibri" w:hAnsi="Calibri" w:eastAsia="宋体"/>
      <w:kern w:val="2"/>
      <w:sz w:val="18"/>
      <w:szCs w:val="18"/>
      <w:lang w:val="en-US" w:eastAsia="zh-CN" w:bidi="ar-SA"/>
    </w:rPr>
  </w:style>
  <w:style w:type="character" w:customStyle="1" w:styleId="44">
    <w:name w:val="正文文本缩进 3 字符"/>
    <w:link w:val="17"/>
    <w:autoRedefine/>
    <w:qFormat/>
    <w:uiPriority w:val="0"/>
    <w:rPr>
      <w:rFonts w:eastAsia="宋体"/>
      <w:kern w:val="2"/>
      <w:sz w:val="16"/>
      <w:szCs w:val="16"/>
      <w:lang w:val="en-US" w:eastAsia="zh-CN" w:bidi="ar-SA"/>
    </w:rPr>
  </w:style>
  <w:style w:type="character" w:customStyle="1" w:styleId="45">
    <w:name w:val="批注主题 字符"/>
    <w:link w:val="21"/>
    <w:autoRedefine/>
    <w:semiHidden/>
    <w:qFormat/>
    <w:uiPriority w:val="99"/>
    <w:rPr>
      <w:b/>
      <w:bCs/>
      <w:szCs w:val="21"/>
    </w:rPr>
  </w:style>
  <w:style w:type="character" w:customStyle="1" w:styleId="46">
    <w:name w:val="正文文本首行缩进 字符"/>
    <w:link w:val="22"/>
    <w:autoRedefine/>
    <w:qFormat/>
    <w:uiPriority w:val="0"/>
    <w:rPr>
      <w:rFonts w:ascii="Calibri" w:hAnsi="Calibri" w:eastAsia="宋体"/>
      <w:kern w:val="2"/>
      <w:sz w:val="24"/>
      <w:szCs w:val="24"/>
      <w:lang w:val="en-US" w:eastAsia="zh-CN" w:bidi="ar-SA"/>
    </w:rPr>
  </w:style>
  <w:style w:type="character" w:customStyle="1" w:styleId="47">
    <w:name w:val="Body Text Indent Char Char Char"/>
    <w:autoRedefine/>
    <w:qFormat/>
    <w:uiPriority w:val="0"/>
    <w:rPr>
      <w:rFonts w:eastAsia="仿宋_GB2312"/>
      <w:kern w:val="2"/>
      <w:lang w:val="en-US" w:eastAsia="zh-CN" w:bidi="ar-SA"/>
    </w:rPr>
  </w:style>
  <w:style w:type="character" w:customStyle="1" w:styleId="48">
    <w:name w:val="apple-converted-space"/>
    <w:autoRedefine/>
    <w:qFormat/>
    <w:uiPriority w:val="0"/>
  </w:style>
  <w:style w:type="character" w:customStyle="1" w:styleId="49">
    <w:name w:val="font31"/>
    <w:autoRedefine/>
    <w:qFormat/>
    <w:uiPriority w:val="0"/>
    <w:rPr>
      <w:rFonts w:ascii="Times New Roman" w:hAnsi="Times New Roman" w:cs="Times New Roman"/>
      <w:b/>
      <w:bCs/>
      <w:color w:val="FF0000"/>
      <w:sz w:val="15"/>
      <w:szCs w:val="15"/>
      <w:u w:val="none"/>
      <w:vertAlign w:val="superscript"/>
    </w:rPr>
  </w:style>
  <w:style w:type="character" w:customStyle="1" w:styleId="50">
    <w:name w:val="Char Char4"/>
    <w:autoRedefine/>
    <w:qFormat/>
    <w:uiPriority w:val="0"/>
    <w:rPr>
      <w:rFonts w:eastAsia="宋体"/>
      <w:kern w:val="2"/>
      <w:sz w:val="24"/>
      <w:szCs w:val="24"/>
      <w:lang w:val="en-US" w:eastAsia="zh-CN" w:bidi="ar-SA"/>
    </w:rPr>
  </w:style>
  <w:style w:type="character" w:customStyle="1" w:styleId="51">
    <w:name w:val="font11"/>
    <w:autoRedefine/>
    <w:qFormat/>
    <w:uiPriority w:val="0"/>
    <w:rPr>
      <w:rFonts w:ascii="宋体" w:hAnsi="宋体" w:eastAsia="宋体" w:cs="Times New Roman"/>
      <w:color w:val="000000"/>
      <w:sz w:val="24"/>
      <w:szCs w:val="24"/>
      <w:u w:val="none"/>
      <w:vertAlign w:val="subscript"/>
    </w:rPr>
  </w:style>
  <w:style w:type="character" w:customStyle="1" w:styleId="52">
    <w:name w:val="文档结构图 Char1"/>
    <w:autoRedefine/>
    <w:semiHidden/>
    <w:qFormat/>
    <w:uiPriority w:val="99"/>
    <w:rPr>
      <w:rFonts w:ascii="宋体" w:hAnsi="Calibri"/>
      <w:kern w:val="2"/>
      <w:sz w:val="18"/>
      <w:szCs w:val="18"/>
    </w:rPr>
  </w:style>
  <w:style w:type="character" w:customStyle="1" w:styleId="53">
    <w:name w:val="number"/>
    <w:autoRedefine/>
    <w:qFormat/>
    <w:uiPriority w:val="0"/>
  </w:style>
  <w:style w:type="character" w:customStyle="1" w:styleId="54">
    <w:name w:val="Char Char5"/>
    <w:autoRedefine/>
    <w:semiHidden/>
    <w:qFormat/>
    <w:uiPriority w:val="0"/>
    <w:rPr>
      <w:rFonts w:ascii="Calibri" w:hAnsi="Calibri" w:eastAsia="宋体"/>
      <w:kern w:val="2"/>
      <w:sz w:val="21"/>
      <w:szCs w:val="22"/>
      <w:lang w:val="en-US" w:eastAsia="zh-CN" w:bidi="ar-SA"/>
    </w:rPr>
  </w:style>
  <w:style w:type="character" w:customStyle="1" w:styleId="55">
    <w:name w:val="普通文字 Char Char Char"/>
    <w:autoRedefine/>
    <w:qFormat/>
    <w:uiPriority w:val="0"/>
    <w:rPr>
      <w:rFonts w:ascii="宋体" w:hAnsi="Courier New" w:eastAsia="宋体" w:cs="Courier New"/>
      <w:kern w:val="2"/>
      <w:sz w:val="21"/>
      <w:szCs w:val="21"/>
      <w:lang w:val="en-US" w:eastAsia="zh-CN" w:bidi="ar-SA"/>
    </w:rPr>
  </w:style>
  <w:style w:type="character" w:customStyle="1" w:styleId="56">
    <w:name w:val="段 Char"/>
    <w:link w:val="57"/>
    <w:autoRedefine/>
    <w:qFormat/>
    <w:locked/>
    <w:uiPriority w:val="0"/>
    <w:rPr>
      <w:rFonts w:ascii="宋体" w:cs="宋体"/>
      <w:sz w:val="21"/>
      <w:szCs w:val="21"/>
      <w:lang w:val="en-US" w:eastAsia="zh-CN" w:bidi="ar-SA"/>
    </w:rPr>
  </w:style>
  <w:style w:type="paragraph" w:customStyle="1" w:styleId="57">
    <w:name w:val="段"/>
    <w:link w:val="56"/>
    <w:autoRedefine/>
    <w:qFormat/>
    <w:uiPriority w:val="0"/>
    <w:pPr>
      <w:tabs>
        <w:tab w:val="center" w:pos="4201"/>
        <w:tab w:val="right" w:leader="dot" w:pos="9298"/>
      </w:tabs>
      <w:autoSpaceDE w:val="0"/>
      <w:autoSpaceDN w:val="0"/>
      <w:ind w:firstLine="420" w:firstLineChars="200"/>
      <w:jc w:val="both"/>
    </w:pPr>
    <w:rPr>
      <w:rFonts w:ascii="宋体" w:hAnsi="Times New Roman" w:eastAsia="宋体" w:cs="宋体"/>
      <w:sz w:val="21"/>
      <w:szCs w:val="21"/>
      <w:lang w:val="en-US" w:eastAsia="zh-CN" w:bidi="ar-SA"/>
    </w:rPr>
  </w:style>
  <w:style w:type="character" w:customStyle="1" w:styleId="58">
    <w:name w:val="Char Char7"/>
    <w:autoRedefine/>
    <w:qFormat/>
    <w:uiPriority w:val="0"/>
    <w:rPr>
      <w:rFonts w:ascii="Calibri" w:hAnsi="Calibri" w:eastAsia="宋体"/>
      <w:kern w:val="2"/>
      <w:sz w:val="18"/>
      <w:szCs w:val="18"/>
      <w:lang w:val="en-US" w:eastAsia="zh-CN" w:bidi="ar-SA"/>
    </w:rPr>
  </w:style>
  <w:style w:type="character" w:customStyle="1" w:styleId="59">
    <w:name w:val="Char Char1"/>
    <w:autoRedefine/>
    <w:qFormat/>
    <w:uiPriority w:val="0"/>
    <w:rPr>
      <w:rFonts w:eastAsia="仿宋_GB2312"/>
      <w:kern w:val="2"/>
      <w:sz w:val="28"/>
    </w:rPr>
  </w:style>
  <w:style w:type="character" w:customStyle="1" w:styleId="60">
    <w:name w:val="Body Text Indent Char Char"/>
    <w:link w:val="61"/>
    <w:autoRedefine/>
    <w:qFormat/>
    <w:uiPriority w:val="0"/>
    <w:rPr>
      <w:rFonts w:eastAsia="仿宋_GB2312"/>
      <w:kern w:val="2"/>
      <w:lang w:val="en-US" w:eastAsia="zh-CN" w:bidi="ar-SA"/>
    </w:rPr>
  </w:style>
  <w:style w:type="paragraph" w:customStyle="1" w:styleId="61">
    <w:name w:val="Body Text Indent Char"/>
    <w:basedOn w:val="1"/>
    <w:link w:val="60"/>
    <w:autoRedefine/>
    <w:qFormat/>
    <w:uiPriority w:val="0"/>
    <w:pPr>
      <w:spacing w:line="400" w:lineRule="exact"/>
      <w:ind w:firstLine="525"/>
    </w:pPr>
    <w:rPr>
      <w:rFonts w:eastAsia="仿宋_GB2312"/>
      <w:sz w:val="20"/>
      <w:szCs w:val="20"/>
    </w:rPr>
  </w:style>
  <w:style w:type="character" w:customStyle="1" w:styleId="62">
    <w:name w:val="Char Char6"/>
    <w:autoRedefine/>
    <w:semiHidden/>
    <w:qFormat/>
    <w:uiPriority w:val="0"/>
    <w:rPr>
      <w:rFonts w:ascii="Calibri" w:hAnsi="Calibri" w:eastAsia="宋体"/>
      <w:kern w:val="2"/>
      <w:sz w:val="18"/>
      <w:szCs w:val="18"/>
      <w:lang w:val="en-US" w:eastAsia="zh-CN" w:bidi="ar-SA"/>
    </w:rPr>
  </w:style>
  <w:style w:type="character" w:customStyle="1" w:styleId="63">
    <w:name w:val="批注主题 Char1"/>
    <w:autoRedefine/>
    <w:semiHidden/>
    <w:qFormat/>
    <w:uiPriority w:val="99"/>
    <w:rPr>
      <w:rFonts w:ascii="Calibri" w:hAnsi="Calibri"/>
      <w:b/>
      <w:bCs/>
      <w:szCs w:val="22"/>
    </w:rPr>
  </w:style>
  <w:style w:type="character" w:customStyle="1" w:styleId="64">
    <w:name w:val="font01"/>
    <w:autoRedefine/>
    <w:qFormat/>
    <w:uiPriority w:val="0"/>
    <w:rPr>
      <w:rFonts w:ascii="宋体" w:hAnsi="宋体" w:eastAsia="宋体" w:cs="Times New Roman"/>
      <w:color w:val="000000"/>
      <w:sz w:val="24"/>
      <w:szCs w:val="24"/>
      <w:u w:val="none"/>
    </w:rPr>
  </w:style>
  <w:style w:type="character" w:customStyle="1" w:styleId="65">
    <w:name w:val="Char Char3"/>
    <w:autoRedefine/>
    <w:qFormat/>
    <w:uiPriority w:val="0"/>
    <w:rPr>
      <w:rFonts w:ascii="Calibri" w:hAnsi="Calibri" w:eastAsia="宋体"/>
      <w:kern w:val="2"/>
      <w:sz w:val="24"/>
      <w:szCs w:val="24"/>
      <w:lang w:val="en-US" w:eastAsia="zh-CN" w:bidi="ar-SA"/>
    </w:rPr>
  </w:style>
  <w:style w:type="character" w:customStyle="1" w:styleId="66">
    <w:name w:val="f4 Char"/>
    <w:link w:val="67"/>
    <w:autoRedefine/>
    <w:qFormat/>
    <w:locked/>
    <w:uiPriority w:val="99"/>
    <w:rPr>
      <w:rFonts w:ascii="宋体" w:hAnsi="宋体"/>
      <w:color w:val="0000FF"/>
      <w:sz w:val="12"/>
      <w:szCs w:val="12"/>
    </w:rPr>
  </w:style>
  <w:style w:type="paragraph" w:customStyle="1" w:styleId="67">
    <w:name w:val="f4"/>
    <w:basedOn w:val="1"/>
    <w:link w:val="66"/>
    <w:autoRedefine/>
    <w:qFormat/>
    <w:uiPriority w:val="99"/>
    <w:pPr>
      <w:widowControl/>
      <w:spacing w:before="100" w:beforeAutospacing="1" w:after="100" w:afterAutospacing="1" w:line="159" w:lineRule="atLeast"/>
      <w:jc w:val="left"/>
    </w:pPr>
    <w:rPr>
      <w:rFonts w:ascii="宋体" w:hAnsi="宋体"/>
      <w:color w:val="0000FF"/>
      <w:kern w:val="0"/>
      <w:sz w:val="12"/>
      <w:szCs w:val="12"/>
    </w:rPr>
  </w:style>
  <w:style w:type="character" w:customStyle="1" w:styleId="68">
    <w:name w:val="Char Char2"/>
    <w:autoRedefine/>
    <w:qFormat/>
    <w:uiPriority w:val="0"/>
    <w:rPr>
      <w:rFonts w:eastAsia="宋体"/>
      <w:kern w:val="2"/>
      <w:sz w:val="16"/>
      <w:szCs w:val="16"/>
      <w:lang w:val="en-US" w:eastAsia="zh-CN" w:bidi="ar-SA"/>
    </w:rPr>
  </w:style>
  <w:style w:type="character" w:customStyle="1" w:styleId="69">
    <w:name w:val="font21"/>
    <w:autoRedefine/>
    <w:qFormat/>
    <w:uiPriority w:val="0"/>
    <w:rPr>
      <w:rFonts w:ascii="宋体" w:hAnsi="宋体" w:eastAsia="宋体" w:cs="Times New Roman"/>
      <w:color w:val="000000"/>
      <w:sz w:val="16"/>
      <w:szCs w:val="16"/>
      <w:u w:val="none"/>
    </w:rPr>
  </w:style>
  <w:style w:type="paragraph" w:customStyle="1" w:styleId="70">
    <w:name w:val="et38"/>
    <w:basedOn w:val="1"/>
    <w:autoRedefine/>
    <w:qFormat/>
    <w:uiPriority w:val="0"/>
    <w:pPr>
      <w:widowControl/>
      <w:pBdr>
        <w:top w:val="single" w:color="000000" w:sz="6" w:space="0"/>
        <w:left w:val="single" w:color="000000" w:sz="2" w:space="0"/>
        <w:bottom w:val="single" w:color="000000" w:sz="2" w:space="0"/>
        <w:right w:val="single" w:color="000000" w:sz="2" w:space="0"/>
      </w:pBdr>
      <w:spacing w:before="100" w:beforeAutospacing="1" w:after="100" w:afterAutospacing="1"/>
      <w:jc w:val="center"/>
      <w:textAlignment w:val="center"/>
    </w:pPr>
    <w:rPr>
      <w:color w:val="000000"/>
      <w:kern w:val="0"/>
      <w:sz w:val="16"/>
      <w:szCs w:val="16"/>
    </w:rPr>
  </w:style>
  <w:style w:type="paragraph" w:customStyle="1" w:styleId="71">
    <w:name w:val="et65"/>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color w:val="FF0000"/>
      <w:kern w:val="0"/>
      <w:sz w:val="16"/>
      <w:szCs w:val="16"/>
    </w:rPr>
  </w:style>
  <w:style w:type="paragraph" w:customStyle="1" w:styleId="72">
    <w:name w:val="font3"/>
    <w:basedOn w:val="1"/>
    <w:autoRedefine/>
    <w:qFormat/>
    <w:uiPriority w:val="0"/>
    <w:pPr>
      <w:widowControl/>
      <w:spacing w:before="100" w:beforeAutospacing="1" w:after="100" w:afterAutospacing="1"/>
      <w:jc w:val="left"/>
    </w:pPr>
    <w:rPr>
      <w:b/>
      <w:bCs/>
      <w:color w:val="FF0000"/>
      <w:kern w:val="0"/>
      <w:sz w:val="15"/>
      <w:szCs w:val="15"/>
      <w:vertAlign w:val="superscript"/>
    </w:rPr>
  </w:style>
  <w:style w:type="paragraph" w:customStyle="1" w:styleId="73">
    <w:name w:val="et49"/>
    <w:basedOn w:val="1"/>
    <w:autoRedefine/>
    <w:qFormat/>
    <w:uiPriority w:val="0"/>
    <w:pPr>
      <w:widowControl/>
      <w:pBdr>
        <w:top w:val="single" w:color="000000" w:sz="2" w:space="0"/>
        <w:left w:val="single" w:color="000000" w:sz="2" w:space="0"/>
        <w:bottom w:val="single" w:color="000000" w:sz="6" w:space="0"/>
        <w:right w:val="single" w:color="000000" w:sz="2" w:space="0"/>
      </w:pBdr>
      <w:spacing w:before="100" w:beforeAutospacing="1" w:after="100" w:afterAutospacing="1"/>
      <w:jc w:val="center"/>
      <w:textAlignment w:val="center"/>
    </w:pPr>
    <w:rPr>
      <w:color w:val="000000"/>
      <w:kern w:val="0"/>
      <w:sz w:val="16"/>
      <w:szCs w:val="16"/>
    </w:rPr>
  </w:style>
  <w:style w:type="paragraph" w:customStyle="1" w:styleId="74">
    <w:name w:val="et70"/>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宋体" w:hAnsi="宋体" w:cs="宋体"/>
      <w:b/>
      <w:bCs/>
      <w:color w:val="FF0000"/>
      <w:kern w:val="0"/>
      <w:sz w:val="15"/>
      <w:szCs w:val="15"/>
    </w:rPr>
  </w:style>
  <w:style w:type="paragraph" w:customStyle="1" w:styleId="75">
    <w:name w:val="et39"/>
    <w:basedOn w:val="1"/>
    <w:autoRedefine/>
    <w:qFormat/>
    <w:uiPriority w:val="0"/>
    <w:pPr>
      <w:widowControl/>
      <w:pBdr>
        <w:top w:val="single" w:color="000000" w:sz="6" w:space="0"/>
        <w:left w:val="single" w:color="000000" w:sz="2" w:space="0"/>
        <w:bottom w:val="single" w:color="000000" w:sz="2" w:space="0"/>
        <w:right w:val="single" w:color="000000" w:sz="6" w:space="0"/>
      </w:pBdr>
      <w:spacing w:before="100" w:beforeAutospacing="1" w:after="100" w:afterAutospacing="1"/>
      <w:jc w:val="center"/>
      <w:textAlignment w:val="center"/>
    </w:pPr>
    <w:rPr>
      <w:color w:val="000000"/>
      <w:kern w:val="0"/>
      <w:sz w:val="16"/>
      <w:szCs w:val="16"/>
    </w:rPr>
  </w:style>
  <w:style w:type="paragraph" w:customStyle="1" w:styleId="76">
    <w:name w:val="font1"/>
    <w:basedOn w:val="1"/>
    <w:autoRedefine/>
    <w:qFormat/>
    <w:uiPriority w:val="0"/>
    <w:pPr>
      <w:widowControl/>
      <w:spacing w:before="100" w:beforeAutospacing="1" w:after="100" w:afterAutospacing="1"/>
      <w:jc w:val="left"/>
    </w:pPr>
    <w:rPr>
      <w:color w:val="000000"/>
      <w:kern w:val="0"/>
      <w:sz w:val="16"/>
      <w:szCs w:val="16"/>
    </w:rPr>
  </w:style>
  <w:style w:type="paragraph" w:customStyle="1" w:styleId="77">
    <w:name w:val="et31"/>
    <w:basedOn w:val="1"/>
    <w:autoRedefine/>
    <w:qFormat/>
    <w:uiPriority w:val="0"/>
    <w:pPr>
      <w:widowControl/>
      <w:pBdr>
        <w:top w:val="single" w:color="000000" w:sz="6" w:space="0"/>
        <w:left w:val="single" w:color="000000" w:sz="2" w:space="0"/>
        <w:bottom w:val="single" w:color="000000" w:sz="2" w:space="0"/>
        <w:right w:val="single" w:color="000000" w:sz="2" w:space="0"/>
      </w:pBdr>
      <w:spacing w:before="100" w:beforeAutospacing="1" w:after="100" w:afterAutospacing="1"/>
      <w:jc w:val="center"/>
      <w:textAlignment w:val="center"/>
    </w:pPr>
    <w:rPr>
      <w:rFonts w:ascii="宋体" w:hAnsi="宋体" w:cs="宋体"/>
      <w:color w:val="000000"/>
      <w:kern w:val="0"/>
      <w:sz w:val="16"/>
      <w:szCs w:val="16"/>
    </w:rPr>
  </w:style>
  <w:style w:type="paragraph" w:customStyle="1" w:styleId="78">
    <w:name w:val="font2"/>
    <w:basedOn w:val="1"/>
    <w:autoRedefine/>
    <w:qFormat/>
    <w:uiPriority w:val="0"/>
    <w:pPr>
      <w:widowControl/>
      <w:spacing w:before="100" w:beforeAutospacing="1" w:after="100" w:afterAutospacing="1"/>
      <w:jc w:val="left"/>
    </w:pPr>
    <w:rPr>
      <w:rFonts w:ascii="宋体" w:hAnsi="宋体" w:cs="宋体"/>
      <w:color w:val="000000"/>
      <w:kern w:val="0"/>
      <w:sz w:val="16"/>
      <w:szCs w:val="16"/>
    </w:rPr>
  </w:style>
  <w:style w:type="paragraph" w:customStyle="1" w:styleId="79">
    <w:name w:val="et59"/>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textAlignment w:val="top"/>
    </w:pPr>
    <w:rPr>
      <w:rFonts w:ascii="宋体" w:hAnsi="宋体" w:cs="宋体"/>
      <w:color w:val="FF0000"/>
      <w:kern w:val="0"/>
      <w:sz w:val="15"/>
      <w:szCs w:val="15"/>
    </w:rPr>
  </w:style>
  <w:style w:type="paragraph" w:customStyle="1" w:styleId="80">
    <w:name w:val="et47"/>
    <w:basedOn w:val="1"/>
    <w:autoRedefine/>
    <w:qFormat/>
    <w:uiPriority w:val="0"/>
    <w:pPr>
      <w:widowControl/>
      <w:pBdr>
        <w:top w:val="single" w:color="000000" w:sz="2" w:space="0"/>
        <w:left w:val="single" w:color="000000" w:sz="2" w:space="0"/>
        <w:bottom w:val="single" w:color="000000" w:sz="2" w:space="0"/>
        <w:right w:val="single" w:color="000000" w:sz="2" w:space="0"/>
      </w:pBdr>
      <w:spacing w:before="100" w:beforeAutospacing="1" w:after="100" w:afterAutospacing="1"/>
      <w:jc w:val="left"/>
      <w:textAlignment w:val="center"/>
    </w:pPr>
    <w:rPr>
      <w:color w:val="000000"/>
      <w:kern w:val="0"/>
      <w:sz w:val="16"/>
      <w:szCs w:val="16"/>
    </w:rPr>
  </w:style>
  <w:style w:type="paragraph" w:customStyle="1" w:styleId="81">
    <w:name w:val="et43"/>
    <w:basedOn w:val="1"/>
    <w:autoRedefine/>
    <w:qFormat/>
    <w:uiPriority w:val="0"/>
    <w:pPr>
      <w:widowControl/>
      <w:pBdr>
        <w:top w:val="single" w:color="000000" w:sz="2" w:space="0"/>
        <w:left w:val="single" w:color="000000" w:sz="2" w:space="0"/>
        <w:bottom w:val="single" w:color="000000" w:sz="2" w:space="0"/>
        <w:right w:val="single" w:color="000000" w:sz="2" w:space="0"/>
      </w:pBdr>
      <w:spacing w:before="100" w:beforeAutospacing="1" w:after="100" w:afterAutospacing="1"/>
      <w:jc w:val="left"/>
      <w:textAlignment w:val="center"/>
    </w:pPr>
    <w:rPr>
      <w:rFonts w:ascii="宋体" w:hAnsi="宋体" w:cs="宋体"/>
      <w:color w:val="000000"/>
      <w:kern w:val="0"/>
      <w:sz w:val="16"/>
      <w:szCs w:val="16"/>
    </w:rPr>
  </w:style>
  <w:style w:type="paragraph" w:customStyle="1" w:styleId="82">
    <w:name w:val="CB01"/>
    <w:next w:val="1"/>
    <w:autoRedefine/>
    <w:qFormat/>
    <w:uiPriority w:val="0"/>
    <w:pPr>
      <w:numPr>
        <w:ilvl w:val="1"/>
        <w:numId w:val="1"/>
      </w:numPr>
      <w:spacing w:before="240" w:after="240" w:line="480" w:lineRule="auto"/>
      <w:jc w:val="center"/>
      <w:outlineLvl w:val="0"/>
    </w:pPr>
    <w:rPr>
      <w:rFonts w:ascii="Times New Roman" w:hAnsi="Times New Roman" w:eastAsia="宋体" w:cs="Times New Roman"/>
      <w:b/>
      <w:kern w:val="2"/>
      <w:sz w:val="28"/>
      <w:szCs w:val="21"/>
      <w:lang w:val="en-US" w:eastAsia="zh-CN" w:bidi="ar-SA"/>
    </w:rPr>
  </w:style>
  <w:style w:type="paragraph" w:customStyle="1" w:styleId="83">
    <w:name w:val="et11"/>
    <w:basedOn w:val="1"/>
    <w:autoRedefine/>
    <w:qFormat/>
    <w:uiPriority w:val="0"/>
    <w:pPr>
      <w:widowControl/>
      <w:pBdr>
        <w:top w:val="single" w:color="000000" w:sz="2" w:space="0"/>
        <w:left w:val="single" w:color="000000" w:sz="2" w:space="0"/>
        <w:bottom w:val="single" w:color="000000" w:sz="2" w:space="0"/>
        <w:right w:val="single" w:color="000000" w:sz="2" w:space="0"/>
      </w:pBdr>
      <w:spacing w:before="100" w:beforeAutospacing="1" w:after="100" w:afterAutospacing="1"/>
      <w:jc w:val="center"/>
      <w:textAlignment w:val="center"/>
    </w:pPr>
    <w:rPr>
      <w:rFonts w:ascii="宋体" w:hAnsi="宋体" w:cs="宋体"/>
      <w:color w:val="FF0000"/>
      <w:kern w:val="0"/>
      <w:sz w:val="16"/>
      <w:szCs w:val="16"/>
    </w:rPr>
  </w:style>
  <w:style w:type="paragraph" w:customStyle="1" w:styleId="84">
    <w:name w:val="无间隔1"/>
    <w:autoRedefine/>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85">
    <w:name w:val="et58"/>
    <w:basedOn w:val="1"/>
    <w:autoRedefine/>
    <w:qFormat/>
    <w:uiPriority w:val="0"/>
    <w:pPr>
      <w:widowControl/>
      <w:pBdr>
        <w:left w:val="single" w:color="000000" w:sz="2" w:space="0"/>
        <w:bottom w:val="single" w:color="000000" w:sz="2" w:space="0"/>
        <w:right w:val="single" w:color="000000" w:sz="2" w:space="0"/>
      </w:pBdr>
      <w:spacing w:before="100" w:beforeAutospacing="1" w:after="100" w:afterAutospacing="1"/>
      <w:jc w:val="left"/>
      <w:textAlignment w:val="center"/>
    </w:pPr>
    <w:rPr>
      <w:rFonts w:ascii="宋体" w:hAnsi="宋体" w:cs="宋体"/>
      <w:color w:val="000000"/>
      <w:kern w:val="0"/>
      <w:sz w:val="16"/>
      <w:szCs w:val="16"/>
    </w:rPr>
  </w:style>
  <w:style w:type="paragraph" w:customStyle="1" w:styleId="86">
    <w:name w:val="et21"/>
    <w:basedOn w:val="1"/>
    <w:autoRedefine/>
    <w:qFormat/>
    <w:uiPriority w:val="0"/>
    <w:pPr>
      <w:widowControl/>
      <w:pBdr>
        <w:top w:val="single" w:color="000000" w:sz="2" w:space="0"/>
        <w:left w:val="single" w:color="000000" w:sz="2" w:space="0"/>
        <w:bottom w:val="single" w:color="000000" w:sz="6" w:space="0"/>
        <w:right w:val="single" w:color="000000" w:sz="2" w:space="0"/>
      </w:pBdr>
      <w:spacing w:before="100" w:beforeAutospacing="1" w:after="100" w:afterAutospacing="1"/>
      <w:jc w:val="center"/>
      <w:textAlignment w:val="center"/>
    </w:pPr>
    <w:rPr>
      <w:rFonts w:ascii="宋体" w:hAnsi="宋体" w:cs="宋体"/>
      <w:color w:val="000000"/>
      <w:kern w:val="0"/>
      <w:sz w:val="16"/>
      <w:szCs w:val="16"/>
    </w:rPr>
  </w:style>
  <w:style w:type="paragraph" w:customStyle="1" w:styleId="87">
    <w:name w:val="et56"/>
    <w:basedOn w:val="1"/>
    <w:autoRedefine/>
    <w:qFormat/>
    <w:uiPriority w:val="0"/>
    <w:pPr>
      <w:widowControl/>
      <w:pBdr>
        <w:left w:val="single" w:color="000000" w:sz="2" w:space="0"/>
        <w:bottom w:val="single" w:color="000000" w:sz="2" w:space="0"/>
        <w:right w:val="single" w:color="000000" w:sz="2" w:space="0"/>
      </w:pBdr>
      <w:spacing w:before="100" w:beforeAutospacing="1" w:after="100" w:afterAutospacing="1"/>
      <w:jc w:val="center"/>
      <w:textAlignment w:val="center"/>
    </w:pPr>
    <w:rPr>
      <w:color w:val="000000"/>
      <w:kern w:val="0"/>
      <w:sz w:val="16"/>
      <w:szCs w:val="16"/>
    </w:rPr>
  </w:style>
  <w:style w:type="paragraph" w:customStyle="1" w:styleId="88">
    <w:name w:val="et50"/>
    <w:basedOn w:val="1"/>
    <w:autoRedefine/>
    <w:qFormat/>
    <w:uiPriority w:val="0"/>
    <w:pPr>
      <w:widowControl/>
      <w:pBdr>
        <w:top w:val="single" w:color="000000" w:sz="2" w:space="0"/>
        <w:left w:val="single" w:color="000000" w:sz="2" w:space="0"/>
        <w:bottom w:val="single" w:color="000000" w:sz="6" w:space="0"/>
        <w:right w:val="single" w:color="000000" w:sz="2" w:space="0"/>
      </w:pBdr>
      <w:spacing w:before="100" w:beforeAutospacing="1" w:after="100" w:afterAutospacing="1"/>
      <w:jc w:val="left"/>
      <w:textAlignment w:val="center"/>
    </w:pPr>
    <w:rPr>
      <w:color w:val="000000"/>
      <w:kern w:val="0"/>
      <w:sz w:val="16"/>
      <w:szCs w:val="16"/>
    </w:rPr>
  </w:style>
  <w:style w:type="paragraph" w:customStyle="1" w:styleId="89">
    <w:name w:val="et45"/>
    <w:basedOn w:val="1"/>
    <w:autoRedefine/>
    <w:qFormat/>
    <w:uiPriority w:val="0"/>
    <w:pPr>
      <w:widowControl/>
      <w:pBdr>
        <w:top w:val="single" w:color="000000" w:sz="2" w:space="0"/>
        <w:left w:val="single" w:color="000000" w:sz="2" w:space="0"/>
        <w:bottom w:val="single" w:color="000000" w:sz="2" w:space="0"/>
        <w:right w:val="single" w:color="000000" w:sz="2" w:space="0"/>
      </w:pBdr>
      <w:spacing w:before="100" w:beforeAutospacing="1" w:after="100" w:afterAutospacing="1"/>
      <w:jc w:val="center"/>
      <w:textAlignment w:val="center"/>
    </w:pPr>
    <w:rPr>
      <w:color w:val="000000"/>
      <w:kern w:val="0"/>
      <w:sz w:val="16"/>
      <w:szCs w:val="16"/>
    </w:rPr>
  </w:style>
  <w:style w:type="paragraph" w:customStyle="1" w:styleId="90">
    <w:name w:val="et53"/>
    <w:basedOn w:val="1"/>
    <w:autoRedefine/>
    <w:qFormat/>
    <w:uiPriority w:val="0"/>
    <w:pPr>
      <w:widowControl/>
      <w:pBdr>
        <w:top w:val="single" w:color="000000" w:sz="2" w:space="0"/>
        <w:right w:val="single" w:color="000000" w:sz="6" w:space="0"/>
      </w:pBdr>
      <w:spacing w:before="100" w:beforeAutospacing="1" w:after="100" w:afterAutospacing="1"/>
      <w:jc w:val="left"/>
      <w:textAlignment w:val="center"/>
    </w:pPr>
    <w:rPr>
      <w:rFonts w:ascii="宋体" w:hAnsi="宋体" w:cs="宋体"/>
      <w:color w:val="000000"/>
      <w:kern w:val="0"/>
      <w:sz w:val="24"/>
      <w:szCs w:val="24"/>
    </w:rPr>
  </w:style>
  <w:style w:type="paragraph" w:customStyle="1" w:styleId="91">
    <w:name w:val="et90"/>
    <w:basedOn w:val="1"/>
    <w:autoRedefine/>
    <w:qFormat/>
    <w:uiPriority w:val="0"/>
    <w:pPr>
      <w:widowControl/>
      <w:shd w:val="clear" w:color="000000" w:fill="FFFFFF"/>
      <w:spacing w:before="100" w:beforeAutospacing="1" w:after="100" w:afterAutospacing="1"/>
      <w:jc w:val="center"/>
      <w:textAlignment w:val="center"/>
    </w:pPr>
    <w:rPr>
      <w:rFonts w:ascii="黑体" w:hAnsi="宋体" w:eastAsia="黑体" w:cs="宋体"/>
      <w:color w:val="FF0000"/>
      <w:kern w:val="0"/>
      <w:sz w:val="36"/>
      <w:szCs w:val="36"/>
    </w:rPr>
  </w:style>
  <w:style w:type="paragraph" w:customStyle="1" w:styleId="92">
    <w:name w:val="et60"/>
    <w:basedOn w:val="1"/>
    <w:autoRedefine/>
    <w:qFormat/>
    <w:uiPriority w:val="0"/>
    <w:pPr>
      <w:widowControl/>
      <w:pBdr>
        <w:top w:val="single" w:color="000000" w:sz="4" w:space="0"/>
        <w:bottom w:val="single" w:color="000000" w:sz="4" w:space="0"/>
        <w:right w:val="single" w:color="000000" w:sz="12" w:space="0"/>
      </w:pBdr>
      <w:spacing w:before="100" w:beforeAutospacing="1" w:after="100" w:afterAutospacing="1"/>
      <w:jc w:val="left"/>
      <w:textAlignment w:val="center"/>
    </w:pPr>
    <w:rPr>
      <w:rFonts w:ascii="宋体" w:hAnsi="宋体" w:cs="宋体"/>
      <w:color w:val="FF0000"/>
      <w:kern w:val="0"/>
      <w:sz w:val="24"/>
      <w:szCs w:val="24"/>
    </w:rPr>
  </w:style>
  <w:style w:type="paragraph" w:customStyle="1" w:styleId="93">
    <w:name w:val="et18"/>
    <w:basedOn w:val="1"/>
    <w:autoRedefine/>
    <w:qFormat/>
    <w:uiPriority w:val="0"/>
    <w:pPr>
      <w:widowControl/>
      <w:pBdr>
        <w:top w:val="single" w:color="000000" w:sz="2" w:space="0"/>
        <w:left w:val="single" w:color="000000" w:sz="2" w:space="0"/>
        <w:bottom w:val="single" w:color="000000" w:sz="2" w:space="0"/>
        <w:right w:val="single" w:color="000000" w:sz="6" w:space="0"/>
      </w:pBdr>
      <w:spacing w:before="100" w:beforeAutospacing="1" w:after="100" w:afterAutospacing="1"/>
      <w:jc w:val="center"/>
      <w:textAlignment w:val="center"/>
    </w:pPr>
    <w:rPr>
      <w:rFonts w:ascii="宋体" w:hAnsi="宋体" w:cs="宋体"/>
      <w:color w:val="000000"/>
      <w:kern w:val="0"/>
      <w:sz w:val="16"/>
      <w:szCs w:val="16"/>
    </w:rPr>
  </w:style>
  <w:style w:type="paragraph" w:customStyle="1" w:styleId="94">
    <w:name w:val="修订1"/>
    <w:autoRedefine/>
    <w:unhideWhenUsed/>
    <w:qFormat/>
    <w:uiPriority w:val="99"/>
    <w:rPr>
      <w:rFonts w:ascii="Times New Roman" w:hAnsi="Times New Roman" w:eastAsia="宋体" w:cs="Times New Roman"/>
      <w:kern w:val="2"/>
      <w:sz w:val="21"/>
      <w:szCs w:val="22"/>
      <w:lang w:val="en-US" w:eastAsia="zh-CN" w:bidi="ar-SA"/>
    </w:rPr>
  </w:style>
  <w:style w:type="paragraph" w:customStyle="1" w:styleId="95">
    <w:name w:val="et75"/>
    <w:basedOn w:val="1"/>
    <w:autoRedefine/>
    <w:qFormat/>
    <w:uiPriority w:val="0"/>
    <w:pPr>
      <w:widowControl/>
      <w:pBdr>
        <w:top w:val="single" w:color="000000" w:sz="4" w:space="0"/>
        <w:left w:val="single" w:color="000000" w:sz="12" w:space="0"/>
        <w:bottom w:val="single" w:color="000000" w:sz="4" w:space="0"/>
        <w:right w:val="single" w:color="000000" w:sz="4" w:space="0"/>
      </w:pBdr>
      <w:spacing w:before="100" w:beforeAutospacing="1" w:after="100" w:afterAutospacing="1"/>
      <w:jc w:val="center"/>
      <w:textAlignment w:val="center"/>
    </w:pPr>
    <w:rPr>
      <w:rFonts w:ascii="宋体" w:hAnsi="宋体" w:cs="宋体"/>
      <w:b/>
      <w:bCs/>
      <w:color w:val="FF0000"/>
      <w:kern w:val="0"/>
      <w:sz w:val="15"/>
      <w:szCs w:val="15"/>
    </w:rPr>
  </w:style>
  <w:style w:type="paragraph" w:customStyle="1" w:styleId="96">
    <w:name w:val="et66"/>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color w:val="FF0000"/>
      <w:kern w:val="0"/>
      <w:sz w:val="15"/>
      <w:szCs w:val="15"/>
    </w:rPr>
  </w:style>
  <w:style w:type="paragraph" w:customStyle="1" w:styleId="97">
    <w:name w:val="et89"/>
    <w:basedOn w:val="1"/>
    <w:autoRedefine/>
    <w:qFormat/>
    <w:uiPriority w:val="0"/>
    <w:pPr>
      <w:widowControl/>
      <w:spacing w:before="100" w:beforeAutospacing="1" w:after="100" w:afterAutospacing="1"/>
      <w:jc w:val="center"/>
      <w:textAlignment w:val="center"/>
    </w:pPr>
    <w:rPr>
      <w:rFonts w:ascii="宋体" w:hAnsi="宋体" w:cs="宋体"/>
      <w:color w:val="000000"/>
      <w:kern w:val="0"/>
      <w:sz w:val="15"/>
      <w:szCs w:val="15"/>
    </w:rPr>
  </w:style>
  <w:style w:type="paragraph" w:customStyle="1" w:styleId="98">
    <w:name w:val="et34"/>
    <w:basedOn w:val="1"/>
    <w:autoRedefine/>
    <w:qFormat/>
    <w:uiPriority w:val="0"/>
    <w:pPr>
      <w:widowControl/>
      <w:pBdr>
        <w:top w:val="single" w:color="000000" w:sz="2" w:space="0"/>
        <w:left w:val="single" w:color="000000" w:sz="2" w:space="0"/>
        <w:bottom w:val="single" w:color="000000" w:sz="2" w:space="0"/>
        <w:right w:val="single" w:color="000000" w:sz="2" w:space="0"/>
      </w:pBdr>
      <w:spacing w:before="100" w:beforeAutospacing="1" w:after="100" w:afterAutospacing="1"/>
      <w:jc w:val="left"/>
      <w:textAlignment w:val="center"/>
    </w:pPr>
    <w:rPr>
      <w:color w:val="000000"/>
      <w:kern w:val="0"/>
      <w:sz w:val="16"/>
      <w:szCs w:val="16"/>
    </w:rPr>
  </w:style>
  <w:style w:type="paragraph" w:customStyle="1" w:styleId="99">
    <w:name w:val="et25"/>
    <w:basedOn w:val="1"/>
    <w:autoRedefine/>
    <w:qFormat/>
    <w:uiPriority w:val="0"/>
    <w:pPr>
      <w:widowControl/>
      <w:pBdr>
        <w:top w:val="single" w:color="000000" w:sz="2" w:space="0"/>
        <w:bottom w:val="single" w:color="000000" w:sz="2" w:space="0"/>
        <w:right w:val="single" w:color="000000" w:sz="6" w:space="0"/>
      </w:pBdr>
      <w:spacing w:before="100" w:beforeAutospacing="1" w:after="100" w:afterAutospacing="1"/>
      <w:jc w:val="left"/>
      <w:textAlignment w:val="center"/>
    </w:pPr>
    <w:rPr>
      <w:rFonts w:ascii="宋体" w:hAnsi="宋体" w:cs="宋体"/>
      <w:color w:val="000000"/>
      <w:kern w:val="0"/>
      <w:sz w:val="24"/>
      <w:szCs w:val="24"/>
    </w:rPr>
  </w:style>
  <w:style w:type="paragraph" w:customStyle="1" w:styleId="100">
    <w:name w:val="et8"/>
    <w:basedOn w:val="1"/>
    <w:autoRedefine/>
    <w:qFormat/>
    <w:uiPriority w:val="0"/>
    <w:pPr>
      <w:widowControl/>
      <w:pBdr>
        <w:top w:val="single" w:color="000000" w:sz="2" w:space="0"/>
        <w:left w:val="single" w:color="000000" w:sz="2" w:space="0"/>
        <w:bottom w:val="single" w:color="000000" w:sz="2" w:space="0"/>
        <w:right w:val="single" w:color="000000" w:sz="2" w:space="0"/>
      </w:pBdr>
      <w:spacing w:before="100" w:beforeAutospacing="1" w:after="100" w:afterAutospacing="1"/>
      <w:jc w:val="center"/>
      <w:textAlignment w:val="center"/>
    </w:pPr>
    <w:rPr>
      <w:rFonts w:ascii="宋体" w:hAnsi="宋体" w:cs="宋体"/>
      <w:color w:val="000000"/>
      <w:kern w:val="0"/>
      <w:sz w:val="16"/>
      <w:szCs w:val="16"/>
    </w:rPr>
  </w:style>
  <w:style w:type="paragraph" w:customStyle="1" w:styleId="101">
    <w:name w:val="CB00"/>
    <w:autoRedefine/>
    <w:qFormat/>
    <w:uiPriority w:val="0"/>
    <w:pPr>
      <w:tabs>
        <w:tab w:val="left" w:pos="0"/>
      </w:tabs>
      <w:spacing w:before="120" w:after="120" w:line="360" w:lineRule="auto"/>
    </w:pPr>
    <w:rPr>
      <w:rFonts w:ascii="Times New Roman" w:hAnsi="Times New Roman" w:eastAsia="宋体" w:cs="Times New Roman"/>
      <w:kern w:val="2"/>
      <w:sz w:val="24"/>
      <w:szCs w:val="21"/>
      <w:lang w:val="en-US" w:eastAsia="zh-CN" w:bidi="ar-SA"/>
    </w:rPr>
  </w:style>
  <w:style w:type="paragraph" w:customStyle="1" w:styleId="102">
    <w:name w:val="et15"/>
    <w:basedOn w:val="1"/>
    <w:autoRedefine/>
    <w:qFormat/>
    <w:uiPriority w:val="0"/>
    <w:pPr>
      <w:widowControl/>
      <w:pBdr>
        <w:top w:val="single" w:color="000000" w:sz="2" w:space="0"/>
        <w:left w:val="single" w:color="000000" w:sz="2" w:space="0"/>
        <w:bottom w:val="single" w:color="000000" w:sz="2" w:space="0"/>
        <w:right w:val="single" w:color="000000" w:sz="2" w:space="0"/>
      </w:pBdr>
      <w:spacing w:before="100" w:beforeAutospacing="1" w:after="100" w:afterAutospacing="1"/>
      <w:jc w:val="center"/>
      <w:textAlignment w:val="center"/>
    </w:pPr>
    <w:rPr>
      <w:rFonts w:ascii="宋体" w:hAnsi="宋体" w:cs="宋体"/>
      <w:color w:val="000000"/>
      <w:kern w:val="0"/>
      <w:sz w:val="16"/>
      <w:szCs w:val="16"/>
    </w:rPr>
  </w:style>
  <w:style w:type="paragraph" w:styleId="103">
    <w:name w:val="No Spacing"/>
    <w:autoRedefine/>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104">
    <w:name w:val="et40"/>
    <w:basedOn w:val="1"/>
    <w:autoRedefine/>
    <w:qFormat/>
    <w:uiPriority w:val="0"/>
    <w:pPr>
      <w:widowControl/>
      <w:pBdr>
        <w:top w:val="single" w:color="000000" w:sz="2" w:space="0"/>
        <w:left w:val="single" w:color="000000" w:sz="2" w:space="0"/>
        <w:bottom w:val="single" w:color="000000" w:sz="2" w:space="0"/>
        <w:right w:val="single" w:color="000000" w:sz="2" w:space="0"/>
      </w:pBdr>
      <w:spacing w:before="100" w:beforeAutospacing="1" w:after="100" w:afterAutospacing="1"/>
      <w:jc w:val="center"/>
      <w:textAlignment w:val="center"/>
    </w:pPr>
    <w:rPr>
      <w:color w:val="000000"/>
      <w:kern w:val="0"/>
      <w:sz w:val="16"/>
      <w:szCs w:val="16"/>
    </w:rPr>
  </w:style>
  <w:style w:type="paragraph" w:styleId="105">
    <w:name w:val="List Paragraph"/>
    <w:basedOn w:val="1"/>
    <w:autoRedefine/>
    <w:qFormat/>
    <w:uiPriority w:val="99"/>
    <w:pPr>
      <w:ind w:firstLine="420" w:firstLineChars="200"/>
    </w:pPr>
    <w:rPr>
      <w:rFonts w:cs="Calibri"/>
      <w:szCs w:val="21"/>
    </w:rPr>
  </w:style>
  <w:style w:type="paragraph" w:customStyle="1" w:styleId="106">
    <w:name w:val="text-muted"/>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107">
    <w:name w:val="et44"/>
    <w:basedOn w:val="1"/>
    <w:autoRedefine/>
    <w:qFormat/>
    <w:uiPriority w:val="0"/>
    <w:pPr>
      <w:widowControl/>
      <w:pBdr>
        <w:top w:val="single" w:color="000000" w:sz="2" w:space="0"/>
        <w:left w:val="single" w:color="000000" w:sz="2" w:space="0"/>
        <w:bottom w:val="single" w:color="000000" w:sz="2" w:space="0"/>
        <w:right w:val="single" w:color="000000" w:sz="2" w:space="0"/>
      </w:pBdr>
      <w:spacing w:before="100" w:beforeAutospacing="1" w:after="100" w:afterAutospacing="1"/>
      <w:jc w:val="left"/>
      <w:textAlignment w:val="center"/>
    </w:pPr>
    <w:rPr>
      <w:color w:val="000000"/>
      <w:kern w:val="0"/>
      <w:sz w:val="16"/>
      <w:szCs w:val="16"/>
    </w:rPr>
  </w:style>
  <w:style w:type="paragraph" w:customStyle="1" w:styleId="108">
    <w:name w:val="et16"/>
    <w:basedOn w:val="1"/>
    <w:autoRedefine/>
    <w:qFormat/>
    <w:uiPriority w:val="0"/>
    <w:pPr>
      <w:widowControl/>
      <w:pBdr>
        <w:top w:val="single" w:color="000000" w:sz="2" w:space="0"/>
        <w:left w:val="single" w:color="000000" w:sz="2" w:space="0"/>
        <w:bottom w:val="single" w:color="000000" w:sz="2" w:space="0"/>
        <w:right w:val="single" w:color="000000" w:sz="6" w:space="0"/>
      </w:pBdr>
      <w:spacing w:before="100" w:beforeAutospacing="1" w:after="100" w:afterAutospacing="1"/>
      <w:jc w:val="center"/>
      <w:textAlignment w:val="center"/>
    </w:pPr>
    <w:rPr>
      <w:color w:val="FF0000"/>
      <w:kern w:val="0"/>
      <w:sz w:val="16"/>
      <w:szCs w:val="16"/>
    </w:rPr>
  </w:style>
  <w:style w:type="paragraph" w:customStyle="1" w:styleId="109">
    <w:name w:val="et29"/>
    <w:basedOn w:val="1"/>
    <w:autoRedefine/>
    <w:qFormat/>
    <w:uiPriority w:val="0"/>
    <w:pPr>
      <w:widowControl/>
      <w:shd w:val="clear" w:color="000000" w:fill="969696"/>
      <w:spacing w:before="100" w:beforeAutospacing="1" w:after="100" w:afterAutospacing="1"/>
      <w:jc w:val="center"/>
      <w:textAlignment w:val="center"/>
    </w:pPr>
    <w:rPr>
      <w:rFonts w:ascii="宋体" w:hAnsi="宋体" w:cs="宋体"/>
      <w:color w:val="000000"/>
      <w:kern w:val="0"/>
      <w:sz w:val="24"/>
      <w:szCs w:val="24"/>
    </w:rPr>
  </w:style>
  <w:style w:type="paragraph" w:customStyle="1" w:styleId="110">
    <w:name w:val="et87"/>
    <w:basedOn w:val="1"/>
    <w:autoRedefine/>
    <w:qFormat/>
    <w:uiPriority w:val="0"/>
    <w:pPr>
      <w:widowControl/>
      <w:pBdr>
        <w:top w:val="single" w:color="000000" w:sz="12" w:space="0"/>
        <w:left w:val="single" w:color="000000" w:sz="12" w:space="0"/>
        <w:bottom w:val="single" w:color="000000" w:sz="4" w:space="0"/>
        <w:right w:val="single" w:color="000000" w:sz="4" w:space="0"/>
      </w:pBdr>
      <w:spacing w:before="100" w:beforeAutospacing="1" w:after="100" w:afterAutospacing="1"/>
      <w:jc w:val="center"/>
      <w:textAlignment w:val="center"/>
    </w:pPr>
    <w:rPr>
      <w:rFonts w:ascii="宋体" w:hAnsi="宋体" w:cs="宋体"/>
      <w:b/>
      <w:bCs/>
      <w:color w:val="FF0000"/>
      <w:kern w:val="0"/>
      <w:sz w:val="15"/>
      <w:szCs w:val="15"/>
    </w:rPr>
  </w:style>
  <w:style w:type="paragraph" w:customStyle="1" w:styleId="111">
    <w:name w:val="et51"/>
    <w:basedOn w:val="1"/>
    <w:autoRedefine/>
    <w:qFormat/>
    <w:uiPriority w:val="0"/>
    <w:pPr>
      <w:widowControl/>
      <w:pBdr>
        <w:bottom w:val="single" w:color="000000" w:sz="6" w:space="0"/>
        <w:right w:val="single" w:color="000000" w:sz="6" w:space="0"/>
      </w:pBdr>
      <w:spacing w:before="100" w:beforeAutospacing="1" w:after="100" w:afterAutospacing="1"/>
      <w:jc w:val="center"/>
      <w:textAlignment w:val="center"/>
    </w:pPr>
    <w:rPr>
      <w:rFonts w:ascii="宋体" w:hAnsi="宋体" w:cs="宋体"/>
      <w:color w:val="FF0000"/>
      <w:kern w:val="0"/>
      <w:sz w:val="13"/>
      <w:szCs w:val="13"/>
    </w:rPr>
  </w:style>
  <w:style w:type="paragraph" w:customStyle="1" w:styleId="112">
    <w:name w:val="et23"/>
    <w:basedOn w:val="1"/>
    <w:autoRedefine/>
    <w:qFormat/>
    <w:uiPriority w:val="0"/>
    <w:pPr>
      <w:widowControl/>
      <w:pBdr>
        <w:top w:val="single" w:color="000000" w:sz="2" w:space="0"/>
        <w:left w:val="single" w:color="000000" w:sz="2" w:space="0"/>
        <w:bottom w:val="single" w:color="000000" w:sz="2" w:space="0"/>
        <w:right w:val="single" w:color="000000" w:sz="6" w:space="0"/>
      </w:pBdr>
      <w:spacing w:before="100" w:beforeAutospacing="1" w:after="100" w:afterAutospacing="1"/>
      <w:jc w:val="center"/>
      <w:textAlignment w:val="center"/>
    </w:pPr>
    <w:rPr>
      <w:color w:val="000000"/>
      <w:kern w:val="0"/>
      <w:sz w:val="16"/>
      <w:szCs w:val="16"/>
    </w:rPr>
  </w:style>
  <w:style w:type="paragraph" w:customStyle="1" w:styleId="113">
    <w:name w:val="et61"/>
    <w:basedOn w:val="1"/>
    <w:autoRedefine/>
    <w:qFormat/>
    <w:uiPriority w:val="0"/>
    <w:pPr>
      <w:widowControl/>
      <w:pBdr>
        <w:top w:val="single" w:color="000000" w:sz="4" w:space="0"/>
        <w:bottom w:val="single" w:color="000000" w:sz="4" w:space="0"/>
      </w:pBdr>
      <w:spacing w:before="100" w:beforeAutospacing="1" w:after="100" w:afterAutospacing="1"/>
      <w:jc w:val="left"/>
      <w:textAlignment w:val="center"/>
    </w:pPr>
    <w:rPr>
      <w:rFonts w:ascii="宋体" w:hAnsi="宋体" w:cs="宋体"/>
      <w:color w:val="FF0000"/>
      <w:kern w:val="0"/>
      <w:sz w:val="24"/>
      <w:szCs w:val="24"/>
    </w:rPr>
  </w:style>
  <w:style w:type="paragraph" w:customStyle="1" w:styleId="114">
    <w:name w:val="et41"/>
    <w:basedOn w:val="1"/>
    <w:autoRedefine/>
    <w:qFormat/>
    <w:uiPriority w:val="0"/>
    <w:pPr>
      <w:widowControl/>
      <w:pBdr>
        <w:top w:val="single" w:color="000000" w:sz="2" w:space="0"/>
        <w:left w:val="single" w:color="000000" w:sz="2" w:space="0"/>
        <w:bottom w:val="single" w:color="000000" w:sz="2" w:space="0"/>
        <w:right w:val="single" w:color="000000" w:sz="2" w:space="0"/>
      </w:pBdr>
      <w:spacing w:before="100" w:beforeAutospacing="1" w:after="100" w:afterAutospacing="1"/>
      <w:jc w:val="left"/>
      <w:textAlignment w:val="center"/>
    </w:pPr>
    <w:rPr>
      <w:rFonts w:ascii="宋体" w:hAnsi="宋体" w:cs="宋体"/>
      <w:color w:val="000000"/>
      <w:kern w:val="0"/>
      <w:sz w:val="16"/>
      <w:szCs w:val="16"/>
    </w:rPr>
  </w:style>
  <w:style w:type="paragraph" w:customStyle="1" w:styleId="115">
    <w:name w:val="et30"/>
    <w:basedOn w:val="1"/>
    <w:autoRedefine/>
    <w:qFormat/>
    <w:uiPriority w:val="0"/>
    <w:pPr>
      <w:widowControl/>
      <w:pBdr>
        <w:top w:val="single" w:color="000000" w:sz="2" w:space="0"/>
        <w:left w:val="single" w:color="000000" w:sz="2" w:space="0"/>
        <w:bottom w:val="single" w:color="000000" w:sz="2" w:space="0"/>
      </w:pBdr>
      <w:spacing w:before="100" w:beforeAutospacing="1" w:after="100" w:afterAutospacing="1"/>
      <w:jc w:val="center"/>
      <w:textAlignment w:val="center"/>
    </w:pPr>
    <w:rPr>
      <w:color w:val="000000"/>
      <w:kern w:val="0"/>
      <w:sz w:val="16"/>
      <w:szCs w:val="16"/>
    </w:rPr>
  </w:style>
  <w:style w:type="paragraph" w:customStyle="1" w:styleId="116">
    <w:name w:val="et63"/>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宋体" w:hAnsi="宋体" w:cs="宋体"/>
      <w:color w:val="FF0000"/>
      <w:kern w:val="0"/>
      <w:sz w:val="18"/>
      <w:szCs w:val="18"/>
    </w:rPr>
  </w:style>
  <w:style w:type="paragraph" w:customStyle="1" w:styleId="117">
    <w:name w:val="et52"/>
    <w:basedOn w:val="1"/>
    <w:autoRedefine/>
    <w:qFormat/>
    <w:uiPriority w:val="0"/>
    <w:pPr>
      <w:widowControl/>
      <w:pBdr>
        <w:bottom w:val="single" w:color="000000" w:sz="6" w:space="0"/>
        <w:right w:val="single" w:color="000000" w:sz="6" w:space="0"/>
      </w:pBdr>
      <w:spacing w:before="100" w:beforeAutospacing="1" w:after="100" w:afterAutospacing="1"/>
      <w:jc w:val="center"/>
      <w:textAlignment w:val="center"/>
    </w:pPr>
    <w:rPr>
      <w:rFonts w:ascii="宋体" w:hAnsi="宋体" w:cs="宋体"/>
      <w:color w:val="FF0000"/>
      <w:kern w:val="0"/>
      <w:sz w:val="13"/>
      <w:szCs w:val="13"/>
    </w:rPr>
  </w:style>
  <w:style w:type="paragraph" w:customStyle="1" w:styleId="118">
    <w:name w:val="et14"/>
    <w:basedOn w:val="1"/>
    <w:autoRedefine/>
    <w:qFormat/>
    <w:uiPriority w:val="0"/>
    <w:pPr>
      <w:widowControl/>
      <w:pBdr>
        <w:top w:val="single" w:color="000000" w:sz="2" w:space="0"/>
        <w:left w:val="single" w:color="000000" w:sz="2" w:space="0"/>
        <w:bottom w:val="single" w:color="000000" w:sz="2" w:space="0"/>
        <w:right w:val="single" w:color="000000" w:sz="2" w:space="0"/>
      </w:pBdr>
      <w:spacing w:before="100" w:beforeAutospacing="1" w:after="100" w:afterAutospacing="1"/>
      <w:jc w:val="center"/>
      <w:textAlignment w:val="center"/>
    </w:pPr>
    <w:rPr>
      <w:color w:val="000000"/>
      <w:kern w:val="0"/>
      <w:sz w:val="16"/>
      <w:szCs w:val="16"/>
    </w:rPr>
  </w:style>
  <w:style w:type="paragraph" w:customStyle="1" w:styleId="119">
    <w:name w:val="et27"/>
    <w:basedOn w:val="1"/>
    <w:autoRedefine/>
    <w:qFormat/>
    <w:uiPriority w:val="0"/>
    <w:pPr>
      <w:widowControl/>
      <w:pBdr>
        <w:top w:val="single" w:color="000000" w:sz="2" w:space="0"/>
        <w:left w:val="single" w:color="000000" w:sz="2" w:space="0"/>
        <w:bottom w:val="single" w:color="000000" w:sz="2" w:space="0"/>
      </w:pBdr>
      <w:spacing w:before="100" w:beforeAutospacing="1" w:after="100" w:afterAutospacing="1"/>
      <w:jc w:val="center"/>
      <w:textAlignment w:val="center"/>
    </w:pPr>
    <w:rPr>
      <w:rFonts w:ascii="宋体" w:hAnsi="宋体" w:cs="宋体"/>
      <w:color w:val="000000"/>
      <w:kern w:val="0"/>
      <w:sz w:val="16"/>
      <w:szCs w:val="16"/>
    </w:rPr>
  </w:style>
  <w:style w:type="paragraph" w:customStyle="1" w:styleId="120">
    <w:name w:val="et35"/>
    <w:basedOn w:val="1"/>
    <w:autoRedefine/>
    <w:qFormat/>
    <w:uiPriority w:val="0"/>
    <w:pPr>
      <w:widowControl/>
      <w:pBdr>
        <w:top w:val="single" w:color="000000" w:sz="6" w:space="0"/>
        <w:left w:val="single" w:color="000000" w:sz="2" w:space="0"/>
        <w:bottom w:val="single" w:color="000000" w:sz="2" w:space="0"/>
        <w:right w:val="single" w:color="000000" w:sz="2" w:space="0"/>
      </w:pBdr>
      <w:spacing w:before="100" w:beforeAutospacing="1" w:after="100" w:afterAutospacing="1"/>
      <w:jc w:val="center"/>
      <w:textAlignment w:val="center"/>
    </w:pPr>
    <w:rPr>
      <w:rFonts w:ascii="宋体" w:hAnsi="宋体" w:cs="宋体"/>
      <w:color w:val="000000"/>
      <w:kern w:val="0"/>
      <w:sz w:val="16"/>
      <w:szCs w:val="16"/>
    </w:rPr>
  </w:style>
  <w:style w:type="paragraph" w:customStyle="1" w:styleId="121">
    <w:name w:val="et46"/>
    <w:basedOn w:val="1"/>
    <w:autoRedefine/>
    <w:qFormat/>
    <w:uiPriority w:val="0"/>
    <w:pPr>
      <w:widowControl/>
      <w:pBdr>
        <w:top w:val="single" w:color="000000" w:sz="2" w:space="0"/>
        <w:left w:val="single" w:color="000000" w:sz="2" w:space="0"/>
        <w:bottom w:val="single" w:color="000000" w:sz="2" w:space="0"/>
        <w:right w:val="single" w:color="000000" w:sz="2" w:space="0"/>
      </w:pBdr>
      <w:spacing w:before="100" w:beforeAutospacing="1" w:after="100" w:afterAutospacing="1"/>
      <w:jc w:val="left"/>
      <w:textAlignment w:val="center"/>
    </w:pPr>
    <w:rPr>
      <w:rFonts w:ascii="宋体" w:hAnsi="宋体" w:cs="宋体"/>
      <w:color w:val="000000"/>
      <w:kern w:val="0"/>
      <w:sz w:val="16"/>
      <w:szCs w:val="16"/>
    </w:rPr>
  </w:style>
  <w:style w:type="paragraph" w:customStyle="1" w:styleId="122">
    <w:name w:val="et67"/>
    <w:basedOn w:val="1"/>
    <w:autoRedefine/>
    <w:qFormat/>
    <w:uiPriority w:val="0"/>
    <w:pPr>
      <w:widowControl/>
      <w:pBdr>
        <w:top w:val="single" w:color="000000" w:sz="4" w:space="0"/>
        <w:left w:val="single" w:color="000000" w:sz="4" w:space="0"/>
        <w:bottom w:val="single" w:color="000000" w:sz="4" w:space="0"/>
        <w:right w:val="single" w:color="000000" w:sz="12" w:space="0"/>
      </w:pBdr>
      <w:spacing w:before="100" w:beforeAutospacing="1" w:after="100" w:afterAutospacing="1"/>
      <w:jc w:val="center"/>
      <w:textAlignment w:val="center"/>
    </w:pPr>
    <w:rPr>
      <w:rFonts w:ascii="黑体" w:hAnsi="宋体" w:eastAsia="黑体" w:cs="宋体"/>
      <w:b/>
      <w:bCs/>
      <w:color w:val="FF0000"/>
      <w:kern w:val="0"/>
      <w:sz w:val="15"/>
      <w:szCs w:val="15"/>
    </w:rPr>
  </w:style>
  <w:style w:type="paragraph" w:customStyle="1" w:styleId="123">
    <w:name w:val="et64"/>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color w:val="FF0000"/>
      <w:kern w:val="0"/>
      <w:sz w:val="16"/>
      <w:szCs w:val="16"/>
    </w:rPr>
  </w:style>
  <w:style w:type="paragraph" w:customStyle="1" w:styleId="124">
    <w:name w:val="et76"/>
    <w:basedOn w:val="1"/>
    <w:autoRedefine/>
    <w:qFormat/>
    <w:uiPriority w:val="0"/>
    <w:pPr>
      <w:widowControl/>
      <w:pBdr>
        <w:top w:val="single" w:color="000000" w:sz="4" w:space="0"/>
        <w:left w:val="single" w:color="000000" w:sz="4" w:space="0"/>
        <w:bottom w:val="single" w:color="000000" w:sz="4" w:space="0"/>
        <w:right w:val="single" w:color="000000" w:sz="12" w:space="0"/>
      </w:pBdr>
      <w:spacing w:before="100" w:beforeAutospacing="1" w:after="100" w:afterAutospacing="1"/>
      <w:jc w:val="center"/>
      <w:textAlignment w:val="center"/>
    </w:pPr>
    <w:rPr>
      <w:rFonts w:ascii="黑体" w:hAnsi="宋体" w:eastAsia="黑体" w:cs="宋体"/>
      <w:b/>
      <w:bCs/>
      <w:color w:val="FF0000"/>
      <w:kern w:val="0"/>
      <w:sz w:val="15"/>
      <w:szCs w:val="15"/>
    </w:rPr>
  </w:style>
  <w:style w:type="paragraph" w:customStyle="1" w:styleId="125">
    <w:name w:val="et54"/>
    <w:basedOn w:val="1"/>
    <w:autoRedefine/>
    <w:qFormat/>
    <w:uiPriority w:val="0"/>
    <w:pPr>
      <w:widowControl/>
      <w:pBdr>
        <w:top w:val="single" w:color="000000" w:sz="2" w:space="0"/>
      </w:pBdr>
      <w:spacing w:before="100" w:beforeAutospacing="1" w:after="100" w:afterAutospacing="1"/>
      <w:jc w:val="left"/>
      <w:textAlignment w:val="center"/>
    </w:pPr>
    <w:rPr>
      <w:rFonts w:ascii="宋体" w:hAnsi="宋体" w:cs="宋体"/>
      <w:color w:val="000000"/>
      <w:kern w:val="0"/>
      <w:sz w:val="24"/>
      <w:szCs w:val="24"/>
    </w:rPr>
  </w:style>
  <w:style w:type="paragraph" w:customStyle="1" w:styleId="126">
    <w:name w:val="et68"/>
    <w:basedOn w:val="1"/>
    <w:autoRedefine/>
    <w:qFormat/>
    <w:uiPriority w:val="0"/>
    <w:pPr>
      <w:widowControl/>
      <w:pBdr>
        <w:top w:val="single" w:color="000000" w:sz="4" w:space="0"/>
        <w:left w:val="single" w:color="000000" w:sz="4" w:space="0"/>
        <w:bottom w:val="single" w:color="000000" w:sz="4" w:space="0"/>
      </w:pBdr>
      <w:spacing w:before="100" w:beforeAutospacing="1" w:after="100" w:afterAutospacing="1"/>
      <w:jc w:val="center"/>
      <w:textAlignment w:val="center"/>
    </w:pPr>
    <w:rPr>
      <w:rFonts w:ascii="宋体" w:hAnsi="宋体" w:cs="宋体"/>
      <w:b/>
      <w:bCs/>
      <w:color w:val="FF0000"/>
      <w:kern w:val="0"/>
      <w:sz w:val="15"/>
      <w:szCs w:val="15"/>
    </w:rPr>
  </w:style>
  <w:style w:type="paragraph" w:customStyle="1" w:styleId="127">
    <w:name w:val="et17"/>
    <w:basedOn w:val="1"/>
    <w:autoRedefine/>
    <w:qFormat/>
    <w:uiPriority w:val="0"/>
    <w:pPr>
      <w:widowControl/>
      <w:pBdr>
        <w:top w:val="single" w:color="000000" w:sz="2" w:space="0"/>
        <w:left w:val="single" w:color="000000" w:sz="2" w:space="0"/>
        <w:bottom w:val="single" w:color="000000" w:sz="2" w:space="0"/>
        <w:right w:val="single" w:color="000000" w:sz="6" w:space="0"/>
      </w:pBdr>
      <w:spacing w:before="100" w:beforeAutospacing="1" w:after="100" w:afterAutospacing="1"/>
      <w:jc w:val="center"/>
      <w:textAlignment w:val="center"/>
    </w:pPr>
    <w:rPr>
      <w:color w:val="000000"/>
      <w:kern w:val="0"/>
      <w:sz w:val="16"/>
      <w:szCs w:val="16"/>
    </w:rPr>
  </w:style>
  <w:style w:type="paragraph" w:customStyle="1" w:styleId="128">
    <w:name w:val="样式 五号 居中"/>
    <w:basedOn w:val="1"/>
    <w:autoRedefine/>
    <w:qFormat/>
    <w:uiPriority w:val="0"/>
    <w:pPr>
      <w:spacing w:before="100" w:beforeAutospacing="1" w:afterLines="50" w:line="500" w:lineRule="exact"/>
      <w:jc w:val="center"/>
    </w:pPr>
    <w:rPr>
      <w:rFonts w:cs="宋体"/>
      <w:szCs w:val="20"/>
    </w:rPr>
  </w:style>
  <w:style w:type="paragraph" w:customStyle="1" w:styleId="129">
    <w:name w:val="et73"/>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宋体" w:hAnsi="宋体" w:cs="宋体"/>
      <w:b/>
      <w:bCs/>
      <w:color w:val="FF0000"/>
      <w:kern w:val="0"/>
      <w:sz w:val="15"/>
      <w:szCs w:val="15"/>
    </w:rPr>
  </w:style>
  <w:style w:type="paragraph" w:customStyle="1" w:styleId="130">
    <w:name w:val="et33"/>
    <w:basedOn w:val="1"/>
    <w:autoRedefine/>
    <w:qFormat/>
    <w:uiPriority w:val="0"/>
    <w:pPr>
      <w:widowControl/>
      <w:pBdr>
        <w:top w:val="single" w:color="000000" w:sz="6" w:space="0"/>
        <w:left w:val="single" w:color="000000" w:sz="2" w:space="0"/>
        <w:bottom w:val="single" w:color="000000" w:sz="2" w:space="0"/>
        <w:right w:val="single" w:color="000000" w:sz="2" w:space="0"/>
      </w:pBdr>
      <w:spacing w:before="100" w:beforeAutospacing="1" w:after="100" w:afterAutospacing="1"/>
      <w:jc w:val="left"/>
      <w:textAlignment w:val="center"/>
    </w:pPr>
    <w:rPr>
      <w:rFonts w:ascii="宋体" w:hAnsi="宋体" w:cs="宋体"/>
      <w:color w:val="000000"/>
      <w:kern w:val="0"/>
      <w:sz w:val="16"/>
      <w:szCs w:val="16"/>
    </w:rPr>
  </w:style>
  <w:style w:type="paragraph" w:customStyle="1" w:styleId="131">
    <w:name w:val="et13"/>
    <w:basedOn w:val="1"/>
    <w:autoRedefine/>
    <w:qFormat/>
    <w:uiPriority w:val="0"/>
    <w:pPr>
      <w:widowControl/>
      <w:pBdr>
        <w:top w:val="single" w:color="000000" w:sz="2" w:space="0"/>
        <w:left w:val="single" w:color="000000" w:sz="2" w:space="0"/>
        <w:bottom w:val="single" w:color="000000" w:sz="2" w:space="0"/>
        <w:right w:val="single" w:color="000000" w:sz="2" w:space="0"/>
      </w:pBdr>
      <w:spacing w:before="100" w:beforeAutospacing="1" w:after="100" w:afterAutospacing="1"/>
      <w:jc w:val="center"/>
      <w:textAlignment w:val="center"/>
    </w:pPr>
    <w:rPr>
      <w:color w:val="FF0000"/>
      <w:kern w:val="0"/>
      <w:sz w:val="16"/>
      <w:szCs w:val="16"/>
    </w:rPr>
  </w:style>
  <w:style w:type="paragraph" w:customStyle="1" w:styleId="132">
    <w:name w:val="et74"/>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宋体" w:hAnsi="宋体" w:cs="宋体"/>
      <w:b/>
      <w:bCs/>
      <w:color w:val="FF0000"/>
      <w:kern w:val="0"/>
      <w:sz w:val="18"/>
      <w:szCs w:val="18"/>
    </w:rPr>
  </w:style>
  <w:style w:type="paragraph" w:customStyle="1" w:styleId="133">
    <w:name w:val="et80"/>
    <w:basedOn w:val="1"/>
    <w:autoRedefine/>
    <w:qFormat/>
    <w:uiPriority w:val="0"/>
    <w:pPr>
      <w:widowControl/>
      <w:pBdr>
        <w:top w:val="single" w:color="000000" w:sz="12" w:space="0"/>
        <w:left w:val="single" w:color="000000" w:sz="4" w:space="0"/>
        <w:bottom w:val="single" w:color="000000" w:sz="4" w:space="0"/>
        <w:right w:val="single" w:color="000000" w:sz="12" w:space="0"/>
      </w:pBdr>
      <w:spacing w:before="100" w:beforeAutospacing="1" w:after="100" w:afterAutospacing="1"/>
      <w:jc w:val="center"/>
      <w:textAlignment w:val="center"/>
    </w:pPr>
    <w:rPr>
      <w:rFonts w:ascii="黑体" w:hAnsi="宋体" w:eastAsia="黑体" w:cs="宋体"/>
      <w:b/>
      <w:bCs/>
      <w:color w:val="FF0000"/>
      <w:kern w:val="0"/>
      <w:sz w:val="15"/>
      <w:szCs w:val="15"/>
    </w:rPr>
  </w:style>
  <w:style w:type="paragraph" w:customStyle="1" w:styleId="134">
    <w:name w:val="et82"/>
    <w:basedOn w:val="1"/>
    <w:autoRedefine/>
    <w:qFormat/>
    <w:uiPriority w:val="0"/>
    <w:pPr>
      <w:widowControl/>
      <w:pBdr>
        <w:top w:val="single" w:color="000000" w:sz="12"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宋体" w:hAnsi="宋体" w:cs="宋体"/>
      <w:b/>
      <w:bCs/>
      <w:color w:val="FF0000"/>
      <w:kern w:val="0"/>
      <w:sz w:val="15"/>
      <w:szCs w:val="15"/>
    </w:rPr>
  </w:style>
  <w:style w:type="paragraph" w:customStyle="1" w:styleId="135">
    <w:name w:val="et83"/>
    <w:basedOn w:val="1"/>
    <w:autoRedefine/>
    <w:qFormat/>
    <w:uiPriority w:val="0"/>
    <w:pPr>
      <w:widowControl/>
      <w:pBdr>
        <w:top w:val="single" w:color="000000" w:sz="12"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宋体" w:hAnsi="宋体" w:cs="宋体"/>
      <w:b/>
      <w:bCs/>
      <w:color w:val="FF0000"/>
      <w:kern w:val="0"/>
      <w:sz w:val="15"/>
      <w:szCs w:val="15"/>
    </w:rPr>
  </w:style>
  <w:style w:type="paragraph" w:customStyle="1" w:styleId="136">
    <w:name w:val="et78"/>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宋体" w:hAnsi="宋体" w:cs="宋体"/>
      <w:b/>
      <w:bCs/>
      <w:color w:val="FF0000"/>
      <w:kern w:val="0"/>
      <w:sz w:val="15"/>
      <w:szCs w:val="15"/>
    </w:rPr>
  </w:style>
  <w:style w:type="paragraph" w:customStyle="1" w:styleId="137">
    <w:name w:val="表格文字"/>
    <w:basedOn w:val="1"/>
    <w:next w:val="16"/>
    <w:autoRedefine/>
    <w:qFormat/>
    <w:uiPriority w:val="0"/>
    <w:pPr>
      <w:spacing w:line="200" w:lineRule="exact"/>
      <w:jc w:val="center"/>
      <w:textAlignment w:val="center"/>
    </w:pPr>
    <w:rPr>
      <w:rFonts w:ascii="黑体" w:hAnsi="黑体" w:cs="黑体"/>
      <w:sz w:val="18"/>
      <w:szCs w:val="15"/>
    </w:rPr>
  </w:style>
  <w:style w:type="paragraph" w:customStyle="1" w:styleId="138">
    <w:name w:val="et28"/>
    <w:basedOn w:val="1"/>
    <w:autoRedefine/>
    <w:qFormat/>
    <w:uiPriority w:val="0"/>
    <w:pPr>
      <w:widowControl/>
      <w:shd w:val="clear" w:color="000000" w:fill="969696"/>
      <w:spacing w:before="100" w:beforeAutospacing="1" w:after="100" w:afterAutospacing="1"/>
      <w:jc w:val="center"/>
      <w:textAlignment w:val="center"/>
    </w:pPr>
    <w:rPr>
      <w:rFonts w:ascii="宋体" w:hAnsi="宋体" w:cs="宋体"/>
      <w:color w:val="000000"/>
      <w:kern w:val="0"/>
      <w:sz w:val="24"/>
      <w:szCs w:val="24"/>
    </w:rPr>
  </w:style>
  <w:style w:type="paragraph" w:customStyle="1" w:styleId="139">
    <w:name w:val="CB03"/>
    <w:next w:val="1"/>
    <w:autoRedefine/>
    <w:qFormat/>
    <w:uiPriority w:val="0"/>
    <w:pPr>
      <w:numPr>
        <w:ilvl w:val="2"/>
        <w:numId w:val="1"/>
      </w:numPr>
      <w:spacing w:before="120" w:after="120" w:line="360" w:lineRule="auto"/>
    </w:pPr>
    <w:rPr>
      <w:rFonts w:ascii="Times New Roman" w:hAnsi="Times New Roman" w:eastAsia="宋体" w:cs="Times New Roman"/>
      <w:kern w:val="2"/>
      <w:sz w:val="24"/>
      <w:szCs w:val="21"/>
      <w:lang w:val="en-US" w:eastAsia="zh-CN" w:bidi="ar-SA"/>
    </w:rPr>
  </w:style>
  <w:style w:type="paragraph" w:customStyle="1" w:styleId="140">
    <w:name w:val="et48"/>
    <w:basedOn w:val="1"/>
    <w:autoRedefine/>
    <w:qFormat/>
    <w:uiPriority w:val="0"/>
    <w:pPr>
      <w:widowControl/>
      <w:pBdr>
        <w:top w:val="single" w:color="000000" w:sz="2" w:space="0"/>
        <w:left w:val="single" w:color="000000" w:sz="2" w:space="0"/>
        <w:bottom w:val="single" w:color="000000" w:sz="2" w:space="0"/>
        <w:right w:val="single" w:color="000000" w:sz="2" w:space="0"/>
      </w:pBdr>
      <w:spacing w:before="100" w:beforeAutospacing="1" w:after="100" w:afterAutospacing="1"/>
      <w:jc w:val="center"/>
      <w:textAlignment w:val="center"/>
    </w:pPr>
    <w:rPr>
      <w:color w:val="000000"/>
      <w:kern w:val="0"/>
      <w:sz w:val="16"/>
      <w:szCs w:val="16"/>
    </w:rPr>
  </w:style>
  <w:style w:type="paragraph" w:customStyle="1" w:styleId="141">
    <w:name w:val="et62"/>
    <w:basedOn w:val="1"/>
    <w:autoRedefine/>
    <w:qFormat/>
    <w:uiPriority w:val="0"/>
    <w:pPr>
      <w:widowControl/>
      <w:pBdr>
        <w:top w:val="single" w:color="000000" w:sz="4" w:space="0"/>
        <w:left w:val="single" w:color="000000" w:sz="12" w:space="0"/>
        <w:bottom w:val="single" w:color="000000" w:sz="4" w:space="0"/>
      </w:pBdr>
      <w:spacing w:before="100" w:beforeAutospacing="1" w:after="100" w:afterAutospacing="1"/>
      <w:jc w:val="center"/>
      <w:textAlignment w:val="top"/>
    </w:pPr>
    <w:rPr>
      <w:rFonts w:ascii="宋体" w:hAnsi="宋体" w:cs="宋体"/>
      <w:color w:val="FF0000"/>
      <w:kern w:val="0"/>
      <w:sz w:val="15"/>
      <w:szCs w:val="15"/>
    </w:rPr>
  </w:style>
  <w:style w:type="paragraph" w:customStyle="1" w:styleId="142">
    <w:name w:val="et84"/>
    <w:basedOn w:val="1"/>
    <w:autoRedefine/>
    <w:qFormat/>
    <w:uiPriority w:val="0"/>
    <w:pPr>
      <w:widowControl/>
      <w:pBdr>
        <w:top w:val="single" w:color="000000" w:sz="12" w:space="0"/>
        <w:left w:val="single" w:color="000000" w:sz="4" w:space="0"/>
        <w:bottom w:val="single" w:color="000000" w:sz="4" w:space="0"/>
        <w:right w:val="single" w:color="000000" w:sz="4" w:space="0"/>
      </w:pBdr>
      <w:spacing w:before="100" w:beforeAutospacing="1" w:after="100" w:afterAutospacing="1"/>
      <w:jc w:val="center"/>
      <w:textAlignment w:val="center"/>
    </w:pPr>
    <w:rPr>
      <w:b/>
      <w:bCs/>
      <w:color w:val="FF0000"/>
      <w:kern w:val="0"/>
      <w:sz w:val="15"/>
      <w:szCs w:val="15"/>
    </w:rPr>
  </w:style>
  <w:style w:type="paragraph" w:customStyle="1" w:styleId="143">
    <w:name w:val="et36"/>
    <w:basedOn w:val="1"/>
    <w:autoRedefine/>
    <w:qFormat/>
    <w:uiPriority w:val="0"/>
    <w:pPr>
      <w:widowControl/>
      <w:pBdr>
        <w:top w:val="single" w:color="000000" w:sz="2" w:space="0"/>
        <w:left w:val="single" w:color="000000" w:sz="2" w:space="0"/>
        <w:bottom w:val="single" w:color="000000" w:sz="2" w:space="0"/>
        <w:right w:val="single" w:color="000000" w:sz="2" w:space="0"/>
      </w:pBdr>
      <w:spacing w:before="100" w:beforeAutospacing="1" w:after="100" w:afterAutospacing="1"/>
      <w:jc w:val="center"/>
      <w:textAlignment w:val="center"/>
    </w:pPr>
    <w:rPr>
      <w:color w:val="000000"/>
      <w:kern w:val="0"/>
      <w:sz w:val="16"/>
      <w:szCs w:val="16"/>
    </w:rPr>
  </w:style>
  <w:style w:type="paragraph" w:customStyle="1" w:styleId="144">
    <w:name w:val="et22"/>
    <w:basedOn w:val="1"/>
    <w:autoRedefine/>
    <w:qFormat/>
    <w:uiPriority w:val="0"/>
    <w:pPr>
      <w:widowControl/>
      <w:pBdr>
        <w:top w:val="single" w:color="000000" w:sz="2" w:space="0"/>
        <w:left w:val="single" w:color="000000" w:sz="2" w:space="0"/>
        <w:bottom w:val="single" w:color="000000" w:sz="2" w:space="0"/>
        <w:right w:val="single" w:color="000000" w:sz="2" w:space="0"/>
      </w:pBdr>
      <w:spacing w:before="100" w:beforeAutospacing="1" w:after="100" w:afterAutospacing="1"/>
      <w:jc w:val="center"/>
      <w:textAlignment w:val="center"/>
    </w:pPr>
    <w:rPr>
      <w:color w:val="000000"/>
      <w:kern w:val="0"/>
      <w:sz w:val="16"/>
      <w:szCs w:val="16"/>
    </w:rPr>
  </w:style>
  <w:style w:type="paragraph" w:customStyle="1" w:styleId="145">
    <w:name w:val="et57"/>
    <w:basedOn w:val="1"/>
    <w:autoRedefine/>
    <w:qFormat/>
    <w:uiPriority w:val="0"/>
    <w:pPr>
      <w:widowControl/>
      <w:pBdr>
        <w:left w:val="single" w:color="000000" w:sz="2" w:space="0"/>
        <w:bottom w:val="single" w:color="000000" w:sz="2" w:space="0"/>
        <w:right w:val="single" w:color="000000" w:sz="2" w:space="0"/>
      </w:pBdr>
      <w:spacing w:before="100" w:beforeAutospacing="1" w:after="100" w:afterAutospacing="1"/>
      <w:jc w:val="center"/>
      <w:textAlignment w:val="center"/>
    </w:pPr>
    <w:rPr>
      <w:rFonts w:ascii="宋体" w:hAnsi="宋体" w:cs="宋体"/>
      <w:color w:val="000000"/>
      <w:kern w:val="0"/>
      <w:sz w:val="16"/>
      <w:szCs w:val="16"/>
    </w:rPr>
  </w:style>
  <w:style w:type="paragraph" w:customStyle="1" w:styleId="146">
    <w:name w:val="et79"/>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宋体" w:hAnsi="宋体" w:cs="宋体"/>
      <w:b/>
      <w:bCs/>
      <w:color w:val="FF0000"/>
      <w:kern w:val="0"/>
      <w:sz w:val="15"/>
      <w:szCs w:val="15"/>
    </w:rPr>
  </w:style>
  <w:style w:type="paragraph" w:customStyle="1" w:styleId="147">
    <w:name w:val="et69"/>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宋体" w:hAnsi="宋体" w:cs="宋体"/>
      <w:b/>
      <w:bCs/>
      <w:color w:val="FF0000"/>
      <w:kern w:val="0"/>
      <w:sz w:val="15"/>
      <w:szCs w:val="15"/>
    </w:rPr>
  </w:style>
  <w:style w:type="paragraph" w:customStyle="1" w:styleId="148">
    <w:name w:val="et71"/>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宋体" w:hAnsi="宋体" w:cs="宋体"/>
      <w:b/>
      <w:bCs/>
      <w:color w:val="FF0000"/>
      <w:kern w:val="0"/>
      <w:sz w:val="15"/>
      <w:szCs w:val="15"/>
    </w:rPr>
  </w:style>
  <w:style w:type="paragraph" w:customStyle="1" w:styleId="149">
    <w:name w:val="列表段落1"/>
    <w:basedOn w:val="1"/>
    <w:autoRedefine/>
    <w:qFormat/>
    <w:uiPriority w:val="0"/>
    <w:pPr>
      <w:ind w:firstLine="420" w:firstLineChars="200"/>
    </w:pPr>
  </w:style>
  <w:style w:type="paragraph" w:customStyle="1" w:styleId="150">
    <w:name w:val="et81"/>
    <w:basedOn w:val="1"/>
    <w:autoRedefine/>
    <w:qFormat/>
    <w:uiPriority w:val="0"/>
    <w:pPr>
      <w:widowControl/>
      <w:pBdr>
        <w:top w:val="single" w:color="000000" w:sz="12" w:space="0"/>
        <w:left w:val="single" w:color="000000" w:sz="4" w:space="0"/>
        <w:bottom w:val="single" w:color="000000" w:sz="4" w:space="0"/>
      </w:pBdr>
      <w:spacing w:before="100" w:beforeAutospacing="1" w:after="100" w:afterAutospacing="1"/>
      <w:jc w:val="center"/>
      <w:textAlignment w:val="center"/>
    </w:pPr>
    <w:rPr>
      <w:rFonts w:ascii="宋体" w:hAnsi="宋体" w:cs="宋体"/>
      <w:b/>
      <w:bCs/>
      <w:color w:val="FF0000"/>
      <w:kern w:val="0"/>
      <w:sz w:val="15"/>
      <w:szCs w:val="15"/>
    </w:rPr>
  </w:style>
  <w:style w:type="paragraph" w:customStyle="1" w:styleId="151">
    <w:name w:val="et20"/>
    <w:basedOn w:val="1"/>
    <w:autoRedefine/>
    <w:qFormat/>
    <w:uiPriority w:val="0"/>
    <w:pPr>
      <w:widowControl/>
      <w:pBdr>
        <w:top w:val="single" w:color="000000" w:sz="2" w:space="0"/>
        <w:left w:val="single" w:color="000000" w:sz="2" w:space="0"/>
        <w:bottom w:val="single" w:color="000000" w:sz="6" w:space="0"/>
        <w:right w:val="single" w:color="000000" w:sz="2" w:space="0"/>
      </w:pBdr>
      <w:spacing w:before="100" w:beforeAutospacing="1" w:after="100" w:afterAutospacing="1"/>
      <w:jc w:val="center"/>
      <w:textAlignment w:val="center"/>
    </w:pPr>
    <w:rPr>
      <w:color w:val="FF0000"/>
      <w:kern w:val="0"/>
      <w:sz w:val="16"/>
      <w:szCs w:val="16"/>
    </w:rPr>
  </w:style>
  <w:style w:type="paragraph" w:customStyle="1" w:styleId="152">
    <w:name w:val="et37"/>
    <w:basedOn w:val="1"/>
    <w:autoRedefine/>
    <w:qFormat/>
    <w:uiPriority w:val="0"/>
    <w:pPr>
      <w:widowControl/>
      <w:pBdr>
        <w:top w:val="single" w:color="000000" w:sz="6" w:space="0"/>
        <w:left w:val="single" w:color="000000" w:sz="2" w:space="0"/>
        <w:bottom w:val="single" w:color="000000" w:sz="2" w:space="0"/>
        <w:right w:val="single" w:color="000000" w:sz="2" w:space="0"/>
      </w:pBdr>
      <w:spacing w:before="100" w:beforeAutospacing="1" w:after="100" w:afterAutospacing="1"/>
      <w:jc w:val="center"/>
      <w:textAlignment w:val="center"/>
    </w:pPr>
    <w:rPr>
      <w:rFonts w:ascii="宋体" w:hAnsi="宋体" w:cs="宋体"/>
      <w:color w:val="000000"/>
      <w:kern w:val="0"/>
      <w:sz w:val="16"/>
      <w:szCs w:val="16"/>
    </w:rPr>
  </w:style>
  <w:style w:type="paragraph" w:customStyle="1" w:styleId="153">
    <w:name w:val="样式1"/>
    <w:basedOn w:val="154"/>
    <w:autoRedefine/>
    <w:qFormat/>
    <w:uiPriority w:val="0"/>
    <w:pPr>
      <w:spacing w:line="480" w:lineRule="auto"/>
    </w:pPr>
    <w:rPr>
      <w:vanish/>
    </w:rPr>
  </w:style>
  <w:style w:type="paragraph" w:customStyle="1" w:styleId="154">
    <w:name w:val="章"/>
    <w:basedOn w:val="3"/>
    <w:next w:val="1"/>
    <w:autoRedefine/>
    <w:qFormat/>
    <w:uiPriority w:val="0"/>
    <w:rPr>
      <w:rFonts w:ascii="黑体"/>
      <w:szCs w:val="28"/>
    </w:rPr>
  </w:style>
  <w:style w:type="paragraph" w:customStyle="1" w:styleId="155">
    <w:name w:val="et42"/>
    <w:basedOn w:val="1"/>
    <w:autoRedefine/>
    <w:qFormat/>
    <w:uiPriority w:val="0"/>
    <w:pPr>
      <w:widowControl/>
      <w:pBdr>
        <w:top w:val="single" w:color="000000" w:sz="2" w:space="0"/>
        <w:left w:val="single" w:color="000000" w:sz="2" w:space="0"/>
        <w:bottom w:val="single" w:color="000000" w:sz="2" w:space="0"/>
        <w:right w:val="single" w:color="000000" w:sz="2" w:space="0"/>
      </w:pBdr>
      <w:spacing w:before="100" w:beforeAutospacing="1" w:after="100" w:afterAutospacing="1"/>
      <w:jc w:val="left"/>
      <w:textAlignment w:val="center"/>
    </w:pPr>
    <w:rPr>
      <w:color w:val="000000"/>
      <w:kern w:val="0"/>
      <w:sz w:val="16"/>
      <w:szCs w:val="16"/>
    </w:rPr>
  </w:style>
  <w:style w:type="paragraph" w:customStyle="1" w:styleId="156">
    <w:name w:val="et12"/>
    <w:basedOn w:val="1"/>
    <w:autoRedefine/>
    <w:qFormat/>
    <w:uiPriority w:val="0"/>
    <w:pPr>
      <w:widowControl/>
      <w:pBdr>
        <w:top w:val="single" w:color="000000" w:sz="2" w:space="0"/>
        <w:left w:val="single" w:color="000000" w:sz="2" w:space="0"/>
        <w:bottom w:val="single" w:color="000000" w:sz="2" w:space="0"/>
        <w:right w:val="single" w:color="000000" w:sz="2" w:space="0"/>
      </w:pBdr>
      <w:spacing w:before="100" w:beforeAutospacing="1" w:after="100" w:afterAutospacing="1"/>
      <w:jc w:val="center"/>
      <w:textAlignment w:val="center"/>
    </w:pPr>
    <w:rPr>
      <w:rFonts w:ascii="宋体" w:hAnsi="宋体" w:cs="宋体"/>
      <w:color w:val="000000"/>
      <w:kern w:val="0"/>
      <w:sz w:val="16"/>
      <w:szCs w:val="16"/>
    </w:rPr>
  </w:style>
  <w:style w:type="paragraph" w:customStyle="1" w:styleId="157">
    <w:name w:val="et85"/>
    <w:basedOn w:val="1"/>
    <w:autoRedefine/>
    <w:qFormat/>
    <w:uiPriority w:val="0"/>
    <w:pPr>
      <w:widowControl/>
      <w:pBdr>
        <w:top w:val="single" w:color="000000" w:sz="12"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宋体" w:hAnsi="宋体" w:cs="宋体"/>
      <w:b/>
      <w:bCs/>
      <w:color w:val="FF0000"/>
      <w:kern w:val="0"/>
      <w:sz w:val="15"/>
      <w:szCs w:val="15"/>
    </w:rPr>
  </w:style>
  <w:style w:type="paragraph" w:customStyle="1" w:styleId="158">
    <w:name w:val="et32"/>
    <w:basedOn w:val="1"/>
    <w:autoRedefine/>
    <w:qFormat/>
    <w:uiPriority w:val="0"/>
    <w:pPr>
      <w:widowControl/>
      <w:pBdr>
        <w:top w:val="single" w:color="000000" w:sz="2" w:space="0"/>
        <w:left w:val="single" w:color="000000" w:sz="2" w:space="0"/>
        <w:bottom w:val="single" w:color="000000" w:sz="2" w:space="0"/>
        <w:right w:val="single" w:color="000000" w:sz="2" w:space="0"/>
      </w:pBdr>
      <w:spacing w:before="100" w:beforeAutospacing="1" w:after="100" w:afterAutospacing="1"/>
      <w:jc w:val="center"/>
      <w:textAlignment w:val="center"/>
    </w:pPr>
    <w:rPr>
      <w:color w:val="000000"/>
      <w:kern w:val="0"/>
      <w:sz w:val="16"/>
      <w:szCs w:val="16"/>
    </w:rPr>
  </w:style>
  <w:style w:type="paragraph" w:customStyle="1" w:styleId="159">
    <w:name w:val="et77"/>
    <w:basedOn w:val="1"/>
    <w:autoRedefine/>
    <w:qFormat/>
    <w:uiPriority w:val="0"/>
    <w:pPr>
      <w:widowControl/>
      <w:pBdr>
        <w:top w:val="single" w:color="000000" w:sz="4" w:space="0"/>
        <w:left w:val="single" w:color="000000" w:sz="4" w:space="0"/>
        <w:bottom w:val="single" w:color="000000" w:sz="4" w:space="0"/>
      </w:pBdr>
      <w:spacing w:before="100" w:beforeAutospacing="1" w:after="100" w:afterAutospacing="1"/>
      <w:jc w:val="center"/>
      <w:textAlignment w:val="center"/>
    </w:pPr>
    <w:rPr>
      <w:rFonts w:ascii="宋体" w:hAnsi="宋体" w:cs="宋体"/>
      <w:b/>
      <w:bCs/>
      <w:color w:val="FF0000"/>
      <w:kern w:val="0"/>
      <w:sz w:val="15"/>
      <w:szCs w:val="15"/>
    </w:rPr>
  </w:style>
  <w:style w:type="paragraph" w:customStyle="1" w:styleId="160">
    <w:name w:val="et72"/>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b/>
      <w:bCs/>
      <w:color w:val="FF0000"/>
      <w:kern w:val="0"/>
      <w:sz w:val="15"/>
      <w:szCs w:val="15"/>
    </w:rPr>
  </w:style>
  <w:style w:type="paragraph" w:customStyle="1" w:styleId="161">
    <w:name w:val="et24"/>
    <w:basedOn w:val="1"/>
    <w:autoRedefine/>
    <w:qFormat/>
    <w:uiPriority w:val="0"/>
    <w:pPr>
      <w:widowControl/>
      <w:pBdr>
        <w:top w:val="single" w:color="000000" w:sz="2" w:space="0"/>
        <w:bottom w:val="single" w:color="000000" w:sz="2" w:space="0"/>
      </w:pBdr>
      <w:spacing w:before="100" w:beforeAutospacing="1" w:after="100" w:afterAutospacing="1"/>
      <w:jc w:val="left"/>
      <w:textAlignment w:val="center"/>
    </w:pPr>
    <w:rPr>
      <w:rFonts w:ascii="宋体" w:hAnsi="宋体" w:cs="宋体"/>
      <w:color w:val="000000"/>
      <w:kern w:val="0"/>
      <w:sz w:val="24"/>
      <w:szCs w:val="24"/>
    </w:rPr>
  </w:style>
  <w:style w:type="paragraph" w:customStyle="1" w:styleId="162">
    <w:name w:val="et19"/>
    <w:basedOn w:val="1"/>
    <w:autoRedefine/>
    <w:qFormat/>
    <w:uiPriority w:val="0"/>
    <w:pPr>
      <w:widowControl/>
      <w:pBdr>
        <w:top w:val="single" w:color="000000" w:sz="2" w:space="0"/>
        <w:left w:val="single" w:color="000000" w:sz="2" w:space="0"/>
        <w:bottom w:val="single" w:color="000000" w:sz="6" w:space="0"/>
        <w:right w:val="single" w:color="000000" w:sz="6" w:space="0"/>
      </w:pBdr>
      <w:spacing w:before="100" w:beforeAutospacing="1" w:after="100" w:afterAutospacing="1"/>
      <w:jc w:val="center"/>
      <w:textAlignment w:val="center"/>
    </w:pPr>
    <w:rPr>
      <w:color w:val="FF0000"/>
      <w:kern w:val="0"/>
      <w:sz w:val="16"/>
      <w:szCs w:val="16"/>
    </w:rPr>
  </w:style>
  <w:style w:type="paragraph" w:customStyle="1" w:styleId="163">
    <w:name w:val="et55"/>
    <w:basedOn w:val="1"/>
    <w:autoRedefine/>
    <w:qFormat/>
    <w:uiPriority w:val="0"/>
    <w:pPr>
      <w:widowControl/>
      <w:pBdr>
        <w:left w:val="single" w:color="000000" w:sz="2" w:space="0"/>
        <w:bottom w:val="single" w:color="000000" w:sz="2" w:space="0"/>
        <w:right w:val="single" w:color="000000" w:sz="6" w:space="0"/>
      </w:pBdr>
      <w:spacing w:before="100" w:beforeAutospacing="1" w:after="100" w:afterAutospacing="1"/>
      <w:jc w:val="center"/>
      <w:textAlignment w:val="center"/>
    </w:pPr>
    <w:rPr>
      <w:color w:val="000000"/>
      <w:kern w:val="0"/>
      <w:sz w:val="16"/>
      <w:szCs w:val="16"/>
    </w:rPr>
  </w:style>
  <w:style w:type="paragraph" w:customStyle="1" w:styleId="164">
    <w:name w:val="et26"/>
    <w:basedOn w:val="1"/>
    <w:autoRedefine/>
    <w:qFormat/>
    <w:uiPriority w:val="0"/>
    <w:pPr>
      <w:widowControl/>
      <w:pBdr>
        <w:top w:val="single" w:color="000000" w:sz="2" w:space="0"/>
        <w:left w:val="single" w:color="000000" w:sz="2" w:space="0"/>
        <w:bottom w:val="single" w:color="000000" w:sz="2" w:space="0"/>
      </w:pBdr>
      <w:spacing w:before="100" w:beforeAutospacing="1" w:after="100" w:afterAutospacing="1"/>
      <w:jc w:val="center"/>
      <w:textAlignment w:val="center"/>
    </w:pPr>
    <w:rPr>
      <w:rFonts w:ascii="宋体" w:hAnsi="宋体" w:cs="宋体"/>
      <w:color w:val="000000"/>
      <w:kern w:val="0"/>
      <w:sz w:val="16"/>
      <w:szCs w:val="16"/>
    </w:rPr>
  </w:style>
  <w:style w:type="paragraph" w:customStyle="1" w:styleId="165">
    <w:name w:val="et86"/>
    <w:basedOn w:val="1"/>
    <w:autoRedefine/>
    <w:qFormat/>
    <w:uiPriority w:val="0"/>
    <w:pPr>
      <w:widowControl/>
      <w:pBdr>
        <w:top w:val="single" w:color="000000" w:sz="12"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宋体" w:hAnsi="宋体" w:cs="宋体"/>
      <w:b/>
      <w:bCs/>
      <w:color w:val="FF0000"/>
      <w:kern w:val="0"/>
      <w:sz w:val="18"/>
      <w:szCs w:val="18"/>
    </w:rPr>
  </w:style>
  <w:style w:type="paragraph" w:customStyle="1" w:styleId="166">
    <w:name w:val="Default"/>
    <w:autoRedefine/>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5.bin"/><Relationship Id="rId98" Type="http://schemas.openxmlformats.org/officeDocument/2006/relationships/image" Target="media/image45.wmf"/><Relationship Id="rId97" Type="http://schemas.openxmlformats.org/officeDocument/2006/relationships/oleObject" Target="embeddings/oleObject44.bin"/><Relationship Id="rId96" Type="http://schemas.openxmlformats.org/officeDocument/2006/relationships/image" Target="media/image44.wmf"/><Relationship Id="rId95" Type="http://schemas.openxmlformats.org/officeDocument/2006/relationships/oleObject" Target="embeddings/oleObject43.bin"/><Relationship Id="rId94" Type="http://schemas.openxmlformats.org/officeDocument/2006/relationships/image" Target="media/image43.wmf"/><Relationship Id="rId93" Type="http://schemas.openxmlformats.org/officeDocument/2006/relationships/oleObject" Target="embeddings/oleObject42.bin"/><Relationship Id="rId92" Type="http://schemas.openxmlformats.org/officeDocument/2006/relationships/image" Target="media/image42.wmf"/><Relationship Id="rId91" Type="http://schemas.openxmlformats.org/officeDocument/2006/relationships/oleObject" Target="embeddings/oleObject41.bin"/><Relationship Id="rId90" Type="http://schemas.openxmlformats.org/officeDocument/2006/relationships/image" Target="media/image41.wmf"/><Relationship Id="rId9" Type="http://schemas.openxmlformats.org/officeDocument/2006/relationships/theme" Target="theme/theme1.xml"/><Relationship Id="rId89" Type="http://schemas.openxmlformats.org/officeDocument/2006/relationships/oleObject" Target="embeddings/oleObject40.bin"/><Relationship Id="rId88" Type="http://schemas.openxmlformats.org/officeDocument/2006/relationships/image" Target="media/image40.wmf"/><Relationship Id="rId87" Type="http://schemas.openxmlformats.org/officeDocument/2006/relationships/oleObject" Target="embeddings/oleObject39.bin"/><Relationship Id="rId86" Type="http://schemas.openxmlformats.org/officeDocument/2006/relationships/oleObject" Target="embeddings/oleObject38.bin"/><Relationship Id="rId85" Type="http://schemas.openxmlformats.org/officeDocument/2006/relationships/image" Target="media/image39.wmf"/><Relationship Id="rId84" Type="http://schemas.openxmlformats.org/officeDocument/2006/relationships/oleObject" Target="embeddings/oleObject37.bin"/><Relationship Id="rId83" Type="http://schemas.openxmlformats.org/officeDocument/2006/relationships/image" Target="media/image38.wmf"/><Relationship Id="rId82" Type="http://schemas.openxmlformats.org/officeDocument/2006/relationships/oleObject" Target="embeddings/oleObject36.bin"/><Relationship Id="rId81" Type="http://schemas.openxmlformats.org/officeDocument/2006/relationships/image" Target="media/image37.wmf"/><Relationship Id="rId80" Type="http://schemas.openxmlformats.org/officeDocument/2006/relationships/oleObject" Target="embeddings/oleObject35.bin"/><Relationship Id="rId8" Type="http://schemas.openxmlformats.org/officeDocument/2006/relationships/footer" Target="footer5.xml"/><Relationship Id="rId79" Type="http://schemas.openxmlformats.org/officeDocument/2006/relationships/oleObject" Target="embeddings/oleObject34.bin"/><Relationship Id="rId78" Type="http://schemas.openxmlformats.org/officeDocument/2006/relationships/image" Target="media/image36.wmf"/><Relationship Id="rId77" Type="http://schemas.openxmlformats.org/officeDocument/2006/relationships/oleObject" Target="embeddings/oleObject33.bin"/><Relationship Id="rId76" Type="http://schemas.openxmlformats.org/officeDocument/2006/relationships/image" Target="media/image35.wmf"/><Relationship Id="rId75" Type="http://schemas.openxmlformats.org/officeDocument/2006/relationships/oleObject" Target="embeddings/oleObject32.bin"/><Relationship Id="rId74" Type="http://schemas.openxmlformats.org/officeDocument/2006/relationships/image" Target="media/image34.wmf"/><Relationship Id="rId73" Type="http://schemas.openxmlformats.org/officeDocument/2006/relationships/oleObject" Target="embeddings/oleObject31.bin"/><Relationship Id="rId72" Type="http://schemas.openxmlformats.org/officeDocument/2006/relationships/image" Target="media/image33.wmf"/><Relationship Id="rId71" Type="http://schemas.openxmlformats.org/officeDocument/2006/relationships/image" Target="media/image32.wmf"/><Relationship Id="rId70" Type="http://schemas.openxmlformats.org/officeDocument/2006/relationships/oleObject" Target="embeddings/oleObject30.bin"/><Relationship Id="rId7" Type="http://schemas.openxmlformats.org/officeDocument/2006/relationships/footer" Target="footer4.xml"/><Relationship Id="rId69" Type="http://schemas.openxmlformats.org/officeDocument/2006/relationships/image" Target="media/image31.png"/><Relationship Id="rId68" Type="http://schemas.openxmlformats.org/officeDocument/2006/relationships/image" Target="media/image30.wmf"/><Relationship Id="rId67" Type="http://schemas.openxmlformats.org/officeDocument/2006/relationships/oleObject" Target="embeddings/oleObject29.bin"/><Relationship Id="rId66" Type="http://schemas.openxmlformats.org/officeDocument/2006/relationships/image" Target="media/image29.wmf"/><Relationship Id="rId65" Type="http://schemas.openxmlformats.org/officeDocument/2006/relationships/oleObject" Target="embeddings/oleObject28.bin"/><Relationship Id="rId64" Type="http://schemas.openxmlformats.org/officeDocument/2006/relationships/image" Target="media/image28.wmf"/><Relationship Id="rId63" Type="http://schemas.openxmlformats.org/officeDocument/2006/relationships/oleObject" Target="embeddings/oleObject27.bin"/><Relationship Id="rId62" Type="http://schemas.openxmlformats.org/officeDocument/2006/relationships/image" Target="media/image27.wmf"/><Relationship Id="rId61" Type="http://schemas.openxmlformats.org/officeDocument/2006/relationships/oleObject" Target="embeddings/oleObject26.bin"/><Relationship Id="rId60" Type="http://schemas.openxmlformats.org/officeDocument/2006/relationships/oleObject" Target="embeddings/oleObject25.bin"/><Relationship Id="rId6" Type="http://schemas.openxmlformats.org/officeDocument/2006/relationships/header" Target="header1.xml"/><Relationship Id="rId59" Type="http://schemas.openxmlformats.org/officeDocument/2006/relationships/image" Target="media/image26.wmf"/><Relationship Id="rId58" Type="http://schemas.openxmlformats.org/officeDocument/2006/relationships/oleObject" Target="embeddings/oleObject24.bin"/><Relationship Id="rId57" Type="http://schemas.openxmlformats.org/officeDocument/2006/relationships/image" Target="media/image25.wmf"/><Relationship Id="rId56" Type="http://schemas.openxmlformats.org/officeDocument/2006/relationships/oleObject" Target="embeddings/oleObject23.bin"/><Relationship Id="rId55" Type="http://schemas.openxmlformats.org/officeDocument/2006/relationships/image" Target="media/image24.wmf"/><Relationship Id="rId54" Type="http://schemas.openxmlformats.org/officeDocument/2006/relationships/oleObject" Target="embeddings/oleObject22.bin"/><Relationship Id="rId53" Type="http://schemas.openxmlformats.org/officeDocument/2006/relationships/image" Target="media/image23.wmf"/><Relationship Id="rId52" Type="http://schemas.openxmlformats.org/officeDocument/2006/relationships/oleObject" Target="embeddings/oleObject21.bin"/><Relationship Id="rId51" Type="http://schemas.openxmlformats.org/officeDocument/2006/relationships/image" Target="media/image22.wmf"/><Relationship Id="rId50" Type="http://schemas.openxmlformats.org/officeDocument/2006/relationships/image" Target="media/image21.wmf"/><Relationship Id="rId5" Type="http://schemas.openxmlformats.org/officeDocument/2006/relationships/footer" Target="footer3.xml"/><Relationship Id="rId49" Type="http://schemas.openxmlformats.org/officeDocument/2006/relationships/oleObject" Target="embeddings/oleObject20.bin"/><Relationship Id="rId48" Type="http://schemas.openxmlformats.org/officeDocument/2006/relationships/image" Target="media/image20.wmf"/><Relationship Id="rId47" Type="http://schemas.openxmlformats.org/officeDocument/2006/relationships/oleObject" Target="embeddings/oleObject19.bin"/><Relationship Id="rId46" Type="http://schemas.openxmlformats.org/officeDocument/2006/relationships/image" Target="media/image19.wmf"/><Relationship Id="rId45" Type="http://schemas.openxmlformats.org/officeDocument/2006/relationships/oleObject" Target="embeddings/oleObject18.bin"/><Relationship Id="rId44" Type="http://schemas.openxmlformats.org/officeDocument/2006/relationships/image" Target="media/image18.wmf"/><Relationship Id="rId43" Type="http://schemas.openxmlformats.org/officeDocument/2006/relationships/oleObject" Target="embeddings/oleObject17.bin"/><Relationship Id="rId42" Type="http://schemas.openxmlformats.org/officeDocument/2006/relationships/image" Target="media/image17.wmf"/><Relationship Id="rId41" Type="http://schemas.openxmlformats.org/officeDocument/2006/relationships/oleObject" Target="embeddings/oleObject16.bin"/><Relationship Id="rId40" Type="http://schemas.openxmlformats.org/officeDocument/2006/relationships/image" Target="media/image16.wmf"/><Relationship Id="rId4" Type="http://schemas.openxmlformats.org/officeDocument/2006/relationships/footer" Target="footer2.xml"/><Relationship Id="rId39" Type="http://schemas.openxmlformats.org/officeDocument/2006/relationships/oleObject" Target="embeddings/oleObject15.bin"/><Relationship Id="rId38" Type="http://schemas.openxmlformats.org/officeDocument/2006/relationships/image" Target="media/image15.wmf"/><Relationship Id="rId37" Type="http://schemas.openxmlformats.org/officeDocument/2006/relationships/oleObject" Target="embeddings/oleObject14.bin"/><Relationship Id="rId360" Type="http://schemas.openxmlformats.org/officeDocument/2006/relationships/fontTable" Target="fontTable.xml"/><Relationship Id="rId36" Type="http://schemas.openxmlformats.org/officeDocument/2006/relationships/image" Target="media/image14.wmf"/><Relationship Id="rId359" Type="http://schemas.openxmlformats.org/officeDocument/2006/relationships/customXml" Target="../customXml/item2.xml"/><Relationship Id="rId358" Type="http://schemas.openxmlformats.org/officeDocument/2006/relationships/numbering" Target="numbering.xml"/><Relationship Id="rId357" Type="http://schemas.openxmlformats.org/officeDocument/2006/relationships/customXml" Target="../customXml/item1.xml"/><Relationship Id="rId356" Type="http://schemas.openxmlformats.org/officeDocument/2006/relationships/image" Target="media/image195.emf"/><Relationship Id="rId355" Type="http://schemas.openxmlformats.org/officeDocument/2006/relationships/image" Target="media/image194.emf"/><Relationship Id="rId354" Type="http://schemas.openxmlformats.org/officeDocument/2006/relationships/image" Target="media/image193.emf"/><Relationship Id="rId353" Type="http://schemas.openxmlformats.org/officeDocument/2006/relationships/image" Target="media/image192.emf"/><Relationship Id="rId352" Type="http://schemas.openxmlformats.org/officeDocument/2006/relationships/image" Target="media/image191.emf"/><Relationship Id="rId351" Type="http://schemas.openxmlformats.org/officeDocument/2006/relationships/image" Target="media/image190.emf"/><Relationship Id="rId350" Type="http://schemas.openxmlformats.org/officeDocument/2006/relationships/image" Target="media/image189.emf"/><Relationship Id="rId35" Type="http://schemas.openxmlformats.org/officeDocument/2006/relationships/oleObject" Target="embeddings/oleObject13.bin"/><Relationship Id="rId349" Type="http://schemas.openxmlformats.org/officeDocument/2006/relationships/image" Target="media/image188.emf"/><Relationship Id="rId348" Type="http://schemas.openxmlformats.org/officeDocument/2006/relationships/image" Target="media/image187.emf"/><Relationship Id="rId347" Type="http://schemas.openxmlformats.org/officeDocument/2006/relationships/image" Target="media/image186.emf"/><Relationship Id="rId346" Type="http://schemas.openxmlformats.org/officeDocument/2006/relationships/image" Target="media/image185.emf"/><Relationship Id="rId345" Type="http://schemas.openxmlformats.org/officeDocument/2006/relationships/image" Target="media/image184.emf"/><Relationship Id="rId344" Type="http://schemas.openxmlformats.org/officeDocument/2006/relationships/image" Target="media/image183.emf"/><Relationship Id="rId343" Type="http://schemas.openxmlformats.org/officeDocument/2006/relationships/image" Target="media/image182.emf"/><Relationship Id="rId342" Type="http://schemas.openxmlformats.org/officeDocument/2006/relationships/image" Target="media/image181.emf"/><Relationship Id="rId341" Type="http://schemas.openxmlformats.org/officeDocument/2006/relationships/image" Target="media/image180.emf"/><Relationship Id="rId340" Type="http://schemas.openxmlformats.org/officeDocument/2006/relationships/image" Target="media/image179.emf"/><Relationship Id="rId34" Type="http://schemas.openxmlformats.org/officeDocument/2006/relationships/image" Target="media/image13.wmf"/><Relationship Id="rId339" Type="http://schemas.openxmlformats.org/officeDocument/2006/relationships/image" Target="media/image178.wmf"/><Relationship Id="rId338" Type="http://schemas.openxmlformats.org/officeDocument/2006/relationships/oleObject" Target="embeddings/oleObject152.bin"/><Relationship Id="rId337" Type="http://schemas.openxmlformats.org/officeDocument/2006/relationships/image" Target="media/image177.wmf"/><Relationship Id="rId336" Type="http://schemas.openxmlformats.org/officeDocument/2006/relationships/oleObject" Target="embeddings/oleObject151.bin"/><Relationship Id="rId335" Type="http://schemas.openxmlformats.org/officeDocument/2006/relationships/image" Target="media/image176.emf"/><Relationship Id="rId334" Type="http://schemas.openxmlformats.org/officeDocument/2006/relationships/image" Target="media/image175.wmf"/><Relationship Id="rId333" Type="http://schemas.openxmlformats.org/officeDocument/2006/relationships/oleObject" Target="embeddings/oleObject150.bin"/><Relationship Id="rId332" Type="http://schemas.openxmlformats.org/officeDocument/2006/relationships/image" Target="media/image174.wmf"/><Relationship Id="rId331" Type="http://schemas.openxmlformats.org/officeDocument/2006/relationships/oleObject" Target="embeddings/oleObject149.bin"/><Relationship Id="rId330" Type="http://schemas.openxmlformats.org/officeDocument/2006/relationships/image" Target="media/image173.wmf"/><Relationship Id="rId33" Type="http://schemas.openxmlformats.org/officeDocument/2006/relationships/oleObject" Target="embeddings/oleObject12.bin"/><Relationship Id="rId329" Type="http://schemas.openxmlformats.org/officeDocument/2006/relationships/oleObject" Target="embeddings/oleObject148.bin"/><Relationship Id="rId328" Type="http://schemas.openxmlformats.org/officeDocument/2006/relationships/image" Target="media/image172.wmf"/><Relationship Id="rId327" Type="http://schemas.openxmlformats.org/officeDocument/2006/relationships/oleObject" Target="embeddings/oleObject147.bin"/><Relationship Id="rId326" Type="http://schemas.openxmlformats.org/officeDocument/2006/relationships/image" Target="media/image171.wmf"/><Relationship Id="rId325" Type="http://schemas.openxmlformats.org/officeDocument/2006/relationships/oleObject" Target="embeddings/oleObject146.bin"/><Relationship Id="rId324" Type="http://schemas.openxmlformats.org/officeDocument/2006/relationships/image" Target="media/image170.wmf"/><Relationship Id="rId323" Type="http://schemas.openxmlformats.org/officeDocument/2006/relationships/oleObject" Target="embeddings/oleObject145.bin"/><Relationship Id="rId322" Type="http://schemas.openxmlformats.org/officeDocument/2006/relationships/image" Target="media/image169.emf"/><Relationship Id="rId321" Type="http://schemas.openxmlformats.org/officeDocument/2006/relationships/image" Target="media/image168.emf"/><Relationship Id="rId320" Type="http://schemas.openxmlformats.org/officeDocument/2006/relationships/image" Target="media/image167.emf"/><Relationship Id="rId32" Type="http://schemas.openxmlformats.org/officeDocument/2006/relationships/image" Target="media/image12.wmf"/><Relationship Id="rId319" Type="http://schemas.openxmlformats.org/officeDocument/2006/relationships/image" Target="media/image166.emf"/><Relationship Id="rId318" Type="http://schemas.openxmlformats.org/officeDocument/2006/relationships/image" Target="media/image165.emf"/><Relationship Id="rId317" Type="http://schemas.openxmlformats.org/officeDocument/2006/relationships/image" Target="media/image164.emf"/><Relationship Id="rId316" Type="http://schemas.openxmlformats.org/officeDocument/2006/relationships/image" Target="media/image163.emf"/><Relationship Id="rId315" Type="http://schemas.openxmlformats.org/officeDocument/2006/relationships/image" Target="media/image162.emf"/><Relationship Id="rId314" Type="http://schemas.openxmlformats.org/officeDocument/2006/relationships/image" Target="media/image161.emf"/><Relationship Id="rId313" Type="http://schemas.openxmlformats.org/officeDocument/2006/relationships/image" Target="media/image160.emf"/><Relationship Id="rId312" Type="http://schemas.openxmlformats.org/officeDocument/2006/relationships/image" Target="media/image159.emf"/><Relationship Id="rId311" Type="http://schemas.openxmlformats.org/officeDocument/2006/relationships/image" Target="media/image158.emf"/><Relationship Id="rId310" Type="http://schemas.openxmlformats.org/officeDocument/2006/relationships/image" Target="media/image157.emf"/><Relationship Id="rId31" Type="http://schemas.openxmlformats.org/officeDocument/2006/relationships/oleObject" Target="embeddings/oleObject11.bin"/><Relationship Id="rId309" Type="http://schemas.openxmlformats.org/officeDocument/2006/relationships/image" Target="media/image156.emf"/><Relationship Id="rId308" Type="http://schemas.openxmlformats.org/officeDocument/2006/relationships/image" Target="media/image155.emf"/><Relationship Id="rId307" Type="http://schemas.openxmlformats.org/officeDocument/2006/relationships/image" Target="media/image154.emf"/><Relationship Id="rId306" Type="http://schemas.openxmlformats.org/officeDocument/2006/relationships/image" Target="media/image153.emf"/><Relationship Id="rId305" Type="http://schemas.openxmlformats.org/officeDocument/2006/relationships/image" Target="media/image152.wmf"/><Relationship Id="rId304" Type="http://schemas.openxmlformats.org/officeDocument/2006/relationships/oleObject" Target="embeddings/oleObject144.bin"/><Relationship Id="rId303" Type="http://schemas.openxmlformats.org/officeDocument/2006/relationships/image" Target="media/image151.wmf"/><Relationship Id="rId302" Type="http://schemas.openxmlformats.org/officeDocument/2006/relationships/oleObject" Target="embeddings/oleObject143.bin"/><Relationship Id="rId301" Type="http://schemas.openxmlformats.org/officeDocument/2006/relationships/image" Target="media/image150.wmf"/><Relationship Id="rId300" Type="http://schemas.openxmlformats.org/officeDocument/2006/relationships/oleObject" Target="embeddings/oleObject142.bin"/><Relationship Id="rId30" Type="http://schemas.openxmlformats.org/officeDocument/2006/relationships/image" Target="media/image11.wmf"/><Relationship Id="rId3" Type="http://schemas.openxmlformats.org/officeDocument/2006/relationships/footer" Target="footer1.xml"/><Relationship Id="rId299" Type="http://schemas.openxmlformats.org/officeDocument/2006/relationships/image" Target="media/image149.wmf"/><Relationship Id="rId298" Type="http://schemas.openxmlformats.org/officeDocument/2006/relationships/oleObject" Target="embeddings/oleObject141.bin"/><Relationship Id="rId297" Type="http://schemas.openxmlformats.org/officeDocument/2006/relationships/image" Target="media/image148.wmf"/><Relationship Id="rId296" Type="http://schemas.openxmlformats.org/officeDocument/2006/relationships/oleObject" Target="embeddings/oleObject140.bin"/><Relationship Id="rId295" Type="http://schemas.openxmlformats.org/officeDocument/2006/relationships/image" Target="media/image147.wmf"/><Relationship Id="rId294" Type="http://schemas.openxmlformats.org/officeDocument/2006/relationships/oleObject" Target="embeddings/oleObject139.bin"/><Relationship Id="rId293" Type="http://schemas.openxmlformats.org/officeDocument/2006/relationships/image" Target="media/image146.wmf"/><Relationship Id="rId292" Type="http://schemas.openxmlformats.org/officeDocument/2006/relationships/oleObject" Target="embeddings/oleObject138.bin"/><Relationship Id="rId291" Type="http://schemas.openxmlformats.org/officeDocument/2006/relationships/image" Target="media/image145.wmf"/><Relationship Id="rId290" Type="http://schemas.openxmlformats.org/officeDocument/2006/relationships/oleObject" Target="embeddings/oleObject137.bin"/><Relationship Id="rId29" Type="http://schemas.openxmlformats.org/officeDocument/2006/relationships/oleObject" Target="embeddings/oleObject10.bin"/><Relationship Id="rId289" Type="http://schemas.openxmlformats.org/officeDocument/2006/relationships/image" Target="media/image144.wmf"/><Relationship Id="rId288" Type="http://schemas.openxmlformats.org/officeDocument/2006/relationships/oleObject" Target="embeddings/oleObject136.bin"/><Relationship Id="rId287" Type="http://schemas.openxmlformats.org/officeDocument/2006/relationships/image" Target="media/image143.wmf"/><Relationship Id="rId286" Type="http://schemas.openxmlformats.org/officeDocument/2006/relationships/oleObject" Target="embeddings/oleObject135.bin"/><Relationship Id="rId285" Type="http://schemas.openxmlformats.org/officeDocument/2006/relationships/image" Target="media/image142.wmf"/><Relationship Id="rId284" Type="http://schemas.openxmlformats.org/officeDocument/2006/relationships/oleObject" Target="embeddings/oleObject134.bin"/><Relationship Id="rId283" Type="http://schemas.openxmlformats.org/officeDocument/2006/relationships/image" Target="media/image141.wmf"/><Relationship Id="rId282" Type="http://schemas.openxmlformats.org/officeDocument/2006/relationships/oleObject" Target="embeddings/oleObject133.bin"/><Relationship Id="rId281" Type="http://schemas.openxmlformats.org/officeDocument/2006/relationships/image" Target="media/image140.wmf"/><Relationship Id="rId280" Type="http://schemas.openxmlformats.org/officeDocument/2006/relationships/oleObject" Target="embeddings/oleObject132.bin"/><Relationship Id="rId28" Type="http://schemas.openxmlformats.org/officeDocument/2006/relationships/image" Target="media/image10.wmf"/><Relationship Id="rId279" Type="http://schemas.openxmlformats.org/officeDocument/2006/relationships/image" Target="media/image139.wmf"/><Relationship Id="rId278" Type="http://schemas.openxmlformats.org/officeDocument/2006/relationships/oleObject" Target="embeddings/oleObject131.bin"/><Relationship Id="rId277" Type="http://schemas.openxmlformats.org/officeDocument/2006/relationships/image" Target="media/image138.wmf"/><Relationship Id="rId276" Type="http://schemas.openxmlformats.org/officeDocument/2006/relationships/oleObject" Target="embeddings/oleObject130.bin"/><Relationship Id="rId275" Type="http://schemas.openxmlformats.org/officeDocument/2006/relationships/image" Target="media/image137.wmf"/><Relationship Id="rId274" Type="http://schemas.openxmlformats.org/officeDocument/2006/relationships/oleObject" Target="embeddings/oleObject129.bin"/><Relationship Id="rId273" Type="http://schemas.openxmlformats.org/officeDocument/2006/relationships/image" Target="media/image136.wmf"/><Relationship Id="rId272" Type="http://schemas.openxmlformats.org/officeDocument/2006/relationships/oleObject" Target="embeddings/oleObject128.bin"/><Relationship Id="rId271" Type="http://schemas.openxmlformats.org/officeDocument/2006/relationships/image" Target="media/image135.wmf"/><Relationship Id="rId270" Type="http://schemas.openxmlformats.org/officeDocument/2006/relationships/oleObject" Target="embeddings/oleObject127.bin"/><Relationship Id="rId27" Type="http://schemas.openxmlformats.org/officeDocument/2006/relationships/oleObject" Target="embeddings/oleObject9.bin"/><Relationship Id="rId269" Type="http://schemas.openxmlformats.org/officeDocument/2006/relationships/image" Target="media/image134.wmf"/><Relationship Id="rId268" Type="http://schemas.openxmlformats.org/officeDocument/2006/relationships/oleObject" Target="embeddings/oleObject126.bin"/><Relationship Id="rId267" Type="http://schemas.openxmlformats.org/officeDocument/2006/relationships/image" Target="media/image133.wmf"/><Relationship Id="rId266" Type="http://schemas.openxmlformats.org/officeDocument/2006/relationships/oleObject" Target="embeddings/oleObject125.bin"/><Relationship Id="rId265" Type="http://schemas.openxmlformats.org/officeDocument/2006/relationships/image" Target="media/image132.wmf"/><Relationship Id="rId264" Type="http://schemas.openxmlformats.org/officeDocument/2006/relationships/oleObject" Target="embeddings/oleObject124.bin"/><Relationship Id="rId263" Type="http://schemas.openxmlformats.org/officeDocument/2006/relationships/image" Target="media/image131.wmf"/><Relationship Id="rId262" Type="http://schemas.openxmlformats.org/officeDocument/2006/relationships/oleObject" Target="embeddings/oleObject123.bin"/><Relationship Id="rId261" Type="http://schemas.openxmlformats.org/officeDocument/2006/relationships/image" Target="media/image130.wmf"/><Relationship Id="rId260" Type="http://schemas.openxmlformats.org/officeDocument/2006/relationships/oleObject" Target="embeddings/oleObject122.bin"/><Relationship Id="rId26" Type="http://schemas.openxmlformats.org/officeDocument/2006/relationships/image" Target="media/image9.wmf"/><Relationship Id="rId259" Type="http://schemas.openxmlformats.org/officeDocument/2006/relationships/image" Target="media/image129.wmf"/><Relationship Id="rId258" Type="http://schemas.openxmlformats.org/officeDocument/2006/relationships/oleObject" Target="embeddings/oleObject121.bin"/><Relationship Id="rId257" Type="http://schemas.openxmlformats.org/officeDocument/2006/relationships/image" Target="media/image128.wmf"/><Relationship Id="rId256" Type="http://schemas.openxmlformats.org/officeDocument/2006/relationships/oleObject" Target="embeddings/oleObject120.bin"/><Relationship Id="rId255" Type="http://schemas.openxmlformats.org/officeDocument/2006/relationships/oleObject" Target="embeddings/oleObject119.bin"/><Relationship Id="rId254" Type="http://schemas.openxmlformats.org/officeDocument/2006/relationships/oleObject" Target="embeddings/oleObject118.bin"/><Relationship Id="rId253" Type="http://schemas.openxmlformats.org/officeDocument/2006/relationships/image" Target="media/image127.wmf"/><Relationship Id="rId252" Type="http://schemas.openxmlformats.org/officeDocument/2006/relationships/oleObject" Target="embeddings/oleObject117.bin"/><Relationship Id="rId251" Type="http://schemas.openxmlformats.org/officeDocument/2006/relationships/image" Target="media/image126.wmf"/><Relationship Id="rId250" Type="http://schemas.openxmlformats.org/officeDocument/2006/relationships/oleObject" Target="embeddings/oleObject116.bin"/><Relationship Id="rId25" Type="http://schemas.openxmlformats.org/officeDocument/2006/relationships/oleObject" Target="embeddings/oleObject8.bin"/><Relationship Id="rId249" Type="http://schemas.openxmlformats.org/officeDocument/2006/relationships/image" Target="media/image125.wmf"/><Relationship Id="rId248" Type="http://schemas.openxmlformats.org/officeDocument/2006/relationships/oleObject" Target="embeddings/oleObject115.bin"/><Relationship Id="rId247" Type="http://schemas.openxmlformats.org/officeDocument/2006/relationships/image" Target="media/image124.wmf"/><Relationship Id="rId246" Type="http://schemas.openxmlformats.org/officeDocument/2006/relationships/oleObject" Target="embeddings/oleObject114.bin"/><Relationship Id="rId245" Type="http://schemas.openxmlformats.org/officeDocument/2006/relationships/image" Target="media/image123.wmf"/><Relationship Id="rId244" Type="http://schemas.openxmlformats.org/officeDocument/2006/relationships/oleObject" Target="embeddings/oleObject113.bin"/><Relationship Id="rId243" Type="http://schemas.openxmlformats.org/officeDocument/2006/relationships/image" Target="media/image122.wmf"/><Relationship Id="rId242" Type="http://schemas.openxmlformats.org/officeDocument/2006/relationships/oleObject" Target="embeddings/oleObject112.bin"/><Relationship Id="rId241" Type="http://schemas.openxmlformats.org/officeDocument/2006/relationships/image" Target="media/image121.wmf"/><Relationship Id="rId240" Type="http://schemas.openxmlformats.org/officeDocument/2006/relationships/oleObject" Target="embeddings/oleObject111.bin"/><Relationship Id="rId24" Type="http://schemas.openxmlformats.org/officeDocument/2006/relationships/image" Target="media/image8.wmf"/><Relationship Id="rId239" Type="http://schemas.openxmlformats.org/officeDocument/2006/relationships/oleObject" Target="embeddings/oleObject110.bin"/><Relationship Id="rId238" Type="http://schemas.openxmlformats.org/officeDocument/2006/relationships/image" Target="media/image120.wmf"/><Relationship Id="rId237" Type="http://schemas.openxmlformats.org/officeDocument/2006/relationships/oleObject" Target="embeddings/oleObject109.bin"/><Relationship Id="rId236" Type="http://schemas.openxmlformats.org/officeDocument/2006/relationships/image" Target="media/image119.wmf"/><Relationship Id="rId235" Type="http://schemas.openxmlformats.org/officeDocument/2006/relationships/oleObject" Target="embeddings/oleObject108.bin"/><Relationship Id="rId234" Type="http://schemas.openxmlformats.org/officeDocument/2006/relationships/image" Target="media/image118.wmf"/><Relationship Id="rId233" Type="http://schemas.openxmlformats.org/officeDocument/2006/relationships/oleObject" Target="embeddings/oleObject107.bin"/><Relationship Id="rId232" Type="http://schemas.openxmlformats.org/officeDocument/2006/relationships/image" Target="media/image117.wmf"/><Relationship Id="rId231" Type="http://schemas.openxmlformats.org/officeDocument/2006/relationships/image" Target="media/image116.wmf"/><Relationship Id="rId230" Type="http://schemas.openxmlformats.org/officeDocument/2006/relationships/image" Target="media/image115.wmf"/><Relationship Id="rId23" Type="http://schemas.openxmlformats.org/officeDocument/2006/relationships/oleObject" Target="embeddings/oleObject7.bin"/><Relationship Id="rId229" Type="http://schemas.openxmlformats.org/officeDocument/2006/relationships/oleObject" Target="embeddings/oleObject106.bin"/><Relationship Id="rId228" Type="http://schemas.openxmlformats.org/officeDocument/2006/relationships/image" Target="media/image114.wmf"/><Relationship Id="rId227" Type="http://schemas.openxmlformats.org/officeDocument/2006/relationships/oleObject" Target="embeddings/oleObject105.bin"/><Relationship Id="rId226" Type="http://schemas.openxmlformats.org/officeDocument/2006/relationships/image" Target="media/image113.wmf"/><Relationship Id="rId225" Type="http://schemas.openxmlformats.org/officeDocument/2006/relationships/oleObject" Target="embeddings/oleObject104.bin"/><Relationship Id="rId224" Type="http://schemas.openxmlformats.org/officeDocument/2006/relationships/image" Target="media/image112.wmf"/><Relationship Id="rId223" Type="http://schemas.openxmlformats.org/officeDocument/2006/relationships/oleObject" Target="embeddings/oleObject103.bin"/><Relationship Id="rId222" Type="http://schemas.openxmlformats.org/officeDocument/2006/relationships/image" Target="media/image111.wmf"/><Relationship Id="rId221" Type="http://schemas.openxmlformats.org/officeDocument/2006/relationships/oleObject" Target="embeddings/oleObject102.bin"/><Relationship Id="rId220" Type="http://schemas.openxmlformats.org/officeDocument/2006/relationships/image" Target="media/image110.wmf"/><Relationship Id="rId22" Type="http://schemas.openxmlformats.org/officeDocument/2006/relationships/image" Target="media/image7.wmf"/><Relationship Id="rId219" Type="http://schemas.openxmlformats.org/officeDocument/2006/relationships/oleObject" Target="embeddings/oleObject101.bin"/><Relationship Id="rId218" Type="http://schemas.openxmlformats.org/officeDocument/2006/relationships/oleObject" Target="embeddings/oleObject100.bin"/><Relationship Id="rId217" Type="http://schemas.openxmlformats.org/officeDocument/2006/relationships/image" Target="media/image109.wmf"/><Relationship Id="rId216" Type="http://schemas.openxmlformats.org/officeDocument/2006/relationships/oleObject" Target="embeddings/oleObject99.bin"/><Relationship Id="rId215" Type="http://schemas.openxmlformats.org/officeDocument/2006/relationships/oleObject" Target="embeddings/oleObject98.bin"/><Relationship Id="rId214" Type="http://schemas.openxmlformats.org/officeDocument/2006/relationships/oleObject" Target="embeddings/oleObject97.bin"/><Relationship Id="rId213" Type="http://schemas.openxmlformats.org/officeDocument/2006/relationships/image" Target="media/image108.wmf"/><Relationship Id="rId212" Type="http://schemas.openxmlformats.org/officeDocument/2006/relationships/oleObject" Target="embeddings/oleObject96.bin"/><Relationship Id="rId211" Type="http://schemas.openxmlformats.org/officeDocument/2006/relationships/image" Target="media/image107.wmf"/><Relationship Id="rId210" Type="http://schemas.openxmlformats.org/officeDocument/2006/relationships/oleObject" Target="embeddings/oleObject95.bin"/><Relationship Id="rId21" Type="http://schemas.openxmlformats.org/officeDocument/2006/relationships/oleObject" Target="embeddings/oleObject6.bin"/><Relationship Id="rId209" Type="http://schemas.openxmlformats.org/officeDocument/2006/relationships/image" Target="media/image106.wmf"/><Relationship Id="rId208" Type="http://schemas.openxmlformats.org/officeDocument/2006/relationships/oleObject" Target="embeddings/oleObject94.bin"/><Relationship Id="rId207" Type="http://schemas.openxmlformats.org/officeDocument/2006/relationships/image" Target="media/image105.wmf"/><Relationship Id="rId206" Type="http://schemas.openxmlformats.org/officeDocument/2006/relationships/image" Target="media/image104.wmf"/><Relationship Id="rId205" Type="http://schemas.openxmlformats.org/officeDocument/2006/relationships/oleObject" Target="embeddings/oleObject93.bin"/><Relationship Id="rId204" Type="http://schemas.openxmlformats.org/officeDocument/2006/relationships/image" Target="media/image103.wmf"/><Relationship Id="rId203" Type="http://schemas.openxmlformats.org/officeDocument/2006/relationships/oleObject" Target="embeddings/oleObject92.bin"/><Relationship Id="rId202" Type="http://schemas.openxmlformats.org/officeDocument/2006/relationships/image" Target="media/image102.wmf"/><Relationship Id="rId201" Type="http://schemas.openxmlformats.org/officeDocument/2006/relationships/oleObject" Target="embeddings/oleObject91.bin"/><Relationship Id="rId200" Type="http://schemas.openxmlformats.org/officeDocument/2006/relationships/image" Target="media/image101.wmf"/><Relationship Id="rId20" Type="http://schemas.openxmlformats.org/officeDocument/2006/relationships/image" Target="media/image6.wmf"/><Relationship Id="rId2" Type="http://schemas.openxmlformats.org/officeDocument/2006/relationships/settings" Target="settings.xml"/><Relationship Id="rId199" Type="http://schemas.openxmlformats.org/officeDocument/2006/relationships/oleObject" Target="embeddings/oleObject90.bin"/><Relationship Id="rId198" Type="http://schemas.openxmlformats.org/officeDocument/2006/relationships/image" Target="media/image100.wmf"/><Relationship Id="rId197" Type="http://schemas.openxmlformats.org/officeDocument/2006/relationships/oleObject" Target="embeddings/oleObject89.bin"/><Relationship Id="rId196" Type="http://schemas.openxmlformats.org/officeDocument/2006/relationships/image" Target="media/image99.wmf"/><Relationship Id="rId195" Type="http://schemas.openxmlformats.org/officeDocument/2006/relationships/oleObject" Target="embeddings/oleObject88.bin"/><Relationship Id="rId194" Type="http://schemas.openxmlformats.org/officeDocument/2006/relationships/oleObject" Target="embeddings/oleObject87.bin"/><Relationship Id="rId193" Type="http://schemas.openxmlformats.org/officeDocument/2006/relationships/image" Target="media/image98.wmf"/><Relationship Id="rId192" Type="http://schemas.openxmlformats.org/officeDocument/2006/relationships/oleObject" Target="embeddings/oleObject86.bin"/><Relationship Id="rId191" Type="http://schemas.openxmlformats.org/officeDocument/2006/relationships/image" Target="media/image97.wmf"/><Relationship Id="rId190" Type="http://schemas.openxmlformats.org/officeDocument/2006/relationships/oleObject" Target="embeddings/oleObject85.bin"/><Relationship Id="rId19" Type="http://schemas.openxmlformats.org/officeDocument/2006/relationships/oleObject" Target="embeddings/oleObject5.bin"/><Relationship Id="rId189" Type="http://schemas.openxmlformats.org/officeDocument/2006/relationships/image" Target="media/image96.wmf"/><Relationship Id="rId188" Type="http://schemas.openxmlformats.org/officeDocument/2006/relationships/oleObject" Target="embeddings/oleObject84.bin"/><Relationship Id="rId187" Type="http://schemas.openxmlformats.org/officeDocument/2006/relationships/oleObject" Target="embeddings/oleObject83.bin"/><Relationship Id="rId186" Type="http://schemas.openxmlformats.org/officeDocument/2006/relationships/image" Target="media/image95.wmf"/><Relationship Id="rId185" Type="http://schemas.openxmlformats.org/officeDocument/2006/relationships/oleObject" Target="embeddings/oleObject82.bin"/><Relationship Id="rId184" Type="http://schemas.openxmlformats.org/officeDocument/2006/relationships/oleObject" Target="embeddings/oleObject81.bin"/><Relationship Id="rId183" Type="http://schemas.openxmlformats.org/officeDocument/2006/relationships/image" Target="media/image94.wmf"/><Relationship Id="rId182" Type="http://schemas.openxmlformats.org/officeDocument/2006/relationships/oleObject" Target="embeddings/oleObject80.bin"/><Relationship Id="rId181" Type="http://schemas.openxmlformats.org/officeDocument/2006/relationships/image" Target="media/image93.wmf"/><Relationship Id="rId180" Type="http://schemas.openxmlformats.org/officeDocument/2006/relationships/oleObject" Target="embeddings/oleObject79.bin"/><Relationship Id="rId18" Type="http://schemas.openxmlformats.org/officeDocument/2006/relationships/image" Target="media/image5.wmf"/><Relationship Id="rId179" Type="http://schemas.openxmlformats.org/officeDocument/2006/relationships/image" Target="media/image92.wmf"/><Relationship Id="rId178" Type="http://schemas.openxmlformats.org/officeDocument/2006/relationships/image" Target="media/image91.wmf"/><Relationship Id="rId177" Type="http://schemas.openxmlformats.org/officeDocument/2006/relationships/image" Target="media/image90.wmf"/><Relationship Id="rId176" Type="http://schemas.openxmlformats.org/officeDocument/2006/relationships/image" Target="media/image89.wmf"/><Relationship Id="rId175" Type="http://schemas.openxmlformats.org/officeDocument/2006/relationships/image" Target="media/image88.wmf"/><Relationship Id="rId174" Type="http://schemas.openxmlformats.org/officeDocument/2006/relationships/image" Target="media/image87.wmf"/><Relationship Id="rId173" Type="http://schemas.openxmlformats.org/officeDocument/2006/relationships/image" Target="media/image86.emf"/><Relationship Id="rId172" Type="http://schemas.openxmlformats.org/officeDocument/2006/relationships/image" Target="media/image85.wmf"/><Relationship Id="rId171" Type="http://schemas.openxmlformats.org/officeDocument/2006/relationships/image" Target="media/image84.wmf"/><Relationship Id="rId170" Type="http://schemas.openxmlformats.org/officeDocument/2006/relationships/image" Target="media/image83.wmf"/><Relationship Id="rId17" Type="http://schemas.openxmlformats.org/officeDocument/2006/relationships/oleObject" Target="embeddings/oleObject4.bin"/><Relationship Id="rId169" Type="http://schemas.openxmlformats.org/officeDocument/2006/relationships/image" Target="media/image82.wmf"/><Relationship Id="rId168" Type="http://schemas.openxmlformats.org/officeDocument/2006/relationships/image" Target="media/image81.wmf"/><Relationship Id="rId167" Type="http://schemas.openxmlformats.org/officeDocument/2006/relationships/image" Target="media/image80.wmf"/><Relationship Id="rId166" Type="http://schemas.openxmlformats.org/officeDocument/2006/relationships/image" Target="media/image79.wmf"/><Relationship Id="rId165" Type="http://schemas.openxmlformats.org/officeDocument/2006/relationships/image" Target="media/image78.emf"/><Relationship Id="rId164" Type="http://schemas.openxmlformats.org/officeDocument/2006/relationships/image" Target="media/image77.emf"/><Relationship Id="rId163" Type="http://schemas.openxmlformats.org/officeDocument/2006/relationships/image" Target="media/image76.wmf"/><Relationship Id="rId162" Type="http://schemas.openxmlformats.org/officeDocument/2006/relationships/oleObject" Target="embeddings/oleObject78.bin"/><Relationship Id="rId161" Type="http://schemas.openxmlformats.org/officeDocument/2006/relationships/oleObject" Target="embeddings/oleObject77.bin"/><Relationship Id="rId160" Type="http://schemas.openxmlformats.org/officeDocument/2006/relationships/image" Target="media/image75.wmf"/><Relationship Id="rId16" Type="http://schemas.openxmlformats.org/officeDocument/2006/relationships/image" Target="media/image4.wmf"/><Relationship Id="rId159" Type="http://schemas.openxmlformats.org/officeDocument/2006/relationships/oleObject" Target="embeddings/oleObject76.bin"/><Relationship Id="rId158" Type="http://schemas.openxmlformats.org/officeDocument/2006/relationships/image" Target="media/image74.wmf"/><Relationship Id="rId157" Type="http://schemas.openxmlformats.org/officeDocument/2006/relationships/oleObject" Target="embeddings/oleObject75.bin"/><Relationship Id="rId156" Type="http://schemas.openxmlformats.org/officeDocument/2006/relationships/image" Target="media/image73.wmf"/><Relationship Id="rId155" Type="http://schemas.openxmlformats.org/officeDocument/2006/relationships/oleObject" Target="embeddings/oleObject74.bin"/><Relationship Id="rId154" Type="http://schemas.openxmlformats.org/officeDocument/2006/relationships/image" Target="media/image72.wmf"/><Relationship Id="rId153" Type="http://schemas.openxmlformats.org/officeDocument/2006/relationships/oleObject" Target="embeddings/oleObject73.bin"/><Relationship Id="rId152" Type="http://schemas.openxmlformats.org/officeDocument/2006/relationships/image" Target="media/image71.wmf"/><Relationship Id="rId151" Type="http://schemas.openxmlformats.org/officeDocument/2006/relationships/oleObject" Target="embeddings/oleObject72.bin"/><Relationship Id="rId150" Type="http://schemas.openxmlformats.org/officeDocument/2006/relationships/image" Target="media/image70.wmf"/><Relationship Id="rId15" Type="http://schemas.openxmlformats.org/officeDocument/2006/relationships/oleObject" Target="embeddings/oleObject3.bin"/><Relationship Id="rId149" Type="http://schemas.openxmlformats.org/officeDocument/2006/relationships/oleObject" Target="embeddings/oleObject71.bin"/><Relationship Id="rId148" Type="http://schemas.openxmlformats.org/officeDocument/2006/relationships/image" Target="media/image69.wmf"/><Relationship Id="rId147" Type="http://schemas.openxmlformats.org/officeDocument/2006/relationships/oleObject" Target="embeddings/oleObject70.bin"/><Relationship Id="rId146" Type="http://schemas.openxmlformats.org/officeDocument/2006/relationships/image" Target="media/image68.wmf"/><Relationship Id="rId145" Type="http://schemas.openxmlformats.org/officeDocument/2006/relationships/oleObject" Target="embeddings/oleObject69.bin"/><Relationship Id="rId144" Type="http://schemas.openxmlformats.org/officeDocument/2006/relationships/image" Target="media/image67.wmf"/><Relationship Id="rId143" Type="http://schemas.openxmlformats.org/officeDocument/2006/relationships/oleObject" Target="embeddings/oleObject68.bin"/><Relationship Id="rId142" Type="http://schemas.openxmlformats.org/officeDocument/2006/relationships/image" Target="media/image66.wmf"/><Relationship Id="rId141" Type="http://schemas.openxmlformats.org/officeDocument/2006/relationships/oleObject" Target="embeddings/oleObject67.bin"/><Relationship Id="rId140" Type="http://schemas.openxmlformats.org/officeDocument/2006/relationships/image" Target="media/image65.wmf"/><Relationship Id="rId14" Type="http://schemas.openxmlformats.org/officeDocument/2006/relationships/image" Target="media/image3.wmf"/><Relationship Id="rId139" Type="http://schemas.openxmlformats.org/officeDocument/2006/relationships/oleObject" Target="embeddings/oleObject66.bin"/><Relationship Id="rId138" Type="http://schemas.openxmlformats.org/officeDocument/2006/relationships/image" Target="media/image64.wmf"/><Relationship Id="rId137" Type="http://schemas.openxmlformats.org/officeDocument/2006/relationships/oleObject" Target="embeddings/oleObject65.bin"/><Relationship Id="rId136" Type="http://schemas.openxmlformats.org/officeDocument/2006/relationships/oleObject" Target="embeddings/oleObject64.bin"/><Relationship Id="rId135" Type="http://schemas.openxmlformats.org/officeDocument/2006/relationships/image" Target="media/image63.wmf"/><Relationship Id="rId134" Type="http://schemas.openxmlformats.org/officeDocument/2006/relationships/oleObject" Target="embeddings/oleObject63.bin"/><Relationship Id="rId133" Type="http://schemas.openxmlformats.org/officeDocument/2006/relationships/image" Target="media/image62.wmf"/><Relationship Id="rId132" Type="http://schemas.openxmlformats.org/officeDocument/2006/relationships/oleObject" Target="embeddings/oleObject62.bin"/><Relationship Id="rId131" Type="http://schemas.openxmlformats.org/officeDocument/2006/relationships/image" Target="media/image61.wmf"/><Relationship Id="rId130" Type="http://schemas.openxmlformats.org/officeDocument/2006/relationships/oleObject" Target="embeddings/oleObject61.bin"/><Relationship Id="rId13" Type="http://schemas.openxmlformats.org/officeDocument/2006/relationships/oleObject" Target="embeddings/oleObject2.bin"/><Relationship Id="rId129" Type="http://schemas.openxmlformats.org/officeDocument/2006/relationships/image" Target="media/image60.wmf"/><Relationship Id="rId128" Type="http://schemas.openxmlformats.org/officeDocument/2006/relationships/oleObject" Target="embeddings/oleObject60.bin"/><Relationship Id="rId127" Type="http://schemas.openxmlformats.org/officeDocument/2006/relationships/image" Target="media/image59.wmf"/><Relationship Id="rId126" Type="http://schemas.openxmlformats.org/officeDocument/2006/relationships/oleObject" Target="embeddings/oleObject59.bin"/><Relationship Id="rId125" Type="http://schemas.openxmlformats.org/officeDocument/2006/relationships/oleObject" Target="embeddings/oleObject58.bin"/><Relationship Id="rId124" Type="http://schemas.openxmlformats.org/officeDocument/2006/relationships/image" Target="media/image58.wmf"/><Relationship Id="rId123" Type="http://schemas.openxmlformats.org/officeDocument/2006/relationships/oleObject" Target="embeddings/oleObject57.bin"/><Relationship Id="rId122" Type="http://schemas.openxmlformats.org/officeDocument/2006/relationships/image" Target="media/image57.wmf"/><Relationship Id="rId121" Type="http://schemas.openxmlformats.org/officeDocument/2006/relationships/oleObject" Target="embeddings/oleObject56.bin"/><Relationship Id="rId120" Type="http://schemas.openxmlformats.org/officeDocument/2006/relationships/image" Target="media/image56.wmf"/><Relationship Id="rId12" Type="http://schemas.openxmlformats.org/officeDocument/2006/relationships/image" Target="media/image2.wmf"/><Relationship Id="rId119" Type="http://schemas.openxmlformats.org/officeDocument/2006/relationships/oleObject" Target="embeddings/oleObject55.bin"/><Relationship Id="rId118" Type="http://schemas.openxmlformats.org/officeDocument/2006/relationships/image" Target="media/image55.wmf"/><Relationship Id="rId117" Type="http://schemas.openxmlformats.org/officeDocument/2006/relationships/oleObject" Target="embeddings/oleObject54.bin"/><Relationship Id="rId116" Type="http://schemas.openxmlformats.org/officeDocument/2006/relationships/image" Target="media/image54.wmf"/><Relationship Id="rId115" Type="http://schemas.openxmlformats.org/officeDocument/2006/relationships/oleObject" Target="embeddings/oleObject53.bin"/><Relationship Id="rId114" Type="http://schemas.openxmlformats.org/officeDocument/2006/relationships/image" Target="media/image53.wmf"/><Relationship Id="rId113" Type="http://schemas.openxmlformats.org/officeDocument/2006/relationships/oleObject" Target="embeddings/oleObject52.bin"/><Relationship Id="rId112" Type="http://schemas.openxmlformats.org/officeDocument/2006/relationships/image" Target="media/image52.wmf"/><Relationship Id="rId111" Type="http://schemas.openxmlformats.org/officeDocument/2006/relationships/oleObject" Target="embeddings/oleObject51.bin"/><Relationship Id="rId110" Type="http://schemas.openxmlformats.org/officeDocument/2006/relationships/image" Target="media/image51.wmf"/><Relationship Id="rId11" Type="http://schemas.openxmlformats.org/officeDocument/2006/relationships/oleObject" Target="embeddings/oleObject1.bin"/><Relationship Id="rId109" Type="http://schemas.openxmlformats.org/officeDocument/2006/relationships/oleObject" Target="embeddings/oleObject50.bin"/><Relationship Id="rId108" Type="http://schemas.openxmlformats.org/officeDocument/2006/relationships/image" Target="media/image50.wmf"/><Relationship Id="rId107" Type="http://schemas.openxmlformats.org/officeDocument/2006/relationships/oleObject" Target="embeddings/oleObject49.bin"/><Relationship Id="rId106" Type="http://schemas.openxmlformats.org/officeDocument/2006/relationships/image" Target="media/image49.wmf"/><Relationship Id="rId105" Type="http://schemas.openxmlformats.org/officeDocument/2006/relationships/oleObject" Target="embeddings/oleObject48.bin"/><Relationship Id="rId104" Type="http://schemas.openxmlformats.org/officeDocument/2006/relationships/image" Target="media/image48.wmf"/><Relationship Id="rId103" Type="http://schemas.openxmlformats.org/officeDocument/2006/relationships/oleObject" Target="embeddings/oleObject47.bin"/><Relationship Id="rId102" Type="http://schemas.openxmlformats.org/officeDocument/2006/relationships/image" Target="media/image47.wmf"/><Relationship Id="rId101" Type="http://schemas.openxmlformats.org/officeDocument/2006/relationships/oleObject" Target="embeddings/oleObject46.bin"/><Relationship Id="rId100" Type="http://schemas.openxmlformats.org/officeDocument/2006/relationships/image" Target="media/image46.wmf"/><Relationship Id="rId10" Type="http://schemas.openxmlformats.org/officeDocument/2006/relationships/image" Target="media/image1.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53A7C0E-0FB5-4544-93F5-2EADD9A9B469}">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55</Pages>
  <Words>27097</Words>
  <Characters>31309</Characters>
  <Lines>292</Lines>
  <Paragraphs>82</Paragraphs>
  <TotalTime>133</TotalTime>
  <ScaleCrop>false</ScaleCrop>
  <LinksUpToDate>false</LinksUpToDate>
  <CharactersWithSpaces>33330</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2023-06-30T07:30:00Z</dcterms:created>
  <dc:creator>1308</dc:creator>
  <cp:lastModifiedBy>LD</cp:lastModifiedBy>
  <cp:lastPrinted>2024-03-22T01:54:00Z</cp:lastPrinted>
  <dcterms:modified xsi:type="dcterms:W3CDTF">2024-04-22T03:14:39Z</dcterms:modified>
  <dc:title>前  言</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DB5209EFC50A4C7DAB4D99FDF67AA77B_13</vt:lpwstr>
  </property>
</Properties>
</file>