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8353D">
      <w:pPr>
        <w:rPr>
          <w:rFonts w:hint="eastAsia" w:ascii="黑体" w:hAnsi="黑体" w:eastAsia="黑体" w:cs="黑体"/>
          <w:color w:val="auto"/>
          <w:sz w:val="32"/>
          <w:szCs w:val="32"/>
          <w:highlight w:val="none"/>
          <w:lang w:val="en-US" w:eastAsia="zh-CN"/>
        </w:rPr>
      </w:pPr>
      <w:bookmarkStart w:id="16" w:name="_GoBack"/>
      <w:bookmarkEnd w:id="16"/>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67F66E11">
      <w:pPr>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标准招标文件修改和补充（</w:t>
      </w:r>
      <w:r>
        <w:rPr>
          <w:rFonts w:hint="eastAsia" w:ascii="Times New Roman" w:hAnsi="Times New Roman" w:eastAsia="方正小标宋简体" w:cs="Times New Roman"/>
          <w:color w:val="auto"/>
          <w:sz w:val="44"/>
          <w:szCs w:val="44"/>
          <w:highlight w:val="none"/>
          <w:lang w:val="en-US" w:eastAsia="zh-CN"/>
        </w:rPr>
        <w:t>四</w:t>
      </w:r>
      <w:r>
        <w:rPr>
          <w:rFonts w:ascii="Times New Roman" w:hAnsi="Times New Roman" w:eastAsia="方正小标宋简体" w:cs="Times New Roman"/>
          <w:color w:val="auto"/>
          <w:sz w:val="44"/>
          <w:szCs w:val="44"/>
          <w:highlight w:val="none"/>
        </w:rPr>
        <w:t>）</w:t>
      </w:r>
    </w:p>
    <w:p w14:paraId="38D30F93">
      <w:pPr>
        <w:jc w:val="left"/>
        <w:rPr>
          <w:rFonts w:hint="default" w:ascii="Times New Roman" w:hAnsi="Times New Roman" w:eastAsia="方正小标宋简体" w:cs="Times New Roman"/>
          <w:color w:val="auto"/>
          <w:sz w:val="36"/>
          <w:szCs w:val="36"/>
          <w:highlight w:val="none"/>
          <w:lang w:val="en-US" w:eastAsia="zh-CN"/>
        </w:rPr>
      </w:pPr>
      <w:bookmarkStart w:id="0" w:name="OLE_LINK7"/>
      <w:r>
        <w:rPr>
          <w:rFonts w:hint="eastAsia" w:ascii="Times New Roman" w:hAnsi="Times New Roman" w:eastAsia="方正小标宋简体" w:cs="Times New Roman"/>
          <w:color w:val="auto"/>
          <w:sz w:val="36"/>
          <w:szCs w:val="36"/>
          <w:highlight w:val="none"/>
          <w:lang w:val="en-US" w:eastAsia="zh-CN"/>
        </w:rPr>
        <w:t>一、</w:t>
      </w:r>
      <w:bookmarkStart w:id="1" w:name="OLE_LINK13"/>
      <w:r>
        <w:rPr>
          <w:rFonts w:hint="eastAsia" w:ascii="Times New Roman" w:hAnsi="Times New Roman" w:eastAsia="方正小标宋简体" w:cs="Times New Roman"/>
          <w:color w:val="auto"/>
          <w:sz w:val="36"/>
          <w:szCs w:val="36"/>
          <w:highlight w:val="none"/>
          <w:lang w:val="en-US" w:eastAsia="zh-CN"/>
        </w:rPr>
        <w:t>通用修改部分</w:t>
      </w:r>
      <w:bookmarkEnd w:id="1"/>
    </w:p>
    <w:bookmarkEnd w:id="0"/>
    <w:tbl>
      <w:tblPr>
        <w:tblStyle w:val="10"/>
        <w:tblpPr w:leftFromText="180" w:rightFromText="180" w:vertAnchor="text" w:horzAnchor="page" w:tblpX="1560" w:tblpY="437"/>
        <w:tblOverlap w:val="never"/>
        <w:tblW w:w="13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268"/>
        <w:gridCol w:w="4200"/>
        <w:gridCol w:w="4857"/>
      </w:tblGrid>
      <w:tr w14:paraId="07D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15" w:type="dxa"/>
            <w:vAlign w:val="center"/>
          </w:tcPr>
          <w:p w14:paraId="3C47FA79">
            <w:pPr>
              <w:pStyle w:val="8"/>
              <w:widowControl/>
              <w:spacing w:beforeAutospacing="0" w:afterAutospacing="0" w:line="28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招标文件类型</w:t>
            </w:r>
          </w:p>
        </w:tc>
        <w:tc>
          <w:tcPr>
            <w:tcW w:w="2268" w:type="dxa"/>
            <w:vAlign w:val="center"/>
          </w:tcPr>
          <w:p w14:paraId="2A24980B">
            <w:pPr>
              <w:pStyle w:val="8"/>
              <w:widowControl/>
              <w:spacing w:beforeAutospacing="0" w:afterAutospacing="0" w:line="2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4200" w:type="dxa"/>
          </w:tcPr>
          <w:p w14:paraId="6F3942E8">
            <w:pPr>
              <w:pStyle w:val="8"/>
              <w:widowControl/>
              <w:spacing w:beforeAutospacing="0" w:afterAutospacing="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原内容</w:t>
            </w:r>
          </w:p>
        </w:tc>
        <w:tc>
          <w:tcPr>
            <w:tcW w:w="4857" w:type="dxa"/>
          </w:tcPr>
          <w:p w14:paraId="5B30C547">
            <w:pPr>
              <w:pStyle w:val="8"/>
              <w:widowControl/>
              <w:spacing w:beforeAutospacing="0" w:afterAutospacing="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修改后内容</w:t>
            </w:r>
          </w:p>
        </w:tc>
      </w:tr>
      <w:tr w14:paraId="77FB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2115" w:type="dxa"/>
            <w:vAlign w:val="center"/>
          </w:tcPr>
          <w:p w14:paraId="792AF28B">
            <w:pPr>
              <w:pStyle w:val="8"/>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vAlign w:val="center"/>
          </w:tcPr>
          <w:p w14:paraId="74EC7747">
            <w:pPr>
              <w:pStyle w:val="8"/>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招标文件封面</w:t>
            </w:r>
          </w:p>
        </w:tc>
        <w:tc>
          <w:tcPr>
            <w:tcW w:w="4200" w:type="dxa"/>
          </w:tcPr>
          <w:p w14:paraId="70B415F5">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招标代理机构项目负责人：</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（盖从业印章）</w:t>
            </w:r>
          </w:p>
          <w:p w14:paraId="4A17C8A3">
            <w:pPr>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招标文件编制人员：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（盖从业印章）</w:t>
            </w:r>
          </w:p>
        </w:tc>
        <w:tc>
          <w:tcPr>
            <w:tcW w:w="4857" w:type="dxa"/>
          </w:tcPr>
          <w:p w14:paraId="4492C55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招标代理机构项目负责人：</w:t>
            </w:r>
            <w:r>
              <w:rPr>
                <w:rFonts w:hint="eastAsia" w:ascii="仿宋" w:hAnsi="仿宋" w:eastAsia="仿宋" w:cs="仿宋"/>
                <w:color w:val="auto"/>
                <w:kern w:val="2"/>
                <w:sz w:val="24"/>
                <w:szCs w:val="24"/>
                <w:highlight w:val="none"/>
                <w:u w:val="single"/>
                <w:lang w:val="en-US" w:eastAsia="zh-CN" w:bidi="ar-SA"/>
              </w:rPr>
              <w:t xml:space="preserve">   </w:t>
            </w:r>
          </w:p>
          <w:p w14:paraId="122392D2">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招标文件编制人员：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tc>
      </w:tr>
      <w:tr w14:paraId="4451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15" w:type="dxa"/>
            <w:vAlign w:val="center"/>
          </w:tcPr>
          <w:p w14:paraId="0E3B221F">
            <w:pPr>
              <w:pStyle w:val="8"/>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施工、设计施工总承包</w:t>
            </w:r>
          </w:p>
        </w:tc>
        <w:tc>
          <w:tcPr>
            <w:tcW w:w="2268" w:type="dxa"/>
            <w:vAlign w:val="center"/>
          </w:tcPr>
          <w:p w14:paraId="50CEE2FA">
            <w:pPr>
              <w:pStyle w:val="8"/>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第一章招标公告（未进行资格预审，适用于公开招标）、第一章招标公告（适用于邀请招标）</w:t>
            </w:r>
          </w:p>
        </w:tc>
        <w:tc>
          <w:tcPr>
            <w:tcW w:w="4200" w:type="dxa"/>
            <w:shd w:val="clear" w:color="auto" w:fill="auto"/>
            <w:vAlign w:val="top"/>
          </w:tcPr>
          <w:p w14:paraId="37D0B5D2">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3.投标人资格要求</w:t>
            </w:r>
          </w:p>
        </w:tc>
        <w:tc>
          <w:tcPr>
            <w:tcW w:w="4857" w:type="dxa"/>
            <w:shd w:val="clear" w:color="auto" w:fill="auto"/>
            <w:vAlign w:val="top"/>
          </w:tcPr>
          <w:p w14:paraId="2BEBB841">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施工新增：</w:t>
            </w:r>
          </w:p>
          <w:p w14:paraId="37A2C03A">
            <w:pPr>
              <w:pStyle w:val="8"/>
              <w:widowControl/>
              <w:spacing w:beforeAutospacing="0" w:afterAutospacing="0"/>
              <w:jc w:val="both"/>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bookmarkStart w:id="2" w:name="OLE_LINK3"/>
            <w:r>
              <w:rPr>
                <w:rFonts w:hint="eastAsia" w:ascii="仿宋" w:hAnsi="仿宋" w:eastAsia="仿宋" w:cs="仿宋"/>
                <w:color w:val="auto"/>
                <w:sz w:val="24"/>
                <w:szCs w:val="24"/>
                <w:highlight w:val="none"/>
                <w:lang w:val="en-US" w:eastAsia="zh-CN"/>
              </w:rPr>
              <w:t>3.4</w:t>
            </w:r>
            <w:bookmarkEnd w:id="2"/>
            <w:r>
              <w:rPr>
                <w:rFonts w:hint="eastAsia" w:ascii="仿宋" w:hAnsi="仿宋" w:eastAsia="仿宋" w:cs="仿宋"/>
                <w:color w:val="auto"/>
                <w:kern w:val="0"/>
                <w:sz w:val="24"/>
                <w:szCs w:val="24"/>
                <w:highlight w:val="none"/>
                <w:lang w:val="en-US" w:eastAsia="zh-CN" w:bidi="ar-SA"/>
              </w:rPr>
              <w:t>本次招标仅面向中小企业发包（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w:t>
            </w:r>
            <w:bookmarkStart w:id="3" w:name="OLE_LINK2"/>
            <w:r>
              <w:rPr>
                <w:rFonts w:hint="eastAsia" w:ascii="仿宋" w:hAnsi="仿宋" w:eastAsia="仿宋" w:cs="仿宋"/>
                <w:color w:val="auto"/>
                <w:sz w:val="24"/>
                <w:szCs w:val="24"/>
                <w:highlight w:val="none"/>
                <w:lang w:val="en-US" w:eastAsia="zh-CN"/>
              </w:rPr>
              <w:t>若为联合体投标的，联合体所有单位均应属于中小企业</w:t>
            </w:r>
            <w:bookmarkEnd w:id="3"/>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（除技术复杂、存在特殊要求外，我省依法必须招标的国家投资工程，招标控制价在3000万元以下的施工项目(标段) 应勾选此项。）</w:t>
            </w:r>
          </w:p>
          <w:p w14:paraId="122B80B2">
            <w:pPr>
              <w:pStyle w:val="8"/>
              <w:widowControl/>
              <w:spacing w:beforeAutospacing="0" w:afterAutospacing="0"/>
              <w:jc w:val="both"/>
              <w:rPr>
                <w:rFonts w:hint="eastAsia" w:ascii="仿宋" w:hAnsi="仿宋" w:eastAsia="仿宋" w:cs="仿宋"/>
                <w:color w:val="auto"/>
                <w:sz w:val="24"/>
                <w:szCs w:val="24"/>
                <w:highlight w:val="none"/>
                <w:lang w:val="en-US" w:eastAsia="zh-CN"/>
              </w:rPr>
            </w:pPr>
          </w:p>
          <w:p w14:paraId="395475A7">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设计施工总承包新增：</w:t>
            </w:r>
          </w:p>
          <w:p w14:paraId="0177BAEF">
            <w:pPr>
              <w:pStyle w:val="8"/>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3.3</w:t>
            </w:r>
            <w:r>
              <w:rPr>
                <w:rFonts w:hint="eastAsia" w:ascii="仿宋" w:hAnsi="仿宋" w:eastAsia="仿宋" w:cs="仿宋"/>
                <w:color w:val="auto"/>
                <w:kern w:val="0"/>
                <w:sz w:val="24"/>
                <w:szCs w:val="24"/>
                <w:highlight w:val="none"/>
                <w:lang w:val="en-US" w:eastAsia="zh-CN" w:bidi="ar-SA"/>
              </w:rPr>
              <w:t>本次招标范围中施工部分的工作仅面向中小企业发包（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w:t>
            </w:r>
            <w:bookmarkStart w:id="4" w:name="OLE_LINK5"/>
            <w:r>
              <w:rPr>
                <w:rFonts w:hint="eastAsia" w:ascii="仿宋" w:hAnsi="仿宋" w:eastAsia="仿宋" w:cs="仿宋"/>
                <w:color w:val="auto"/>
                <w:sz w:val="24"/>
                <w:szCs w:val="24"/>
                <w:highlight w:val="none"/>
                <w:lang w:val="en-US" w:eastAsia="zh-CN"/>
              </w:rPr>
              <w:t>若为联合体投标的，本项目联合体协议书中职责分工为承揽施工工作的所有单位均应属于中小企业</w:t>
            </w:r>
            <w:bookmarkEnd w:id="4"/>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w:t>
            </w:r>
            <w:bookmarkStart w:id="5" w:name="OLE_LINK4"/>
            <w:r>
              <w:rPr>
                <w:rFonts w:hint="eastAsia" w:ascii="仿宋" w:hAnsi="仿宋" w:eastAsia="仿宋" w:cs="仿宋"/>
                <w:color w:val="auto"/>
                <w:sz w:val="24"/>
                <w:szCs w:val="24"/>
                <w:highlight w:val="none"/>
                <w:lang w:val="en-US" w:eastAsia="zh-CN"/>
              </w:rPr>
              <w:t>工信部联企业〔2011〕300号</w:t>
            </w:r>
            <w:bookmarkEnd w:id="5"/>
            <w:r>
              <w:rPr>
                <w:rFonts w:hint="eastAsia" w:ascii="仿宋" w:hAnsi="仿宋" w:eastAsia="仿宋" w:cs="仿宋"/>
                <w:color w:val="auto"/>
                <w:sz w:val="24"/>
                <w:szCs w:val="24"/>
                <w:highlight w:val="none"/>
                <w:lang w:val="en-US" w:eastAsia="zh-CN"/>
              </w:rPr>
              <w:t>）中的“建筑业”划型标准为准，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（除技术复杂、存在特殊要求外，我省依法必须招标的国家投资工程，施工部分招标控制价在3000万元以下的，应勾选此项。）</w:t>
            </w:r>
          </w:p>
        </w:tc>
      </w:tr>
      <w:tr w14:paraId="3F1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15" w:type="dxa"/>
            <w:vMerge w:val="restart"/>
            <w:vAlign w:val="center"/>
          </w:tcPr>
          <w:p w14:paraId="182F1CD9">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勘察、勘察设计、施工、设计施工总承包、监理、设备采购、材料采购</w:t>
            </w:r>
          </w:p>
        </w:tc>
        <w:tc>
          <w:tcPr>
            <w:tcW w:w="2268" w:type="dxa"/>
            <w:vMerge w:val="restart"/>
            <w:vAlign w:val="center"/>
          </w:tcPr>
          <w:p w14:paraId="6FF5EEB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第一章招标公告（适用于公开招标）、第一章 投标邀请书（适用于邀请招标）</w:t>
            </w:r>
          </w:p>
        </w:tc>
        <w:tc>
          <w:tcPr>
            <w:tcW w:w="4200" w:type="dxa"/>
          </w:tcPr>
          <w:p w14:paraId="40C4ECD5">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 联系方式</w:t>
            </w:r>
          </w:p>
        </w:tc>
        <w:tc>
          <w:tcPr>
            <w:tcW w:w="4857" w:type="dxa"/>
          </w:tcPr>
          <w:p w14:paraId="24669DA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 联系方式</w:t>
            </w:r>
          </w:p>
        </w:tc>
      </w:tr>
      <w:tr w14:paraId="672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32AF3EEA">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2A829917">
            <w:pPr>
              <w:spacing w:line="360" w:lineRule="auto"/>
              <w:rPr>
                <w:rFonts w:hint="eastAsia" w:ascii="仿宋" w:hAnsi="仿宋" w:eastAsia="仿宋" w:cs="仿宋"/>
                <w:color w:val="auto"/>
                <w:sz w:val="24"/>
                <w:szCs w:val="24"/>
                <w:highlight w:val="none"/>
              </w:rPr>
            </w:pPr>
          </w:p>
        </w:tc>
        <w:tc>
          <w:tcPr>
            <w:tcW w:w="4200" w:type="dxa"/>
          </w:tcPr>
          <w:p w14:paraId="718D362A">
            <w:pPr>
              <w:spacing w:line="240" w:lineRule="auto"/>
              <w:jc w:val="center"/>
              <w:rPr>
                <w:rFonts w:hint="eastAsia" w:ascii="仿宋" w:hAnsi="仿宋" w:eastAsia="仿宋" w:cs="仿宋"/>
                <w:color w:val="auto"/>
                <w:kern w:val="2"/>
                <w:sz w:val="24"/>
                <w:szCs w:val="24"/>
                <w:highlight w:val="none"/>
                <w:lang w:val="en-US" w:eastAsia="zh-CN" w:bidi="ar-SA"/>
              </w:rPr>
            </w:pPr>
          </w:p>
          <w:p w14:paraId="22E891DC">
            <w:pPr>
              <w:spacing w:line="240" w:lineRule="auto"/>
              <w:ind w:firstLine="1680" w:firstLineChars="7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4857" w:type="dxa"/>
          </w:tcPr>
          <w:p w14:paraId="5E1E38F8">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63BA4CCC">
            <w:pPr>
              <w:numPr>
                <w:ilvl w:val="0"/>
                <w:numId w:val="1"/>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行政监督部门</w:t>
            </w:r>
          </w:p>
          <w:p w14:paraId="5316506D">
            <w:pPr>
              <w:numPr>
                <w:ilvl w:val="0"/>
                <w:numId w:val="0"/>
              </w:numPr>
              <w:spacing w:line="240"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单位名称：</w:t>
            </w:r>
            <w:r>
              <w:rPr>
                <w:rFonts w:hint="eastAsia" w:ascii="仿宋" w:hAnsi="仿宋" w:eastAsia="仿宋" w:cs="仿宋"/>
                <w:color w:val="auto"/>
                <w:kern w:val="2"/>
                <w:sz w:val="24"/>
                <w:szCs w:val="24"/>
                <w:highlight w:val="none"/>
                <w:u w:val="single"/>
                <w:lang w:val="en-US" w:eastAsia="zh-CN" w:bidi="ar-SA"/>
              </w:rPr>
              <w:t xml:space="preserve">                </w:t>
            </w:r>
          </w:p>
          <w:p w14:paraId="09FC7395">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联系电话：</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125E5C06">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tc>
      </w:tr>
      <w:tr w14:paraId="6FD8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2E3BF218">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2AC6E684">
            <w:pPr>
              <w:spacing w:line="360" w:lineRule="auto"/>
              <w:rPr>
                <w:rFonts w:hint="eastAsia" w:ascii="仿宋" w:hAnsi="仿宋" w:eastAsia="仿宋" w:cs="仿宋"/>
                <w:color w:val="auto"/>
                <w:sz w:val="24"/>
                <w:szCs w:val="24"/>
                <w:highlight w:val="none"/>
              </w:rPr>
            </w:pPr>
          </w:p>
        </w:tc>
        <w:tc>
          <w:tcPr>
            <w:tcW w:w="4200" w:type="dxa"/>
          </w:tcPr>
          <w:p w14:paraId="3D995CF4">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r>
              <w:rPr>
                <w:rFonts w:hint="eastAsia" w:ascii="仿宋" w:hAnsi="仿宋" w:eastAsia="仿宋" w:cs="仿宋"/>
                <w:b/>
                <w:color w:val="auto"/>
                <w:sz w:val="24"/>
                <w:szCs w:val="24"/>
                <w:highlight w:val="none"/>
                <w:u w:val="single"/>
              </w:rPr>
              <w:t xml:space="preserve">     </w:t>
            </w:r>
          </w:p>
          <w:p w14:paraId="659769FE">
            <w:pPr>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50D1E1F8">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b/>
                <w:color w:val="auto"/>
                <w:sz w:val="24"/>
                <w:szCs w:val="24"/>
                <w:highlight w:val="none"/>
                <w:u w:val="single"/>
              </w:rPr>
              <w:t xml:space="preserve">         </w:t>
            </w:r>
          </w:p>
          <w:p w14:paraId="3F7B11F2">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14:paraId="4D2AA5B6">
            <w:pPr>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7AF64510">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tc>
        <w:tc>
          <w:tcPr>
            <w:tcW w:w="4857" w:type="dxa"/>
          </w:tcPr>
          <w:p w14:paraId="4F203F7C">
            <w:pPr>
              <w:adjustRightInd w:val="0"/>
              <w:snapToGrid w:val="0"/>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招标代理机构：</w:t>
            </w:r>
            <w:r>
              <w:rPr>
                <w:rFonts w:hint="eastAsia" w:ascii="仿宋" w:hAnsi="仿宋" w:eastAsia="仿宋" w:cs="仿宋"/>
                <w:b w:val="0"/>
                <w:bCs w:val="0"/>
                <w:color w:val="auto"/>
                <w:sz w:val="24"/>
                <w:szCs w:val="24"/>
                <w:highlight w:val="none"/>
                <w:u w:val="single"/>
              </w:rPr>
              <w:t xml:space="preserve">       </w:t>
            </w:r>
          </w:p>
          <w:p w14:paraId="1F87B092">
            <w:pPr>
              <w:adjustRightInd w:val="0"/>
              <w:snapToGrid w:val="0"/>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14:paraId="32454DD5">
            <w:pPr>
              <w:adjustRightInd w:val="0"/>
              <w:snapToGrid w:val="0"/>
              <w:spacing w:line="24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联 系 人：</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14:paraId="4697E10C">
            <w:pPr>
              <w:adjustRightInd w:val="0"/>
              <w:snapToGrid w:val="0"/>
              <w:spacing w:line="240" w:lineRule="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项目负责人：</w:t>
            </w:r>
            <w:r>
              <w:rPr>
                <w:rFonts w:hint="eastAsia" w:ascii="仿宋" w:hAnsi="仿宋" w:eastAsia="仿宋" w:cs="仿宋"/>
                <w:b w:val="0"/>
                <w:bCs w:val="0"/>
                <w:color w:val="auto"/>
                <w:sz w:val="24"/>
                <w:szCs w:val="24"/>
                <w:highlight w:val="none"/>
                <w:u w:val="single"/>
                <w:lang w:val="en-US" w:eastAsia="zh-CN"/>
              </w:rPr>
              <w:t xml:space="preserve">         </w:t>
            </w:r>
          </w:p>
          <w:p w14:paraId="4380245B">
            <w:pPr>
              <w:adjustRightInd w:val="0"/>
              <w:snapToGrid w:val="0"/>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    话：</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14:paraId="4DF11C9C">
            <w:pPr>
              <w:adjustRightInd w:val="0"/>
              <w:snapToGrid w:val="0"/>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r>
      <w:tr w14:paraId="2280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15" w:type="dxa"/>
            <w:vMerge w:val="restart"/>
            <w:vAlign w:val="center"/>
          </w:tcPr>
          <w:p w14:paraId="05FA429A">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设计</w:t>
            </w:r>
          </w:p>
        </w:tc>
        <w:tc>
          <w:tcPr>
            <w:tcW w:w="2268" w:type="dxa"/>
            <w:vMerge w:val="restart"/>
            <w:vAlign w:val="center"/>
          </w:tcPr>
          <w:p w14:paraId="68A91C55">
            <w:pP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第一章招标公告（适用于公开招标）、第一章 投标邀请书（适用于邀请招标）</w:t>
            </w:r>
          </w:p>
        </w:tc>
        <w:tc>
          <w:tcPr>
            <w:tcW w:w="4200" w:type="dxa"/>
            <w:vAlign w:val="top"/>
          </w:tcPr>
          <w:p w14:paraId="5D228DD6">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 联系方式</w:t>
            </w:r>
          </w:p>
        </w:tc>
        <w:tc>
          <w:tcPr>
            <w:tcW w:w="4857" w:type="dxa"/>
            <w:vAlign w:val="top"/>
          </w:tcPr>
          <w:p w14:paraId="3590633D">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9. 联系方式</w:t>
            </w:r>
          </w:p>
        </w:tc>
      </w:tr>
      <w:tr w14:paraId="578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5B291417">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57493CEC">
            <w:pPr>
              <w:spacing w:line="360" w:lineRule="auto"/>
              <w:rPr>
                <w:rFonts w:hint="eastAsia" w:ascii="仿宋" w:hAnsi="仿宋" w:eastAsia="仿宋" w:cs="仿宋"/>
                <w:color w:val="auto"/>
                <w:sz w:val="24"/>
                <w:szCs w:val="24"/>
                <w:highlight w:val="none"/>
              </w:rPr>
            </w:pPr>
          </w:p>
        </w:tc>
        <w:tc>
          <w:tcPr>
            <w:tcW w:w="4200" w:type="dxa"/>
            <w:vAlign w:val="top"/>
          </w:tcPr>
          <w:p w14:paraId="11E66B78">
            <w:pPr>
              <w:spacing w:line="240" w:lineRule="auto"/>
              <w:jc w:val="center"/>
              <w:rPr>
                <w:rFonts w:hint="eastAsia" w:ascii="仿宋" w:hAnsi="仿宋" w:eastAsia="仿宋" w:cs="仿宋"/>
                <w:color w:val="auto"/>
                <w:kern w:val="2"/>
                <w:sz w:val="24"/>
                <w:szCs w:val="24"/>
                <w:highlight w:val="none"/>
                <w:lang w:val="en-US" w:eastAsia="zh-CN" w:bidi="ar-SA"/>
              </w:rPr>
            </w:pPr>
          </w:p>
          <w:p w14:paraId="3B336661">
            <w:pPr>
              <w:spacing w:line="240" w:lineRule="auto"/>
              <w:ind w:firstLine="1680" w:firstLineChars="7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373D4EA1">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2C307F94">
            <w:pPr>
              <w:numPr>
                <w:ilvl w:val="0"/>
                <w:numId w:val="1"/>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行政监督部门</w:t>
            </w:r>
          </w:p>
          <w:p w14:paraId="34BB7ABC">
            <w:pPr>
              <w:numPr>
                <w:ilvl w:val="0"/>
                <w:numId w:val="0"/>
              </w:numPr>
              <w:spacing w:line="240"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单位名称：</w:t>
            </w:r>
            <w:r>
              <w:rPr>
                <w:rFonts w:hint="eastAsia" w:ascii="仿宋" w:hAnsi="仿宋" w:eastAsia="仿宋" w:cs="仿宋"/>
                <w:color w:val="auto"/>
                <w:kern w:val="2"/>
                <w:sz w:val="24"/>
                <w:szCs w:val="24"/>
                <w:highlight w:val="none"/>
                <w:u w:val="single"/>
                <w:lang w:val="en-US" w:eastAsia="zh-CN" w:bidi="ar-SA"/>
              </w:rPr>
              <w:t xml:space="preserve">           </w:t>
            </w:r>
          </w:p>
          <w:p w14:paraId="29067924">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联系电话：</w:t>
            </w:r>
            <w:r>
              <w:rPr>
                <w:rFonts w:hint="eastAsia" w:ascii="仿宋" w:hAnsi="仿宋" w:eastAsia="仿宋" w:cs="仿宋"/>
                <w:color w:val="auto"/>
                <w:kern w:val="2"/>
                <w:sz w:val="24"/>
                <w:szCs w:val="24"/>
                <w:highlight w:val="none"/>
                <w:u w:val="single"/>
                <w:lang w:val="en-US" w:eastAsia="zh-CN" w:bidi="ar-SA"/>
              </w:rPr>
              <w:t xml:space="preserve">           </w:t>
            </w:r>
          </w:p>
          <w:p w14:paraId="383127E3">
            <w:pPr>
              <w:numPr>
                <w:ilvl w:val="0"/>
                <w:numId w:val="0"/>
              </w:numPr>
              <w:spacing w:line="24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 xml:space="preserve">  </w:t>
            </w:r>
          </w:p>
        </w:tc>
      </w:tr>
      <w:tr w14:paraId="024D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66F34694">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7F97D41A">
            <w:pPr>
              <w:spacing w:line="360" w:lineRule="auto"/>
              <w:rPr>
                <w:rFonts w:hint="eastAsia" w:ascii="仿宋" w:hAnsi="仿宋" w:eastAsia="仿宋" w:cs="仿宋"/>
                <w:color w:val="auto"/>
                <w:sz w:val="24"/>
                <w:szCs w:val="24"/>
                <w:highlight w:val="none"/>
              </w:rPr>
            </w:pPr>
          </w:p>
        </w:tc>
        <w:tc>
          <w:tcPr>
            <w:tcW w:w="4200" w:type="dxa"/>
            <w:vAlign w:val="top"/>
          </w:tcPr>
          <w:p w14:paraId="531A46DD">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r>
              <w:rPr>
                <w:rFonts w:hint="eastAsia" w:ascii="仿宋" w:hAnsi="仿宋" w:eastAsia="仿宋" w:cs="仿宋"/>
                <w:b/>
                <w:color w:val="auto"/>
                <w:sz w:val="24"/>
                <w:szCs w:val="24"/>
                <w:highlight w:val="none"/>
                <w:u w:val="single"/>
              </w:rPr>
              <w:t xml:space="preserve">     </w:t>
            </w:r>
          </w:p>
          <w:p w14:paraId="36A72EC3">
            <w:pPr>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2789B4CA">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b/>
                <w:color w:val="auto"/>
                <w:sz w:val="24"/>
                <w:szCs w:val="24"/>
                <w:highlight w:val="none"/>
                <w:u w:val="single"/>
              </w:rPr>
              <w:t xml:space="preserve">         </w:t>
            </w:r>
          </w:p>
          <w:p w14:paraId="0CBE3F28">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14:paraId="537FF18C">
            <w:pPr>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3B805EEE">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tc>
        <w:tc>
          <w:tcPr>
            <w:tcW w:w="4857" w:type="dxa"/>
            <w:vAlign w:val="top"/>
          </w:tcPr>
          <w:p w14:paraId="1C351929">
            <w:pPr>
              <w:adjustRightInd w:val="0"/>
              <w:snapToGrid w:val="0"/>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招标代理机构：</w:t>
            </w:r>
            <w:r>
              <w:rPr>
                <w:rFonts w:hint="eastAsia" w:ascii="仿宋" w:hAnsi="仿宋" w:eastAsia="仿宋" w:cs="仿宋"/>
                <w:b w:val="0"/>
                <w:bCs w:val="0"/>
                <w:color w:val="auto"/>
                <w:sz w:val="24"/>
                <w:szCs w:val="24"/>
                <w:highlight w:val="none"/>
                <w:u w:val="single"/>
              </w:rPr>
              <w:t xml:space="preserve">       </w:t>
            </w:r>
          </w:p>
          <w:p w14:paraId="22AB5D34">
            <w:pPr>
              <w:adjustRightInd w:val="0"/>
              <w:snapToGrid w:val="0"/>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14:paraId="617304D3">
            <w:pPr>
              <w:adjustRightInd w:val="0"/>
              <w:snapToGrid w:val="0"/>
              <w:spacing w:line="24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联 系 人：</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14:paraId="5083B443">
            <w:pPr>
              <w:adjustRightInd w:val="0"/>
              <w:snapToGrid w:val="0"/>
              <w:spacing w:line="240" w:lineRule="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项目负责人：</w:t>
            </w:r>
            <w:r>
              <w:rPr>
                <w:rFonts w:hint="eastAsia" w:ascii="仿宋" w:hAnsi="仿宋" w:eastAsia="仿宋" w:cs="仿宋"/>
                <w:b w:val="0"/>
                <w:bCs w:val="0"/>
                <w:color w:val="auto"/>
                <w:sz w:val="24"/>
                <w:szCs w:val="24"/>
                <w:highlight w:val="none"/>
                <w:u w:val="single"/>
                <w:lang w:val="en-US" w:eastAsia="zh-CN"/>
              </w:rPr>
              <w:t xml:space="preserve">         </w:t>
            </w:r>
          </w:p>
          <w:p w14:paraId="7E575ACC">
            <w:pPr>
              <w:adjustRightInd w:val="0"/>
              <w:snapToGrid w:val="0"/>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    话：</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14:paraId="2A4D2834">
            <w:pPr>
              <w:adjustRightInd w:val="0"/>
              <w:snapToGrid w:val="0"/>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r>
      <w:tr w14:paraId="44C5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2115" w:type="dxa"/>
            <w:vAlign w:val="center"/>
          </w:tcPr>
          <w:p w14:paraId="417CE94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勘察、设计、勘察设计、监理</w:t>
            </w:r>
          </w:p>
        </w:tc>
        <w:tc>
          <w:tcPr>
            <w:tcW w:w="2268" w:type="dxa"/>
            <w:vAlign w:val="center"/>
          </w:tcPr>
          <w:p w14:paraId="37A21F6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第二章“投标人须知”前附表1.4.1</w:t>
            </w:r>
          </w:p>
        </w:tc>
        <w:tc>
          <w:tcPr>
            <w:tcW w:w="4200" w:type="dxa"/>
          </w:tcPr>
          <w:p w14:paraId="1F6BEC0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其他要求（多项选择）：</w:t>
            </w:r>
          </w:p>
          <w:p w14:paraId="787C19C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□企业注册地不在四川省行政区域内的省外企业须提供在有效期内的四川省住房和城乡建设厅官网已公开的入川信息网页截图。</w:t>
            </w:r>
          </w:p>
          <w:p w14:paraId="36506ED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tc>
        <w:tc>
          <w:tcPr>
            <w:tcW w:w="4857" w:type="dxa"/>
          </w:tcPr>
          <w:p w14:paraId="121DBEC7">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5B71A9E6">
            <w:pPr>
              <w:numPr>
                <w:ilvl w:val="0"/>
                <w:numId w:val="0"/>
              </w:numPr>
              <w:spacing w:line="360" w:lineRule="auto"/>
              <w:rPr>
                <w:rFonts w:hint="eastAsia" w:ascii="仿宋" w:hAnsi="仿宋" w:eastAsia="仿宋" w:cs="仿宋"/>
                <w:color w:val="auto"/>
                <w:sz w:val="24"/>
                <w:szCs w:val="24"/>
                <w:highlight w:val="none"/>
              </w:rPr>
            </w:pPr>
          </w:p>
        </w:tc>
      </w:tr>
      <w:tr w14:paraId="0D0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5" w:type="dxa"/>
            <w:vAlign w:val="center"/>
          </w:tcPr>
          <w:p w14:paraId="643E096F">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施工、设计施工总承包</w:t>
            </w:r>
          </w:p>
        </w:tc>
        <w:tc>
          <w:tcPr>
            <w:tcW w:w="2268" w:type="dxa"/>
            <w:vAlign w:val="center"/>
          </w:tcPr>
          <w:p w14:paraId="0C45FA1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第二章投标人须知前附表1.4.1</w:t>
            </w:r>
          </w:p>
        </w:tc>
        <w:tc>
          <w:tcPr>
            <w:tcW w:w="4200" w:type="dxa"/>
            <w:vAlign w:val="center"/>
          </w:tcPr>
          <w:p w14:paraId="0A11C740">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0C4E782B">
            <w:pPr>
              <w:adjustRightInd w:val="0"/>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lang w:val="en-US" w:eastAsia="zh-CN" w:bidi="ar-SA"/>
              </w:rPr>
              <w:t>企业注册地不在四川省行政区域内的省外企业须提供在有效期内的四川省住房和城乡建设厅官网已公开的入川信息网页截图。</w:t>
            </w:r>
          </w:p>
          <w:p w14:paraId="1D4DB45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tc>
        <w:tc>
          <w:tcPr>
            <w:tcW w:w="4857" w:type="dxa"/>
            <w:vAlign w:val="top"/>
          </w:tcPr>
          <w:p w14:paraId="50D3B1A5">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w:t>
            </w:r>
          </w:p>
          <w:p w14:paraId="25D2CEAF">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7C40AC6C">
            <w:pPr>
              <w:pStyle w:val="8"/>
              <w:widowControl/>
              <w:spacing w:beforeAutospacing="0" w:afterAutospacing="0"/>
              <w:jc w:val="both"/>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0"/>
                <w:sz w:val="24"/>
                <w:szCs w:val="24"/>
                <w:highlight w:val="none"/>
                <w:lang w:val="en-US" w:eastAsia="zh-CN" w:bidi="ar-SA"/>
              </w:rPr>
              <w:t>本次招标仅面向中小企业发包（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其中属于大企业的分支机构、存在控股股东为大企业、与大企业的负责人为同一人的情形的企业均不属于中小企业。若为联合体投标的，联合体所有单位均应属于中小企业</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（除技术复杂、存在特殊要求外，我省依法必须招标的国家投资工程，招标控制价在3000万元以下的施工项目(标段) 应勾选此项。）</w:t>
            </w:r>
          </w:p>
          <w:p w14:paraId="7D5B2CD4">
            <w:pPr>
              <w:pStyle w:val="8"/>
              <w:widowControl/>
              <w:spacing w:beforeAutospacing="0" w:afterAutospacing="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p w14:paraId="7105E018">
            <w:pPr>
              <w:pStyle w:val="8"/>
              <w:widowControl/>
              <w:spacing w:beforeAutospacing="0" w:afterAutospacing="0"/>
              <w:jc w:val="both"/>
              <w:rPr>
                <w:rFonts w:hint="eastAsia" w:ascii="仿宋" w:hAnsi="仿宋" w:eastAsia="仿宋" w:cs="仿宋"/>
                <w:color w:val="auto"/>
                <w:kern w:val="0"/>
                <w:sz w:val="24"/>
                <w:szCs w:val="24"/>
                <w:highlight w:val="none"/>
                <w:lang w:val="en-US" w:eastAsia="zh-CN" w:bidi="ar-SA"/>
              </w:rPr>
            </w:pPr>
          </w:p>
          <w:p w14:paraId="048AEFCB">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w:t>
            </w:r>
          </w:p>
          <w:p w14:paraId="488541A3">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3131158E">
            <w:pPr>
              <w:pStyle w:val="8"/>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0"/>
                <w:sz w:val="24"/>
                <w:szCs w:val="24"/>
                <w:highlight w:val="none"/>
                <w:lang w:val="en-US" w:eastAsia="zh-CN" w:bidi="ar-SA"/>
              </w:rPr>
              <w:t>本次招标范围中施工部分的工作仅面向中小企业发包（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若为联合体投标的，本项目联合体协议书中职责分工为承揽施工工作的所有单位均应属于中小企业</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（除技术复杂、存在特殊要求外，我省依法必须招标的国家投资工程，施工部分招标控制价在3000万元以下的，应勾选此项。）</w:t>
            </w:r>
          </w:p>
          <w:p w14:paraId="11D46DEF">
            <w:pPr>
              <w:pStyle w:val="8"/>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tc>
      </w:tr>
      <w:tr w14:paraId="2CF3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5" w:type="dxa"/>
            <w:vAlign w:val="center"/>
          </w:tcPr>
          <w:p w14:paraId="5064559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56D76610">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第二章“投标人须知”前附表3.4.4</w:t>
            </w:r>
          </w:p>
        </w:tc>
        <w:tc>
          <w:tcPr>
            <w:tcW w:w="4200" w:type="dxa"/>
            <w:vAlign w:val="center"/>
          </w:tcPr>
          <w:p w14:paraId="3D4BA69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在投标活动中，投标人串通投标、弄虚作假，中标人在收到中标通知书后，无正当理由拒签合同协议书的，投标保证金也不予退还。</w:t>
            </w:r>
          </w:p>
        </w:tc>
        <w:tc>
          <w:tcPr>
            <w:tcW w:w="4857" w:type="dxa"/>
          </w:tcPr>
          <w:p w14:paraId="4AA4758D">
            <w:pPr>
              <w:pStyle w:val="8"/>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在投</w:t>
            </w:r>
            <w:r>
              <w:rPr>
                <w:rFonts w:hint="eastAsia" w:ascii="仿宋" w:hAnsi="仿宋" w:eastAsia="仿宋" w:cs="仿宋"/>
                <w:b w:val="0"/>
                <w:bCs w:val="0"/>
                <w:color w:val="auto"/>
                <w:kern w:val="2"/>
                <w:sz w:val="24"/>
                <w:szCs w:val="24"/>
                <w:highlight w:val="none"/>
                <w:lang w:val="en-US" w:eastAsia="zh-CN" w:bidi="ar-SA"/>
              </w:rPr>
              <w:t>标活动中，投标人串通投标、弄虚作假、隐瞒限制投标情形，</w:t>
            </w:r>
            <w:r>
              <w:rPr>
                <w:rFonts w:hint="eastAsia" w:ascii="仿宋" w:hAnsi="仿宋" w:eastAsia="仿宋" w:cs="仿宋"/>
                <w:color w:val="auto"/>
                <w:kern w:val="2"/>
                <w:sz w:val="24"/>
                <w:szCs w:val="24"/>
                <w:highlight w:val="none"/>
                <w:lang w:val="en-US" w:eastAsia="zh-CN" w:bidi="ar-SA"/>
              </w:rPr>
              <w:t>确定中标人前放弃中标候选人资格的，中标人在收到中标通知书后，无正当理由拒签合同协议书的，投标保证金也不予退还。</w:t>
            </w:r>
          </w:p>
        </w:tc>
      </w:tr>
      <w:tr w14:paraId="54FE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1D5908B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施工、设计施工总承包</w:t>
            </w:r>
          </w:p>
        </w:tc>
        <w:tc>
          <w:tcPr>
            <w:tcW w:w="2268" w:type="dxa"/>
            <w:vAlign w:val="center"/>
          </w:tcPr>
          <w:p w14:paraId="78CE7A21">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第二章“投标人须知”前附表3.7.3</w:t>
            </w:r>
          </w:p>
        </w:tc>
        <w:tc>
          <w:tcPr>
            <w:tcW w:w="4200" w:type="dxa"/>
            <w:vAlign w:val="center"/>
          </w:tcPr>
          <w:p w14:paraId="5A42DE97">
            <w:p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p>
          <w:p w14:paraId="680250FF">
            <w:pPr>
              <w:numPr>
                <w:ilvl w:val="0"/>
                <w:numId w:val="2"/>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据电文形式投标文件所有要求盖章的地方，除已标价工程量清单扉页和联合体协议书外，均应加盖投标人（联合体投标的，为联合体牵头人）电子印章，已标价工程量清单扉页和联合体协议书上传签字、盖章的扫描件。</w:t>
            </w:r>
          </w:p>
          <w:p w14:paraId="0C946AE7">
            <w:pPr>
              <w:numPr>
                <w:ilvl w:val="0"/>
                <w:numId w:val="0"/>
              </w:num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w:t>
            </w:r>
          </w:p>
          <w:p w14:paraId="110C7A2D">
            <w:pPr>
              <w:numPr>
                <w:ilvl w:val="0"/>
                <w:numId w:val="0"/>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（3）数据电文形式投标文件所有要求盖章的地方，除投标总价扉页和联合体协议书外，均应加盖投标人（联合体投标的，为联合体牵头人）电子印章，投标总价扉页和联合体协议书上传签字、盖章的扫描件。</w:t>
            </w:r>
          </w:p>
        </w:tc>
        <w:tc>
          <w:tcPr>
            <w:tcW w:w="4857" w:type="dxa"/>
          </w:tcPr>
          <w:p w14:paraId="60F6424E">
            <w:p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p>
          <w:p w14:paraId="7B42C10E">
            <w:pPr>
              <w:numPr>
                <w:ilvl w:val="0"/>
                <w:numId w:val="0"/>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（3）数据电文形式投标文件所有要求盖章的地方，除已标价工程量清单扉页和联合体协议书外，均应加盖投标人（联合体投标的，为联合体牵头人）电子印章，</w:t>
            </w:r>
            <w:bookmarkStart w:id="6" w:name="OLE_LINK17"/>
            <w:r>
              <w:rPr>
                <w:rFonts w:hint="eastAsia" w:ascii="仿宋" w:hAnsi="仿宋" w:eastAsia="仿宋" w:cs="仿宋"/>
                <w:color w:val="auto"/>
                <w:kern w:val="2"/>
                <w:sz w:val="24"/>
                <w:szCs w:val="24"/>
                <w:highlight w:val="none"/>
                <w:u w:val="none"/>
                <w:lang w:val="en-US" w:eastAsia="zh-CN" w:bidi="ar-SA"/>
              </w:rPr>
              <w:t>已标价工程量清单扉页和联合体协议书上传签字、盖章的扫描件</w:t>
            </w:r>
            <w:bookmarkStart w:id="7" w:name="OLE_LINK19"/>
            <w:r>
              <w:rPr>
                <w:rFonts w:hint="eastAsia" w:ascii="仿宋" w:hAnsi="仿宋" w:eastAsia="仿宋" w:cs="仿宋"/>
                <w:color w:val="auto"/>
                <w:kern w:val="2"/>
                <w:sz w:val="24"/>
                <w:szCs w:val="24"/>
                <w:highlight w:val="none"/>
                <w:u w:val="none"/>
                <w:lang w:val="en-US" w:eastAsia="zh-CN" w:bidi="ar-SA"/>
              </w:rPr>
              <w:t>。</w:t>
            </w:r>
            <w:bookmarkStart w:id="8" w:name="OLE_LINK8"/>
            <w:r>
              <w:rPr>
                <w:rFonts w:hint="eastAsia" w:ascii="仿宋" w:hAnsi="仿宋" w:eastAsia="仿宋" w:cs="仿宋"/>
                <w:color w:val="auto"/>
                <w:kern w:val="2"/>
                <w:sz w:val="24"/>
                <w:szCs w:val="24"/>
                <w:highlight w:val="none"/>
                <w:u w:val="none"/>
                <w:lang w:val="en-US" w:eastAsia="zh-CN" w:bidi="ar-SA"/>
              </w:rPr>
              <w:t>联合体其他成员的中小企业声明函</w:t>
            </w:r>
            <w:bookmarkEnd w:id="7"/>
            <w:r>
              <w:rPr>
                <w:rFonts w:hint="eastAsia" w:ascii="仿宋" w:hAnsi="仿宋" w:eastAsia="仿宋" w:cs="仿宋"/>
                <w:color w:val="auto"/>
                <w:kern w:val="2"/>
                <w:sz w:val="24"/>
                <w:szCs w:val="24"/>
                <w:highlight w:val="none"/>
                <w:u w:val="none"/>
                <w:lang w:val="en-US" w:eastAsia="zh-CN" w:bidi="ar-SA"/>
              </w:rPr>
              <w:t>上传盖章的扫描件</w:t>
            </w:r>
            <w:bookmarkEnd w:id="6"/>
            <w:r>
              <w:rPr>
                <w:rFonts w:hint="eastAsia" w:ascii="仿宋" w:hAnsi="仿宋" w:eastAsia="仿宋" w:cs="仿宋"/>
                <w:color w:val="auto"/>
                <w:kern w:val="2"/>
                <w:sz w:val="24"/>
                <w:szCs w:val="24"/>
                <w:highlight w:val="none"/>
                <w:lang w:val="en-US" w:eastAsia="zh-CN" w:bidi="ar-SA"/>
              </w:rPr>
              <w:t>。</w:t>
            </w:r>
            <w:bookmarkEnd w:id="8"/>
          </w:p>
          <w:p w14:paraId="1DD9F36F">
            <w:pPr>
              <w:numPr>
                <w:ilvl w:val="0"/>
                <w:numId w:val="0"/>
              </w:num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w:t>
            </w:r>
          </w:p>
          <w:p w14:paraId="4DCF5103">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（3）数据电文形式投标文件所有要求盖章的地方，除投标总价扉页、联合体协议书外，均应加盖投标人（联合体投标的，为联合体牵头人）电子印章，投标总价扉页和联合体协议书上传签字、盖章的扫描件。</w:t>
            </w:r>
            <w:r>
              <w:rPr>
                <w:rFonts w:hint="eastAsia" w:ascii="仿宋" w:hAnsi="仿宋" w:eastAsia="仿宋" w:cs="仿宋"/>
                <w:color w:val="auto"/>
                <w:kern w:val="2"/>
                <w:sz w:val="24"/>
                <w:szCs w:val="24"/>
                <w:highlight w:val="none"/>
                <w:u w:val="none"/>
                <w:lang w:val="en-US" w:eastAsia="zh-CN" w:bidi="ar-SA"/>
              </w:rPr>
              <w:t>联合体其他成员的中小企业声明函上传盖章的扫描件</w:t>
            </w:r>
            <w:r>
              <w:rPr>
                <w:rFonts w:hint="eastAsia" w:ascii="仿宋" w:hAnsi="仿宋" w:eastAsia="仿宋" w:cs="仿宋"/>
                <w:color w:val="auto"/>
                <w:kern w:val="2"/>
                <w:sz w:val="24"/>
                <w:szCs w:val="24"/>
                <w:highlight w:val="none"/>
                <w:lang w:val="en-US" w:eastAsia="zh-CN" w:bidi="ar-SA"/>
              </w:rPr>
              <w:t>。</w:t>
            </w:r>
          </w:p>
        </w:tc>
      </w:tr>
      <w:tr w14:paraId="699B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570A9BDF">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47CA9D8B">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第二章“投标人须知”前附表5.2</w:t>
            </w:r>
          </w:p>
        </w:tc>
        <w:tc>
          <w:tcPr>
            <w:tcW w:w="4200" w:type="dxa"/>
            <w:vAlign w:val="center"/>
          </w:tcPr>
          <w:p w14:paraId="7BB94A69">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bookmarkStart w:id="9" w:name="OLE_LINK9"/>
            <w:r>
              <w:rPr>
                <w:rFonts w:hint="eastAsia" w:ascii="仿宋" w:hAnsi="仿宋" w:eastAsia="仿宋" w:cs="仿宋"/>
                <w:color w:val="auto"/>
                <w:kern w:val="2"/>
                <w:sz w:val="24"/>
                <w:szCs w:val="24"/>
                <w:highlight w:val="none"/>
                <w:lang w:val="en-US" w:eastAsia="zh-CN" w:bidi="ar-SA"/>
              </w:rPr>
              <w:t>...</w:t>
            </w:r>
          </w:p>
          <w:p w14:paraId="3A75E08E">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（2）投标截止时间后，招标人或其委托代理机构在开标系统中组织线上开标，系统将自动展示所有参与项目的投标人名单、投标保证金递交情况等相关信息。</w:t>
            </w:r>
          </w:p>
          <w:p w14:paraId="0E72BCCC">
            <w:pPr>
              <w:adjustRightInd w:val="0"/>
              <w:snapToGrid w:val="0"/>
              <w:spacing w:line="360" w:lineRule="auto"/>
              <w:ind w:firstLine="720" w:firstLineChars="3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bookmarkEnd w:id="9"/>
          <w:p w14:paraId="78931B24">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投标人最迟应在完成上述第（5）项程序后10分钟内在线提出异议，招标人或其委托招标代理机构在线即时答复处理。如投标人未提出异议的，视为其认可开标过程、开标内容和开标结果。</w:t>
            </w:r>
          </w:p>
          <w:p w14:paraId="16637722">
            <w:pP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投标文件无法导入开标系统或未解密的，视为撤回其投标文件。已导入电子开标系统但无法导入电子评标系统的，招标人（或招标代理机构）做好开标记录，其投标文件由评标委员会作否决处理。</w:t>
            </w:r>
          </w:p>
        </w:tc>
        <w:tc>
          <w:tcPr>
            <w:tcW w:w="4857" w:type="dxa"/>
          </w:tcPr>
          <w:p w14:paraId="43792AD3">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3D695326">
            <w:pPr>
              <w:adjustRightInd w:val="0"/>
              <w:snapToGrid w:val="0"/>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（2）投标截止时间后，招标人或其委托招标代理机构在开标系统中组织线上开标，系统将自动展示所有参与项目的投标人名单、投标保证金递交情况等相关</w:t>
            </w:r>
            <w:r>
              <w:rPr>
                <w:rFonts w:hint="eastAsia" w:ascii="仿宋" w:hAnsi="仿宋" w:eastAsia="仿宋" w:cs="仿宋"/>
                <w:b w:val="0"/>
                <w:bCs w:val="0"/>
                <w:color w:val="auto"/>
                <w:kern w:val="2"/>
                <w:sz w:val="24"/>
                <w:szCs w:val="24"/>
                <w:highlight w:val="none"/>
                <w:lang w:val="en-US" w:eastAsia="zh-CN" w:bidi="ar-SA"/>
              </w:rPr>
              <w:t>信息。在四川省公共资源交易信息网“曝光台”查询公告信息，对处于被禁止参与投标期限内企业的投标文件，予以拒绝接收。</w:t>
            </w:r>
          </w:p>
          <w:p w14:paraId="2FD6CFF6">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392F1B94">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投标人最迟应在完成上述第（5）项程序后10分钟内在线提出异议，招标人或其委托招标代理机构在线即时答复处理。如投标人未提出异议的，视为其认可开标过程、开标内容和开标结果。</w:t>
            </w:r>
          </w:p>
          <w:p w14:paraId="38FEE7CB">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因投标人原因造成投标文件未解密的，视为撤销其投标文件；因投标人之外的原因造成投标文件未解密的，视为撤回其投标文件。</w:t>
            </w:r>
          </w:p>
          <w:p w14:paraId="314737BD">
            <w:pPr>
              <w:pStyle w:val="8"/>
              <w:widowControl/>
              <w:spacing w:beforeAutospacing="0" w:afterAutospacing="0"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已导入电子开标系统但无法导入电子评标系统的，招标人（或招标代理机构）做好开标记录，其投标文件由评标委员会作否决处理。</w:t>
            </w:r>
          </w:p>
        </w:tc>
      </w:tr>
      <w:tr w14:paraId="4AB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shd w:val="clear" w:color="auto" w:fill="auto"/>
            <w:vAlign w:val="center"/>
          </w:tcPr>
          <w:p w14:paraId="67892EE4">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shd w:val="clear" w:color="auto" w:fill="auto"/>
            <w:vAlign w:val="center"/>
          </w:tcPr>
          <w:p w14:paraId="57075E1C">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第二章“投标人须知”前附表“中标候选人公示媒介及期限”</w:t>
            </w:r>
          </w:p>
        </w:tc>
        <w:tc>
          <w:tcPr>
            <w:tcW w:w="4200" w:type="dxa"/>
            <w:shd w:val="clear" w:color="auto" w:fill="auto"/>
            <w:vAlign w:val="top"/>
          </w:tcPr>
          <w:p w14:paraId="03505F9D">
            <w:pPr>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公示期限：5个工作日</w:t>
            </w:r>
          </w:p>
        </w:tc>
        <w:tc>
          <w:tcPr>
            <w:tcW w:w="4857" w:type="dxa"/>
            <w:shd w:val="clear" w:color="auto" w:fill="auto"/>
            <w:vAlign w:val="top"/>
          </w:tcPr>
          <w:p w14:paraId="22378E69">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勘察、设计、勘察设计、监理、设备采购、材料采购：7.1</w:t>
            </w:r>
          </w:p>
          <w:p w14:paraId="31CEAA34">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施工：10.13</w:t>
            </w:r>
          </w:p>
          <w:p w14:paraId="052AAF1D">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设计施工总承包：7.2</w:t>
            </w:r>
          </w:p>
          <w:p w14:paraId="15E7A0A7">
            <w:pPr>
              <w:adjustRightInd w:val="0"/>
              <w:snapToGrid w:val="0"/>
              <w:spacing w:line="360" w:lineRule="auto"/>
              <w:rPr>
                <w:rFonts w:hint="eastAsia" w:ascii="仿宋" w:hAnsi="仿宋" w:eastAsia="仿宋" w:cs="仿宋"/>
                <w:b/>
                <w:bCs/>
                <w:color w:val="auto"/>
                <w:sz w:val="24"/>
                <w:szCs w:val="24"/>
                <w:highlight w:val="none"/>
                <w:lang w:val="en-US" w:eastAsia="zh-CN"/>
              </w:rPr>
            </w:pPr>
          </w:p>
          <w:p w14:paraId="68124C0F">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公示期限：不少于3日，</w:t>
            </w:r>
            <w:r>
              <w:rPr>
                <w:rFonts w:hint="eastAsia" w:ascii="仿宋" w:hAnsi="仿宋" w:eastAsia="仿宋" w:cs="仿宋"/>
                <w:b w:val="0"/>
                <w:bCs w:val="0"/>
                <w:color w:val="auto"/>
                <w:sz w:val="24"/>
                <w:szCs w:val="24"/>
                <w:highlight w:val="none"/>
                <w:lang w:val="en-US" w:eastAsia="zh-CN"/>
              </w:rPr>
              <w:t>公示期</w:t>
            </w:r>
            <w:r>
              <w:rPr>
                <w:rFonts w:hint="eastAsia" w:ascii="仿宋" w:hAnsi="仿宋" w:eastAsia="仿宋" w:cs="仿宋"/>
                <w:b w:val="0"/>
                <w:bCs w:val="0"/>
                <w:color w:val="auto"/>
                <w:sz w:val="24"/>
                <w:szCs w:val="24"/>
                <w:highlight w:val="none"/>
              </w:rPr>
              <w:t>最后一日</w:t>
            </w:r>
            <w:r>
              <w:rPr>
                <w:rFonts w:hint="eastAsia" w:ascii="仿宋" w:hAnsi="仿宋" w:eastAsia="仿宋" w:cs="仿宋"/>
                <w:b w:val="0"/>
                <w:bCs w:val="0"/>
                <w:color w:val="auto"/>
                <w:sz w:val="24"/>
                <w:szCs w:val="24"/>
                <w:highlight w:val="none"/>
                <w:lang w:val="en-US" w:eastAsia="zh-CN"/>
              </w:rPr>
              <w:t>应为工作日</w:t>
            </w:r>
            <w:r>
              <w:rPr>
                <w:rFonts w:hint="eastAsia" w:ascii="仿宋" w:hAnsi="仿宋" w:eastAsia="仿宋" w:cs="仿宋"/>
                <w:b w:val="0"/>
                <w:bCs w:val="0"/>
                <w:color w:val="auto"/>
                <w:sz w:val="24"/>
                <w:szCs w:val="24"/>
                <w:highlight w:val="none"/>
              </w:rPr>
              <w:t>。</w:t>
            </w:r>
          </w:p>
        </w:tc>
      </w:tr>
      <w:tr w14:paraId="0544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15" w:type="dxa"/>
            <w:vAlign w:val="center"/>
          </w:tcPr>
          <w:p w14:paraId="3CFD3BE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tc>
        <w:tc>
          <w:tcPr>
            <w:tcW w:w="2268" w:type="dxa"/>
            <w:vAlign w:val="center"/>
          </w:tcPr>
          <w:p w14:paraId="0AD1C8FE">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第二章“投标人须知”前附表10.7</w:t>
            </w:r>
          </w:p>
        </w:tc>
        <w:tc>
          <w:tcPr>
            <w:tcW w:w="4200" w:type="dxa"/>
            <w:vAlign w:val="top"/>
          </w:tcPr>
          <w:p w14:paraId="542783B2">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2）《建设工程工程量清单计价规范》（GB50500-2013）第3.4.1条：“建设工程承发包，必须在招标文件、合同中明确计价中的风险内容及其范围，不得采用无限风险、所有风险或类似语句规定计价中的风险内容及范围。”</w:t>
            </w:r>
          </w:p>
        </w:tc>
        <w:tc>
          <w:tcPr>
            <w:tcW w:w="4857" w:type="dxa"/>
            <w:vAlign w:val="top"/>
          </w:tcPr>
          <w:p w14:paraId="062B186F">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2）《建设工程工程量清单计价标准》（GB/T50500-2024）第3.3.1条：“建设工程的施工发承包，应在招标文件、合同中明确计量与计价的风险内容及其范围，不得采用无限风险、所有风险或类似语句约定工程计量与计价中的风险内容及范围。”</w:t>
            </w:r>
          </w:p>
        </w:tc>
      </w:tr>
      <w:tr w14:paraId="4F18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15" w:type="dxa"/>
            <w:vAlign w:val="center"/>
          </w:tcPr>
          <w:p w14:paraId="0EB23796">
            <w:pPr>
              <w:jc w:val="center"/>
              <w:rPr>
                <w:rFonts w:hint="eastAsia" w:ascii="仿宋" w:hAnsi="仿宋" w:eastAsia="仿宋" w:cs="仿宋"/>
                <w:color w:val="auto"/>
                <w:kern w:val="2"/>
                <w:sz w:val="24"/>
                <w:szCs w:val="24"/>
                <w:highlight w:val="none"/>
                <w:lang w:val="en-US" w:eastAsia="zh-CN" w:bidi="ar-SA"/>
              </w:rPr>
            </w:pPr>
          </w:p>
          <w:p w14:paraId="59416370">
            <w:pPr>
              <w:jc w:val="center"/>
              <w:rPr>
                <w:rFonts w:hint="eastAsia" w:ascii="仿宋" w:hAnsi="仿宋" w:eastAsia="仿宋" w:cs="仿宋"/>
                <w:color w:val="auto"/>
                <w:kern w:val="2"/>
                <w:sz w:val="24"/>
                <w:szCs w:val="24"/>
                <w:highlight w:val="none"/>
                <w:lang w:val="en-US" w:eastAsia="zh-CN" w:bidi="ar-SA"/>
              </w:rPr>
            </w:pPr>
          </w:p>
          <w:p w14:paraId="0BB9C324">
            <w:pPr>
              <w:jc w:val="center"/>
              <w:rPr>
                <w:rFonts w:hint="eastAsia" w:ascii="仿宋" w:hAnsi="仿宋" w:eastAsia="仿宋" w:cs="仿宋"/>
                <w:color w:val="auto"/>
                <w:kern w:val="2"/>
                <w:sz w:val="24"/>
                <w:szCs w:val="24"/>
                <w:highlight w:val="none"/>
                <w:lang w:val="en-US" w:eastAsia="zh-CN" w:bidi="ar-SA"/>
              </w:rPr>
            </w:pPr>
          </w:p>
          <w:p w14:paraId="7680BC2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4C9696E3">
            <w:pPr>
              <w:jc w:val="center"/>
              <w:rPr>
                <w:rFonts w:hint="eastAsia" w:ascii="仿宋" w:hAnsi="仿宋" w:eastAsia="仿宋" w:cs="仿宋"/>
                <w:color w:val="auto"/>
                <w:kern w:val="2"/>
                <w:sz w:val="24"/>
                <w:szCs w:val="24"/>
                <w:highlight w:val="none"/>
                <w:lang w:val="en-US" w:eastAsia="zh-CN" w:bidi="ar-SA"/>
              </w:rPr>
            </w:pPr>
          </w:p>
          <w:p w14:paraId="3A16CBE9">
            <w:pPr>
              <w:jc w:val="center"/>
              <w:rPr>
                <w:rFonts w:hint="eastAsia" w:ascii="仿宋" w:hAnsi="仿宋" w:eastAsia="仿宋" w:cs="仿宋"/>
                <w:color w:val="auto"/>
                <w:kern w:val="2"/>
                <w:sz w:val="24"/>
                <w:szCs w:val="24"/>
                <w:highlight w:val="none"/>
                <w:lang w:val="en-US" w:eastAsia="zh-CN" w:bidi="ar-SA"/>
              </w:rPr>
            </w:pPr>
          </w:p>
          <w:p w14:paraId="117C6063">
            <w:pPr>
              <w:jc w:val="center"/>
              <w:rPr>
                <w:rFonts w:hint="eastAsia" w:ascii="仿宋" w:hAnsi="仿宋" w:eastAsia="仿宋" w:cs="仿宋"/>
                <w:color w:val="auto"/>
                <w:kern w:val="2"/>
                <w:sz w:val="24"/>
                <w:szCs w:val="24"/>
                <w:highlight w:val="none"/>
                <w:lang w:val="en-US" w:eastAsia="zh-CN" w:bidi="ar-SA"/>
              </w:rPr>
            </w:pPr>
          </w:p>
          <w:p w14:paraId="241141EC">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第二章“投标人须知”前附表增加条款表</w:t>
            </w:r>
          </w:p>
        </w:tc>
        <w:tc>
          <w:tcPr>
            <w:tcW w:w="4200" w:type="dxa"/>
            <w:vAlign w:val="center"/>
          </w:tcPr>
          <w:p w14:paraId="7A6224AB">
            <w:pPr>
              <w:ind w:firstLine="1680" w:firstLineChars="700"/>
              <w:jc w:val="left"/>
              <w:rPr>
                <w:rFonts w:hint="eastAsia" w:ascii="仿宋" w:hAnsi="仿宋" w:eastAsia="仿宋" w:cs="仿宋"/>
                <w:color w:val="auto"/>
                <w:sz w:val="24"/>
                <w:szCs w:val="24"/>
                <w:highlight w:val="none"/>
                <w:lang w:val="en-US" w:eastAsia="zh-CN"/>
              </w:rPr>
            </w:pPr>
          </w:p>
          <w:p w14:paraId="7C7E6867">
            <w:pPr>
              <w:ind w:firstLine="1680" w:firstLineChars="700"/>
              <w:jc w:val="left"/>
              <w:rPr>
                <w:rFonts w:hint="eastAsia" w:ascii="仿宋" w:hAnsi="仿宋" w:eastAsia="仿宋" w:cs="仿宋"/>
                <w:color w:val="auto"/>
                <w:sz w:val="24"/>
                <w:szCs w:val="24"/>
                <w:highlight w:val="none"/>
                <w:lang w:val="en-US" w:eastAsia="zh-CN"/>
              </w:rPr>
            </w:pPr>
          </w:p>
          <w:p w14:paraId="69916C64">
            <w:pPr>
              <w:ind w:firstLine="1680" w:firstLineChars="7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tcPr>
          <w:p w14:paraId="48DD9430">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勘察、设计、勘察设计、监理新增：10.10</w:t>
            </w:r>
          </w:p>
          <w:p w14:paraId="01BAE410">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施工新增：10.15</w:t>
            </w:r>
          </w:p>
          <w:p w14:paraId="1DF54EC1">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设计施工总承包新增：9.14</w:t>
            </w:r>
          </w:p>
          <w:p w14:paraId="27C00E30">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设备采购、材料采购新增：10.9</w:t>
            </w:r>
          </w:p>
          <w:p w14:paraId="0DC4EFEF">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以下情形视为第三章“评标办法”第3.1.2（2）项的“串通投标”情形，评标委员会应按照评标办法“注（7）”的规定进行认定处理，可以视情况要求投标人予以澄清、说明：</w:t>
            </w:r>
          </w:p>
          <w:p w14:paraId="266E57A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（1）不同投标人的投标文件由同一单位或者个人编制〔包括但不限于：a.同一标段的不同投标人电子投标文件编制时的机器码(计算机网卡MAC 地址、CPU 编号和硬盘信息)均相同的；b.不同投标人的投标价格清单的计价软件编号、机器码任一条相同的〕。 </w:t>
            </w:r>
          </w:p>
          <w:p w14:paraId="609E7BC9">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不同投标人委托同一单位或者个人办理投标事宜〔包括但不限于：a.不同投标人从同一投标单位或同一自然人的互联网协议（IP）地址上传投标文件；b.购买电子保函或参加投标活动的人员为同一标段其他投标人的在职人员〕。 </w:t>
            </w:r>
          </w:p>
          <w:p w14:paraId="4BA4B4A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（3）不同投标人的投标文件载明的项目管理成员为同一人。 </w:t>
            </w:r>
          </w:p>
          <w:p w14:paraId="756E94D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（4）不同投标人的投标文件异常一致或者投标报价呈规律性差异。 </w:t>
            </w:r>
          </w:p>
          <w:p w14:paraId="073724D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（5）不同投标人的投标文件相互混装。 </w:t>
            </w:r>
          </w:p>
          <w:p w14:paraId="7901B8B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（6）不同投标人的投标保证金从同一单位或者个人的账户转出（包括但不限于：不同投标人通过同一单位或者个人账户购买电子保函）。</w:t>
            </w:r>
          </w:p>
          <w:p w14:paraId="5DDC6358">
            <w:pPr>
              <w:pStyle w:val="8"/>
              <w:widowControl/>
              <w:spacing w:beforeAutospacing="0" w:afterAutospacing="0" w:line="360" w:lineRule="auto"/>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评标委员会发现的以上情形，招标人应在评标结束后及时向有关行政监督部门报告。</w:t>
            </w:r>
          </w:p>
        </w:tc>
      </w:tr>
      <w:tr w14:paraId="057B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15" w:type="dxa"/>
            <w:vAlign w:val="center"/>
          </w:tcPr>
          <w:p w14:paraId="21BA47E6">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w:t>
            </w:r>
          </w:p>
        </w:tc>
        <w:tc>
          <w:tcPr>
            <w:tcW w:w="2268" w:type="dxa"/>
            <w:vAlign w:val="center"/>
          </w:tcPr>
          <w:p w14:paraId="6968197A">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 是否采用“暗标”评审方式</w:t>
            </w:r>
          </w:p>
        </w:tc>
        <w:tc>
          <w:tcPr>
            <w:tcW w:w="4200" w:type="dxa"/>
            <w:vAlign w:val="top"/>
          </w:tcPr>
          <w:p w14:paraId="23D49B30">
            <w:pPr>
              <w:spacing w:line="360" w:lineRule="auto"/>
              <w:rPr>
                <w:rFonts w:hint="eastAsia" w:ascii="仿宋" w:hAnsi="仿宋" w:eastAsia="仿宋" w:cs="仿宋"/>
                <w:color w:val="auto"/>
                <w:kern w:val="2"/>
                <w:sz w:val="24"/>
                <w:szCs w:val="24"/>
                <w:highlight w:val="none"/>
                <w:lang w:val="en-US" w:eastAsia="zh-CN" w:bidi="ar-SA"/>
              </w:rPr>
            </w:pPr>
          </w:p>
          <w:p w14:paraId="0A4C3B4E">
            <w:pPr>
              <w:spacing w:line="360" w:lineRule="auto"/>
              <w:rPr>
                <w:rFonts w:hint="eastAsia" w:ascii="仿宋" w:hAnsi="仿宋" w:eastAsia="仿宋" w:cs="仿宋"/>
                <w:color w:val="auto"/>
                <w:kern w:val="2"/>
                <w:sz w:val="24"/>
                <w:szCs w:val="24"/>
                <w:highlight w:val="none"/>
                <w:lang w:val="en-US" w:eastAsia="zh-CN" w:bidi="ar-SA"/>
              </w:rPr>
            </w:pPr>
          </w:p>
          <w:p w14:paraId="1FDF9752">
            <w:pPr>
              <w:spacing w:line="360" w:lineRule="auto"/>
              <w:rPr>
                <w:rFonts w:hint="eastAsia" w:ascii="仿宋" w:hAnsi="仿宋" w:eastAsia="仿宋" w:cs="仿宋"/>
                <w:color w:val="auto"/>
                <w:kern w:val="2"/>
                <w:sz w:val="24"/>
                <w:szCs w:val="24"/>
                <w:highlight w:val="none"/>
                <w:lang w:val="en-US" w:eastAsia="zh-CN" w:bidi="ar-SA"/>
              </w:rPr>
            </w:pPr>
          </w:p>
          <w:p w14:paraId="63521EEF">
            <w:pPr>
              <w:spacing w:line="360" w:lineRule="auto"/>
              <w:rPr>
                <w:rFonts w:hint="eastAsia" w:ascii="仿宋" w:hAnsi="仿宋" w:eastAsia="仿宋" w:cs="仿宋"/>
                <w:color w:val="auto"/>
                <w:kern w:val="2"/>
                <w:sz w:val="24"/>
                <w:szCs w:val="24"/>
                <w:highlight w:val="none"/>
                <w:lang w:val="en-US" w:eastAsia="zh-CN" w:bidi="ar-SA"/>
              </w:rPr>
            </w:pPr>
          </w:p>
          <w:p w14:paraId="586C863D">
            <w:pPr>
              <w:spacing w:line="360" w:lineRule="auto"/>
              <w:rPr>
                <w:rFonts w:hint="eastAsia" w:ascii="仿宋" w:hAnsi="仿宋" w:eastAsia="仿宋" w:cs="仿宋"/>
                <w:color w:val="auto"/>
                <w:kern w:val="2"/>
                <w:sz w:val="24"/>
                <w:szCs w:val="24"/>
                <w:highlight w:val="none"/>
                <w:lang w:val="en-US" w:eastAsia="zh-CN" w:bidi="ar-SA"/>
              </w:rPr>
            </w:pPr>
          </w:p>
          <w:p w14:paraId="1C43645D">
            <w:pPr>
              <w:spacing w:line="360" w:lineRule="auto"/>
              <w:rPr>
                <w:rFonts w:hint="eastAsia" w:ascii="仿宋" w:hAnsi="仿宋" w:eastAsia="仿宋" w:cs="仿宋"/>
                <w:color w:val="auto"/>
                <w:kern w:val="2"/>
                <w:sz w:val="24"/>
                <w:szCs w:val="24"/>
                <w:highlight w:val="none"/>
                <w:lang w:val="en-US" w:eastAsia="zh-CN" w:bidi="ar-SA"/>
              </w:rPr>
            </w:pPr>
          </w:p>
          <w:p w14:paraId="4C3B7A9C">
            <w:pPr>
              <w:spacing w:line="360" w:lineRule="auto"/>
              <w:rPr>
                <w:rFonts w:hint="eastAsia" w:ascii="仿宋" w:hAnsi="仿宋" w:eastAsia="仿宋" w:cs="仿宋"/>
                <w:color w:val="auto"/>
                <w:kern w:val="2"/>
                <w:sz w:val="24"/>
                <w:szCs w:val="24"/>
                <w:highlight w:val="none"/>
                <w:lang w:val="en-US" w:eastAsia="zh-CN" w:bidi="ar-SA"/>
              </w:rPr>
            </w:pPr>
          </w:p>
          <w:p w14:paraId="2249CAAC">
            <w:pPr>
              <w:spacing w:line="360" w:lineRule="auto"/>
              <w:rPr>
                <w:rFonts w:hint="eastAsia" w:ascii="仿宋" w:hAnsi="仿宋" w:eastAsia="仿宋" w:cs="仿宋"/>
                <w:color w:val="auto"/>
                <w:kern w:val="2"/>
                <w:sz w:val="24"/>
                <w:szCs w:val="24"/>
                <w:highlight w:val="none"/>
                <w:lang w:val="en-US" w:eastAsia="zh-CN" w:bidi="ar-SA"/>
              </w:rPr>
            </w:pPr>
          </w:p>
          <w:p w14:paraId="2CEA5361">
            <w:pPr>
              <w:spacing w:line="360" w:lineRule="auto"/>
              <w:rPr>
                <w:rFonts w:hint="eastAsia" w:ascii="仿宋" w:hAnsi="仿宋" w:eastAsia="仿宋" w:cs="仿宋"/>
                <w:color w:val="auto"/>
                <w:kern w:val="2"/>
                <w:sz w:val="24"/>
                <w:szCs w:val="24"/>
                <w:highlight w:val="none"/>
                <w:lang w:val="en-US" w:eastAsia="zh-CN" w:bidi="ar-SA"/>
              </w:rPr>
            </w:pPr>
          </w:p>
          <w:p w14:paraId="6D2130AE">
            <w:pPr>
              <w:spacing w:line="360" w:lineRule="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49F640A1">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勘察、设计、勘察设计、监理新增:10.11</w:t>
            </w:r>
          </w:p>
          <w:p w14:paraId="09EEF8C2">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施工新增:10.16</w:t>
            </w:r>
          </w:p>
          <w:p w14:paraId="6435A195">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设计施工总承包新增:9.15</w:t>
            </w:r>
          </w:p>
          <w:p w14:paraId="063604F3">
            <w:pPr>
              <w:spacing w:line="240" w:lineRule="auto"/>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80251"/>
                <w14:checkbox>
                  <w14:checked w14:val="0"/>
                  <w14:checkedState w14:val="2611" w14:font="MS Gothic"/>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MS Gothic" w:hAnsi="MS Gothic"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 不采用</w:t>
            </w:r>
          </w:p>
          <w:p w14:paraId="7BB07C7D">
            <w:pPr>
              <w:spacing w:line="240" w:lineRule="auto"/>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71214"/>
                <w14:checkbox>
                  <w14:checked w14:val="0"/>
                  <w14:checkedState w14:val="2611" w14:font="MS Gothic"/>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 采用（适用综合评估法），勘察纲要/设计方案（设计大纲）/勘察纲要、设计大纲/监理大纲/施工组织设计/承包人建议书和承包人实施方案采用暗标评审方式，投标文件该部分需单独编制，且要求如下：</w:t>
            </w:r>
          </w:p>
          <w:p w14:paraId="2C5887F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1.投标文件暗标部分均不得出现可能泄露投标人单位及个人信息的文字、图片、图表等有关表述或者任何标记，否则评标委员会按零分处理，并在评标报告中载明按零分处理的具体原因。</w:t>
            </w:r>
          </w:p>
          <w:p w14:paraId="0948C6EE">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在评审暗标部分时，需要向投标人发出澄清的，投标人的澄清回复内容除加盖的电子印章外，不得出现可能泄露投标人单位及个人信息的文字、图片、图表等有关表述或者任何标记，否则评标委员会对其暗标部分按零分处理，并在评标报告中载明按零分处理的具体原因。</w:t>
            </w:r>
          </w:p>
          <w:p w14:paraId="20B17A37">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b/>
            </w:r>
            <w:r>
              <w:rPr>
                <w:rFonts w:hint="eastAsia" w:ascii="仿宋" w:hAnsi="仿宋" w:eastAsia="仿宋" w:cs="仿宋"/>
                <w:color w:val="auto"/>
                <w:kern w:val="2"/>
                <w:sz w:val="24"/>
                <w:szCs w:val="24"/>
                <w:highlight w:val="none"/>
                <w:lang w:val="en-US" w:eastAsia="zh-CN" w:bidi="ar-SA"/>
              </w:rPr>
              <w:t>评标委员会评审投标人的澄清回复内容时，系统不显示投标人加盖的电子印章。评标报告中的澄清回复包含投标人加盖的电子印章盖章。</w:t>
            </w:r>
          </w:p>
          <w:p w14:paraId="005A65E4">
            <w:pPr>
              <w:spacing w:line="240" w:lineRule="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投标人使用投标文件编制工具编制暗标部分内容，投标文件编制工具将所有投标人</w:t>
            </w:r>
            <w:r>
              <w:rPr>
                <w:rFonts w:hint="eastAsia" w:ascii="仿宋" w:hAnsi="仿宋" w:eastAsia="仿宋" w:cs="仿宋"/>
                <w:b w:val="0"/>
                <w:bCs w:val="0"/>
                <w:color w:val="auto"/>
                <w:kern w:val="2"/>
                <w:sz w:val="24"/>
                <w:szCs w:val="24"/>
                <w:highlight w:val="none"/>
                <w:lang w:val="en-US" w:eastAsia="zh-CN" w:bidi="ar-SA"/>
              </w:rPr>
              <w:t>投标文件中的此部分内容规范成统一格式。</w:t>
            </w:r>
          </w:p>
          <w:p w14:paraId="5D345306">
            <w:pPr>
              <w:pStyle w:val="16"/>
              <w:spacing w:line="240" w:lineRule="auto"/>
              <w:ind w:left="0" w:leftChars="0" w:firstLine="0" w:firstLineChars="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4.暗标部分的页数不得超过</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u w:val="none"/>
                <w:lang w:val="en-US" w:eastAsia="zh-CN" w:bidi="ar-SA"/>
              </w:rPr>
              <w:t>页（由招标人结合项目特点设定）。</w:t>
            </w:r>
          </w:p>
        </w:tc>
      </w:tr>
      <w:tr w14:paraId="7DA9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15" w:type="dxa"/>
            <w:vAlign w:val="center"/>
          </w:tcPr>
          <w:p w14:paraId="31B4EE52">
            <w:pPr>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设备采购、材料采购</w:t>
            </w:r>
          </w:p>
        </w:tc>
        <w:tc>
          <w:tcPr>
            <w:tcW w:w="2268" w:type="dxa"/>
            <w:vAlign w:val="center"/>
          </w:tcPr>
          <w:p w14:paraId="675C6B40">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第三章“评标办法（综合评估法）”前附表2.2.4（2）“技术评分标准”</w:t>
            </w:r>
          </w:p>
        </w:tc>
        <w:tc>
          <w:tcPr>
            <w:tcW w:w="4200" w:type="dxa"/>
            <w:vAlign w:val="center"/>
          </w:tcPr>
          <w:p w14:paraId="7504D1A5">
            <w:pPr>
              <w:adjustRightInd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材料采购：注：技术评分因素可从对投标材料整体评价、投标材料质量标准的响应程度、对投标人相关服务能力的评价等方面设置。</w:t>
            </w:r>
          </w:p>
          <w:p w14:paraId="062977AF">
            <w:pPr>
              <w:adjustRightInd w:val="0"/>
              <w:snapToGrid w:val="0"/>
              <w:spacing w:line="360" w:lineRule="auto"/>
              <w:rPr>
                <w:rFonts w:hint="eastAsia" w:ascii="仿宋" w:hAnsi="仿宋" w:eastAsia="仿宋" w:cs="仿宋"/>
                <w:color w:val="auto"/>
                <w:sz w:val="24"/>
                <w:szCs w:val="24"/>
                <w:highlight w:val="none"/>
                <w:lang w:eastAsia="zh-CN"/>
              </w:rPr>
            </w:pPr>
          </w:p>
          <w:p w14:paraId="237D1EED">
            <w:pPr>
              <w:adjustRightInd w:val="0"/>
              <w:snapToGri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设备采购：注：技术评分标准可从对投标设备的整体评价、投标设备技术性能指标的响应程度、对投标人技术服务和质保期服务能力的评价等方面设置。</w:t>
            </w:r>
          </w:p>
        </w:tc>
        <w:tc>
          <w:tcPr>
            <w:tcW w:w="4857" w:type="dxa"/>
            <w:vAlign w:val="top"/>
          </w:tcPr>
          <w:p w14:paraId="58BAE4B1">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材料采购：</w:t>
            </w:r>
            <w:r>
              <w:rPr>
                <w:rFonts w:hint="eastAsia" w:ascii="仿宋" w:hAnsi="仿宋" w:eastAsia="仿宋" w:cs="仿宋"/>
                <w:color w:val="auto"/>
                <w:kern w:val="2"/>
                <w:sz w:val="24"/>
                <w:szCs w:val="24"/>
                <w:highlight w:val="none"/>
                <w:lang w:val="en-US" w:eastAsia="zh-CN" w:bidi="ar-SA"/>
              </w:rPr>
              <w:t>注：技术评分因素可综合考虑生产、包装、物流、销售、服务、回收和再利用等环节，从对投标材料整体评价、投标材料质量标准的响应程度、对投标人相关服务能力的评价等方面设置。</w:t>
            </w:r>
          </w:p>
          <w:p w14:paraId="4AC1C8D9">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482AA1F4">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设备采购：</w:t>
            </w:r>
            <w:r>
              <w:rPr>
                <w:rFonts w:hint="eastAsia" w:ascii="仿宋" w:hAnsi="仿宋" w:eastAsia="仿宋" w:cs="仿宋"/>
                <w:color w:val="auto"/>
                <w:sz w:val="24"/>
                <w:szCs w:val="24"/>
                <w:highlight w:val="none"/>
                <w:lang w:val="en-US" w:eastAsia="zh-CN"/>
              </w:rPr>
              <w:t>注：技术评分因素可综合考虑生产、包装、物流、销售、服务、回收和再利用等环节，从对投标设备整体评价、投标设备质量标准的响应程度、对投标人相关服务能力的评价等方面设置。</w:t>
            </w:r>
          </w:p>
        </w:tc>
      </w:tr>
      <w:tr w14:paraId="64B0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1728AB2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6296AA8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第三章“评标办法（综合评估法）”前附表2.2.4（3）“投标报价评分标准”的“偏差率”</w:t>
            </w:r>
          </w:p>
        </w:tc>
        <w:tc>
          <w:tcPr>
            <w:tcW w:w="4200" w:type="dxa"/>
            <w:vAlign w:val="center"/>
          </w:tcPr>
          <w:p w14:paraId="6EC2109D">
            <w:pPr>
              <w:spacing w:line="380" w:lineRule="exac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w:t>
            </w:r>
          </w:p>
        </w:tc>
        <w:tc>
          <w:tcPr>
            <w:tcW w:w="4857" w:type="dxa"/>
          </w:tcPr>
          <w:p w14:paraId="4F783BC8">
            <w:pPr>
              <w:pStyle w:val="8"/>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新增：</w:t>
            </w:r>
          </w:p>
          <w:p w14:paraId="6F1562FA">
            <w:pPr>
              <w:pStyle w:val="4"/>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勘察、设计、勘察设计、设计施工总承包、监理、设备采购、材料采购：</w:t>
            </w:r>
          </w:p>
          <w:p w14:paraId="05150848">
            <w:pPr>
              <w:pStyle w:val="8"/>
              <w:widowControl/>
              <w:spacing w:beforeAutospacing="0" w:afterAutospacing="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在“注”前增加：</w:t>
            </w:r>
          </w:p>
          <w:p w14:paraId="11D2F48A">
            <w:pPr>
              <w:pStyle w:val="8"/>
              <w:widowControl/>
              <w:spacing w:beforeAutospacing="0" w:afterAutospacing="0"/>
              <w:jc w:val="both"/>
              <w:rPr>
                <w:rFonts w:hint="default" w:eastAsia="宋体"/>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r>
              <w:rPr>
                <w:rFonts w:hint="eastAsia" w:ascii="仿宋" w:hAnsi="仿宋" w:eastAsia="仿宋" w:cs="仿宋"/>
                <w:color w:val="auto"/>
                <w:kern w:val="2"/>
                <w:sz w:val="24"/>
                <w:szCs w:val="24"/>
                <w:highlight w:val="none"/>
                <w:lang w:val="en-US" w:eastAsia="zh-CN" w:bidi="ar-SA"/>
              </w:rPr>
              <w:t xml:space="preserve"> (招标人可根据《四川省人民政府办公厅关于深化改革创新促进招标投标市场规范健康发展的意见》（川办规〔2025〕8号）第（二十）条和《政府采购促进中小企业发展管理办法》（ 财库〔2020〕46号） 第九条规定，增加相应评分奖励内容。）”</w:t>
            </w:r>
          </w:p>
          <w:p w14:paraId="42BD7372">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A998B1A">
            <w:pPr>
              <w:pStyle w:val="8"/>
              <w:widowControl/>
              <w:spacing w:beforeAutospacing="0" w:afterAutospacing="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p>
          <w:p w14:paraId="5A0D34BC">
            <w:pPr>
              <w:pStyle w:val="8"/>
              <w:widowControl/>
              <w:spacing w:beforeAutospacing="0" w:afterAutospacing="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在“2.2.4（3）评分标准”段落后增加：</w:t>
            </w:r>
          </w:p>
          <w:p w14:paraId="22CD98AA">
            <w:pPr>
              <w:pStyle w:val="8"/>
              <w:widowControl/>
              <w:spacing w:beforeAutospacing="0" w:afterAutospacing="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r>
              <w:rPr>
                <w:rFonts w:hint="eastAsia" w:ascii="仿宋" w:hAnsi="仿宋" w:eastAsia="仿宋" w:cs="仿宋"/>
                <w:color w:val="auto"/>
                <w:kern w:val="2"/>
                <w:sz w:val="24"/>
                <w:szCs w:val="24"/>
                <w:highlight w:val="none"/>
                <w:lang w:val="en-US" w:eastAsia="zh-CN" w:bidi="ar-SA"/>
              </w:rPr>
              <w:t xml:space="preserve"> (招标人可根据《四川省人民政府办公厅关于深化改革创新促进招标投标市场规范健康发展的意见》（川办规〔2025〕8号）第（二十）条和《政府采购促进中小企业发展管理办法》（ 财库〔2020〕46号） 第九条规定，增加相应评分奖励内容。）”</w:t>
            </w:r>
          </w:p>
        </w:tc>
      </w:tr>
      <w:tr w14:paraId="16EB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0626B19F">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572F1AA7">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第三章“评标办法”评标办法前附表的“注”</w:t>
            </w:r>
          </w:p>
        </w:tc>
        <w:tc>
          <w:tcPr>
            <w:tcW w:w="4200" w:type="dxa"/>
            <w:vAlign w:val="center"/>
          </w:tcPr>
          <w:p w14:paraId="66F79ECD">
            <w:pPr>
              <w:spacing w:line="3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设定奖项年限为近3年的，个数不得超过1个，设定奖项年限为近5年及以上的，个数不得超过2个；评标办法中各类奖项加分总分值不得超过3分。</w:t>
            </w:r>
          </w:p>
        </w:tc>
        <w:tc>
          <w:tcPr>
            <w:tcW w:w="4857" w:type="dxa"/>
          </w:tcPr>
          <w:p w14:paraId="462D64E8">
            <w:pPr>
              <w:pStyle w:val="8"/>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设定奖项年限</w:t>
            </w:r>
            <w:r>
              <w:rPr>
                <w:rFonts w:hint="eastAsia" w:ascii="仿宋" w:hAnsi="仿宋" w:eastAsia="仿宋" w:cs="仿宋"/>
                <w:b w:val="0"/>
                <w:bCs w:val="0"/>
                <w:color w:val="auto"/>
                <w:sz w:val="24"/>
                <w:szCs w:val="24"/>
                <w:highlight w:val="none"/>
              </w:rPr>
              <w:t>为近3年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或4年，或5年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的，个数不得超过1个，设定奖项年限为近</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年及以上的，个数不得超过2</w:t>
            </w:r>
            <w:r>
              <w:rPr>
                <w:rFonts w:hint="eastAsia" w:ascii="仿宋" w:hAnsi="仿宋" w:eastAsia="仿宋" w:cs="仿宋"/>
                <w:color w:val="auto"/>
                <w:sz w:val="24"/>
                <w:szCs w:val="24"/>
                <w:highlight w:val="none"/>
              </w:rPr>
              <w:t>个；评标办法中各类奖项加分总分值不得超过3分。</w:t>
            </w:r>
          </w:p>
        </w:tc>
      </w:tr>
      <w:tr w14:paraId="183D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77CF2309">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6A0A0502">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1810F4C6">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3FBEBF1E">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6A27A093">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4E5D4F8B">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w:t>
            </w:r>
          </w:p>
        </w:tc>
        <w:tc>
          <w:tcPr>
            <w:tcW w:w="2268" w:type="dxa"/>
            <w:vAlign w:val="center"/>
          </w:tcPr>
          <w:p w14:paraId="1CDA288C">
            <w:pPr>
              <w:spacing w:line="240" w:lineRule="auto"/>
              <w:jc w:val="center"/>
              <w:rPr>
                <w:rFonts w:hint="eastAsia" w:ascii="仿宋" w:hAnsi="仿宋" w:eastAsia="仿宋" w:cs="仿宋"/>
                <w:color w:val="auto"/>
                <w:kern w:val="2"/>
                <w:sz w:val="24"/>
                <w:szCs w:val="24"/>
                <w:highlight w:val="none"/>
                <w:lang w:val="en-US" w:eastAsia="zh-CN" w:bidi="ar-SA"/>
              </w:rPr>
            </w:pPr>
          </w:p>
          <w:p w14:paraId="4D49A07D">
            <w:pPr>
              <w:spacing w:line="240" w:lineRule="auto"/>
              <w:jc w:val="center"/>
              <w:rPr>
                <w:rFonts w:hint="eastAsia" w:ascii="仿宋" w:hAnsi="仿宋" w:eastAsia="仿宋" w:cs="仿宋"/>
                <w:color w:val="auto"/>
                <w:kern w:val="2"/>
                <w:sz w:val="24"/>
                <w:szCs w:val="24"/>
                <w:highlight w:val="none"/>
                <w:lang w:val="en-US" w:eastAsia="zh-CN" w:bidi="ar-SA"/>
              </w:rPr>
            </w:pPr>
          </w:p>
          <w:p w14:paraId="5110BA0B">
            <w:pPr>
              <w:spacing w:line="240" w:lineRule="auto"/>
              <w:jc w:val="center"/>
              <w:rPr>
                <w:rFonts w:hint="eastAsia" w:ascii="仿宋" w:hAnsi="仿宋" w:eastAsia="仿宋" w:cs="仿宋"/>
                <w:color w:val="auto"/>
                <w:kern w:val="2"/>
                <w:sz w:val="24"/>
                <w:szCs w:val="24"/>
                <w:highlight w:val="none"/>
                <w:lang w:val="en-US" w:eastAsia="zh-CN" w:bidi="ar-SA"/>
              </w:rPr>
            </w:pPr>
          </w:p>
          <w:p w14:paraId="18D7F432">
            <w:pPr>
              <w:spacing w:line="240" w:lineRule="auto"/>
              <w:jc w:val="center"/>
              <w:rPr>
                <w:rFonts w:hint="eastAsia" w:ascii="仿宋" w:hAnsi="仿宋" w:eastAsia="仿宋" w:cs="仿宋"/>
                <w:color w:val="auto"/>
                <w:kern w:val="2"/>
                <w:sz w:val="24"/>
                <w:szCs w:val="24"/>
                <w:highlight w:val="none"/>
                <w:lang w:val="en-US" w:eastAsia="zh-CN" w:bidi="ar-SA"/>
              </w:rPr>
            </w:pPr>
          </w:p>
          <w:p w14:paraId="113EF1E1">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“评标办法”（综合评估法）“注”</w:t>
            </w:r>
          </w:p>
        </w:tc>
        <w:tc>
          <w:tcPr>
            <w:tcW w:w="4200" w:type="dxa"/>
            <w:vAlign w:val="top"/>
          </w:tcPr>
          <w:p w14:paraId="404292B9">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BC0BF53">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132D2F11">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50D85131">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5F48887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EBF89B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7A36404">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7E5F36CD">
            <w:pPr>
              <w:adjustRightInd w:val="0"/>
              <w:snapToGrid w:val="0"/>
              <w:spacing w:line="240" w:lineRule="auto"/>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315D4517">
            <w:p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689F2ED2">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（8）投标文件暗标部分均不得出现可能泄露投标人单位及个人信息的文字、图片、图表等有关表述或者任何标记，否则评标委员会按零分处理，并在评标报告中载明按零分处理的具体原因。</w:t>
            </w:r>
          </w:p>
          <w:p w14:paraId="0AE21394">
            <w:pPr>
              <w:numPr>
                <w:ilvl w:val="0"/>
                <w:numId w:val="0"/>
              </w:numPr>
              <w:spacing w:line="24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评审暗标部分时，需要向投标人发出澄清的，投标人的澄清回复内容除加盖的电子印章外，不得出现可能泄露投标人单位及个人信息的文字、图片、图表等有关表述或者任何标记，否则评标委员会对其暗标部分按零分处理，并在评标报告中载明按零分处理的具体原因。</w:t>
            </w:r>
          </w:p>
          <w:p w14:paraId="7DC7BEBA">
            <w:pPr>
              <w:numPr>
                <w:ilvl w:val="0"/>
                <w:numId w:val="0"/>
              </w:numPr>
              <w:spacing w:line="24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b/>
            </w:r>
            <w:r>
              <w:rPr>
                <w:rFonts w:hint="eastAsia" w:ascii="仿宋" w:hAnsi="仿宋" w:eastAsia="仿宋" w:cs="仿宋"/>
                <w:color w:val="auto"/>
                <w:kern w:val="2"/>
                <w:sz w:val="24"/>
                <w:szCs w:val="24"/>
                <w:highlight w:val="none"/>
                <w:lang w:val="en-US" w:eastAsia="zh-CN" w:bidi="ar-SA"/>
              </w:rPr>
              <w:t>评标委员会评审投标人的澄清回复内容时，系统不显示投标人加盖的电子印章。评标报告中的澄清回复包含投标人加盖的电子印章盖章。</w:t>
            </w:r>
          </w:p>
        </w:tc>
      </w:tr>
      <w:tr w14:paraId="760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09653686">
            <w:pPr>
              <w:pStyle w:val="8"/>
              <w:widowControl/>
              <w:spacing w:beforeAutospacing="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w:t>
            </w:r>
          </w:p>
        </w:tc>
        <w:tc>
          <w:tcPr>
            <w:tcW w:w="2268" w:type="dxa"/>
            <w:vAlign w:val="center"/>
          </w:tcPr>
          <w:p w14:paraId="5A2A4EF3">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评标办法（综合评估法）正文3.3投标文件的澄清/投标文件的澄清和补正</w:t>
            </w:r>
          </w:p>
          <w:p w14:paraId="1361D6D7">
            <w:pPr>
              <w:spacing w:line="240" w:lineRule="auto"/>
              <w:rPr>
                <w:rFonts w:hint="eastAsia" w:ascii="仿宋" w:hAnsi="仿宋" w:eastAsia="仿宋" w:cs="仿宋"/>
                <w:color w:val="auto"/>
                <w:kern w:val="2"/>
                <w:sz w:val="24"/>
                <w:szCs w:val="24"/>
                <w:highlight w:val="none"/>
                <w:lang w:val="en-US" w:eastAsia="zh-CN" w:bidi="ar-SA"/>
              </w:rPr>
            </w:pPr>
          </w:p>
        </w:tc>
        <w:tc>
          <w:tcPr>
            <w:tcW w:w="4200" w:type="dxa"/>
            <w:vAlign w:val="top"/>
          </w:tcPr>
          <w:p w14:paraId="462D1AA0">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293931F7">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7A25A848">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8B9C36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D76565F">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7221C64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196B66A4">
            <w:pPr>
              <w:adjustRightInd w:val="0"/>
              <w:snapToGrid w:val="0"/>
              <w:spacing w:line="240" w:lineRule="auto"/>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168DC95C">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61B5549A">
            <w:pPr>
              <w:numPr>
                <w:ilvl w:val="0"/>
                <w:numId w:val="0"/>
              </w:numPr>
              <w:spacing w:line="24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3.3.4在评审暗标部分时，需要向投标人发出澄清的，投标人的澄清回复内容除加盖的电子印章外，不得出现可能泄露投标人单位及个人信息的文字、图片、图表等有关表述或者任何标记，否则评标委员会对其暗标部分按零分处理，并在评标报告中载明按零分处理的具体原因。</w:t>
            </w:r>
          </w:p>
          <w:p w14:paraId="6565CF3A">
            <w:pPr>
              <w:numPr>
                <w:ilvl w:val="0"/>
                <w:numId w:val="0"/>
              </w:numPr>
              <w:spacing w:line="24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ab/>
            </w:r>
            <w:r>
              <w:rPr>
                <w:rFonts w:hint="eastAsia" w:ascii="仿宋" w:hAnsi="仿宋" w:eastAsia="仿宋" w:cs="仿宋"/>
                <w:color w:val="auto"/>
                <w:kern w:val="2"/>
                <w:sz w:val="24"/>
                <w:szCs w:val="24"/>
                <w:highlight w:val="none"/>
                <w:lang w:val="en-US" w:eastAsia="zh-CN" w:bidi="ar-SA"/>
              </w:rPr>
              <w:t>评标委员会评审投标人的澄清回复内容时，系统不显示投标人加盖的电子印章。评标报告中的澄清回复包含投标人加盖的电子印章盖章。</w:t>
            </w:r>
          </w:p>
        </w:tc>
      </w:tr>
      <w:tr w14:paraId="7D7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15" w:type="dxa"/>
            <w:vAlign w:val="center"/>
          </w:tcPr>
          <w:p w14:paraId="4D34DF89">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w:t>
            </w:r>
          </w:p>
        </w:tc>
        <w:tc>
          <w:tcPr>
            <w:tcW w:w="2268" w:type="dxa"/>
            <w:vAlign w:val="center"/>
          </w:tcPr>
          <w:p w14:paraId="044129E7">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第七章“投标文件格式”价格清单</w:t>
            </w:r>
          </w:p>
        </w:tc>
        <w:tc>
          <w:tcPr>
            <w:tcW w:w="4200" w:type="dxa"/>
            <w:vAlign w:val="center"/>
          </w:tcPr>
          <w:p w14:paraId="5DDDB33F">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注：投标人应按照招标文件的要求和《四川省住房和城乡建设厅关于四川省房屋建筑和市政基础设施项目工程总承包合同计价的指导意见》的规定提交价格清单。</w:t>
            </w:r>
          </w:p>
        </w:tc>
        <w:tc>
          <w:tcPr>
            <w:tcW w:w="4857" w:type="dxa"/>
          </w:tcPr>
          <w:p w14:paraId="4F79CF42">
            <w:pPr>
              <w:pStyle w:val="8"/>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注：投标人应按照招标文件的要求提交价格清单。</w:t>
            </w:r>
          </w:p>
        </w:tc>
      </w:tr>
      <w:tr w14:paraId="0392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187A44D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422F0ADE">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勘察、设计、勘察设计、监理、设备采购、材料采购：第六章“投标文件格式”</w:t>
            </w:r>
            <w:bookmarkStart w:id="10" w:name="OLE_LINK10"/>
            <w:r>
              <w:rPr>
                <w:rFonts w:hint="eastAsia" w:ascii="仿宋" w:hAnsi="仿宋" w:eastAsia="仿宋" w:cs="仿宋"/>
                <w:color w:val="auto"/>
                <w:kern w:val="2"/>
                <w:sz w:val="24"/>
                <w:szCs w:val="24"/>
                <w:highlight w:val="none"/>
                <w:lang w:val="en-US" w:eastAsia="zh-CN" w:bidi="ar-SA"/>
              </w:rPr>
              <w:t>近年财务状况表</w:t>
            </w:r>
            <w:bookmarkEnd w:id="10"/>
            <w:r>
              <w:rPr>
                <w:rFonts w:hint="eastAsia" w:ascii="仿宋" w:hAnsi="仿宋" w:eastAsia="仿宋" w:cs="仿宋"/>
                <w:color w:val="auto"/>
                <w:kern w:val="2"/>
                <w:sz w:val="24"/>
                <w:szCs w:val="24"/>
                <w:highlight w:val="none"/>
                <w:lang w:val="en-US" w:eastAsia="zh-CN" w:bidi="ar-SA"/>
              </w:rPr>
              <w:t>；</w:t>
            </w:r>
          </w:p>
          <w:p w14:paraId="4DCE3F5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施工：第八章“投标文件格式”近年财务状况表；</w:t>
            </w:r>
          </w:p>
          <w:p w14:paraId="270EF2B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设计施工总承包：第七章“投标文件格式”近年财务状况表</w:t>
            </w:r>
          </w:p>
        </w:tc>
        <w:tc>
          <w:tcPr>
            <w:tcW w:w="4200" w:type="dxa"/>
            <w:vAlign w:val="center"/>
          </w:tcPr>
          <w:p w14:paraId="4D7FD2D3">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tc>
        <w:tc>
          <w:tcPr>
            <w:tcW w:w="4857" w:type="dxa"/>
            <w:vAlign w:val="top"/>
          </w:tcPr>
          <w:p w14:paraId="7185F2D5">
            <w:pPr>
              <w:pStyle w:val="8"/>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“近年财务状况表”</w:t>
            </w:r>
            <w:r>
              <w:rPr>
                <w:rFonts w:hint="eastAsia" w:ascii="仿宋" w:hAnsi="仿宋" w:eastAsia="仿宋" w:cs="仿宋"/>
                <w:b w:val="0"/>
                <w:bCs w:val="0"/>
                <w:color w:val="auto"/>
                <w:kern w:val="2"/>
                <w:sz w:val="24"/>
                <w:szCs w:val="24"/>
                <w:highlight w:val="none"/>
                <w:lang w:val="en-US" w:eastAsia="zh-CN" w:bidi="ar-SA"/>
              </w:rPr>
              <w:t xml:space="preserve">分两种情况。例：招标文件开始下载的时间在6月1日以前的，若投标人须知前附表规定为“近3年”，“近3年”是指当年之前的3个年度或当年的上一年之前的3个年度。如某项目招标，招标文件开始下载的时间是2020年5 月1日，“近年财务状况表”是指 2017 年、2018 年、2019 年的财务状况，或 2016 年、2017 年、2018 年的财务状况，采用哪3个年度，由投标人选择；招标文件开始下载的时间在6 月 1 日以后（含6月1日）的，“近3 年”是指当年之前的3个年度，如某项目招标，招标文件开始下载的时间是 2020 年 6月5日，“近年财务状况表”是指 2017 年、2018 </w:t>
            </w:r>
            <w:r>
              <w:rPr>
                <w:rFonts w:hint="eastAsia" w:ascii="仿宋" w:hAnsi="仿宋" w:eastAsia="仿宋" w:cs="仿宋"/>
                <w:color w:val="auto"/>
                <w:kern w:val="2"/>
                <w:sz w:val="24"/>
                <w:szCs w:val="24"/>
                <w:highlight w:val="none"/>
                <w:lang w:val="en-US" w:eastAsia="zh-CN" w:bidi="ar-SA"/>
              </w:rPr>
              <w:t>年、2019年的财务状况。投标人须知前附表规定的时间不足3年的，以此类推。</w:t>
            </w:r>
          </w:p>
        </w:tc>
      </w:tr>
      <w:tr w14:paraId="25EB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36963FA1">
            <w:pPr>
              <w:pStyle w:val="8"/>
              <w:widowControl/>
              <w:spacing w:beforeAutospacing="0" w:afterAutospacing="0"/>
              <w:ind w:firstLine="720" w:firstLineChars="3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tc>
        <w:tc>
          <w:tcPr>
            <w:tcW w:w="2268" w:type="dxa"/>
            <w:vAlign w:val="center"/>
          </w:tcPr>
          <w:p w14:paraId="560B8262">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第八章“投标文件格式”近年完成的类似项目情况表</w:t>
            </w:r>
          </w:p>
        </w:tc>
        <w:tc>
          <w:tcPr>
            <w:tcW w:w="4200" w:type="dxa"/>
            <w:vAlign w:val="center"/>
          </w:tcPr>
          <w:p w14:paraId="5B02E90D">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类似项目业绩时间以竣工验收证明材料上的竣工时间为准。</w:t>
            </w:r>
          </w:p>
          <w:p w14:paraId="6DBE0057">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（3）类似项目业绩的合同协议书和除发包人（总承包人）出具的证明文件以外的竣工验收证明材料无法体现招标文件要求的建设规模或技术指标的，则投标人还需提供发包人（总承包人）出具的证明文件。</w:t>
            </w:r>
          </w:p>
        </w:tc>
        <w:tc>
          <w:tcPr>
            <w:tcW w:w="4857" w:type="dxa"/>
            <w:vAlign w:val="top"/>
          </w:tcPr>
          <w:p w14:paraId="0379BBF2">
            <w:pPr>
              <w:spacing w:line="380" w:lineRule="exac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w:t>
            </w:r>
            <w:r>
              <w:rPr>
                <w:rFonts w:hint="eastAsia" w:ascii="仿宋" w:hAnsi="仿宋" w:eastAsia="仿宋" w:cs="仿宋"/>
                <w:color w:val="auto"/>
                <w:sz w:val="24"/>
                <w:szCs w:val="24"/>
                <w:highlight w:val="none"/>
                <w:lang w:val="en-US" w:eastAsia="zh-CN"/>
              </w:rPr>
              <w:t>。提供的业绩为</w:t>
            </w:r>
            <w:r>
              <w:rPr>
                <w:rFonts w:hint="eastAsia" w:ascii="仿宋" w:hAnsi="仿宋" w:eastAsia="仿宋" w:cs="仿宋"/>
                <w:color w:val="auto"/>
                <w:kern w:val="2"/>
                <w:sz w:val="24"/>
                <w:szCs w:val="24"/>
                <w:highlight w:val="none"/>
                <w:lang w:val="en-US" w:eastAsia="zh-CN" w:bidi="ar-SA"/>
              </w:rPr>
              <w:t>总承包工程的，还须提供全国建筑市场监管公共服务平台(四库一平台)</w:t>
            </w:r>
            <w:r>
              <w:rPr>
                <w:rFonts w:hint="eastAsia" w:ascii="仿宋" w:hAnsi="仿宋" w:eastAsia="仿宋" w:cs="仿宋"/>
                <w:b w:val="0"/>
                <w:bCs w:val="0"/>
                <w:color w:val="auto"/>
                <w:kern w:val="2"/>
                <w:sz w:val="24"/>
                <w:szCs w:val="24"/>
                <w:highlight w:val="none"/>
                <w:lang w:val="en-US" w:eastAsia="zh-CN" w:bidi="ar-SA"/>
              </w:rPr>
              <w:t>或四川省建筑市场监管公共服务平台（以下简称“两平台”）业绩信息网页截图，截图内容需确保截图页面内容完整清晰，且体现网站名称、查询网址等关键要素，至少包括“工程基本信息”中的“详细信息”（数据等级应为C级及以上），专业承包工程业绩无需提供“两平台”业绩信息网页截图。</w:t>
            </w:r>
            <w:r>
              <w:rPr>
                <w:rFonts w:hint="eastAsia" w:ascii="仿宋" w:hAnsi="仿宋" w:eastAsia="仿宋" w:cs="仿宋"/>
                <w:b w:val="0"/>
                <w:bCs w:val="0"/>
                <w:color w:val="auto"/>
                <w:sz w:val="24"/>
                <w:szCs w:val="24"/>
                <w:highlight w:val="none"/>
              </w:rPr>
              <w:t>类似项目业绩时间以竣工验收证明材料上的竣工时间为准。</w:t>
            </w:r>
          </w:p>
          <w:p w14:paraId="09E363FD">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招标文件要求的</w:t>
            </w:r>
            <w:r>
              <w:rPr>
                <w:rFonts w:hint="eastAsia" w:ascii="仿宋" w:hAnsi="仿宋" w:eastAsia="仿宋" w:cs="仿宋"/>
                <w:b w:val="0"/>
                <w:bCs w:val="0"/>
                <w:color w:val="auto"/>
                <w:sz w:val="24"/>
                <w:szCs w:val="24"/>
                <w:highlight w:val="none"/>
              </w:rPr>
              <w:t>类似项目业绩的</w:t>
            </w:r>
            <w:r>
              <w:rPr>
                <w:rFonts w:hint="eastAsia" w:ascii="仿宋" w:hAnsi="仿宋" w:eastAsia="仿宋" w:cs="仿宋"/>
                <w:b w:val="0"/>
                <w:bCs w:val="0"/>
                <w:color w:val="auto"/>
                <w:sz w:val="24"/>
                <w:szCs w:val="24"/>
                <w:highlight w:val="none"/>
                <w:lang w:val="en-US" w:eastAsia="zh-CN"/>
              </w:rPr>
              <w:t>建设规模或技术指标以</w:t>
            </w:r>
            <w:r>
              <w:rPr>
                <w:rFonts w:hint="eastAsia" w:ascii="仿宋" w:hAnsi="仿宋" w:eastAsia="仿宋" w:cs="仿宋"/>
                <w:b w:val="0"/>
                <w:bCs w:val="0"/>
                <w:color w:val="auto"/>
                <w:sz w:val="24"/>
                <w:szCs w:val="24"/>
                <w:highlight w:val="none"/>
              </w:rPr>
              <w:t>合同协议书</w:t>
            </w:r>
            <w:r>
              <w:rPr>
                <w:rFonts w:hint="eastAsia" w:ascii="仿宋" w:hAnsi="仿宋" w:eastAsia="仿宋" w:cs="仿宋"/>
                <w:color w:val="auto"/>
                <w:sz w:val="24"/>
                <w:szCs w:val="24"/>
                <w:highlight w:val="none"/>
              </w:rPr>
              <w:t>和除发包人（总承包人）出具的证明文件以外的竣工验收证明材料</w:t>
            </w:r>
            <w:r>
              <w:rPr>
                <w:rFonts w:hint="eastAsia" w:ascii="仿宋" w:hAnsi="仿宋" w:eastAsia="仿宋" w:cs="仿宋"/>
                <w:color w:val="auto"/>
                <w:sz w:val="24"/>
                <w:szCs w:val="24"/>
                <w:highlight w:val="none"/>
                <w:lang w:val="en-US" w:eastAsia="zh-CN"/>
              </w:rPr>
              <w:t>为准，若</w:t>
            </w:r>
            <w:r>
              <w:rPr>
                <w:rFonts w:hint="eastAsia" w:ascii="仿宋" w:hAnsi="仿宋" w:eastAsia="仿宋" w:cs="仿宋"/>
                <w:color w:val="auto"/>
                <w:sz w:val="24"/>
                <w:szCs w:val="24"/>
                <w:highlight w:val="none"/>
              </w:rPr>
              <w:t>合同协议书和除发包人（总承包人）出具的证明文件以外的竣工验收证明材料无法体现招标文件要求的建设规模或技术指标的，则投标人还需提供发包人（总承包人）出具的证明文件。</w:t>
            </w:r>
          </w:p>
        </w:tc>
      </w:tr>
      <w:tr w14:paraId="234D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008BA31F">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A510BB7">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4760C2BF">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2313F1A">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4B0AE85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F5A30E2">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55BF978">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76FBCB6E">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67305AD">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8C70DA4">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7C0A811">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w:t>
            </w:r>
          </w:p>
        </w:tc>
        <w:tc>
          <w:tcPr>
            <w:tcW w:w="2268" w:type="dxa"/>
            <w:vAlign w:val="center"/>
          </w:tcPr>
          <w:p w14:paraId="0C784B77">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40DF5304">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283B55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24CABE94">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4AED877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3E38DF5">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153F38F">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C824F70">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021990F">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2FD3BE7">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第七章“投标文件格式”近年完成的类似项目情况表</w:t>
            </w:r>
          </w:p>
        </w:tc>
        <w:tc>
          <w:tcPr>
            <w:tcW w:w="4200" w:type="dxa"/>
            <w:vAlign w:val="center"/>
          </w:tcPr>
          <w:p w14:paraId="41044FDD">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w:t>
            </w:r>
          </w:p>
          <w:p w14:paraId="51EBE4D9">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“近年完成的类似工程设计项目”应附合同协议书、发包人出具的证明文件，类似项目业绩时间以发包人出具的证明文件中载明的设计成果文件提交时间为准；</w:t>
            </w:r>
          </w:p>
          <w:p w14:paraId="46156854">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“近年完成的类似施工项目”应附合同协议书、工程竣工验收证明材料，类似项目业绩时间以竣工验收证明材料上的竣工时间为准；</w:t>
            </w:r>
          </w:p>
          <w:p w14:paraId="36631F29">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总承包项目”应附合同协议书、工程竣工验收证明材料，类似项目业绩时间以竣工验收证明材料上的竣工时间为准。类似工程总承包项目是指设计施工总承包项目或设计采购施工总承包项目（含勘察一并发包的项目）。</w:t>
            </w:r>
          </w:p>
          <w:p w14:paraId="18737D5B">
            <w:pPr>
              <w:numPr>
                <w:ilvl w:val="0"/>
                <w:numId w:val="3"/>
              </w:num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类似项目业绩的合同协议书或工程竣工验收证明材料无法体现招标文件要求的建设规模或技术指标的，则投标人还需在发包人出具的证明文件中予以明确。</w:t>
            </w:r>
          </w:p>
        </w:tc>
        <w:tc>
          <w:tcPr>
            <w:tcW w:w="4857" w:type="dxa"/>
            <w:vAlign w:val="top"/>
          </w:tcPr>
          <w:p w14:paraId="581238F6">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w:t>
            </w:r>
          </w:p>
          <w:p w14:paraId="1B2B97D5">
            <w:pPr>
              <w:spacing w:line="3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“近年完成的类似工程设计项目”应附合同协议书、发包人出具的证明文件，类似项目业绩时间以发包人出具的证明文件中载明的设计成果文件提交时间为准</w:t>
            </w:r>
            <w:r>
              <w:rPr>
                <w:rFonts w:hint="eastAsia" w:ascii="仿宋" w:hAnsi="仿宋" w:eastAsia="仿宋" w:cs="仿宋"/>
                <w:color w:val="auto"/>
                <w:sz w:val="24"/>
                <w:szCs w:val="24"/>
                <w:highlight w:val="none"/>
                <w:lang w:eastAsia="zh-CN"/>
              </w:rPr>
              <w:t>；</w:t>
            </w:r>
          </w:p>
          <w:p w14:paraId="11F5FC41">
            <w:pPr>
              <w:spacing w:line="3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“近年完成的类似施工项目”</w:t>
            </w:r>
            <w:r>
              <w:rPr>
                <w:rFonts w:hint="eastAsia" w:ascii="仿宋" w:hAnsi="仿宋" w:eastAsia="仿宋" w:cs="仿宋"/>
                <w:color w:val="auto"/>
                <w:sz w:val="24"/>
                <w:szCs w:val="24"/>
                <w:highlight w:val="none"/>
                <w:lang w:val="en-US" w:eastAsia="zh-CN"/>
              </w:rPr>
              <w:t>应附合同协议书、竣工验收证明材料（总承包工程是指竣工验收报告，专业承包工程是指专业工程竣工报告或专业工程验收表或发包人&lt;总承包人&gt;出具的证明文件等材料）。提供的业绩为</w:t>
            </w:r>
            <w:r>
              <w:rPr>
                <w:rFonts w:hint="eastAsia" w:ascii="仿宋" w:hAnsi="仿宋" w:eastAsia="仿宋" w:cs="仿宋"/>
                <w:color w:val="auto"/>
                <w:kern w:val="2"/>
                <w:sz w:val="24"/>
                <w:szCs w:val="24"/>
                <w:highlight w:val="none"/>
                <w:lang w:val="en-US" w:eastAsia="zh-CN" w:bidi="ar-SA"/>
              </w:rPr>
              <w:t>总承包工程的，还须提供全国建筑市场监管公共服务平台(四库一</w:t>
            </w:r>
            <w:r>
              <w:rPr>
                <w:rFonts w:hint="eastAsia" w:ascii="仿宋" w:hAnsi="仿宋" w:eastAsia="仿宋" w:cs="仿宋"/>
                <w:b w:val="0"/>
                <w:bCs w:val="0"/>
                <w:color w:val="auto"/>
                <w:kern w:val="2"/>
                <w:sz w:val="24"/>
                <w:szCs w:val="24"/>
                <w:highlight w:val="none"/>
                <w:lang w:val="en-US" w:eastAsia="zh-CN" w:bidi="ar-SA"/>
              </w:rPr>
              <w:t>平台)或四川省建筑市场监管公共服务平台（以下简称“两平台”）业绩信息网页截图，截图内容需确保截图页面内容完整清晰，且体现网站名称、查询网址等关键要素，至少包括“工程基本信息”中的“详细信息”（数据等级应为C级及以上），专业承包工程业绩无需提供“两平台”业绩信息网页截图。</w:t>
            </w:r>
            <w:r>
              <w:rPr>
                <w:rFonts w:hint="eastAsia" w:ascii="仿宋" w:hAnsi="仿宋" w:eastAsia="仿宋" w:cs="仿宋"/>
                <w:b w:val="0"/>
                <w:bCs w:val="0"/>
                <w:color w:val="auto"/>
                <w:sz w:val="24"/>
                <w:szCs w:val="24"/>
                <w:highlight w:val="none"/>
                <w:lang w:val="en-US" w:eastAsia="zh-CN"/>
              </w:rPr>
              <w:t>类似项目业绩时间以竣工验收证明材料上的竣工时间为准；</w:t>
            </w:r>
          </w:p>
          <w:p w14:paraId="2779169B">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“近年完成的类似工程总承包项目”</w:t>
            </w:r>
            <w:r>
              <w:rPr>
                <w:rFonts w:hint="eastAsia" w:ascii="仿宋" w:hAnsi="仿宋" w:eastAsia="仿宋" w:cs="仿宋"/>
                <w:color w:val="auto"/>
                <w:sz w:val="24"/>
                <w:szCs w:val="24"/>
                <w:highlight w:val="none"/>
                <w:lang w:val="en-US" w:eastAsia="zh-CN"/>
              </w:rPr>
              <w:t>应附合同协议书、竣工验收证明材料（工程总承包是指竣工验收报告，</w:t>
            </w:r>
            <w:r>
              <w:rPr>
                <w:rFonts w:hint="eastAsia" w:ascii="仿宋" w:hAnsi="仿宋" w:eastAsia="仿宋" w:cs="仿宋"/>
                <w:b w:val="0"/>
                <w:bCs w:val="0"/>
                <w:color w:val="auto"/>
                <w:kern w:val="2"/>
                <w:sz w:val="24"/>
                <w:szCs w:val="24"/>
                <w:highlight w:val="none"/>
                <w:lang w:val="en-US" w:eastAsia="zh-CN" w:bidi="ar-SA"/>
              </w:rPr>
              <w:t>专业承包工程采用工程总承包方式的</w:t>
            </w:r>
            <w:r>
              <w:rPr>
                <w:rFonts w:hint="eastAsia" w:ascii="仿宋" w:hAnsi="仿宋" w:eastAsia="仿宋" w:cs="仿宋"/>
                <w:color w:val="auto"/>
                <w:sz w:val="24"/>
                <w:szCs w:val="24"/>
                <w:highlight w:val="none"/>
                <w:lang w:val="en-US" w:eastAsia="zh-CN"/>
              </w:rPr>
              <w:t>是指专业工程竣工报告或专业工程验收表或发包人&lt;总承包人&gt;出具的证明文件等材料）。提供的业绩为</w:t>
            </w:r>
            <w:r>
              <w:rPr>
                <w:rFonts w:hint="eastAsia" w:ascii="仿宋" w:hAnsi="仿宋" w:eastAsia="仿宋" w:cs="仿宋"/>
                <w:color w:val="auto"/>
                <w:kern w:val="2"/>
                <w:sz w:val="24"/>
                <w:szCs w:val="24"/>
                <w:highlight w:val="none"/>
                <w:lang w:val="en-US" w:eastAsia="zh-CN" w:bidi="ar-SA"/>
              </w:rPr>
              <w:t>工程总承包的，还须提供全国建筑市场监管公共服务平台(四库一平台)或四川省建筑市场监管公共服务平台业绩信息网页截图，截图内容需确保截图页面内容完整清晰，且体现网站名称、查询网址等</w:t>
            </w:r>
            <w:r>
              <w:rPr>
                <w:rFonts w:hint="eastAsia" w:ascii="仿宋" w:hAnsi="仿宋" w:eastAsia="仿宋" w:cs="仿宋"/>
                <w:b w:val="0"/>
                <w:bCs w:val="0"/>
                <w:color w:val="auto"/>
                <w:kern w:val="2"/>
                <w:sz w:val="24"/>
                <w:szCs w:val="24"/>
                <w:highlight w:val="none"/>
                <w:lang w:val="en-US" w:eastAsia="zh-CN" w:bidi="ar-SA"/>
              </w:rPr>
              <w:t>关键要素，至少包括“工程基本信息”中的“详细信息”（数据等级应为C级及以上），专业承包工程采用工程总承包方式的业绩无需提供“两平台”业绩信息网页截图。</w:t>
            </w:r>
            <w:r>
              <w:rPr>
                <w:rFonts w:hint="eastAsia" w:ascii="仿宋" w:hAnsi="仿宋" w:eastAsia="仿宋" w:cs="仿宋"/>
                <w:b w:val="0"/>
                <w:bCs w:val="0"/>
                <w:color w:val="auto"/>
                <w:sz w:val="24"/>
                <w:szCs w:val="24"/>
                <w:highlight w:val="none"/>
                <w:lang w:val="en-US" w:eastAsia="zh-CN"/>
              </w:rPr>
              <w:t>类似项目业绩时间以竣工验收证明材料上的竣工时间为准</w:t>
            </w:r>
            <w:r>
              <w:rPr>
                <w:rFonts w:hint="eastAsia" w:ascii="仿宋" w:hAnsi="仿宋" w:eastAsia="仿宋" w:cs="仿宋"/>
                <w:b w:val="0"/>
                <w:bCs w:val="0"/>
                <w:color w:val="auto"/>
                <w:sz w:val="24"/>
                <w:szCs w:val="24"/>
                <w:highlight w:val="none"/>
              </w:rPr>
              <w:t>。类似工程</w:t>
            </w:r>
            <w:r>
              <w:rPr>
                <w:rFonts w:hint="eastAsia" w:ascii="仿宋" w:hAnsi="仿宋" w:eastAsia="仿宋" w:cs="仿宋"/>
                <w:color w:val="auto"/>
                <w:sz w:val="24"/>
                <w:szCs w:val="24"/>
                <w:highlight w:val="none"/>
              </w:rPr>
              <w:t>总承包项目是指设计施工总承包项目或设计采购施工总承包项目（含勘察一并发包的项目）。</w:t>
            </w:r>
          </w:p>
          <w:p w14:paraId="4412C729">
            <w:pPr>
              <w:pStyle w:val="8"/>
              <w:widowControl/>
              <w:numPr>
                <w:ilvl w:val="0"/>
                <w:numId w:val="0"/>
              </w:numPr>
              <w:spacing w:beforeAutospacing="0" w:afterAutospacing="0"/>
              <w:ind w:lef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招标文件要求的类似项目业绩的建设规模或技术指标以合同协议书和除发包人（总承包人）出具的证明文件以外的竣工验收证明材料为准，若合同协议书和除发包人（总承包人）出具的证明文件以外的竣工验收证明材料无法体现招标文件要求的建设规模或技术指标的，则投标人还需提供发包人（总承包人）出具的证明文件。</w:t>
            </w:r>
          </w:p>
        </w:tc>
      </w:tr>
      <w:tr w14:paraId="022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07D441C9">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6FD8B75E">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00362C5">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4D5A7F1">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777BDFD8">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1ED76A3D">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3B087025">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C28E6D7">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6E7251B9">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633C748D">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B19FC30">
            <w:pPr>
              <w:pStyle w:val="8"/>
              <w:widowControl/>
              <w:spacing w:beforeAutospacing="0" w:afterAutospacing="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施工</w:t>
            </w:r>
          </w:p>
        </w:tc>
        <w:tc>
          <w:tcPr>
            <w:tcW w:w="2268" w:type="dxa"/>
            <w:vAlign w:val="center"/>
          </w:tcPr>
          <w:p w14:paraId="1E0B38EB">
            <w:pPr>
              <w:jc w:val="center"/>
              <w:rPr>
                <w:rFonts w:hint="eastAsia" w:ascii="仿宋" w:hAnsi="仿宋" w:eastAsia="仿宋" w:cs="仿宋"/>
                <w:color w:val="auto"/>
                <w:kern w:val="2"/>
                <w:sz w:val="24"/>
                <w:szCs w:val="24"/>
                <w:highlight w:val="none"/>
                <w:lang w:val="en-US" w:eastAsia="zh-CN" w:bidi="ar-SA"/>
              </w:rPr>
            </w:pPr>
          </w:p>
          <w:p w14:paraId="1C1A077D">
            <w:pPr>
              <w:jc w:val="center"/>
              <w:rPr>
                <w:rFonts w:hint="eastAsia" w:ascii="仿宋" w:hAnsi="仿宋" w:eastAsia="仿宋" w:cs="仿宋"/>
                <w:color w:val="auto"/>
                <w:kern w:val="2"/>
                <w:sz w:val="24"/>
                <w:szCs w:val="24"/>
                <w:highlight w:val="none"/>
                <w:lang w:val="en-US" w:eastAsia="zh-CN" w:bidi="ar-SA"/>
              </w:rPr>
            </w:pPr>
          </w:p>
          <w:p w14:paraId="6DEE1329">
            <w:pPr>
              <w:jc w:val="center"/>
              <w:rPr>
                <w:rFonts w:hint="eastAsia" w:ascii="仿宋" w:hAnsi="仿宋" w:eastAsia="仿宋" w:cs="仿宋"/>
                <w:color w:val="auto"/>
                <w:kern w:val="2"/>
                <w:sz w:val="24"/>
                <w:szCs w:val="24"/>
                <w:highlight w:val="none"/>
                <w:lang w:val="en-US" w:eastAsia="zh-CN" w:bidi="ar-SA"/>
              </w:rPr>
            </w:pPr>
          </w:p>
          <w:p w14:paraId="4EE85741">
            <w:pPr>
              <w:jc w:val="center"/>
              <w:rPr>
                <w:rFonts w:hint="eastAsia" w:ascii="仿宋" w:hAnsi="仿宋" w:eastAsia="仿宋" w:cs="仿宋"/>
                <w:color w:val="auto"/>
                <w:kern w:val="2"/>
                <w:sz w:val="24"/>
                <w:szCs w:val="24"/>
                <w:highlight w:val="none"/>
                <w:lang w:val="en-US" w:eastAsia="zh-CN" w:bidi="ar-SA"/>
              </w:rPr>
            </w:pPr>
          </w:p>
          <w:p w14:paraId="6DF713C2">
            <w:pPr>
              <w:jc w:val="center"/>
              <w:rPr>
                <w:rFonts w:hint="eastAsia" w:ascii="仿宋" w:hAnsi="仿宋" w:eastAsia="仿宋" w:cs="仿宋"/>
                <w:color w:val="auto"/>
                <w:kern w:val="2"/>
                <w:sz w:val="24"/>
                <w:szCs w:val="24"/>
                <w:highlight w:val="none"/>
                <w:lang w:val="en-US" w:eastAsia="zh-CN" w:bidi="ar-SA"/>
              </w:rPr>
            </w:pPr>
          </w:p>
          <w:p w14:paraId="2FC58C0E">
            <w:pPr>
              <w:jc w:val="center"/>
              <w:rPr>
                <w:rFonts w:hint="eastAsia" w:ascii="仿宋" w:hAnsi="仿宋" w:eastAsia="仿宋" w:cs="仿宋"/>
                <w:color w:val="auto"/>
                <w:kern w:val="2"/>
                <w:sz w:val="24"/>
                <w:szCs w:val="24"/>
                <w:highlight w:val="none"/>
                <w:lang w:val="en-US" w:eastAsia="zh-CN" w:bidi="ar-SA"/>
              </w:rPr>
            </w:pPr>
          </w:p>
          <w:p w14:paraId="4EBEADE9">
            <w:pPr>
              <w:jc w:val="center"/>
              <w:rPr>
                <w:rFonts w:hint="eastAsia" w:ascii="仿宋" w:hAnsi="仿宋" w:eastAsia="仿宋" w:cs="仿宋"/>
                <w:color w:val="auto"/>
                <w:kern w:val="2"/>
                <w:sz w:val="24"/>
                <w:szCs w:val="24"/>
                <w:highlight w:val="none"/>
                <w:lang w:val="en-US" w:eastAsia="zh-CN" w:bidi="ar-SA"/>
              </w:rPr>
            </w:pPr>
          </w:p>
          <w:p w14:paraId="0C18DF79">
            <w:pPr>
              <w:jc w:val="center"/>
              <w:rPr>
                <w:rFonts w:hint="eastAsia" w:ascii="仿宋" w:hAnsi="仿宋" w:eastAsia="仿宋" w:cs="仿宋"/>
                <w:color w:val="auto"/>
                <w:kern w:val="2"/>
                <w:sz w:val="24"/>
                <w:szCs w:val="24"/>
                <w:highlight w:val="none"/>
                <w:lang w:val="en-US" w:eastAsia="zh-CN" w:bidi="ar-SA"/>
              </w:rPr>
            </w:pPr>
          </w:p>
          <w:p w14:paraId="55F442B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71EC01DE">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6E54D1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第八章“投标文件格式”其他材料</w:t>
            </w:r>
          </w:p>
        </w:tc>
        <w:tc>
          <w:tcPr>
            <w:tcW w:w="4200" w:type="dxa"/>
            <w:vAlign w:val="center"/>
          </w:tcPr>
          <w:p w14:paraId="1CD925A0">
            <w:pPr>
              <w:spacing w:line="380" w:lineRule="exact"/>
              <w:ind w:firstLine="1680" w:firstLineChars="700"/>
              <w:rPr>
                <w:rFonts w:hint="eastAsia" w:ascii="仿宋" w:hAnsi="仿宋" w:eastAsia="仿宋" w:cs="仿宋"/>
                <w:color w:val="auto"/>
                <w:sz w:val="24"/>
                <w:szCs w:val="24"/>
                <w:highlight w:val="none"/>
                <w:lang w:val="en-US" w:eastAsia="zh-CN"/>
              </w:rPr>
            </w:pPr>
          </w:p>
          <w:p w14:paraId="6D05F16F">
            <w:pPr>
              <w:spacing w:line="380" w:lineRule="exact"/>
              <w:ind w:firstLine="1680" w:firstLineChars="700"/>
              <w:rPr>
                <w:rFonts w:hint="eastAsia" w:ascii="仿宋" w:hAnsi="仿宋" w:eastAsia="仿宋" w:cs="仿宋"/>
                <w:color w:val="auto"/>
                <w:sz w:val="24"/>
                <w:szCs w:val="24"/>
                <w:highlight w:val="none"/>
                <w:lang w:val="en-US" w:eastAsia="zh-CN"/>
              </w:rPr>
            </w:pPr>
          </w:p>
          <w:p w14:paraId="2F2F59E2">
            <w:pPr>
              <w:spacing w:line="380" w:lineRule="exact"/>
              <w:ind w:firstLine="1680" w:firstLineChars="700"/>
              <w:rPr>
                <w:rFonts w:hint="eastAsia" w:ascii="仿宋" w:hAnsi="仿宋" w:eastAsia="仿宋" w:cs="仿宋"/>
                <w:color w:val="auto"/>
                <w:sz w:val="24"/>
                <w:szCs w:val="24"/>
                <w:highlight w:val="none"/>
                <w:lang w:val="en-US" w:eastAsia="zh-CN"/>
              </w:rPr>
            </w:pPr>
          </w:p>
          <w:p w14:paraId="1DC050FF">
            <w:pPr>
              <w:spacing w:line="380" w:lineRule="exact"/>
              <w:ind w:firstLine="1680" w:firstLineChars="700"/>
              <w:rPr>
                <w:rFonts w:hint="eastAsia" w:ascii="仿宋" w:hAnsi="仿宋" w:eastAsia="仿宋" w:cs="仿宋"/>
                <w:color w:val="auto"/>
                <w:sz w:val="24"/>
                <w:szCs w:val="24"/>
                <w:highlight w:val="none"/>
                <w:lang w:val="en-US" w:eastAsia="zh-CN"/>
              </w:rPr>
            </w:pPr>
          </w:p>
          <w:p w14:paraId="3A306461">
            <w:pPr>
              <w:spacing w:line="380" w:lineRule="exact"/>
              <w:ind w:firstLine="1680" w:firstLineChars="700"/>
              <w:rPr>
                <w:rFonts w:hint="eastAsia" w:ascii="仿宋" w:hAnsi="仿宋" w:eastAsia="仿宋" w:cs="仿宋"/>
                <w:color w:val="auto"/>
                <w:sz w:val="24"/>
                <w:szCs w:val="24"/>
                <w:highlight w:val="none"/>
                <w:lang w:val="en-US" w:eastAsia="zh-CN"/>
              </w:rPr>
            </w:pPr>
          </w:p>
          <w:p w14:paraId="51DF84D6">
            <w:pPr>
              <w:spacing w:line="380" w:lineRule="exact"/>
              <w:ind w:firstLine="1680" w:firstLineChars="700"/>
              <w:rPr>
                <w:rFonts w:hint="eastAsia" w:ascii="仿宋" w:hAnsi="仿宋" w:eastAsia="仿宋" w:cs="仿宋"/>
                <w:color w:val="auto"/>
                <w:sz w:val="24"/>
                <w:szCs w:val="24"/>
                <w:highlight w:val="none"/>
                <w:lang w:val="en-US" w:eastAsia="zh-CN"/>
              </w:rPr>
            </w:pPr>
          </w:p>
          <w:p w14:paraId="4F4AF45E">
            <w:pPr>
              <w:spacing w:line="380" w:lineRule="exact"/>
              <w:ind w:firstLine="1680" w:firstLineChars="700"/>
              <w:rPr>
                <w:rFonts w:hint="eastAsia" w:ascii="仿宋" w:hAnsi="仿宋" w:eastAsia="仿宋" w:cs="仿宋"/>
                <w:color w:val="auto"/>
                <w:sz w:val="24"/>
                <w:szCs w:val="24"/>
                <w:highlight w:val="none"/>
                <w:lang w:val="en-US" w:eastAsia="zh-CN"/>
              </w:rPr>
            </w:pPr>
          </w:p>
          <w:p w14:paraId="1A2B262F">
            <w:pPr>
              <w:spacing w:line="380" w:lineRule="exact"/>
              <w:ind w:firstLine="1680" w:firstLineChars="700"/>
              <w:rPr>
                <w:rFonts w:hint="eastAsia" w:ascii="仿宋" w:hAnsi="仿宋" w:eastAsia="仿宋" w:cs="仿宋"/>
                <w:color w:val="auto"/>
                <w:sz w:val="24"/>
                <w:szCs w:val="24"/>
                <w:highlight w:val="none"/>
                <w:lang w:val="en-US" w:eastAsia="zh-CN"/>
              </w:rPr>
            </w:pPr>
          </w:p>
          <w:p w14:paraId="04D5213C">
            <w:pPr>
              <w:spacing w:line="380" w:lineRule="exact"/>
              <w:ind w:firstLine="1680" w:firstLineChars="700"/>
              <w:rPr>
                <w:rFonts w:hint="eastAsia" w:ascii="仿宋" w:hAnsi="仿宋" w:eastAsia="仿宋" w:cs="仿宋"/>
                <w:color w:val="auto"/>
                <w:sz w:val="24"/>
                <w:szCs w:val="24"/>
                <w:highlight w:val="none"/>
                <w:lang w:val="en-US" w:eastAsia="zh-CN"/>
              </w:rPr>
            </w:pPr>
          </w:p>
          <w:p w14:paraId="2FC072F3">
            <w:pPr>
              <w:spacing w:line="380" w:lineRule="exact"/>
              <w:ind w:firstLine="1680" w:firstLineChars="700"/>
              <w:rPr>
                <w:rFonts w:hint="eastAsia" w:ascii="仿宋" w:hAnsi="仿宋" w:eastAsia="仿宋" w:cs="仿宋"/>
                <w:color w:val="auto"/>
                <w:sz w:val="24"/>
                <w:szCs w:val="24"/>
                <w:highlight w:val="none"/>
                <w:lang w:val="en-US" w:eastAsia="zh-CN"/>
              </w:rPr>
            </w:pPr>
          </w:p>
          <w:p w14:paraId="422A270D">
            <w:pPr>
              <w:spacing w:line="380" w:lineRule="exact"/>
              <w:ind w:firstLine="1680" w:firstLineChars="700"/>
              <w:rPr>
                <w:rFonts w:hint="eastAsia" w:ascii="仿宋" w:hAnsi="仿宋" w:eastAsia="仿宋" w:cs="仿宋"/>
                <w:color w:val="auto"/>
                <w:sz w:val="24"/>
                <w:szCs w:val="24"/>
                <w:highlight w:val="none"/>
                <w:lang w:val="en-US" w:eastAsia="zh-CN"/>
              </w:rPr>
            </w:pPr>
          </w:p>
          <w:p w14:paraId="127E450B">
            <w:pPr>
              <w:spacing w:line="380" w:lineRule="exact"/>
              <w:ind w:firstLine="1680" w:firstLineChars="700"/>
              <w:rPr>
                <w:rFonts w:hint="eastAsia" w:ascii="仿宋" w:hAnsi="仿宋" w:eastAsia="仿宋" w:cs="仿宋"/>
                <w:color w:val="auto"/>
                <w:sz w:val="24"/>
                <w:szCs w:val="24"/>
                <w:highlight w:val="none"/>
                <w:lang w:val="en-US" w:eastAsia="zh-CN"/>
              </w:rPr>
            </w:pPr>
          </w:p>
          <w:p w14:paraId="48B1DF4D">
            <w:pPr>
              <w:spacing w:line="380" w:lineRule="exact"/>
              <w:ind w:firstLine="1680" w:firstLineChars="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vAlign w:val="top"/>
          </w:tcPr>
          <w:p w14:paraId="64700B64">
            <w:pPr>
              <w:pStyle w:val="8"/>
              <w:widowControl/>
              <w:spacing w:beforeAutospacing="0" w:afterAutospacing="0" w:line="240" w:lineRule="auto"/>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bookmarkStart w:id="11" w:name="OLE_LINK6"/>
          </w:p>
          <w:p w14:paraId="1D4E1FD0">
            <w:pPr>
              <w:pStyle w:val="8"/>
              <w:widowControl/>
              <w:spacing w:beforeAutospacing="0" w:afterAutospacing="0" w:line="240" w:lineRule="auto"/>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bookmarkEnd w:id="11"/>
          </w:p>
          <w:p w14:paraId="3A21E020">
            <w:pPr>
              <w:spacing w:before="116" w:line="240" w:lineRule="auto"/>
              <w:ind w:firstLine="1482" w:firstLineChars="60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中小企业声明函</w:t>
            </w:r>
          </w:p>
          <w:p w14:paraId="3080B4E7">
            <w:pPr>
              <w:pStyle w:val="5"/>
              <w:spacing w:before="100" w:line="240" w:lineRule="auto"/>
              <w:ind w:right="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本单位郑重声明，根据《四川省人民政府办公厅关于深化改革创新促进招标投标市场规范健康发展的意见》（川办规（2025）8号）的规定，本单位参加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（招标人名称）的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（项目名称、标段名称）招标活动，本单位的具体情况如下：</w:t>
            </w:r>
          </w:p>
          <w:p w14:paraId="451C6862">
            <w:pPr>
              <w:pStyle w:val="5"/>
              <w:spacing w:before="3" w:line="240"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w:t>
            </w:r>
            <w:r>
              <w:rPr>
                <w:rFonts w:hint="eastAsia" w:ascii="仿宋" w:hAnsi="仿宋" w:eastAsia="仿宋" w:cs="仿宋"/>
                <w:color w:val="auto"/>
                <w:spacing w:val="-11"/>
                <w:sz w:val="24"/>
                <w:szCs w:val="24"/>
                <w:highlight w:val="none"/>
              </w:rPr>
              <w:t>属于</w:t>
            </w:r>
            <w:r>
              <w:rPr>
                <w:rFonts w:hint="eastAsia" w:ascii="仿宋" w:hAnsi="仿宋" w:eastAsia="仿宋" w:cs="仿宋"/>
                <w:color w:val="auto"/>
                <w:kern w:val="2"/>
                <w:sz w:val="24"/>
                <w:szCs w:val="24"/>
                <w:highlight w:val="none"/>
                <w:lang w:val="en-US" w:eastAsia="zh-CN" w:bidi="ar-SA"/>
              </w:rPr>
              <w:t>建筑业；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承建（承接）企业为</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pacing w:val="7"/>
                <w:sz w:val="24"/>
                <w:szCs w:val="24"/>
                <w:highlight w:val="none"/>
              </w:rPr>
              <w:t>营业</w:t>
            </w:r>
            <w:r>
              <w:rPr>
                <w:rFonts w:hint="eastAsia" w:ascii="仿宋" w:hAnsi="仿宋" w:eastAsia="仿宋" w:cs="仿宋"/>
                <w:color w:val="auto"/>
                <w:spacing w:val="-5"/>
                <w:sz w:val="24"/>
                <w:szCs w:val="24"/>
                <w:highlight w:val="none"/>
              </w:rPr>
              <w:t>收入为</w:t>
            </w:r>
            <w:r>
              <w:rPr>
                <w:rFonts w:hint="eastAsia" w:ascii="仿宋" w:hAnsi="仿宋" w:eastAsia="仿宋" w:cs="仿宋"/>
                <w:color w:val="auto"/>
                <w:spacing w:val="-148"/>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1"/>
                <w:sz w:val="24"/>
                <w:szCs w:val="24"/>
                <w:highlight w:val="none"/>
              </w:rPr>
              <w:t xml:space="preserve"> </w:t>
            </w:r>
            <w:r>
              <w:rPr>
                <w:rFonts w:hint="eastAsia" w:ascii="仿宋" w:hAnsi="仿宋" w:eastAsia="仿宋" w:cs="仿宋"/>
                <w:color w:val="auto"/>
                <w:spacing w:val="-5"/>
                <w:sz w:val="24"/>
                <w:szCs w:val="24"/>
                <w:highlight w:val="none"/>
              </w:rPr>
              <w:t>万元，资产总额为</w:t>
            </w:r>
            <w:r>
              <w:rPr>
                <w:rFonts w:hint="eastAsia" w:ascii="仿宋" w:hAnsi="仿宋" w:eastAsia="仿宋" w:cs="仿宋"/>
                <w:color w:val="auto"/>
                <w:spacing w:val="-155"/>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0"/>
                <w:sz w:val="24"/>
                <w:szCs w:val="24"/>
                <w:highlight w:val="none"/>
              </w:rPr>
              <w:t xml:space="preserve"> </w:t>
            </w:r>
            <w:r>
              <w:rPr>
                <w:rFonts w:hint="eastAsia" w:ascii="仿宋" w:hAnsi="仿宋" w:eastAsia="仿宋" w:cs="仿宋"/>
                <w:color w:val="auto"/>
                <w:spacing w:val="-5"/>
                <w:sz w:val="24"/>
                <w:szCs w:val="24"/>
                <w:highlight w:val="none"/>
              </w:rPr>
              <w:t>万元，属于</w:t>
            </w:r>
            <w:r>
              <w:rPr>
                <w:rFonts w:hint="eastAsia" w:ascii="仿宋" w:hAnsi="仿宋" w:eastAsia="仿宋" w:cs="仿宋"/>
                <w:color w:val="auto"/>
                <w:kern w:val="2"/>
                <w:sz w:val="24"/>
                <w:szCs w:val="24"/>
                <w:highlight w:val="none"/>
                <w:u w:val="single"/>
                <w:lang w:val="en-US" w:eastAsia="zh-CN" w:bidi="ar-SA"/>
              </w:rPr>
              <w:t>（中型企业或小型企业或微型企业）；</w:t>
            </w:r>
          </w:p>
          <w:p w14:paraId="7E943FAE">
            <w:pPr>
              <w:pStyle w:val="5"/>
              <w:spacing w:before="13" w:line="240" w:lineRule="auto"/>
              <w:ind w:right="86" w:firstLine="508" w:firstLineChars="200"/>
              <w:rPr>
                <w:rFonts w:hint="eastAsia" w:ascii="仿宋" w:hAnsi="仿宋" w:eastAsia="仿宋" w:cs="仿宋"/>
                <w:color w:val="auto"/>
                <w:sz w:val="24"/>
                <w:szCs w:val="24"/>
                <w:highlight w:val="none"/>
              </w:rPr>
            </w:pPr>
            <w:r>
              <w:rPr>
                <w:rFonts w:hint="eastAsia" w:cs="仿宋"/>
                <w:color w:val="auto"/>
                <w:spacing w:val="7"/>
                <w:sz w:val="24"/>
                <w:szCs w:val="24"/>
                <w:highlight w:val="none"/>
                <w:lang w:val="en-US" w:eastAsia="zh-CN"/>
              </w:rPr>
              <w:t>本</w:t>
            </w:r>
            <w:r>
              <w:rPr>
                <w:rFonts w:hint="eastAsia" w:ascii="仿宋" w:hAnsi="仿宋" w:eastAsia="仿宋" w:cs="仿宋"/>
                <w:color w:val="auto"/>
                <w:spacing w:val="7"/>
                <w:sz w:val="24"/>
                <w:szCs w:val="24"/>
                <w:highlight w:val="none"/>
                <w:lang w:val="en-US" w:eastAsia="zh-CN"/>
              </w:rPr>
              <w:t>单位</w:t>
            </w: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rPr>
              <w:t>不属于大企业的分支机构，不存</w:t>
            </w:r>
            <w:r>
              <w:rPr>
                <w:rFonts w:hint="eastAsia" w:ascii="仿宋" w:hAnsi="仿宋" w:eastAsia="仿宋" w:cs="仿宋"/>
                <w:color w:val="auto"/>
                <w:spacing w:val="6"/>
                <w:sz w:val="24"/>
                <w:szCs w:val="24"/>
                <w:highlight w:val="none"/>
              </w:rPr>
              <w:t>在控股股东</w:t>
            </w:r>
            <w:r>
              <w:rPr>
                <w:rFonts w:hint="eastAsia" w:ascii="仿宋" w:hAnsi="仿宋" w:eastAsia="仿宋" w:cs="仿宋"/>
                <w:color w:val="auto"/>
                <w:spacing w:val="8"/>
                <w:sz w:val="24"/>
                <w:szCs w:val="24"/>
                <w:highlight w:val="none"/>
              </w:rPr>
              <w:t>为大企业的情形，也不存在与大企业的负责人为同一人的情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形。</w:t>
            </w:r>
          </w:p>
          <w:p w14:paraId="5E3F0C7A">
            <w:pPr>
              <w:pStyle w:val="5"/>
              <w:spacing w:before="1" w:line="240" w:lineRule="auto"/>
              <w:ind w:left="45" w:right="88" w:firstLine="63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w:t>
            </w:r>
            <w:r>
              <w:rPr>
                <w:rFonts w:hint="eastAsia" w:ascii="仿宋" w:hAnsi="仿宋" w:eastAsia="仿宋" w:cs="仿宋"/>
                <w:color w:val="auto"/>
                <w:spacing w:val="8"/>
                <w:sz w:val="24"/>
                <w:szCs w:val="24"/>
                <w:highlight w:val="none"/>
                <w:lang w:val="en-US" w:eastAsia="zh-CN"/>
              </w:rPr>
              <w:t>单位</w:t>
            </w:r>
            <w:r>
              <w:rPr>
                <w:rFonts w:hint="eastAsia" w:ascii="仿宋" w:hAnsi="仿宋" w:eastAsia="仿宋" w:cs="仿宋"/>
                <w:color w:val="auto"/>
                <w:spacing w:val="8"/>
                <w:sz w:val="24"/>
                <w:szCs w:val="24"/>
                <w:highlight w:val="none"/>
              </w:rPr>
              <w:t>对上述声明内容的真实性负责。如有虚假，将依</w:t>
            </w:r>
            <w:r>
              <w:rPr>
                <w:rFonts w:hint="eastAsia" w:ascii="仿宋" w:hAnsi="仿宋" w:eastAsia="仿宋" w:cs="仿宋"/>
                <w:color w:val="auto"/>
                <w:spacing w:val="4"/>
                <w:sz w:val="24"/>
                <w:szCs w:val="24"/>
                <w:highlight w:val="none"/>
              </w:rPr>
              <w:t>法承担相应责任。</w:t>
            </w:r>
          </w:p>
          <w:p w14:paraId="4B8F9272">
            <w:pPr>
              <w:pStyle w:val="5"/>
              <w:spacing w:before="31" w:line="240" w:lineRule="auto"/>
              <w:rPr>
                <w:rFonts w:hint="eastAsia" w:ascii="仿宋" w:hAnsi="仿宋" w:eastAsia="仿宋" w:cs="仿宋"/>
                <w:color w:val="auto"/>
                <w:spacing w:val="6"/>
                <w:sz w:val="24"/>
                <w:szCs w:val="24"/>
                <w:highlight w:val="none"/>
              </w:rPr>
            </w:pPr>
          </w:p>
          <w:p w14:paraId="49909CFD">
            <w:pPr>
              <w:pStyle w:val="5"/>
              <w:spacing w:before="1" w:line="240" w:lineRule="auto"/>
              <w:ind w:right="88" w:firstLine="508" w:firstLineChars="200"/>
              <w:rPr>
                <w:rFonts w:hint="eastAsia" w:ascii="仿宋" w:hAnsi="仿宋" w:eastAsia="仿宋" w:cs="仿宋"/>
                <w:color w:val="auto"/>
                <w:spacing w:val="8"/>
                <w:sz w:val="24"/>
                <w:szCs w:val="24"/>
                <w:highlight w:val="none"/>
                <w:lang w:eastAsia="zh-CN"/>
              </w:rPr>
            </w:pP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lang w:val="en-US" w:eastAsia="zh-CN"/>
              </w:rPr>
              <w:t>单位</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盖单位章</w:t>
            </w:r>
            <w:r>
              <w:rPr>
                <w:rFonts w:hint="eastAsia" w:ascii="仿宋" w:hAnsi="仿宋" w:eastAsia="仿宋" w:cs="仿宋"/>
                <w:color w:val="auto"/>
                <w:spacing w:val="8"/>
                <w:sz w:val="24"/>
                <w:szCs w:val="24"/>
                <w:highlight w:val="none"/>
                <w:lang w:eastAsia="zh-CN"/>
              </w:rPr>
              <w:t>）</w:t>
            </w:r>
          </w:p>
          <w:p w14:paraId="5FCC085C">
            <w:pPr>
              <w:spacing w:line="240" w:lineRule="auto"/>
              <w:ind w:firstLine="1792" w:firstLineChars="700"/>
              <w:rPr>
                <w:rFonts w:hint="eastAsia" w:ascii="仿宋" w:hAnsi="仿宋" w:eastAsia="仿宋" w:cs="仿宋"/>
                <w:color w:val="auto"/>
                <w:spacing w:val="8"/>
                <w:kern w:val="2"/>
                <w:sz w:val="24"/>
                <w:szCs w:val="24"/>
                <w:highlight w:val="none"/>
                <w:lang w:val="en-US" w:eastAsia="en-US" w:bidi="ar-SA"/>
              </w:rPr>
            </w:pPr>
            <w:bookmarkStart w:id="12" w:name="bookmark2"/>
            <w:bookmarkEnd w:id="12"/>
            <w:r>
              <w:rPr>
                <w:rFonts w:hint="eastAsia" w:ascii="仿宋" w:hAnsi="仿宋" w:eastAsia="仿宋" w:cs="仿宋"/>
                <w:color w:val="auto"/>
                <w:spacing w:val="8"/>
                <w:kern w:val="2"/>
                <w:sz w:val="24"/>
                <w:szCs w:val="24"/>
                <w:highlight w:val="none"/>
                <w:lang w:val="en-US" w:eastAsia="en-US" w:bidi="ar-SA"/>
              </w:rPr>
              <w:t>____年____月____日</w:t>
            </w:r>
          </w:p>
          <w:p w14:paraId="1C2EAE51">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419C732D">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1、投标人根据</w:t>
            </w:r>
            <w:bookmarkStart w:id="13" w:name="OLE_LINK1"/>
            <w:r>
              <w:rPr>
                <w:rFonts w:hint="eastAsia" w:ascii="仿宋" w:hAnsi="仿宋" w:eastAsia="仿宋" w:cs="仿宋"/>
                <w:color w:val="auto"/>
                <w:kern w:val="2"/>
                <w:sz w:val="24"/>
                <w:szCs w:val="24"/>
                <w:highlight w:val="none"/>
                <w:lang w:val="en-US" w:eastAsia="zh-CN" w:bidi="ar-SA"/>
              </w:rPr>
              <w:t>《工业和信息化部、国家统计局、国家发展和改革委员会、财政部关于印发中小企业划型标准规定的通知》</w:t>
            </w:r>
            <w:bookmarkEnd w:id="13"/>
            <w:r>
              <w:rPr>
                <w:rFonts w:hint="eastAsia" w:ascii="仿宋" w:hAnsi="仿宋" w:eastAsia="仿宋" w:cs="仿宋"/>
                <w:color w:val="auto"/>
                <w:kern w:val="2"/>
                <w:sz w:val="24"/>
                <w:szCs w:val="24"/>
                <w:highlight w:val="none"/>
                <w:lang w:val="en-US" w:eastAsia="zh-CN" w:bidi="ar-SA"/>
              </w:rPr>
              <w:t>(工信部联企业(2011)300号)规定，结合自身实际，确定对应的中小企业划型。</w:t>
            </w:r>
          </w:p>
          <w:p w14:paraId="610F6EB4">
            <w:p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营业收入、资产总额填报上一年度数据，无上一年度数据的新成立企业从业人员、营业收入、资产总额填0或不填，根据提交投标文件时的实际情况填写企业类型。“上一年度”时间认定分两种情况。例：招标文件开始下载的时间</w:t>
            </w:r>
            <w:r>
              <w:rPr>
                <w:rFonts w:hint="eastAsia" w:ascii="仿宋" w:hAnsi="仿宋" w:eastAsia="仿宋" w:cs="仿宋"/>
                <w:b w:val="0"/>
                <w:bCs w:val="0"/>
                <w:color w:val="auto"/>
                <w:kern w:val="2"/>
                <w:sz w:val="24"/>
                <w:szCs w:val="24"/>
                <w:highlight w:val="none"/>
                <w:lang w:val="en-US" w:eastAsia="zh-CN" w:bidi="ar-SA"/>
              </w:rPr>
              <w:t>在6月1日以前的，上一年度是指当年之前的1个年度或当年的上一年之前的1个年度。如某项目招标，招标文件开始下载的时间是2020年5 月1日，“上一年度”是指2019 年度或2018 年度，采用哪个年度，由投标人选择；招标文件开始下载的时间在6 月 1 日以后（含6月1日）的，“上一年度”是指当年之前的1个年度，如某项目招标，招标文件开始下载的时间是 2020 年 6月5日，“上一年度”是指2019年度。</w:t>
            </w:r>
          </w:p>
          <w:p w14:paraId="75C9D1BE">
            <w:pPr>
              <w:pStyle w:val="8"/>
              <w:widowControl/>
              <w:spacing w:beforeAutospacing="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3、若为联合体投标的，联合体所有单位均应属于中小企业，并应分别填写此表。</w:t>
            </w:r>
          </w:p>
        </w:tc>
      </w:tr>
      <w:tr w14:paraId="7129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15" w:type="dxa"/>
            <w:vAlign w:val="center"/>
          </w:tcPr>
          <w:p w14:paraId="79A0337C">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1A09DD6C">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2F1A5C29">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281C1A72">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3DF9D249">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6B15E7F">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7C4C5B2">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5069272F">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6FAFA00">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65BF0A5B">
            <w:pPr>
              <w:pStyle w:val="8"/>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5ADEF1E8">
            <w:pPr>
              <w:pStyle w:val="8"/>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设计施工总承包</w:t>
            </w:r>
          </w:p>
        </w:tc>
        <w:tc>
          <w:tcPr>
            <w:tcW w:w="2268" w:type="dxa"/>
            <w:vAlign w:val="center"/>
          </w:tcPr>
          <w:p w14:paraId="7D738A05">
            <w:pPr>
              <w:jc w:val="center"/>
              <w:rPr>
                <w:rFonts w:hint="eastAsia" w:ascii="仿宋" w:hAnsi="仿宋" w:eastAsia="仿宋" w:cs="仿宋"/>
                <w:color w:val="auto"/>
                <w:kern w:val="2"/>
                <w:sz w:val="24"/>
                <w:szCs w:val="24"/>
                <w:highlight w:val="none"/>
                <w:lang w:val="en-US" w:eastAsia="zh-CN" w:bidi="ar-SA"/>
              </w:rPr>
            </w:pPr>
          </w:p>
          <w:p w14:paraId="2FB9F495">
            <w:pPr>
              <w:jc w:val="center"/>
              <w:rPr>
                <w:rFonts w:hint="eastAsia" w:ascii="仿宋" w:hAnsi="仿宋" w:eastAsia="仿宋" w:cs="仿宋"/>
                <w:color w:val="auto"/>
                <w:kern w:val="2"/>
                <w:sz w:val="24"/>
                <w:szCs w:val="24"/>
                <w:highlight w:val="none"/>
                <w:lang w:val="en-US" w:eastAsia="zh-CN" w:bidi="ar-SA"/>
              </w:rPr>
            </w:pPr>
          </w:p>
          <w:p w14:paraId="25950FDD">
            <w:pPr>
              <w:jc w:val="center"/>
              <w:rPr>
                <w:rFonts w:hint="eastAsia" w:ascii="仿宋" w:hAnsi="仿宋" w:eastAsia="仿宋" w:cs="仿宋"/>
                <w:color w:val="auto"/>
                <w:kern w:val="2"/>
                <w:sz w:val="24"/>
                <w:szCs w:val="24"/>
                <w:highlight w:val="none"/>
                <w:lang w:val="en-US" w:eastAsia="zh-CN" w:bidi="ar-SA"/>
              </w:rPr>
            </w:pPr>
          </w:p>
          <w:p w14:paraId="202279DF">
            <w:pPr>
              <w:jc w:val="center"/>
              <w:rPr>
                <w:rFonts w:hint="eastAsia" w:ascii="仿宋" w:hAnsi="仿宋" w:eastAsia="仿宋" w:cs="仿宋"/>
                <w:color w:val="auto"/>
                <w:kern w:val="2"/>
                <w:sz w:val="24"/>
                <w:szCs w:val="24"/>
                <w:highlight w:val="none"/>
                <w:lang w:val="en-US" w:eastAsia="zh-CN" w:bidi="ar-SA"/>
              </w:rPr>
            </w:pPr>
          </w:p>
          <w:p w14:paraId="48EA4866">
            <w:pPr>
              <w:jc w:val="center"/>
              <w:rPr>
                <w:rFonts w:hint="eastAsia" w:ascii="仿宋" w:hAnsi="仿宋" w:eastAsia="仿宋" w:cs="仿宋"/>
                <w:color w:val="auto"/>
                <w:kern w:val="2"/>
                <w:sz w:val="24"/>
                <w:szCs w:val="24"/>
                <w:highlight w:val="none"/>
                <w:lang w:val="en-US" w:eastAsia="zh-CN" w:bidi="ar-SA"/>
              </w:rPr>
            </w:pPr>
          </w:p>
          <w:p w14:paraId="628E5651">
            <w:pPr>
              <w:jc w:val="center"/>
              <w:rPr>
                <w:rFonts w:hint="eastAsia" w:ascii="仿宋" w:hAnsi="仿宋" w:eastAsia="仿宋" w:cs="仿宋"/>
                <w:color w:val="auto"/>
                <w:kern w:val="2"/>
                <w:sz w:val="24"/>
                <w:szCs w:val="24"/>
                <w:highlight w:val="none"/>
                <w:lang w:val="en-US" w:eastAsia="zh-CN" w:bidi="ar-SA"/>
              </w:rPr>
            </w:pPr>
          </w:p>
          <w:p w14:paraId="219A00A0">
            <w:pPr>
              <w:jc w:val="center"/>
              <w:rPr>
                <w:rFonts w:hint="eastAsia" w:ascii="仿宋" w:hAnsi="仿宋" w:eastAsia="仿宋" w:cs="仿宋"/>
                <w:color w:val="auto"/>
                <w:kern w:val="2"/>
                <w:sz w:val="24"/>
                <w:szCs w:val="24"/>
                <w:highlight w:val="none"/>
                <w:lang w:val="en-US" w:eastAsia="zh-CN" w:bidi="ar-SA"/>
              </w:rPr>
            </w:pPr>
          </w:p>
          <w:p w14:paraId="57CE1619">
            <w:pPr>
              <w:jc w:val="center"/>
              <w:rPr>
                <w:rFonts w:hint="eastAsia" w:ascii="仿宋" w:hAnsi="仿宋" w:eastAsia="仿宋" w:cs="仿宋"/>
                <w:color w:val="auto"/>
                <w:kern w:val="2"/>
                <w:sz w:val="24"/>
                <w:szCs w:val="24"/>
                <w:highlight w:val="none"/>
                <w:lang w:val="en-US" w:eastAsia="zh-CN" w:bidi="ar-SA"/>
              </w:rPr>
            </w:pPr>
          </w:p>
          <w:p w14:paraId="345F9E0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6353034">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1C5176BC">
            <w:pPr>
              <w:pStyle w:val="8"/>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第七章“投标文件格式”其他材料</w:t>
            </w:r>
          </w:p>
        </w:tc>
        <w:tc>
          <w:tcPr>
            <w:tcW w:w="4200" w:type="dxa"/>
            <w:vAlign w:val="center"/>
          </w:tcPr>
          <w:p w14:paraId="768DBB9C">
            <w:pPr>
              <w:spacing w:line="380" w:lineRule="exact"/>
              <w:ind w:firstLine="1680" w:firstLineChars="700"/>
              <w:rPr>
                <w:rFonts w:hint="eastAsia" w:ascii="仿宋" w:hAnsi="仿宋" w:eastAsia="仿宋" w:cs="仿宋"/>
                <w:color w:val="auto"/>
                <w:sz w:val="24"/>
                <w:szCs w:val="24"/>
                <w:highlight w:val="none"/>
                <w:lang w:val="en-US" w:eastAsia="zh-CN"/>
              </w:rPr>
            </w:pPr>
          </w:p>
          <w:p w14:paraId="2594A6EF">
            <w:pPr>
              <w:spacing w:line="380" w:lineRule="exact"/>
              <w:ind w:firstLine="1680" w:firstLineChars="700"/>
              <w:rPr>
                <w:rFonts w:hint="eastAsia" w:ascii="仿宋" w:hAnsi="仿宋" w:eastAsia="仿宋" w:cs="仿宋"/>
                <w:color w:val="auto"/>
                <w:sz w:val="24"/>
                <w:szCs w:val="24"/>
                <w:highlight w:val="none"/>
                <w:lang w:val="en-US" w:eastAsia="zh-CN"/>
              </w:rPr>
            </w:pPr>
          </w:p>
          <w:p w14:paraId="7E22DED9">
            <w:pPr>
              <w:spacing w:line="380" w:lineRule="exact"/>
              <w:ind w:firstLine="1680" w:firstLineChars="700"/>
              <w:rPr>
                <w:rFonts w:hint="eastAsia" w:ascii="仿宋" w:hAnsi="仿宋" w:eastAsia="仿宋" w:cs="仿宋"/>
                <w:color w:val="auto"/>
                <w:sz w:val="24"/>
                <w:szCs w:val="24"/>
                <w:highlight w:val="none"/>
                <w:lang w:val="en-US" w:eastAsia="zh-CN"/>
              </w:rPr>
            </w:pPr>
          </w:p>
          <w:p w14:paraId="100EFAD2">
            <w:pPr>
              <w:spacing w:line="380" w:lineRule="exact"/>
              <w:ind w:firstLine="1680" w:firstLineChars="700"/>
              <w:rPr>
                <w:rFonts w:hint="eastAsia" w:ascii="仿宋" w:hAnsi="仿宋" w:eastAsia="仿宋" w:cs="仿宋"/>
                <w:color w:val="auto"/>
                <w:sz w:val="24"/>
                <w:szCs w:val="24"/>
                <w:highlight w:val="none"/>
                <w:lang w:val="en-US" w:eastAsia="zh-CN"/>
              </w:rPr>
            </w:pPr>
          </w:p>
          <w:p w14:paraId="091C2B42">
            <w:pPr>
              <w:spacing w:line="380" w:lineRule="exact"/>
              <w:ind w:firstLine="1680" w:firstLineChars="700"/>
              <w:rPr>
                <w:rFonts w:hint="eastAsia" w:ascii="仿宋" w:hAnsi="仿宋" w:eastAsia="仿宋" w:cs="仿宋"/>
                <w:color w:val="auto"/>
                <w:sz w:val="24"/>
                <w:szCs w:val="24"/>
                <w:highlight w:val="none"/>
                <w:lang w:val="en-US" w:eastAsia="zh-CN"/>
              </w:rPr>
            </w:pPr>
          </w:p>
          <w:p w14:paraId="18935E65">
            <w:pPr>
              <w:spacing w:line="380" w:lineRule="exact"/>
              <w:ind w:firstLine="1680" w:firstLineChars="700"/>
              <w:rPr>
                <w:rFonts w:hint="eastAsia" w:ascii="仿宋" w:hAnsi="仿宋" w:eastAsia="仿宋" w:cs="仿宋"/>
                <w:color w:val="auto"/>
                <w:sz w:val="24"/>
                <w:szCs w:val="24"/>
                <w:highlight w:val="none"/>
                <w:lang w:val="en-US" w:eastAsia="zh-CN"/>
              </w:rPr>
            </w:pPr>
          </w:p>
          <w:p w14:paraId="48B4B432">
            <w:pPr>
              <w:spacing w:line="380" w:lineRule="exact"/>
              <w:ind w:firstLine="1680" w:firstLineChars="700"/>
              <w:rPr>
                <w:rFonts w:hint="eastAsia" w:ascii="仿宋" w:hAnsi="仿宋" w:eastAsia="仿宋" w:cs="仿宋"/>
                <w:color w:val="auto"/>
                <w:sz w:val="24"/>
                <w:szCs w:val="24"/>
                <w:highlight w:val="none"/>
                <w:lang w:val="en-US" w:eastAsia="zh-CN"/>
              </w:rPr>
            </w:pPr>
          </w:p>
          <w:p w14:paraId="581317FE">
            <w:pPr>
              <w:spacing w:line="380" w:lineRule="exact"/>
              <w:ind w:firstLine="1680" w:firstLineChars="700"/>
              <w:rPr>
                <w:rFonts w:hint="eastAsia" w:ascii="仿宋" w:hAnsi="仿宋" w:eastAsia="仿宋" w:cs="仿宋"/>
                <w:color w:val="auto"/>
                <w:sz w:val="24"/>
                <w:szCs w:val="24"/>
                <w:highlight w:val="none"/>
                <w:lang w:val="en-US" w:eastAsia="zh-CN"/>
              </w:rPr>
            </w:pPr>
          </w:p>
          <w:p w14:paraId="34F86942">
            <w:pPr>
              <w:spacing w:line="380" w:lineRule="exact"/>
              <w:ind w:firstLine="1680" w:firstLineChars="700"/>
              <w:rPr>
                <w:rFonts w:hint="eastAsia" w:ascii="仿宋" w:hAnsi="仿宋" w:eastAsia="仿宋" w:cs="仿宋"/>
                <w:color w:val="auto"/>
                <w:sz w:val="24"/>
                <w:szCs w:val="24"/>
                <w:highlight w:val="none"/>
                <w:lang w:val="en-US" w:eastAsia="zh-CN"/>
              </w:rPr>
            </w:pPr>
          </w:p>
          <w:p w14:paraId="3213E4CC">
            <w:pPr>
              <w:spacing w:line="380" w:lineRule="exact"/>
              <w:ind w:firstLine="1680" w:firstLineChars="700"/>
              <w:rPr>
                <w:rFonts w:hint="eastAsia" w:ascii="仿宋" w:hAnsi="仿宋" w:eastAsia="仿宋" w:cs="仿宋"/>
                <w:color w:val="auto"/>
                <w:sz w:val="24"/>
                <w:szCs w:val="24"/>
                <w:highlight w:val="none"/>
                <w:lang w:val="en-US" w:eastAsia="zh-CN"/>
              </w:rPr>
            </w:pPr>
          </w:p>
          <w:p w14:paraId="3D9FF3B5">
            <w:pPr>
              <w:spacing w:line="380" w:lineRule="exact"/>
              <w:ind w:firstLine="1680" w:firstLineChars="700"/>
              <w:rPr>
                <w:rFonts w:hint="eastAsia" w:ascii="仿宋" w:hAnsi="仿宋" w:eastAsia="仿宋" w:cs="仿宋"/>
                <w:color w:val="auto"/>
                <w:sz w:val="24"/>
                <w:szCs w:val="24"/>
                <w:highlight w:val="none"/>
                <w:lang w:val="en-US" w:eastAsia="zh-CN"/>
              </w:rPr>
            </w:pPr>
          </w:p>
          <w:p w14:paraId="0E0F6FA7">
            <w:pPr>
              <w:spacing w:line="380" w:lineRule="exact"/>
              <w:ind w:firstLine="1680" w:firstLineChars="700"/>
              <w:rPr>
                <w:rFonts w:hint="eastAsia" w:ascii="仿宋" w:hAnsi="仿宋" w:eastAsia="仿宋" w:cs="仿宋"/>
                <w:color w:val="auto"/>
                <w:sz w:val="24"/>
                <w:szCs w:val="24"/>
                <w:highlight w:val="none"/>
                <w:lang w:val="en-US" w:eastAsia="zh-CN"/>
              </w:rPr>
            </w:pPr>
          </w:p>
          <w:p w14:paraId="2D26564D">
            <w:pPr>
              <w:spacing w:line="380" w:lineRule="exact"/>
              <w:ind w:firstLine="1680" w:firstLineChars="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vAlign w:val="top"/>
          </w:tcPr>
          <w:p w14:paraId="382A3A04">
            <w:pPr>
              <w:pStyle w:val="8"/>
              <w:widowControl/>
              <w:spacing w:beforeAutospacing="0" w:afterAutospacing="0" w:line="240" w:lineRule="auto"/>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513646B9">
            <w:pPr>
              <w:pStyle w:val="8"/>
              <w:widowControl/>
              <w:spacing w:beforeAutospacing="0" w:afterAutospacing="0" w:line="240" w:lineRule="auto"/>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5B2EC274">
            <w:pPr>
              <w:spacing w:before="116" w:line="240" w:lineRule="auto"/>
              <w:ind w:firstLine="1482" w:firstLineChars="60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中小企业声明函</w:t>
            </w:r>
          </w:p>
          <w:p w14:paraId="201828D3">
            <w:pPr>
              <w:pStyle w:val="5"/>
              <w:spacing w:before="3" w:line="240"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本单位郑重声明，根据《四川省人民政府办公厅关于深化改革创新促进招标投标市场规范健康发展的意见》（川办规（2025）8号）的规定，本单位参加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（招标人名称）的</w:t>
            </w:r>
            <w:r>
              <w:rPr>
                <w:rFonts w:hint="eastAsia" w:ascii="仿宋" w:hAnsi="仿宋" w:eastAsia="仿宋" w:cs="仿宋"/>
                <w:color w:val="auto"/>
                <w:sz w:val="24"/>
                <w:szCs w:val="24"/>
                <w:highlight w:val="none"/>
                <w:u w:val="single"/>
              </w:rPr>
              <w:t xml:space="preserve">     </w:t>
            </w:r>
            <w:r>
              <w:rPr>
                <w:rFonts w:hint="eastAsia"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（项目名称、标段名称）招标活动，本单位的具体情况如下：</w:t>
            </w:r>
            <w:r>
              <w:rPr>
                <w:rFonts w:hint="eastAsia" w:ascii="仿宋" w:hAnsi="仿宋" w:eastAsia="仿宋" w:cs="仿宋"/>
                <w:color w:val="auto"/>
                <w:sz w:val="24"/>
                <w:szCs w:val="24"/>
                <w:highlight w:val="none"/>
                <w:u w:val="single"/>
              </w:rPr>
              <w:t xml:space="preserve">    </w:t>
            </w:r>
            <w:r>
              <w:rPr>
                <w:rFonts w:hint="eastAsia"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w:t>
            </w:r>
            <w:r>
              <w:rPr>
                <w:rFonts w:hint="eastAsia" w:ascii="仿宋" w:hAnsi="仿宋" w:eastAsia="仿宋" w:cs="仿宋"/>
                <w:color w:val="auto"/>
                <w:spacing w:val="-11"/>
                <w:sz w:val="24"/>
                <w:szCs w:val="24"/>
                <w:highlight w:val="none"/>
              </w:rPr>
              <w:t>属于</w:t>
            </w:r>
            <w:r>
              <w:rPr>
                <w:rFonts w:hint="eastAsia" w:ascii="仿宋" w:hAnsi="仿宋" w:eastAsia="仿宋" w:cs="仿宋"/>
                <w:color w:val="auto"/>
                <w:kern w:val="2"/>
                <w:sz w:val="24"/>
                <w:szCs w:val="24"/>
                <w:highlight w:val="none"/>
                <w:lang w:val="en-US" w:eastAsia="zh-CN" w:bidi="ar-SA"/>
              </w:rPr>
              <w:t>建筑业；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承建（承接）企业为</w:t>
            </w:r>
            <w:r>
              <w:rPr>
                <w:rFonts w:hint="eastAsia" w:ascii="仿宋" w:hAnsi="仿宋" w:eastAsia="仿宋" w:cs="仿宋"/>
                <w:color w:val="auto"/>
                <w:kern w:val="2"/>
                <w:sz w:val="24"/>
                <w:szCs w:val="24"/>
                <w:highlight w:val="none"/>
                <w:u w:val="single"/>
                <w:lang w:val="en-US" w:eastAsia="zh-CN" w:bidi="ar-SA"/>
              </w:rPr>
              <w:t xml:space="preserve"> </w:t>
            </w:r>
            <w:r>
              <w:rPr>
                <w:rFonts w:hint="eastAsia"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pacing w:val="7"/>
                <w:sz w:val="24"/>
                <w:szCs w:val="24"/>
                <w:highlight w:val="none"/>
              </w:rPr>
              <w:t>营业</w:t>
            </w:r>
            <w:r>
              <w:rPr>
                <w:rFonts w:hint="eastAsia" w:ascii="仿宋" w:hAnsi="仿宋" w:eastAsia="仿宋" w:cs="仿宋"/>
                <w:color w:val="auto"/>
                <w:spacing w:val="-5"/>
                <w:sz w:val="24"/>
                <w:szCs w:val="24"/>
                <w:highlight w:val="none"/>
              </w:rPr>
              <w:t>收入为</w:t>
            </w:r>
            <w:r>
              <w:rPr>
                <w:rFonts w:hint="eastAsia" w:ascii="仿宋" w:hAnsi="仿宋" w:eastAsia="仿宋" w:cs="仿宋"/>
                <w:color w:val="auto"/>
                <w:spacing w:val="-148"/>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1"/>
                <w:sz w:val="24"/>
                <w:szCs w:val="24"/>
                <w:highlight w:val="none"/>
              </w:rPr>
              <w:t xml:space="preserve"> </w:t>
            </w:r>
            <w:r>
              <w:rPr>
                <w:rFonts w:hint="eastAsia" w:ascii="仿宋" w:hAnsi="仿宋" w:eastAsia="仿宋" w:cs="仿宋"/>
                <w:color w:val="auto"/>
                <w:spacing w:val="-5"/>
                <w:sz w:val="24"/>
                <w:szCs w:val="24"/>
                <w:highlight w:val="none"/>
              </w:rPr>
              <w:t>万元，资产总额为</w:t>
            </w:r>
            <w:r>
              <w:rPr>
                <w:rFonts w:hint="eastAsia" w:ascii="仿宋" w:hAnsi="仿宋" w:eastAsia="仿宋" w:cs="仿宋"/>
                <w:color w:val="auto"/>
                <w:spacing w:val="-155"/>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0"/>
                <w:sz w:val="24"/>
                <w:szCs w:val="24"/>
                <w:highlight w:val="none"/>
              </w:rPr>
              <w:t xml:space="preserve"> </w:t>
            </w:r>
            <w:r>
              <w:rPr>
                <w:rFonts w:hint="eastAsia" w:ascii="仿宋" w:hAnsi="仿宋" w:eastAsia="仿宋" w:cs="仿宋"/>
                <w:color w:val="auto"/>
                <w:spacing w:val="-5"/>
                <w:sz w:val="24"/>
                <w:szCs w:val="24"/>
                <w:highlight w:val="none"/>
              </w:rPr>
              <w:t>万元，属于</w:t>
            </w:r>
            <w:r>
              <w:rPr>
                <w:rFonts w:hint="eastAsia" w:ascii="仿宋" w:hAnsi="仿宋" w:eastAsia="仿宋" w:cs="仿宋"/>
                <w:color w:val="auto"/>
                <w:kern w:val="2"/>
                <w:sz w:val="24"/>
                <w:szCs w:val="24"/>
                <w:highlight w:val="none"/>
                <w:u w:val="single"/>
                <w:lang w:val="en-US" w:eastAsia="zh-CN" w:bidi="ar-SA"/>
              </w:rPr>
              <w:t>（中型企业或小型企业或微型企业）；</w:t>
            </w:r>
          </w:p>
          <w:p w14:paraId="62686C32">
            <w:pPr>
              <w:pStyle w:val="5"/>
              <w:spacing w:before="13" w:line="240" w:lineRule="auto"/>
              <w:ind w:left="35" w:right="86" w:firstLine="678"/>
              <w:rPr>
                <w:rFonts w:hint="eastAsia" w:ascii="仿宋" w:hAnsi="仿宋" w:eastAsia="仿宋" w:cs="仿宋"/>
                <w:color w:val="auto"/>
                <w:sz w:val="24"/>
                <w:szCs w:val="24"/>
                <w:highlight w:val="none"/>
              </w:rPr>
            </w:pPr>
            <w:r>
              <w:rPr>
                <w:rFonts w:hint="eastAsia" w:cs="仿宋"/>
                <w:color w:val="auto"/>
                <w:spacing w:val="7"/>
                <w:sz w:val="24"/>
                <w:szCs w:val="24"/>
                <w:highlight w:val="none"/>
                <w:lang w:val="en-US" w:eastAsia="zh-CN"/>
              </w:rPr>
              <w:t>本</w:t>
            </w:r>
            <w:r>
              <w:rPr>
                <w:rFonts w:hint="eastAsia" w:ascii="仿宋" w:hAnsi="仿宋" w:eastAsia="仿宋" w:cs="仿宋"/>
                <w:color w:val="auto"/>
                <w:spacing w:val="7"/>
                <w:sz w:val="24"/>
                <w:szCs w:val="24"/>
                <w:highlight w:val="none"/>
                <w:lang w:val="en-US" w:eastAsia="zh-CN"/>
              </w:rPr>
              <w:t>单位</w:t>
            </w: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rPr>
              <w:t>不属于大企业的分支机构，不存</w:t>
            </w:r>
            <w:r>
              <w:rPr>
                <w:rFonts w:hint="eastAsia" w:ascii="仿宋" w:hAnsi="仿宋" w:eastAsia="仿宋" w:cs="仿宋"/>
                <w:color w:val="auto"/>
                <w:spacing w:val="6"/>
                <w:sz w:val="24"/>
                <w:szCs w:val="24"/>
                <w:highlight w:val="none"/>
              </w:rPr>
              <w:t>在控股股东</w:t>
            </w:r>
            <w:r>
              <w:rPr>
                <w:rFonts w:hint="eastAsia" w:ascii="仿宋" w:hAnsi="仿宋" w:eastAsia="仿宋" w:cs="仿宋"/>
                <w:color w:val="auto"/>
                <w:spacing w:val="8"/>
                <w:sz w:val="24"/>
                <w:szCs w:val="24"/>
                <w:highlight w:val="none"/>
              </w:rPr>
              <w:t>为大企业的情形，也不存在与大企业的负责人为同一人的情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形。</w:t>
            </w:r>
          </w:p>
          <w:p w14:paraId="197C4DFF">
            <w:pPr>
              <w:pStyle w:val="5"/>
              <w:spacing w:before="1" w:line="240" w:lineRule="auto"/>
              <w:ind w:left="45" w:right="88" w:firstLine="63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w:t>
            </w:r>
            <w:r>
              <w:rPr>
                <w:rFonts w:hint="eastAsia" w:ascii="仿宋" w:hAnsi="仿宋" w:eastAsia="仿宋" w:cs="仿宋"/>
                <w:color w:val="auto"/>
                <w:spacing w:val="8"/>
                <w:sz w:val="24"/>
                <w:szCs w:val="24"/>
                <w:highlight w:val="none"/>
                <w:lang w:val="en-US" w:eastAsia="zh-CN"/>
              </w:rPr>
              <w:t>单位</w:t>
            </w:r>
            <w:r>
              <w:rPr>
                <w:rFonts w:hint="eastAsia" w:ascii="仿宋" w:hAnsi="仿宋" w:eastAsia="仿宋" w:cs="仿宋"/>
                <w:color w:val="auto"/>
                <w:spacing w:val="8"/>
                <w:sz w:val="24"/>
                <w:szCs w:val="24"/>
                <w:highlight w:val="none"/>
              </w:rPr>
              <w:t>对上述声明内容的真实性负责。如有虚假，将依</w:t>
            </w:r>
            <w:r>
              <w:rPr>
                <w:rFonts w:hint="eastAsia" w:ascii="仿宋" w:hAnsi="仿宋" w:eastAsia="仿宋" w:cs="仿宋"/>
                <w:color w:val="auto"/>
                <w:spacing w:val="4"/>
                <w:sz w:val="24"/>
                <w:szCs w:val="24"/>
                <w:highlight w:val="none"/>
              </w:rPr>
              <w:t>法承担相应责任。</w:t>
            </w:r>
          </w:p>
          <w:p w14:paraId="2AF8E948">
            <w:pPr>
              <w:pStyle w:val="5"/>
              <w:spacing w:before="31" w:line="240" w:lineRule="auto"/>
              <w:rPr>
                <w:rFonts w:hint="eastAsia" w:ascii="仿宋" w:hAnsi="仿宋" w:eastAsia="仿宋" w:cs="仿宋"/>
                <w:color w:val="auto"/>
                <w:spacing w:val="6"/>
                <w:sz w:val="24"/>
                <w:szCs w:val="24"/>
                <w:highlight w:val="none"/>
              </w:rPr>
            </w:pPr>
          </w:p>
          <w:p w14:paraId="32059DC1">
            <w:pPr>
              <w:pStyle w:val="5"/>
              <w:spacing w:before="1" w:line="240" w:lineRule="auto"/>
              <w:ind w:right="88" w:firstLine="508" w:firstLineChars="200"/>
              <w:rPr>
                <w:rFonts w:hint="eastAsia" w:ascii="仿宋" w:hAnsi="仿宋" w:eastAsia="仿宋" w:cs="仿宋"/>
                <w:color w:val="auto"/>
                <w:spacing w:val="8"/>
                <w:sz w:val="24"/>
                <w:szCs w:val="24"/>
                <w:highlight w:val="none"/>
                <w:lang w:eastAsia="zh-CN"/>
              </w:rPr>
            </w:pP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lang w:val="en-US" w:eastAsia="zh-CN"/>
              </w:rPr>
              <w:t>单位</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盖单位章</w:t>
            </w:r>
            <w:r>
              <w:rPr>
                <w:rFonts w:hint="eastAsia" w:ascii="仿宋" w:hAnsi="仿宋" w:eastAsia="仿宋" w:cs="仿宋"/>
                <w:color w:val="auto"/>
                <w:spacing w:val="8"/>
                <w:sz w:val="24"/>
                <w:szCs w:val="24"/>
                <w:highlight w:val="none"/>
                <w:lang w:eastAsia="zh-CN"/>
              </w:rPr>
              <w:t>）</w:t>
            </w:r>
          </w:p>
          <w:p w14:paraId="7D8095E0">
            <w:pPr>
              <w:spacing w:line="240" w:lineRule="auto"/>
              <w:ind w:firstLine="1792" w:firstLineChars="700"/>
              <w:rPr>
                <w:rFonts w:hint="eastAsia" w:ascii="仿宋" w:hAnsi="仿宋" w:eastAsia="仿宋" w:cs="仿宋"/>
                <w:color w:val="auto"/>
                <w:spacing w:val="8"/>
                <w:kern w:val="2"/>
                <w:sz w:val="24"/>
                <w:szCs w:val="24"/>
                <w:highlight w:val="none"/>
                <w:lang w:val="en-US" w:eastAsia="en-US" w:bidi="ar-SA"/>
              </w:rPr>
            </w:pPr>
            <w:r>
              <w:rPr>
                <w:rFonts w:hint="eastAsia" w:ascii="仿宋" w:hAnsi="仿宋" w:eastAsia="仿宋" w:cs="仿宋"/>
                <w:color w:val="auto"/>
                <w:spacing w:val="8"/>
                <w:kern w:val="2"/>
                <w:sz w:val="24"/>
                <w:szCs w:val="24"/>
                <w:highlight w:val="none"/>
                <w:lang w:val="en-US" w:eastAsia="en-US" w:bidi="ar-SA"/>
              </w:rPr>
              <w:t>____年____月____日</w:t>
            </w:r>
          </w:p>
          <w:p w14:paraId="6B9EA4A8">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3E2FFDC1">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1、投标人根据《工业和信息化部、国家统计局、国家发展和改革委员会、财政部关于印发中小企业划型标准规定的通知》(工信部联企业(2011)300号)规定，结合自身实际，确定对应的中小企业划型。</w:t>
            </w:r>
          </w:p>
          <w:p w14:paraId="57138201">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营业收入、资产总额填报上一年度数据，无上一年度数据的新成立企业从业人员、营业收入、资产总额填0或不填，根据提交投标文件时的实际情况填写企业类型。“上一年度”时间认定分两种情况。例：招标文件开始下载的时</w:t>
            </w:r>
            <w:r>
              <w:rPr>
                <w:rFonts w:hint="eastAsia" w:ascii="仿宋" w:hAnsi="仿宋" w:eastAsia="仿宋" w:cs="仿宋"/>
                <w:b w:val="0"/>
                <w:bCs w:val="0"/>
                <w:color w:val="auto"/>
                <w:kern w:val="2"/>
                <w:sz w:val="24"/>
                <w:szCs w:val="24"/>
                <w:highlight w:val="none"/>
                <w:lang w:val="en-US" w:eastAsia="zh-CN" w:bidi="ar-SA"/>
              </w:rPr>
              <w:t>间在6月1日以前的，上一年度是指当年之前的1个年度或当年的上一年之前的1个年度。如某项目招标，招标文件开始下载的时间是2020年5 月1日，“上一年度”是指2019 年度或2018 年度，采用哪个年度，由投标人选择；招标文件开始下载的时间在6 月 1 日以后（含6月1日）的，“上一年度”是指当年之前的1个年度，如某项目招标，招标文件开始下载的时间是 2020 年 6月5日，“上一年度”</w:t>
            </w:r>
            <w:r>
              <w:rPr>
                <w:rFonts w:hint="eastAsia" w:ascii="仿宋" w:hAnsi="仿宋" w:eastAsia="仿宋" w:cs="仿宋"/>
                <w:color w:val="auto"/>
                <w:kern w:val="2"/>
                <w:sz w:val="24"/>
                <w:szCs w:val="24"/>
                <w:highlight w:val="none"/>
                <w:lang w:val="en-US" w:eastAsia="zh-CN" w:bidi="ar-SA"/>
              </w:rPr>
              <w:t>是指2019年度。</w:t>
            </w:r>
          </w:p>
          <w:p w14:paraId="13BD24C8">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3、若为联合体投标的，本项目联合体协议书中职责分工为承揽施工工作的所有单位均应属于中小企业，并应分别填写此表。</w:t>
            </w:r>
          </w:p>
        </w:tc>
      </w:tr>
    </w:tbl>
    <w:p w14:paraId="0E9EC657">
      <w:pPr>
        <w:jc w:val="left"/>
        <w:rPr>
          <w:rFonts w:hint="eastAsia" w:ascii="Times New Roman" w:hAnsi="Times New Roman" w:eastAsia="方正小标宋简体" w:cs="Times New Roman"/>
          <w:color w:val="auto"/>
          <w:sz w:val="36"/>
          <w:szCs w:val="36"/>
          <w:highlight w:val="none"/>
          <w:lang w:val="en-US" w:eastAsia="zh-CN"/>
        </w:rPr>
      </w:pPr>
    </w:p>
    <w:p w14:paraId="438D61F1">
      <w:pPr>
        <w:numPr>
          <w:ilvl w:val="0"/>
          <w:numId w:val="0"/>
        </w:numPr>
        <w:jc w:val="left"/>
        <w:rPr>
          <w:rFonts w:hint="eastAsia" w:ascii="Times New Roman" w:hAnsi="Times New Roman" w:eastAsia="方正小标宋简体" w:cs="Times New Roman"/>
          <w:color w:val="auto"/>
          <w:sz w:val="36"/>
          <w:szCs w:val="36"/>
          <w:highlight w:val="none"/>
          <w:lang w:val="en-US" w:eastAsia="zh-CN"/>
        </w:rPr>
      </w:pPr>
    </w:p>
    <w:p w14:paraId="674723B1">
      <w:pPr>
        <w:numPr>
          <w:ilvl w:val="0"/>
          <w:numId w:val="0"/>
        </w:numPr>
        <w:jc w:val="left"/>
        <w:rPr>
          <w:rFonts w:hint="eastAsia" w:ascii="Times New Roman" w:hAnsi="Times New Roman" w:eastAsia="方正小标宋简体" w:cs="Times New Roman"/>
          <w:color w:val="auto"/>
          <w:sz w:val="36"/>
          <w:szCs w:val="36"/>
          <w:highlight w:val="none"/>
          <w:lang w:val="en-US" w:eastAsia="zh-CN"/>
        </w:rPr>
      </w:pPr>
      <w:r>
        <w:rPr>
          <w:rFonts w:hint="eastAsia" w:ascii="Times New Roman" w:hAnsi="Times New Roman" w:eastAsia="方正小标宋简体" w:cs="Times New Roman"/>
          <w:color w:val="auto"/>
          <w:sz w:val="36"/>
          <w:szCs w:val="36"/>
          <w:highlight w:val="none"/>
          <w:lang w:val="en-US" w:eastAsia="zh-CN"/>
        </w:rPr>
        <w:t>二、评定分离部分</w:t>
      </w:r>
    </w:p>
    <w:tbl>
      <w:tblPr>
        <w:tblStyle w:val="10"/>
        <w:tblpPr w:leftFromText="180" w:rightFromText="180" w:vertAnchor="text" w:horzAnchor="page" w:tblpX="1560" w:tblpY="437"/>
        <w:tblOverlap w:val="never"/>
        <w:tblW w:w="13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4584"/>
        <w:gridCol w:w="6192"/>
      </w:tblGrid>
      <w:tr w14:paraId="12B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vAlign w:val="center"/>
          </w:tcPr>
          <w:p w14:paraId="02E5FF97">
            <w:pPr>
              <w:pStyle w:val="8"/>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招标文件类型</w:t>
            </w:r>
          </w:p>
        </w:tc>
        <w:tc>
          <w:tcPr>
            <w:tcW w:w="1336" w:type="dxa"/>
            <w:vAlign w:val="center"/>
          </w:tcPr>
          <w:p w14:paraId="7DE1BDD3">
            <w:pPr>
              <w:pStyle w:val="8"/>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4584" w:type="dxa"/>
          </w:tcPr>
          <w:p w14:paraId="4C29C09A">
            <w:pPr>
              <w:pStyle w:val="8"/>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原内容</w:t>
            </w:r>
          </w:p>
        </w:tc>
        <w:tc>
          <w:tcPr>
            <w:tcW w:w="6192" w:type="dxa"/>
          </w:tcPr>
          <w:p w14:paraId="15F3B1E1">
            <w:pPr>
              <w:pStyle w:val="8"/>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修改后内容</w:t>
            </w:r>
          </w:p>
        </w:tc>
      </w:tr>
      <w:tr w14:paraId="5D6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vAlign w:val="center"/>
          </w:tcPr>
          <w:p w14:paraId="746D83B6">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1336" w:type="dxa"/>
            <w:vAlign w:val="center"/>
          </w:tcPr>
          <w:p w14:paraId="5CB6509F">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目录</w:t>
            </w:r>
          </w:p>
        </w:tc>
        <w:tc>
          <w:tcPr>
            <w:tcW w:w="4584" w:type="dxa"/>
            <w:vAlign w:val="top"/>
          </w:tcPr>
          <w:p w14:paraId="3321A39A">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3324D22A">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523054EE">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2D3F10B0">
            <w:pPr>
              <w:adjustRightInd w:val="0"/>
              <w:snapToGrid w:val="0"/>
              <w:spacing w:line="240" w:lineRule="auto"/>
              <w:rPr>
                <w:rFonts w:hint="eastAsia" w:ascii="仿宋" w:hAnsi="仿宋" w:eastAsia="仿宋" w:cs="仿宋"/>
                <w:b/>
                <w:bCs/>
                <w:color w:val="auto"/>
                <w:sz w:val="24"/>
                <w:szCs w:val="24"/>
                <w:highlight w:val="none"/>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6192" w:type="dxa"/>
            <w:vAlign w:val="top"/>
          </w:tcPr>
          <w:p w14:paraId="2D69A60C">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目录最后新增：</w:t>
            </w:r>
          </w:p>
          <w:p w14:paraId="02860F8A">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p>
          <w:p w14:paraId="713B28FE">
            <w:pPr>
              <w:pStyle w:val="16"/>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勘察、设计、勘察设计、监理、设备采购、材料采购：“第七章 定标方案”</w:t>
            </w:r>
          </w:p>
          <w:p w14:paraId="515EFB28">
            <w:pPr>
              <w:pStyle w:val="16"/>
              <w:ind w:left="0" w:leftChars="0" w:firstLine="0" w:firstLineChars="0"/>
              <w:rPr>
                <w:rFonts w:hint="eastAsia"/>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设计施工总承包：“第八章 定标方案”</w:t>
            </w:r>
          </w:p>
          <w:p w14:paraId="026664F1">
            <w:pPr>
              <w:numPr>
                <w:ilvl w:val="0"/>
                <w:numId w:val="0"/>
              </w:num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 xml:space="preserve">施工：“第九章 定标方案” </w:t>
            </w:r>
          </w:p>
        </w:tc>
      </w:tr>
      <w:tr w14:paraId="357B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36" w:type="dxa"/>
            <w:vAlign w:val="center"/>
          </w:tcPr>
          <w:p w14:paraId="2DBE6D03">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勘察、设计、勘察设计、监理、设备采购、材料采购</w:t>
            </w:r>
          </w:p>
        </w:tc>
        <w:tc>
          <w:tcPr>
            <w:tcW w:w="1336" w:type="dxa"/>
            <w:vAlign w:val="center"/>
          </w:tcPr>
          <w:p w14:paraId="39F3C0ED">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第二章“投标人须知”前附表“6.3.2评标委员会推荐中标候选人的人数”</w:t>
            </w:r>
          </w:p>
          <w:p w14:paraId="2ACA0384">
            <w:pPr>
              <w:spacing w:line="240" w:lineRule="auto"/>
              <w:jc w:val="center"/>
              <w:rPr>
                <w:rFonts w:hint="eastAsia" w:ascii="仿宋" w:hAnsi="仿宋" w:eastAsia="仿宋" w:cs="仿宋"/>
                <w:color w:val="auto"/>
                <w:sz w:val="24"/>
                <w:szCs w:val="24"/>
                <w:highlight w:val="none"/>
                <w:lang w:val="en-US" w:eastAsia="zh-CN"/>
              </w:rPr>
            </w:pPr>
          </w:p>
        </w:tc>
        <w:tc>
          <w:tcPr>
            <w:tcW w:w="4584" w:type="dxa"/>
          </w:tcPr>
          <w:p w14:paraId="07FEDC54">
            <w:pPr>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1 至 3 个，推荐的中标候选人数：3人，当符合要求的投标人少于需推荐的人数，评标委员会推荐的人数可少于需推荐的人数。</w:t>
            </w:r>
          </w:p>
        </w:tc>
        <w:tc>
          <w:tcPr>
            <w:tcW w:w="6192" w:type="dxa"/>
          </w:tcPr>
          <w:p w14:paraId="207BF718">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勘察、设计、勘察设计、监理：</w:t>
            </w:r>
          </w:p>
          <w:p w14:paraId="5B8069AA">
            <w:pPr>
              <w:pStyle w:val="16"/>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本项目采用中标候选人评定分离机制，</w:t>
            </w:r>
            <w:bookmarkStart w:id="14" w:name="OLE_LINK11"/>
            <w:r>
              <w:rPr>
                <w:rFonts w:hint="eastAsia" w:ascii="仿宋" w:hAnsi="仿宋" w:eastAsia="仿宋" w:cs="仿宋"/>
                <w:b w:val="0"/>
                <w:bCs w:val="0"/>
                <w:i w:val="0"/>
                <w:iCs w:val="0"/>
                <w:color w:val="auto"/>
                <w:sz w:val="24"/>
                <w:szCs w:val="24"/>
                <w:highlight w:val="none"/>
                <w:lang w:val="en-US" w:eastAsia="zh-CN"/>
              </w:rPr>
              <w:t>推荐的中标候选人数为3人。当有效投标为2人时，可推荐2人，不足2人时，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评标委员会不推荐中标候选人</w:t>
            </w:r>
            <w:r>
              <w:rPr>
                <w:rFonts w:hint="eastAsia" w:ascii="仿宋" w:hAnsi="仿宋" w:eastAsia="仿宋" w:cs="仿宋"/>
                <w:b w:val="0"/>
                <w:bCs w:val="0"/>
                <w:i w:val="0"/>
                <w:iCs w:val="0"/>
                <w:color w:val="auto"/>
                <w:sz w:val="24"/>
                <w:szCs w:val="24"/>
                <w:highlight w:val="none"/>
                <w:lang w:val="en-US" w:eastAsia="zh-CN"/>
              </w:rPr>
              <w:t>，本次招</w:t>
            </w:r>
            <w:r>
              <w:rPr>
                <w:rFonts w:hint="eastAsia" w:ascii="仿宋" w:hAnsi="仿宋" w:eastAsia="仿宋" w:cs="仿宋"/>
                <w:b w:val="0"/>
                <w:bCs w:val="0"/>
                <w:color w:val="auto"/>
                <w:sz w:val="24"/>
                <w:szCs w:val="24"/>
                <w:highlight w:val="none"/>
                <w:u w:val="none"/>
                <w:lang w:val="en-US" w:eastAsia="zh-CN"/>
              </w:rPr>
              <w:t>标失败</w:t>
            </w:r>
            <w:r>
              <w:rPr>
                <w:rFonts w:hint="eastAsia" w:ascii="仿宋" w:hAnsi="仿宋" w:eastAsia="仿宋" w:cs="仿宋"/>
                <w:b w:val="0"/>
                <w:bCs w:val="0"/>
                <w:i w:val="0"/>
                <w:iCs w:val="0"/>
                <w:color w:val="auto"/>
                <w:sz w:val="24"/>
                <w:szCs w:val="24"/>
                <w:highlight w:val="none"/>
                <w:u w:val="none"/>
                <w:lang w:val="en-US" w:eastAsia="zh-CN"/>
              </w:rPr>
              <w:t>。</w:t>
            </w:r>
            <w:bookmarkEnd w:id="14"/>
          </w:p>
          <w:p w14:paraId="5C0AFEDC">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设备采购、材料采购：</w:t>
            </w:r>
          </w:p>
          <w:p w14:paraId="5F9DC8D3">
            <w:pPr>
              <w:spacing w:line="240" w:lineRule="auto"/>
              <w:ind w:firstLine="480" w:firstLineChars="200"/>
              <w:rPr>
                <w:rFonts w:hint="eastAsia" w:ascii="仿宋" w:hAnsi="仿宋" w:eastAsia="仿宋" w:cs="仿宋"/>
                <w:b w:val="0"/>
                <w:bCs w:val="0"/>
                <w:color w:val="auto"/>
                <w:sz w:val="24"/>
                <w:szCs w:val="24"/>
                <w:highlight w:val="none"/>
                <w:lang w:val="en-US" w:eastAsia="zh-CN"/>
              </w:rPr>
            </w:pPr>
            <w:bookmarkStart w:id="15" w:name="OLE_LINK12"/>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推荐的中标候选人数为3人。当有效投标为2人时，可推荐2人，不足2人时，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w:t>
            </w:r>
            <w:r>
              <w:rPr>
                <w:rFonts w:hint="eastAsia" w:ascii="仿宋" w:hAnsi="仿宋" w:eastAsia="仿宋" w:cs="仿宋"/>
                <w:b w:val="0"/>
                <w:bCs w:val="0"/>
                <w:i w:val="0"/>
                <w:iCs w:val="0"/>
                <w:color w:val="auto"/>
                <w:kern w:val="2"/>
                <w:sz w:val="24"/>
                <w:szCs w:val="24"/>
                <w:highlight w:val="none"/>
                <w:lang w:val="en-US" w:eastAsia="zh-CN" w:bidi="ar-SA"/>
              </w:rPr>
              <w:t>人，本次招标</w:t>
            </w:r>
            <w:r>
              <w:rPr>
                <w:rFonts w:hint="eastAsia" w:ascii="仿宋" w:hAnsi="仿宋" w:eastAsia="仿宋" w:cs="仿宋"/>
                <w:b w:val="0"/>
                <w:bCs w:val="0"/>
                <w:color w:val="auto"/>
                <w:sz w:val="24"/>
                <w:szCs w:val="24"/>
                <w:highlight w:val="none"/>
                <w:u w:val="none"/>
                <w:lang w:val="en-US" w:eastAsia="zh-CN"/>
              </w:rPr>
              <w:t>失败</w:t>
            </w:r>
            <w:r>
              <w:rPr>
                <w:rFonts w:hint="eastAsia" w:ascii="仿宋" w:hAnsi="仿宋" w:eastAsia="仿宋" w:cs="仿宋"/>
                <w:b w:val="0"/>
                <w:bCs w:val="0"/>
                <w:i w:val="0"/>
                <w:iCs w:val="0"/>
                <w:color w:val="auto"/>
                <w:sz w:val="24"/>
                <w:szCs w:val="24"/>
                <w:highlight w:val="none"/>
                <w:u w:val="none"/>
                <w:lang w:val="en-US" w:eastAsia="zh-CN"/>
              </w:rPr>
              <w:t>。</w:t>
            </w:r>
          </w:p>
          <w:p w14:paraId="6F361598">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采用经评审的最低投标价法时，按照经评审的投标价由低到高的顺序推荐中标候选人，经评审的投标价相等时，投标报价低的优先。处于同一优先推荐顺序的投标人全部纳入中标候选人。</w:t>
            </w:r>
          </w:p>
          <w:p w14:paraId="1D3C6362">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例：经评审的投标价最低的为3人及以上，则全部推荐为中标候选人，不再推荐经评审的投标价次低的投标人。</w:t>
            </w:r>
          </w:p>
          <w:p w14:paraId="1F170DA9">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经评审的投标价最低的投标人为2人，经评审的投标价次低的投标人为2人及以上，则以上投标人全部推荐为中标候选人。</w:t>
            </w:r>
          </w:p>
          <w:p w14:paraId="30F0463A">
            <w:pPr>
              <w:spacing w:line="240" w:lineRule="auto"/>
              <w:ind w:firstLine="480" w:firstLineChars="200"/>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其他情形以此类推。</w:t>
            </w:r>
            <w:bookmarkEnd w:id="15"/>
          </w:p>
        </w:tc>
      </w:tr>
      <w:tr w14:paraId="55B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36" w:type="dxa"/>
            <w:vAlign w:val="center"/>
          </w:tcPr>
          <w:p w14:paraId="41A29291">
            <w:pPr>
              <w:pStyle w:val="8"/>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施工、设计施工总承包</w:t>
            </w:r>
          </w:p>
        </w:tc>
        <w:tc>
          <w:tcPr>
            <w:tcW w:w="1336" w:type="dxa"/>
            <w:vAlign w:val="center"/>
          </w:tcPr>
          <w:p w14:paraId="55228C7A">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第二章“投标人须知”前附表“7.1是否授权评标委员会确定中标人”</w:t>
            </w:r>
          </w:p>
        </w:tc>
        <w:tc>
          <w:tcPr>
            <w:tcW w:w="4584" w:type="dxa"/>
            <w:vAlign w:val="top"/>
          </w:tcPr>
          <w:p w14:paraId="79339AC1">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p w14:paraId="2AA34B41">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□否，推荐的中标候选人数：3人，当符合要求的投标人少于需推荐的人数，评标委员会推荐的人数可少于需推荐的人数。</w:t>
            </w:r>
          </w:p>
        </w:tc>
        <w:tc>
          <w:tcPr>
            <w:tcW w:w="6192" w:type="dxa"/>
            <w:vAlign w:val="top"/>
          </w:tcPr>
          <w:p w14:paraId="2A349FF7">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施工：</w:t>
            </w:r>
          </w:p>
          <w:p w14:paraId="75A49158">
            <w:pPr>
              <w:spacing w:line="24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否，</w:t>
            </w: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推荐的中标候选人数为3人。当有效投标为2人时，可推荐2人，不足2人时，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w:t>
            </w:r>
            <w:r>
              <w:rPr>
                <w:rFonts w:hint="eastAsia" w:ascii="仿宋" w:hAnsi="仿宋" w:eastAsia="仿宋" w:cs="仿宋"/>
                <w:b w:val="0"/>
                <w:bCs w:val="0"/>
                <w:i w:val="0"/>
                <w:iCs w:val="0"/>
                <w:color w:val="auto"/>
                <w:kern w:val="2"/>
                <w:sz w:val="24"/>
                <w:szCs w:val="24"/>
                <w:highlight w:val="none"/>
                <w:lang w:val="en-US" w:eastAsia="zh-CN" w:bidi="ar-SA"/>
              </w:rPr>
              <w:t>人，本次招标</w:t>
            </w:r>
            <w:r>
              <w:rPr>
                <w:rFonts w:hint="eastAsia" w:ascii="仿宋" w:hAnsi="仿宋" w:eastAsia="仿宋" w:cs="仿宋"/>
                <w:b w:val="0"/>
                <w:bCs w:val="0"/>
                <w:color w:val="auto"/>
                <w:sz w:val="24"/>
                <w:szCs w:val="24"/>
                <w:highlight w:val="none"/>
                <w:u w:val="none"/>
                <w:lang w:val="en-US" w:eastAsia="zh-CN"/>
              </w:rPr>
              <w:t>失败</w:t>
            </w:r>
            <w:r>
              <w:rPr>
                <w:rFonts w:hint="eastAsia" w:ascii="仿宋" w:hAnsi="仿宋" w:eastAsia="仿宋" w:cs="仿宋"/>
                <w:b w:val="0"/>
                <w:bCs w:val="0"/>
                <w:i w:val="0"/>
                <w:iCs w:val="0"/>
                <w:color w:val="auto"/>
                <w:sz w:val="24"/>
                <w:szCs w:val="24"/>
                <w:highlight w:val="none"/>
                <w:u w:val="none"/>
                <w:lang w:val="en-US" w:eastAsia="zh-CN"/>
              </w:rPr>
              <w:t>。</w:t>
            </w:r>
          </w:p>
          <w:p w14:paraId="5B5175F2">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采用经评审的最低投标价法时，按照经评审的投标价（即评标价，以下同）由低到高的顺序推荐中标候选人，经评审的投标价相等时，投标报价低的优先。处于同一优先推荐顺序的投标人全部纳入中标候选人。</w:t>
            </w:r>
          </w:p>
          <w:p w14:paraId="115B289C">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例：经评审的投标价最低的为3人及以上，则全部推荐为中标候选人，不再推荐经评审的投标价次低的投标人。</w:t>
            </w:r>
          </w:p>
          <w:p w14:paraId="7AF69594">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经评审的投标价最低的投标人为2人，经评审的投标价次低的投标人为2人及以上，则以上投标人全部推荐为中标候选人。</w:t>
            </w:r>
          </w:p>
          <w:p w14:paraId="3B8A99E0">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其他情形以此类推。</w:t>
            </w:r>
          </w:p>
          <w:p w14:paraId="7943F78E">
            <w:pPr>
              <w:spacing w:line="240" w:lineRule="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设计施工总承包：</w:t>
            </w:r>
          </w:p>
          <w:p w14:paraId="5173C1DD">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color w:val="auto"/>
                <w:sz w:val="24"/>
                <w:szCs w:val="24"/>
                <w:highlight w:val="none"/>
              </w:rPr>
              <w:t>否，</w:t>
            </w: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推荐的中标候选人数为3人。当有效投标为2人时，可推荐2人，不足2人时，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w:t>
            </w:r>
            <w:r>
              <w:rPr>
                <w:rFonts w:hint="eastAsia" w:ascii="仿宋" w:hAnsi="仿宋" w:eastAsia="仿宋" w:cs="仿宋"/>
                <w:b w:val="0"/>
                <w:bCs w:val="0"/>
                <w:i w:val="0"/>
                <w:iCs w:val="0"/>
                <w:color w:val="auto"/>
                <w:kern w:val="2"/>
                <w:sz w:val="24"/>
                <w:szCs w:val="24"/>
                <w:highlight w:val="none"/>
                <w:lang w:val="en-US" w:eastAsia="zh-CN" w:bidi="ar-SA"/>
              </w:rPr>
              <w:t>人，本次招标</w:t>
            </w:r>
            <w:r>
              <w:rPr>
                <w:rFonts w:hint="eastAsia" w:ascii="仿宋" w:hAnsi="仿宋" w:eastAsia="仿宋" w:cs="仿宋"/>
                <w:b w:val="0"/>
                <w:bCs w:val="0"/>
                <w:color w:val="auto"/>
                <w:sz w:val="24"/>
                <w:szCs w:val="24"/>
                <w:highlight w:val="none"/>
                <w:u w:val="none"/>
                <w:lang w:val="en-US" w:eastAsia="zh-CN"/>
              </w:rPr>
              <w:t>失败</w:t>
            </w:r>
            <w:r>
              <w:rPr>
                <w:rFonts w:hint="eastAsia" w:ascii="仿宋" w:hAnsi="仿宋" w:eastAsia="仿宋" w:cs="仿宋"/>
                <w:b w:val="0"/>
                <w:bCs w:val="0"/>
                <w:i w:val="0"/>
                <w:iCs w:val="0"/>
                <w:color w:val="auto"/>
                <w:sz w:val="24"/>
                <w:szCs w:val="24"/>
                <w:highlight w:val="none"/>
                <w:u w:val="none"/>
                <w:lang w:val="en-US" w:eastAsia="zh-CN"/>
              </w:rPr>
              <w:t>。</w:t>
            </w:r>
          </w:p>
        </w:tc>
      </w:tr>
      <w:tr w14:paraId="436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53190B17">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勘察、设计、勘察设计、施工、设计施工总承包、设备采购、材料采购</w:t>
            </w:r>
          </w:p>
        </w:tc>
        <w:tc>
          <w:tcPr>
            <w:tcW w:w="1336" w:type="dxa"/>
            <w:vAlign w:val="center"/>
          </w:tcPr>
          <w:p w14:paraId="545B4C57">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rPr>
              <w:t>设计施工总承包9.6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确定中标人”</w:t>
            </w:r>
          </w:p>
        </w:tc>
        <w:tc>
          <w:tcPr>
            <w:tcW w:w="4584" w:type="dxa"/>
          </w:tcPr>
          <w:p w14:paraId="51A68F6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00179AB">
            <w:pPr>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根据《工程建设项目勘察设计招标投标办法》（八部委2号令）第四十条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《工程建设项目施工招标投标办法》（七部委30号令）第五十八条</w:t>
            </w:r>
            <w:r>
              <w:rPr>
                <w:rFonts w:hint="eastAsia" w:ascii="仿宋" w:hAnsi="仿宋" w:eastAsia="仿宋" w:cs="仿宋"/>
                <w:color w:val="auto"/>
                <w:sz w:val="24"/>
                <w:szCs w:val="24"/>
                <w:highlight w:val="none"/>
                <w:lang w:val="en-US" w:eastAsia="zh-CN"/>
              </w:rPr>
              <w:t>/《工程建设项目货物招标投标办法》（七部委27号令）第四十八条</w:t>
            </w:r>
            <w:r>
              <w:rPr>
                <w:rFonts w:hint="eastAsia" w:ascii="仿宋" w:hAnsi="仿宋" w:eastAsia="仿宋" w:cs="仿宋"/>
                <w:color w:val="auto"/>
                <w:sz w:val="24"/>
                <w:szCs w:val="24"/>
                <w:highlight w:val="none"/>
              </w:rPr>
              <w:t>，国有资金占控股或者主导地位的依法必须进行招标的项目，招标人应当确定排名第一的中标候选人为中标人。排名第一的中标候选人放弃中标、因不可抗力提出不能履行合同、不按照招标文件的要</w:t>
            </w: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“10.6确定中标人”</w:t>
            </w:r>
            <w:r>
              <w:rPr>
                <w:rFonts w:hint="eastAsia" w:ascii="仿宋" w:hAnsi="仿宋" w:eastAsia="仿宋" w:cs="仿宋"/>
                <w:color w:val="auto"/>
                <w:sz w:val="24"/>
                <w:szCs w:val="24"/>
                <w:highlight w:val="none"/>
              </w:rPr>
              <w:t>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c>
          <w:tcPr>
            <w:tcW w:w="6192" w:type="dxa"/>
          </w:tcPr>
          <w:p w14:paraId="62BC73DB">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i w:val="0"/>
                <w:iCs w:val="0"/>
                <w:color w:val="auto"/>
                <w:sz w:val="24"/>
                <w:szCs w:val="24"/>
                <w:highlight w:val="none"/>
                <w:lang w:val="en-US" w:eastAsia="zh-CN"/>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14:paraId="288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3AF340BF">
            <w:pPr>
              <w:spacing w:line="24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监理</w:t>
            </w:r>
          </w:p>
        </w:tc>
        <w:tc>
          <w:tcPr>
            <w:tcW w:w="1336" w:type="dxa"/>
            <w:vAlign w:val="center"/>
          </w:tcPr>
          <w:p w14:paraId="12BDACEE">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“10.6确定中标人”</w:t>
            </w:r>
          </w:p>
        </w:tc>
        <w:tc>
          <w:tcPr>
            <w:tcW w:w="4584" w:type="dxa"/>
          </w:tcPr>
          <w:p w14:paraId="02DD8C6A">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6192" w:type="dxa"/>
          </w:tcPr>
          <w:p w14:paraId="2D7EDF7A">
            <w:pPr>
              <w:numPr>
                <w:ilvl w:val="0"/>
                <w:numId w:val="0"/>
              </w:numPr>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14:paraId="061C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336" w:type="dxa"/>
            <w:vAlign w:val="center"/>
          </w:tcPr>
          <w:p w14:paraId="7194959F">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1336" w:type="dxa"/>
            <w:vAlign w:val="center"/>
          </w:tcPr>
          <w:p w14:paraId="245639E2">
            <w:pPr>
              <w:spacing w:line="240" w:lineRule="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w:t>
            </w:r>
          </w:p>
        </w:tc>
        <w:tc>
          <w:tcPr>
            <w:tcW w:w="4584" w:type="dxa"/>
          </w:tcPr>
          <w:p w14:paraId="7DFFD569">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中标候选人公示媒介及期限</w:t>
            </w:r>
          </w:p>
          <w:p w14:paraId="17FDB238">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公示媒介：同招标公告发布媒介</w:t>
            </w:r>
          </w:p>
          <w:p w14:paraId="7BE5073D">
            <w:pPr>
              <w:spacing w:line="24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公示期限：5个工作日</w:t>
            </w:r>
          </w:p>
        </w:tc>
        <w:tc>
          <w:tcPr>
            <w:tcW w:w="6192" w:type="dxa"/>
          </w:tcPr>
          <w:p w14:paraId="5453BFDB">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勘察、设计、勘察设计、监理、设备采购、材料采购：7.1</w:t>
            </w:r>
          </w:p>
          <w:p w14:paraId="1467ADE8">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施工：10.13</w:t>
            </w:r>
          </w:p>
          <w:p w14:paraId="0B69CA7A">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设计施工总承包：7.2</w:t>
            </w:r>
          </w:p>
          <w:p w14:paraId="6463A512">
            <w:pPr>
              <w:adjustRightInd w:val="0"/>
              <w:snapToGrid w:val="0"/>
              <w:spacing w:line="360" w:lineRule="auto"/>
              <w:rPr>
                <w:rFonts w:hint="eastAsia" w:ascii="仿宋" w:hAnsi="仿宋" w:eastAsia="仿宋" w:cs="仿宋"/>
                <w:b/>
                <w:bCs/>
                <w:color w:val="auto"/>
                <w:sz w:val="24"/>
                <w:szCs w:val="24"/>
                <w:highlight w:val="none"/>
                <w:lang w:val="en-US" w:eastAsia="zh-CN"/>
              </w:rPr>
            </w:pPr>
          </w:p>
          <w:p w14:paraId="6EBCE956">
            <w:pPr>
              <w:spacing w:line="24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中标候选人公示</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定标结果公示</w:t>
            </w:r>
            <w:r>
              <w:rPr>
                <w:rFonts w:hint="eastAsia" w:ascii="仿宋" w:hAnsi="仿宋" w:eastAsia="仿宋" w:cs="仿宋"/>
                <w:b w:val="0"/>
                <w:bCs w:val="0"/>
                <w:color w:val="auto"/>
                <w:sz w:val="24"/>
                <w:szCs w:val="24"/>
                <w:highlight w:val="none"/>
              </w:rPr>
              <w:t>媒介及期限</w:t>
            </w:r>
          </w:p>
          <w:p w14:paraId="300BF124">
            <w:pPr>
              <w:spacing w:line="24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公示媒介：同招标公告发布媒介</w:t>
            </w:r>
          </w:p>
          <w:p w14:paraId="043C106A">
            <w:pPr>
              <w:numPr>
                <w:ilvl w:val="0"/>
                <w:numId w:val="0"/>
              </w:numPr>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中标候选人公示期限：不少于3日，</w:t>
            </w:r>
            <w:r>
              <w:rPr>
                <w:rFonts w:hint="eastAsia" w:ascii="仿宋" w:hAnsi="仿宋" w:eastAsia="仿宋" w:cs="仿宋"/>
                <w:b w:val="0"/>
                <w:bCs w:val="0"/>
                <w:color w:val="auto"/>
                <w:sz w:val="24"/>
                <w:szCs w:val="24"/>
                <w:highlight w:val="none"/>
                <w:lang w:val="en-US" w:eastAsia="zh-CN"/>
              </w:rPr>
              <w:t>公示期</w:t>
            </w:r>
            <w:r>
              <w:rPr>
                <w:rFonts w:hint="eastAsia" w:ascii="仿宋" w:hAnsi="仿宋" w:eastAsia="仿宋" w:cs="仿宋"/>
                <w:b w:val="0"/>
                <w:bCs w:val="0"/>
                <w:color w:val="auto"/>
                <w:sz w:val="24"/>
                <w:szCs w:val="24"/>
                <w:highlight w:val="none"/>
              </w:rPr>
              <w:t>最后一日</w:t>
            </w:r>
            <w:r>
              <w:rPr>
                <w:rFonts w:hint="eastAsia" w:ascii="仿宋" w:hAnsi="仿宋" w:eastAsia="仿宋" w:cs="仿宋"/>
                <w:b w:val="0"/>
                <w:bCs w:val="0"/>
                <w:color w:val="auto"/>
                <w:sz w:val="24"/>
                <w:szCs w:val="24"/>
                <w:highlight w:val="none"/>
                <w:lang w:val="en-US" w:eastAsia="zh-CN"/>
              </w:rPr>
              <w:t>应为工作日</w:t>
            </w:r>
            <w:r>
              <w:rPr>
                <w:rFonts w:hint="eastAsia" w:ascii="仿宋" w:hAnsi="仿宋" w:eastAsia="仿宋" w:cs="仿宋"/>
                <w:b w:val="0"/>
                <w:bCs w:val="0"/>
                <w:color w:val="auto"/>
                <w:sz w:val="24"/>
                <w:szCs w:val="24"/>
                <w:highlight w:val="none"/>
              </w:rPr>
              <w:t>。</w:t>
            </w:r>
          </w:p>
          <w:p w14:paraId="74F5E65D">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定标结果公示</w:t>
            </w:r>
            <w:r>
              <w:rPr>
                <w:rFonts w:hint="eastAsia" w:ascii="仿宋" w:hAnsi="仿宋" w:eastAsia="仿宋" w:cs="仿宋"/>
                <w:b w:val="0"/>
                <w:bCs w:val="0"/>
                <w:color w:val="auto"/>
                <w:sz w:val="24"/>
                <w:szCs w:val="24"/>
                <w:highlight w:val="none"/>
              </w:rPr>
              <w:t>期限</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定标结束后，招标人应在3日内将定标结果通过四川省公共资源交易信息网等指定媒介进行公示，公示期不少于3日。</w:t>
            </w:r>
          </w:p>
        </w:tc>
      </w:tr>
      <w:tr w14:paraId="7D89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5AF0273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1336" w:type="dxa"/>
            <w:vAlign w:val="center"/>
          </w:tcPr>
          <w:p w14:paraId="618A72E0">
            <w:pPr>
              <w:pStyle w:val="2"/>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第三章 “评标办法（综合评估法）”评标办法正文</w:t>
            </w:r>
            <w:r>
              <w:rPr>
                <w:rFonts w:hint="eastAsia" w:ascii="仿宋" w:hAnsi="仿宋" w:eastAsia="仿宋" w:cs="仿宋"/>
                <w:b w:val="0"/>
                <w:bCs w:val="0"/>
                <w:color w:val="auto"/>
                <w:sz w:val="24"/>
                <w:szCs w:val="24"/>
                <w:highlight w:val="none"/>
              </w:rPr>
              <w:t>1.评标方法</w:t>
            </w:r>
          </w:p>
          <w:p w14:paraId="64D93187">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3376EDD1">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仿宋" w:hAnsi="仿宋" w:eastAsia="仿宋" w:cs="仿宋"/>
                <w:b w:val="0"/>
                <w:bCs w:val="0"/>
                <w:color w:val="auto"/>
                <w:kern w:val="2"/>
                <w:sz w:val="24"/>
                <w:szCs w:val="24"/>
                <w:highlight w:val="none"/>
                <w:lang w:val="en-US" w:eastAsia="zh-CN" w:bidi="ar-S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14:paraId="3DF5DE39">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勘察：综合评分相等时，以投标报价低的优先；投标报价也相等的，以勘察纲要得分高的优先；如果勘察纲要得分也相等，按照评标办法前附表的规定确定中标候选人顺序。</w:t>
            </w:r>
          </w:p>
          <w:p w14:paraId="73A1575B">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设计：综合评分相等时，以投标报价低的优先；投标报价也相等的，以设计方案（设计大纲）得分高的优先；如果设计方案（设计大纲）得分也相等，按照评标办法前附表的规定确定中标候选人顺序。</w:t>
            </w:r>
          </w:p>
          <w:p w14:paraId="3ABC96E0">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勘察设计：综合评分相等时，以设计投标报价低的优先；投标报价也相等的，以勘察纲要、设计大纲得分高的优先；如果勘察纲要、设计大纲得分也相等，按照评标办法前附表的规定确定中标候选人顺序。</w:t>
            </w:r>
          </w:p>
          <w:p w14:paraId="08617F22">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施工：综合评分相等时，以投标报价低的优先；投标报价也相等的，由招标人自行确定。</w:t>
            </w:r>
          </w:p>
          <w:p w14:paraId="41EA3D14">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设计施工总承包：综合评分相等时，以投标报价低的优先；投标报价也相等的，由招标人或者经招标人授权评标委员会自行确定。</w:t>
            </w:r>
          </w:p>
          <w:p w14:paraId="6F52F6F0">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监理：综合评分相等时，以投标报价低的优先；投标报价也相等的，以监理大纲得分高的优先；如果监理大纲得分也相等，按照评标办法前附表的规定确定中标候选人顺序。</w:t>
            </w:r>
          </w:p>
          <w:p w14:paraId="661EB4F8">
            <w:pPr>
              <w:pStyle w:val="16"/>
              <w:ind w:left="0" w:leftChars="0" w:firstLine="0" w:firstLine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设备采购、材料采购：综合评分相等时，以投标报价低的优先；投标报价也相等的，以技术得分高的优先；如果技术得分也相等，按照评标办法前附表的规定确定中标候选人顺序。</w:t>
            </w:r>
          </w:p>
        </w:tc>
        <w:tc>
          <w:tcPr>
            <w:tcW w:w="6192" w:type="dxa"/>
          </w:tcPr>
          <w:p w14:paraId="3C5D1540">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本次评标采用综合评估法。评标委员会对满足招标文件实质性要求</w:t>
            </w:r>
            <w:r>
              <w:rPr>
                <w:rFonts w:hint="eastAsia" w:ascii="仿宋" w:hAnsi="仿宋" w:eastAsia="仿宋" w:cs="仿宋"/>
                <w:b w:val="0"/>
                <w:bCs w:val="0"/>
                <w:color w:val="auto"/>
                <w:kern w:val="2"/>
                <w:sz w:val="24"/>
                <w:szCs w:val="24"/>
                <w:highlight w:val="none"/>
                <w:lang w:val="en-US" w:eastAsia="zh-CN" w:bidi="ar-SA"/>
              </w:rPr>
              <w:t>的投标文件，按照本章第2.2款规定的评分标准进行打分，并按得分由高到低顺序推荐3个中标候选人，但投标报价低于其成本的除外。</w:t>
            </w:r>
            <w:r>
              <w:rPr>
                <w:rFonts w:hint="eastAsia" w:ascii="仿宋" w:hAnsi="仿宋" w:eastAsia="仿宋" w:cs="仿宋"/>
                <w:b w:val="0"/>
                <w:bCs w:val="0"/>
                <w:i w:val="0"/>
                <w:iCs w:val="0"/>
                <w:color w:val="auto"/>
                <w:sz w:val="24"/>
                <w:szCs w:val="24"/>
                <w:highlight w:val="none"/>
                <w:lang w:val="en-US" w:eastAsia="zh-CN"/>
              </w:rPr>
              <w:t>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评标委员会不推荐中标候选人</w:t>
            </w:r>
            <w:r>
              <w:rPr>
                <w:rFonts w:hint="eastAsia" w:ascii="仿宋" w:hAnsi="仿宋" w:eastAsia="仿宋" w:cs="仿宋"/>
                <w:b w:val="0"/>
                <w:bCs w:val="0"/>
                <w:i w:val="0"/>
                <w:iCs w:val="0"/>
                <w:color w:val="auto"/>
                <w:sz w:val="24"/>
                <w:szCs w:val="24"/>
                <w:highlight w:val="none"/>
                <w:lang w:val="en-US" w:eastAsia="zh-CN"/>
              </w:rPr>
              <w:t>，本次招</w:t>
            </w:r>
            <w:r>
              <w:rPr>
                <w:rFonts w:hint="eastAsia" w:ascii="仿宋" w:hAnsi="仿宋" w:eastAsia="仿宋" w:cs="仿宋"/>
                <w:b w:val="0"/>
                <w:bCs w:val="0"/>
                <w:color w:val="auto"/>
                <w:sz w:val="24"/>
                <w:szCs w:val="24"/>
                <w:highlight w:val="none"/>
                <w:u w:val="none"/>
                <w:lang w:val="en-US" w:eastAsia="zh-CN"/>
              </w:rPr>
              <w:t>标失败</w:t>
            </w:r>
            <w:r>
              <w:rPr>
                <w:rFonts w:hint="eastAsia" w:ascii="仿宋" w:hAnsi="仿宋" w:eastAsia="仿宋" w:cs="仿宋"/>
                <w:b w:val="0"/>
                <w:bCs w:val="0"/>
                <w:i w:val="0"/>
                <w:iCs w:val="0"/>
                <w:color w:val="auto"/>
                <w:sz w:val="24"/>
                <w:szCs w:val="24"/>
                <w:highlight w:val="none"/>
                <w:u w:val="none"/>
                <w:lang w:val="en-US" w:eastAsia="zh-CN"/>
              </w:rPr>
              <w:t>。</w:t>
            </w:r>
          </w:p>
          <w:p w14:paraId="067A3013">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勘察：</w:t>
            </w:r>
            <w:r>
              <w:rPr>
                <w:rFonts w:hint="eastAsia" w:ascii="仿宋" w:hAnsi="仿宋" w:eastAsia="仿宋" w:cs="仿宋"/>
                <w:b w:val="0"/>
                <w:bCs w:val="0"/>
                <w:color w:val="auto"/>
                <w:kern w:val="2"/>
                <w:sz w:val="24"/>
                <w:szCs w:val="24"/>
                <w:highlight w:val="none"/>
                <w:lang w:val="en-US" w:eastAsia="zh-CN" w:bidi="ar-SA"/>
              </w:rPr>
              <w:t>综合评分相等时，以投标报价低的优先；投标报价也相等的，以勘察纲要得分高的优先；如果勘察纲要得分也相等，按照评标办法前附表的规定确定中标候选人顺序。</w:t>
            </w:r>
          </w:p>
          <w:p w14:paraId="19C3C440">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p>
          <w:p w14:paraId="5D80C646">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w:t>
            </w:r>
            <w:r>
              <w:rPr>
                <w:rFonts w:hint="eastAsia" w:ascii="仿宋" w:hAnsi="仿宋" w:eastAsia="仿宋" w:cs="仿宋"/>
                <w:b w:val="0"/>
                <w:bCs w:val="0"/>
                <w:color w:val="auto"/>
                <w:kern w:val="2"/>
                <w:sz w:val="24"/>
                <w:szCs w:val="24"/>
                <w:highlight w:val="none"/>
                <w:lang w:val="en-US" w:eastAsia="zh-CN" w:bidi="ar-SA"/>
              </w:rPr>
              <w:t>综合评分相等时，以投标报价低的优先；投标报价也相等的，以设计方案（设计大纲）得分高的优先；如果设计方案（设计大纲）得分也相等，按照评标办法前附表的规定确定中标候选人顺序。</w:t>
            </w:r>
          </w:p>
          <w:p w14:paraId="4935DB2D">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p>
          <w:p w14:paraId="617B3831">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勘察设计：</w:t>
            </w:r>
            <w:r>
              <w:rPr>
                <w:rFonts w:hint="eastAsia" w:ascii="仿宋" w:hAnsi="仿宋" w:eastAsia="仿宋" w:cs="仿宋"/>
                <w:b w:val="0"/>
                <w:bCs w:val="0"/>
                <w:color w:val="auto"/>
                <w:kern w:val="2"/>
                <w:sz w:val="24"/>
                <w:szCs w:val="24"/>
                <w:highlight w:val="none"/>
                <w:lang w:val="en-US" w:eastAsia="zh-CN" w:bidi="ar-SA"/>
              </w:rPr>
              <w:t>综合评分相等时，以设计投标报价低的优先；投标报价也相等的，以勘察纲要、设计大纲得分高的优先；如果勘察纲要、设计大纲得分也相等，按照评标办法前附表的规定确定中标候选人顺序。</w:t>
            </w:r>
          </w:p>
          <w:p w14:paraId="24A7EF61">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p>
          <w:p w14:paraId="6854F44C">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r>
              <w:rPr>
                <w:rFonts w:hint="eastAsia" w:ascii="仿宋" w:hAnsi="仿宋" w:eastAsia="仿宋" w:cs="仿宋"/>
                <w:b w:val="0"/>
                <w:bCs w:val="0"/>
                <w:color w:val="auto"/>
                <w:kern w:val="2"/>
                <w:sz w:val="24"/>
                <w:szCs w:val="24"/>
                <w:highlight w:val="none"/>
                <w:lang w:val="en-US" w:eastAsia="zh-CN" w:bidi="ar-SA"/>
              </w:rPr>
              <w:t>综合评分相等时，以投标报价低的优先；投标报价也相等的，由评标委员会自行确定。</w:t>
            </w:r>
          </w:p>
          <w:p w14:paraId="134C414D">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p>
          <w:p w14:paraId="6A9D9E1E">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w:t>
            </w:r>
            <w:r>
              <w:rPr>
                <w:rFonts w:hint="eastAsia" w:ascii="仿宋" w:hAnsi="仿宋" w:eastAsia="仿宋" w:cs="仿宋"/>
                <w:b w:val="0"/>
                <w:bCs w:val="0"/>
                <w:color w:val="auto"/>
                <w:kern w:val="2"/>
                <w:sz w:val="24"/>
                <w:szCs w:val="24"/>
                <w:highlight w:val="none"/>
                <w:lang w:val="en-US" w:eastAsia="zh-CN" w:bidi="ar-SA"/>
              </w:rPr>
              <w:t>综合评分相等时，以投标报价低的优先；投标报价也相等的，由评标委员会自行确定。</w:t>
            </w:r>
          </w:p>
          <w:p w14:paraId="2148E49B">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p>
          <w:p w14:paraId="7E02D585">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监理：</w:t>
            </w:r>
            <w:r>
              <w:rPr>
                <w:rFonts w:hint="eastAsia" w:ascii="仿宋" w:hAnsi="仿宋" w:eastAsia="仿宋" w:cs="仿宋"/>
                <w:b w:val="0"/>
                <w:bCs w:val="0"/>
                <w:color w:val="auto"/>
                <w:kern w:val="2"/>
                <w:sz w:val="24"/>
                <w:szCs w:val="24"/>
                <w:highlight w:val="none"/>
                <w:lang w:val="en-US" w:eastAsia="zh-CN" w:bidi="ar-SA"/>
              </w:rPr>
              <w:t>综合评分相等时，以投标报价低的优先；投标报价也相等的，以监理大纲得分高的优先；如果监理大纲得分也相等，按照评标办法前附表的规定确定中标候选人顺序。</w:t>
            </w:r>
          </w:p>
          <w:p w14:paraId="09B50B40">
            <w:pPr>
              <w:pStyle w:val="16"/>
              <w:ind w:left="0" w:leftChars="0" w:firstLine="0" w:firstLineChars="0"/>
              <w:rPr>
                <w:rFonts w:hint="eastAsia" w:ascii="仿宋" w:hAnsi="仿宋" w:eastAsia="仿宋" w:cs="仿宋"/>
                <w:b w:val="0"/>
                <w:bCs w:val="0"/>
                <w:color w:val="auto"/>
                <w:kern w:val="2"/>
                <w:sz w:val="24"/>
                <w:szCs w:val="24"/>
                <w:highlight w:val="none"/>
                <w:lang w:val="en-US" w:eastAsia="zh-CN" w:bidi="ar-SA"/>
              </w:rPr>
            </w:pPr>
          </w:p>
          <w:p w14:paraId="0AF436BE">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设备采购、材料采购：</w:t>
            </w:r>
            <w:r>
              <w:rPr>
                <w:rFonts w:hint="eastAsia" w:ascii="仿宋" w:hAnsi="仿宋" w:eastAsia="仿宋" w:cs="仿宋"/>
                <w:b w:val="0"/>
                <w:bCs w:val="0"/>
                <w:color w:val="auto"/>
                <w:kern w:val="2"/>
                <w:sz w:val="24"/>
                <w:szCs w:val="24"/>
                <w:highlight w:val="none"/>
                <w:lang w:val="en-US" w:eastAsia="zh-CN" w:bidi="ar-SA"/>
              </w:rPr>
              <w:t xml:space="preserve">综合评分相等时，以投标报价低的优先；投标报价也相等的，以技术得分高的优先；如果技术得分也相等，按照评标办法前附表的规定确定中标候选人顺序。 </w:t>
            </w:r>
          </w:p>
          <w:p w14:paraId="705FEC96">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w:t>
            </w:r>
          </w:p>
          <w:p w14:paraId="24AAD7A9">
            <w:pPr>
              <w:numPr>
                <w:ilvl w:val="0"/>
                <w:numId w:val="0"/>
              </w:numPr>
              <w:spacing w:line="24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推荐的中标候选人不排序。评标委员会须对中标候选人逐一出具评审意见，相关评审意见应针对性阐述中标候选人投标文件的优点、不足、可能存在的风险等，不得泛泛而谈。</w:t>
            </w:r>
          </w:p>
        </w:tc>
      </w:tr>
      <w:tr w14:paraId="0E53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36" w:type="dxa"/>
            <w:vAlign w:val="center"/>
          </w:tcPr>
          <w:p w14:paraId="5CADBBE8">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1336" w:type="dxa"/>
            <w:vAlign w:val="center"/>
          </w:tcPr>
          <w:p w14:paraId="79509B2D">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“评标办法（综合评估法）”评标办法正文3.4评标结果</w:t>
            </w:r>
          </w:p>
          <w:p w14:paraId="2E0EF353">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28D47A1A">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勘察、设计、勘察设计、监理、设备采购、材料采购：  </w:t>
            </w:r>
          </w:p>
          <w:p w14:paraId="6931B26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3.4.1除第二章“投标人须知”前附表授权直接确定中标人外，评标委员会按照得分由高到低的顺序推荐中标候选人，并标明排序。</w:t>
            </w:r>
          </w:p>
          <w:p w14:paraId="349FCA52">
            <w:pPr>
              <w:pStyle w:val="16"/>
              <w:spacing w:line="240" w:lineRule="auto"/>
              <w:ind w:left="0" w:leftChars="0" w:firstLine="0" w:firstLineChars="0"/>
              <w:rPr>
                <w:rFonts w:hint="eastAsia"/>
                <w:color w:val="auto"/>
                <w:sz w:val="24"/>
                <w:szCs w:val="24"/>
                <w:highlight w:val="none"/>
                <w:lang w:val="en-US" w:eastAsia="zh-CN"/>
              </w:rPr>
            </w:pPr>
          </w:p>
          <w:p w14:paraId="146C54C8">
            <w:pPr>
              <w:pStyle w:val="16"/>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施工、设计施工总承包：3.4.1除第二章“投标人须知”前附表授权直接确定中标人外，评标委员会按照得分由高到低的顺序推荐中标候选人。</w:t>
            </w:r>
          </w:p>
        </w:tc>
        <w:tc>
          <w:tcPr>
            <w:tcW w:w="6192" w:type="dxa"/>
            <w:vAlign w:val="top"/>
          </w:tcPr>
          <w:p w14:paraId="7E122226">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lang w:val="en-US" w:eastAsia="zh-CN" w:bidi="ar-SA"/>
              </w:rPr>
              <w:t>3.4.1评标</w:t>
            </w:r>
            <w:r>
              <w:rPr>
                <w:rFonts w:hint="eastAsia" w:ascii="仿宋" w:hAnsi="仿宋" w:eastAsia="仿宋" w:cs="仿宋"/>
                <w:b w:val="0"/>
                <w:bCs w:val="0"/>
                <w:color w:val="auto"/>
                <w:kern w:val="2"/>
                <w:sz w:val="24"/>
                <w:szCs w:val="24"/>
                <w:highlight w:val="none"/>
                <w:lang w:val="en-US" w:eastAsia="zh-CN" w:bidi="ar-SA"/>
              </w:rPr>
              <w:t>委员会按得分由高到低顺序推荐3个中标候选人，推荐的中标候选人不排序。</w:t>
            </w:r>
            <w:r>
              <w:rPr>
                <w:rFonts w:hint="eastAsia" w:ascii="仿宋" w:hAnsi="仿宋" w:eastAsia="仿宋" w:cs="仿宋"/>
                <w:b w:val="0"/>
                <w:bCs w:val="0"/>
                <w:i w:val="0"/>
                <w:iCs w:val="0"/>
                <w:color w:val="auto"/>
                <w:sz w:val="24"/>
                <w:szCs w:val="24"/>
                <w:highlight w:val="none"/>
                <w:lang w:val="en-US" w:eastAsia="zh-CN"/>
              </w:rPr>
              <w:t>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w:t>
            </w:r>
            <w:r>
              <w:rPr>
                <w:rFonts w:hint="eastAsia" w:ascii="仿宋" w:hAnsi="仿宋" w:eastAsia="仿宋" w:cs="仿宋"/>
                <w:b w:val="0"/>
                <w:bCs w:val="0"/>
                <w:i w:val="0"/>
                <w:iCs w:val="0"/>
                <w:color w:val="auto"/>
                <w:kern w:val="2"/>
                <w:sz w:val="24"/>
                <w:szCs w:val="24"/>
                <w:highlight w:val="none"/>
                <w:lang w:val="en-US" w:eastAsia="zh-CN" w:bidi="ar-SA"/>
              </w:rPr>
              <w:t>人，本次招标</w:t>
            </w:r>
            <w:r>
              <w:rPr>
                <w:rFonts w:hint="eastAsia" w:ascii="仿宋" w:hAnsi="仿宋" w:eastAsia="仿宋" w:cs="仿宋"/>
                <w:b w:val="0"/>
                <w:bCs w:val="0"/>
                <w:color w:val="auto"/>
                <w:sz w:val="24"/>
                <w:szCs w:val="24"/>
                <w:highlight w:val="none"/>
                <w:u w:val="none"/>
                <w:lang w:val="en-US" w:eastAsia="zh-CN"/>
              </w:rPr>
              <w:t>失败</w:t>
            </w:r>
            <w:r>
              <w:rPr>
                <w:rFonts w:hint="eastAsia" w:ascii="仿宋" w:hAnsi="仿宋" w:eastAsia="仿宋" w:cs="仿宋"/>
                <w:b w:val="0"/>
                <w:bCs w:val="0"/>
                <w:i w:val="0"/>
                <w:iCs w:val="0"/>
                <w:color w:val="auto"/>
                <w:sz w:val="24"/>
                <w:szCs w:val="24"/>
                <w:highlight w:val="none"/>
                <w:u w:val="none"/>
                <w:lang w:val="en-US" w:eastAsia="zh-CN"/>
              </w:rPr>
              <w:t>。</w:t>
            </w:r>
            <w:r>
              <w:rPr>
                <w:rFonts w:hint="eastAsia" w:ascii="仿宋" w:hAnsi="仿宋" w:eastAsia="仿宋" w:cs="仿宋"/>
                <w:b w:val="0"/>
                <w:bCs w:val="0"/>
                <w:color w:val="auto"/>
                <w:kern w:val="2"/>
                <w:sz w:val="24"/>
                <w:szCs w:val="24"/>
                <w:highlight w:val="none"/>
                <w:lang w:val="en-US" w:eastAsia="zh-CN" w:bidi="ar-SA"/>
              </w:rPr>
              <w:t>评标委员会须对中标候选人逐一出具评审意见，相关评审意见应针对性阐述中标候选人投标文件的优点、不足、可能存在的风险等，不得泛泛而谈。</w:t>
            </w:r>
          </w:p>
        </w:tc>
      </w:tr>
      <w:tr w14:paraId="419F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6" w:type="dxa"/>
            <w:vAlign w:val="center"/>
          </w:tcPr>
          <w:p w14:paraId="30112760">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施工、设备采购、材料采购</w:t>
            </w:r>
          </w:p>
        </w:tc>
        <w:tc>
          <w:tcPr>
            <w:tcW w:w="1336" w:type="dxa"/>
            <w:vAlign w:val="center"/>
          </w:tcPr>
          <w:p w14:paraId="6F623E4F">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“评标办法（经评审的最低投标价法）”评标办法正文1.评标方法</w:t>
            </w:r>
          </w:p>
          <w:p w14:paraId="7CCCA9C0">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2C375900">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本次评标采用经评审的最低投标价法。评标委员会对满足招标文件实质要求的投标文件，根据本章第2.2款规定的量化因素及量化标准进行价格折算，按照经评审的投标价（即评标价）由低到高的顺序推荐中标候选人，或根据招标人授权直接确定中标人，但投标报价低于其成本的除外。经评审的投标价（即评标价）相等时，投标报价低的优先；投标报价也相等的，由招标人自行确定。</w:t>
            </w:r>
          </w:p>
          <w:p w14:paraId="6FD57D2F">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5BB27F92">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采购、材料采购：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14:paraId="6FE1E09C">
            <w:pPr>
              <w:adjustRightInd w:val="0"/>
              <w:snapToGrid w:val="0"/>
              <w:spacing w:line="240" w:lineRule="auto"/>
              <w:rPr>
                <w:rFonts w:hint="eastAsia" w:ascii="仿宋" w:hAnsi="仿宋" w:eastAsia="仿宋" w:cs="仿宋"/>
                <w:color w:val="auto"/>
                <w:sz w:val="24"/>
                <w:szCs w:val="24"/>
                <w:highlight w:val="none"/>
              </w:rPr>
            </w:pPr>
          </w:p>
        </w:tc>
        <w:tc>
          <w:tcPr>
            <w:tcW w:w="6192" w:type="dxa"/>
          </w:tcPr>
          <w:p w14:paraId="7CA24BB8">
            <w:pPr>
              <w:adjustRightInd w:val="0"/>
              <w:snapToGrid w:val="0"/>
              <w:spacing w:line="240" w:lineRule="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施工：</w:t>
            </w:r>
            <w:r>
              <w:rPr>
                <w:rFonts w:hint="eastAsia" w:ascii="仿宋" w:hAnsi="仿宋" w:eastAsia="仿宋" w:cs="仿宋"/>
                <w:b w:val="0"/>
                <w:bCs w:val="0"/>
                <w:i w:val="0"/>
                <w:iCs w:val="0"/>
                <w:color w:val="auto"/>
                <w:sz w:val="24"/>
                <w:szCs w:val="24"/>
                <w:highlight w:val="none"/>
                <w:lang w:val="en-US" w:eastAsia="zh-CN"/>
              </w:rPr>
              <w:t>本次评标采用经评审的最低投标价法。评标委员会对满足招标文件实质要求的投标文件，根据本章第2.2款规定的量化因素及量化标准进行价格折算，按照经评审的投标价（即评标价）由低到高的顺序推荐3个中标候选人，但投标报价低于其成本的除外。当有效投标为2人时，可推荐2人，不足2人时，评标委员会不推荐中标候选人，本次招标失败。经评审的投标价（即评标价）相等时，投标报价低的优先；投标报价也相等的，由评标委员会自行确定。处于同一优先推荐顺序的投标人全部纳入中标候选人。</w:t>
            </w:r>
          </w:p>
          <w:p w14:paraId="30867452">
            <w:pPr>
              <w:adjustRightInd w:val="0"/>
              <w:snapToGrid w:val="0"/>
              <w:spacing w:line="240" w:lineRule="auto"/>
              <w:rPr>
                <w:rFonts w:hint="eastAsia" w:ascii="仿宋" w:hAnsi="仿宋" w:eastAsia="仿宋" w:cs="仿宋"/>
                <w:b w:val="0"/>
                <w:bCs w:val="0"/>
                <w:color w:val="auto"/>
                <w:kern w:val="2"/>
                <w:sz w:val="24"/>
                <w:szCs w:val="24"/>
                <w:highlight w:val="none"/>
                <w:lang w:val="en-US" w:eastAsia="zh-CN" w:bidi="ar-SA"/>
              </w:rPr>
            </w:pPr>
          </w:p>
          <w:p w14:paraId="3A1BF24C">
            <w:pPr>
              <w:spacing w:line="240" w:lineRule="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设备采购、材料采购：</w:t>
            </w:r>
            <w:r>
              <w:rPr>
                <w:rFonts w:hint="eastAsia" w:ascii="仿宋" w:hAnsi="仿宋" w:eastAsia="仿宋" w:cs="仿宋"/>
                <w:color w:val="auto"/>
                <w:kern w:val="2"/>
                <w:sz w:val="24"/>
                <w:szCs w:val="24"/>
                <w:highlight w:val="none"/>
                <w:lang w:val="en-US" w:eastAsia="zh-CN" w:bidi="ar-SA"/>
              </w:rPr>
              <w:t>本次评标采用经评审的最低投标价法。评标委员会对满足招标文件实质性要求的投标文件，根据本章第2.2款规定的评标价格调</w:t>
            </w:r>
            <w:r>
              <w:rPr>
                <w:rFonts w:hint="eastAsia" w:ascii="仿宋" w:hAnsi="仿宋" w:eastAsia="仿宋" w:cs="仿宋"/>
                <w:b w:val="0"/>
                <w:bCs w:val="0"/>
                <w:color w:val="auto"/>
                <w:kern w:val="2"/>
                <w:sz w:val="24"/>
                <w:szCs w:val="24"/>
                <w:highlight w:val="none"/>
                <w:lang w:val="en-US" w:eastAsia="zh-CN" w:bidi="ar-SA"/>
              </w:rPr>
              <w:t>整方法进行必要的价格调整，并按照经评审的投标价由低到高的顺序推荐3个中标候选人，但投标报价低于其成本的除外。</w:t>
            </w:r>
            <w:r>
              <w:rPr>
                <w:rFonts w:hint="eastAsia" w:ascii="仿宋" w:hAnsi="仿宋" w:eastAsia="仿宋" w:cs="仿宋"/>
                <w:b w:val="0"/>
                <w:bCs w:val="0"/>
                <w:i w:val="0"/>
                <w:iCs w:val="0"/>
                <w:color w:val="auto"/>
                <w:sz w:val="24"/>
                <w:szCs w:val="24"/>
                <w:highlight w:val="none"/>
                <w:lang w:val="en-US" w:eastAsia="zh-CN"/>
              </w:rPr>
              <w:t>当有效投标为2人时，可推荐2人，不足2人时，</w:t>
            </w:r>
            <w:r>
              <w:rPr>
                <w:rFonts w:hint="eastAsia" w:ascii="仿宋" w:hAnsi="仿宋" w:eastAsia="仿宋" w:cs="仿宋"/>
                <w:b w:val="0"/>
                <w:bCs w:val="0"/>
                <w:i w:val="0"/>
                <w:iCs w:val="0"/>
                <w:color w:val="auto"/>
                <w:sz w:val="24"/>
                <w:szCs w:val="24"/>
                <w:highlight w:val="none"/>
                <w:u w:val="none"/>
                <w:lang w:val="en-US" w:eastAsia="zh-CN"/>
              </w:rPr>
              <w:t>评标委员会不推荐中标候选</w:t>
            </w:r>
            <w:r>
              <w:rPr>
                <w:rFonts w:hint="eastAsia" w:ascii="仿宋" w:hAnsi="仿宋" w:eastAsia="仿宋" w:cs="仿宋"/>
                <w:b w:val="0"/>
                <w:bCs w:val="0"/>
                <w:i w:val="0"/>
                <w:iCs w:val="0"/>
                <w:color w:val="auto"/>
                <w:kern w:val="2"/>
                <w:sz w:val="24"/>
                <w:szCs w:val="24"/>
                <w:highlight w:val="none"/>
                <w:lang w:val="en-US" w:eastAsia="zh-CN" w:bidi="ar-SA"/>
              </w:rPr>
              <w:t>人，本次招标</w:t>
            </w:r>
            <w:r>
              <w:rPr>
                <w:rFonts w:hint="eastAsia" w:ascii="仿宋" w:hAnsi="仿宋" w:eastAsia="仿宋" w:cs="仿宋"/>
                <w:b w:val="0"/>
                <w:bCs w:val="0"/>
                <w:color w:val="auto"/>
                <w:sz w:val="24"/>
                <w:szCs w:val="24"/>
                <w:highlight w:val="none"/>
                <w:u w:val="none"/>
                <w:lang w:val="en-US" w:eastAsia="zh-CN"/>
              </w:rPr>
              <w:t>失败</w:t>
            </w:r>
            <w:r>
              <w:rPr>
                <w:rFonts w:hint="eastAsia" w:ascii="仿宋" w:hAnsi="仿宋" w:eastAsia="仿宋" w:cs="仿宋"/>
                <w:b w:val="0"/>
                <w:bCs w:val="0"/>
                <w:i w:val="0"/>
                <w:iCs w:val="0"/>
                <w:color w:val="auto"/>
                <w:sz w:val="24"/>
                <w:szCs w:val="24"/>
                <w:highlight w:val="none"/>
                <w:u w:val="none"/>
                <w:lang w:val="en-US" w:eastAsia="zh-CN"/>
              </w:rPr>
              <w:t>。</w:t>
            </w:r>
            <w:r>
              <w:rPr>
                <w:rFonts w:hint="eastAsia" w:ascii="仿宋" w:hAnsi="仿宋" w:eastAsia="仿宋" w:cs="仿宋"/>
                <w:b w:val="0"/>
                <w:bCs w:val="0"/>
                <w:color w:val="auto"/>
                <w:kern w:val="2"/>
                <w:sz w:val="24"/>
                <w:szCs w:val="24"/>
                <w:highlight w:val="none"/>
                <w:lang w:val="en-US" w:eastAsia="zh-CN" w:bidi="ar-SA"/>
              </w:rPr>
              <w:t>经评审的投标价相等时，投标报价低的优先；投标报价也相等的，按照评标办法前附表中的规定确定中标候选人顺序。</w:t>
            </w:r>
            <w:r>
              <w:rPr>
                <w:rFonts w:hint="eastAsia" w:ascii="仿宋" w:hAnsi="仿宋" w:eastAsia="仿宋" w:cs="仿宋"/>
                <w:b w:val="0"/>
                <w:bCs w:val="0"/>
                <w:i w:val="0"/>
                <w:iCs w:val="0"/>
                <w:color w:val="auto"/>
                <w:sz w:val="24"/>
                <w:szCs w:val="24"/>
                <w:highlight w:val="none"/>
                <w:lang w:val="en-US" w:eastAsia="zh-CN"/>
              </w:rPr>
              <w:t>处于同一优先推荐顺序的投标人全部纳入中标候选人。</w:t>
            </w:r>
          </w:p>
          <w:p w14:paraId="1447A2C4">
            <w:pPr>
              <w:spacing w:line="240" w:lineRule="auto"/>
              <w:rPr>
                <w:rFonts w:hint="eastAsia" w:ascii="仿宋" w:hAnsi="仿宋" w:eastAsia="仿宋" w:cs="仿宋"/>
                <w:b w:val="0"/>
                <w:bCs w:val="0"/>
                <w:i w:val="0"/>
                <w:iCs w:val="0"/>
                <w:color w:val="auto"/>
                <w:sz w:val="24"/>
                <w:szCs w:val="24"/>
                <w:highlight w:val="none"/>
                <w:lang w:val="en-US" w:eastAsia="zh-CN"/>
              </w:rPr>
            </w:pPr>
          </w:p>
          <w:p w14:paraId="50D89C48">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例：经评审的投标价最低的为3人及以上，则全部推荐为中标候选人，不再推荐经评审的投标价次低的投标人。</w:t>
            </w:r>
          </w:p>
          <w:p w14:paraId="5EA7EC57">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经评审的投标价最低的投标人为2人，经评审的投标价次低的投标人为2人及以上，则以上投标人全部推荐为中标候选人。</w:t>
            </w:r>
          </w:p>
          <w:p w14:paraId="613DC0D5">
            <w:pPr>
              <w:adjustRightInd w:val="0"/>
              <w:snapToGrid w:val="0"/>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auto"/>
                <w:sz w:val="24"/>
                <w:szCs w:val="24"/>
                <w:highlight w:val="none"/>
                <w:lang w:val="en-US" w:eastAsia="zh-CN"/>
              </w:rPr>
              <w:t>其他情形以此类推。</w:t>
            </w:r>
          </w:p>
          <w:p w14:paraId="56F8F731">
            <w:pPr>
              <w:adjustRightInd w:val="0"/>
              <w:snapToGrid w:val="0"/>
              <w:spacing w:line="24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推荐的中标候选人不排序。评标委员会须对中标候选人逐一出具评审意见，相关评审意见应针对性阐述中标候选人投标文件的优点、不足、可能存在的风险等，不得泛泛而谈。评标委员会应按照实际中标候选人人数推荐中标候选人。</w:t>
            </w:r>
          </w:p>
        </w:tc>
      </w:tr>
      <w:tr w14:paraId="389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6" w:type="dxa"/>
            <w:vAlign w:val="center"/>
          </w:tcPr>
          <w:p w14:paraId="638C920B">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施工、设备采购、材料采购</w:t>
            </w:r>
          </w:p>
        </w:tc>
        <w:tc>
          <w:tcPr>
            <w:tcW w:w="1336" w:type="dxa"/>
            <w:vAlign w:val="center"/>
          </w:tcPr>
          <w:p w14:paraId="5CEAF638">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“评标办法（经评审的最低投标价法）”评标办法正文3.4评标结果</w:t>
            </w:r>
          </w:p>
          <w:p w14:paraId="4E7C64A6">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7E09E6E5">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p w14:paraId="32BE4BE0">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3.4.1除第二章“投标人须知”前附表授权直接确定中标人外，评标委员会按照经评审的价格由低到高的顺序推荐中标候选人。</w:t>
            </w:r>
          </w:p>
          <w:p w14:paraId="5A6AAFBE">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58153D5">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设备采购、材料采购：3.4.1除第二章“投标人须知”前附表授权直接确定中标人外，评标委员会按照经评审的价格由低到高的顺序推荐中标候选人，并标明排序。</w:t>
            </w:r>
          </w:p>
        </w:tc>
        <w:tc>
          <w:tcPr>
            <w:tcW w:w="6192" w:type="dxa"/>
          </w:tcPr>
          <w:p w14:paraId="03149504">
            <w:pPr>
              <w:pStyle w:val="16"/>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3.4.1评标委员会按照本章“1.评标方法”规定，推荐中标候选人。</w:t>
            </w:r>
          </w:p>
          <w:p w14:paraId="7CE77AC9">
            <w:pPr>
              <w:pStyle w:val="16"/>
              <w:spacing w:line="240" w:lineRule="auto"/>
              <w:rPr>
                <w:rFonts w:hint="eastAsia" w:ascii="仿宋" w:hAnsi="仿宋" w:eastAsia="仿宋" w:cs="仿宋"/>
                <w:b w:val="0"/>
                <w:bCs/>
                <w:color w:val="auto"/>
                <w:sz w:val="24"/>
                <w:szCs w:val="24"/>
                <w:highlight w:val="none"/>
                <w:lang w:val="en-US" w:eastAsia="zh-CN"/>
              </w:rPr>
            </w:pPr>
          </w:p>
        </w:tc>
      </w:tr>
      <w:tr w14:paraId="52B9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57AFEF01">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1336" w:type="dxa"/>
            <w:vAlign w:val="center"/>
          </w:tcPr>
          <w:p w14:paraId="59FB966F">
            <w:pPr>
              <w:spacing w:line="240" w:lineRule="auto"/>
              <w:jc w:val="left"/>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4584" w:type="dxa"/>
          </w:tcPr>
          <w:p w14:paraId="3C55BFD5">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97FBC9E">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3016D05">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5B44910">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59ECDE3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eastAsia="zh-CN" w:bidi="ar-SA"/>
              </w:rPr>
              <w:t xml:space="preserve">                   </w:t>
            </w:r>
            <w:r>
              <w:rPr>
                <w:rFonts w:hint="eastAsia" w:ascii="仿宋" w:hAnsi="仿宋" w:eastAsia="仿宋" w:cs="仿宋"/>
                <w:color w:val="auto"/>
                <w:kern w:val="2"/>
                <w:sz w:val="24"/>
                <w:szCs w:val="24"/>
                <w:highlight w:val="none"/>
                <w:lang w:val="en-US" w:eastAsia="zh-CN" w:bidi="ar-SA"/>
              </w:rPr>
              <w:t>/</w:t>
            </w:r>
          </w:p>
        </w:tc>
        <w:tc>
          <w:tcPr>
            <w:tcW w:w="6192" w:type="dxa"/>
          </w:tcPr>
          <w:p w14:paraId="3F70FAAD">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最后一章“投标文件格式”后新增：</w:t>
            </w:r>
          </w:p>
          <w:p w14:paraId="6844A695">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p>
          <w:p w14:paraId="25639764">
            <w:pPr>
              <w:pStyle w:val="16"/>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勘察、设计、勘察设计、监理、设备采购、材料采购：“第七章 定标方案”</w:t>
            </w:r>
          </w:p>
          <w:p w14:paraId="6897E406">
            <w:pPr>
              <w:pStyle w:val="16"/>
              <w:ind w:left="0" w:leftChars="0" w:firstLine="0" w:firstLineChars="0"/>
              <w:rPr>
                <w:rFonts w:hint="eastAsia"/>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设计施工总承包：“第八章 定标方案”</w:t>
            </w:r>
          </w:p>
          <w:p w14:paraId="7241C3D5">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施工：“第九章 定标方案” </w:t>
            </w:r>
          </w:p>
          <w:p w14:paraId="1CC08CE8">
            <w:pPr>
              <w:numPr>
                <w:ilvl w:val="0"/>
                <w:numId w:val="0"/>
              </w:numPr>
              <w:spacing w:line="240" w:lineRule="auto"/>
              <w:rPr>
                <w:rFonts w:hint="eastAsia" w:ascii="仿宋" w:hAnsi="仿宋" w:eastAsia="仿宋" w:cs="仿宋"/>
                <w:color w:val="auto"/>
                <w:kern w:val="2"/>
                <w:sz w:val="24"/>
                <w:szCs w:val="24"/>
                <w:highlight w:val="none"/>
                <w:lang w:val="en-US" w:eastAsia="zh-CN" w:bidi="ar-SA"/>
              </w:rPr>
            </w:pPr>
          </w:p>
          <w:p w14:paraId="4040EC81">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增加“定标方案”一章见文末。</w:t>
            </w:r>
          </w:p>
        </w:tc>
      </w:tr>
    </w:tbl>
    <w:p w14:paraId="471831E8">
      <w:pPr>
        <w:jc w:val="center"/>
        <w:rPr>
          <w:rFonts w:hint="eastAsia"/>
          <w:b/>
          <w:bCs/>
          <w:color w:val="auto"/>
          <w:sz w:val="28"/>
          <w:szCs w:val="36"/>
          <w:highlight w:val="none"/>
        </w:rPr>
      </w:pPr>
    </w:p>
    <w:p w14:paraId="7FCDCBCE">
      <w:pPr>
        <w:jc w:val="center"/>
        <w:rPr>
          <w:rFonts w:hint="eastAsia"/>
          <w:b/>
          <w:bCs/>
          <w:color w:val="auto"/>
          <w:sz w:val="28"/>
          <w:szCs w:val="36"/>
          <w:highlight w:val="none"/>
        </w:rPr>
      </w:pPr>
    </w:p>
    <w:p w14:paraId="4629F4C7">
      <w:pPr>
        <w:jc w:val="both"/>
        <w:rPr>
          <w:rFonts w:hint="eastAsia"/>
          <w:b/>
          <w:bCs/>
          <w:color w:val="auto"/>
          <w:sz w:val="28"/>
          <w:szCs w:val="36"/>
          <w:highlight w:val="none"/>
          <w:lang w:val="en-US" w:eastAsia="zh-CN"/>
        </w:rPr>
      </w:pPr>
    </w:p>
    <w:p w14:paraId="141E7B65">
      <w:pPr>
        <w:jc w:val="both"/>
        <w:rPr>
          <w:rFonts w:hint="eastAsia"/>
          <w:b/>
          <w:bCs/>
          <w:color w:val="auto"/>
          <w:sz w:val="28"/>
          <w:szCs w:val="36"/>
          <w:highlight w:val="none"/>
          <w:lang w:val="en-US" w:eastAsia="zh-CN"/>
        </w:rPr>
      </w:pPr>
    </w:p>
    <w:p w14:paraId="05A2D0AE">
      <w:pPr>
        <w:ind w:firstLine="1405" w:firstLineChars="500"/>
        <w:jc w:val="both"/>
        <w:rPr>
          <w:rFonts w:hint="eastAsia"/>
          <w:b/>
          <w:bCs/>
          <w:color w:val="auto"/>
          <w:sz w:val="28"/>
          <w:szCs w:val="36"/>
          <w:highlight w:val="none"/>
        </w:rPr>
      </w:pPr>
      <w:r>
        <w:rPr>
          <w:rFonts w:hint="eastAsia"/>
          <w:b/>
          <w:bCs/>
          <w:color w:val="auto"/>
          <w:sz w:val="28"/>
          <w:szCs w:val="36"/>
          <w:highlight w:val="none"/>
          <w:lang w:val="en-US" w:eastAsia="zh-CN"/>
        </w:rPr>
        <w:t>勘察、设计、勘察设计、监理、设备采购、材料采购：</w:t>
      </w:r>
      <w:r>
        <w:rPr>
          <w:rFonts w:hint="eastAsia"/>
          <w:b/>
          <w:bCs/>
          <w:color w:val="auto"/>
          <w:sz w:val="28"/>
          <w:szCs w:val="36"/>
          <w:highlight w:val="none"/>
        </w:rPr>
        <w:t>第</w:t>
      </w:r>
      <w:r>
        <w:rPr>
          <w:rFonts w:hint="eastAsia"/>
          <w:b/>
          <w:bCs/>
          <w:color w:val="auto"/>
          <w:sz w:val="28"/>
          <w:szCs w:val="36"/>
          <w:highlight w:val="none"/>
          <w:lang w:val="en-US" w:eastAsia="zh-CN"/>
        </w:rPr>
        <w:t>七</w:t>
      </w:r>
      <w:r>
        <w:rPr>
          <w:rFonts w:hint="eastAsia"/>
          <w:b/>
          <w:bCs/>
          <w:color w:val="auto"/>
          <w:sz w:val="28"/>
          <w:szCs w:val="36"/>
          <w:highlight w:val="none"/>
        </w:rPr>
        <w:t>章 定标方案</w:t>
      </w:r>
    </w:p>
    <w:p w14:paraId="4663DF20">
      <w:pPr>
        <w:pStyle w:val="16"/>
        <w:ind w:firstLine="4216" w:firstLineChars="1500"/>
        <w:jc w:val="left"/>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施工：第九章  定标方案</w:t>
      </w:r>
    </w:p>
    <w:p w14:paraId="57A05156">
      <w:pPr>
        <w:pStyle w:val="16"/>
        <w:ind w:firstLine="3373" w:firstLineChars="1200"/>
        <w:jc w:val="left"/>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设计施工总承包：第八章  定标方案</w:t>
      </w:r>
    </w:p>
    <w:tbl>
      <w:tblPr>
        <w:tblStyle w:val="10"/>
        <w:tblW w:w="1345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14:paraId="1FD1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24" w:type="dxa"/>
          </w:tcPr>
          <w:p w14:paraId="12432402">
            <w:pPr>
              <w:jc w:val="center"/>
              <w:rPr>
                <w:rFonts w:hint="default"/>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序号</w:t>
            </w:r>
          </w:p>
        </w:tc>
        <w:tc>
          <w:tcPr>
            <w:tcW w:w="1807" w:type="dxa"/>
          </w:tcPr>
          <w:p w14:paraId="5C402377">
            <w:pPr>
              <w:jc w:val="center"/>
              <w:rPr>
                <w:rFonts w:hint="default"/>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条款名称</w:t>
            </w:r>
          </w:p>
        </w:tc>
        <w:tc>
          <w:tcPr>
            <w:tcW w:w="10721" w:type="dxa"/>
          </w:tcPr>
          <w:p w14:paraId="7ADE6D20">
            <w:pPr>
              <w:jc w:val="center"/>
              <w:rPr>
                <w:rFonts w:hint="default"/>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内容</w:t>
            </w:r>
          </w:p>
        </w:tc>
      </w:tr>
      <w:tr w14:paraId="6B12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61B8950C">
            <w:pPr>
              <w:jc w:val="center"/>
              <w:rPr>
                <w:rFonts w:hint="eastAsia" w:ascii="宋体" w:hAnsi="宋体" w:eastAsia="宋体" w:cs="宋体"/>
                <w:color w:val="auto"/>
                <w:sz w:val="24"/>
                <w:szCs w:val="21"/>
                <w:highlight w:val="none"/>
                <w:u w:val="none"/>
                <w:vertAlign w:val="baseline"/>
                <w:lang w:val="en-US" w:eastAsia="zh-CN"/>
              </w:rPr>
            </w:pPr>
            <w:r>
              <w:rPr>
                <w:rFonts w:hint="eastAsia" w:ascii="宋体" w:hAnsi="宋体" w:eastAsia="宋体" w:cs="宋体"/>
                <w:color w:val="auto"/>
                <w:sz w:val="24"/>
                <w:szCs w:val="21"/>
                <w:highlight w:val="none"/>
                <w:u w:val="none"/>
                <w:vertAlign w:val="baseline"/>
                <w:lang w:val="en-US" w:eastAsia="zh-CN"/>
              </w:rPr>
              <w:t>1</w:t>
            </w:r>
          </w:p>
        </w:tc>
        <w:tc>
          <w:tcPr>
            <w:tcW w:w="1807" w:type="dxa"/>
          </w:tcPr>
          <w:p w14:paraId="7151F744">
            <w:pPr>
              <w:ind w:firstLine="240" w:firstLineChars="100"/>
              <w:jc w:val="center"/>
              <w:rPr>
                <w:rFonts w:hint="eastAsia"/>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定</w:t>
            </w:r>
            <w:r>
              <w:rPr>
                <w:rFonts w:hint="default"/>
                <w:color w:val="auto"/>
                <w:sz w:val="24"/>
                <w:szCs w:val="21"/>
                <w:highlight w:val="none"/>
                <w:u w:val="none"/>
                <w:vertAlign w:val="baseline"/>
                <w:lang w:val="en-US" w:eastAsia="zh-CN"/>
              </w:rPr>
              <w:t>标</w:t>
            </w:r>
            <w:r>
              <w:rPr>
                <w:rFonts w:hint="eastAsia"/>
                <w:color w:val="auto"/>
                <w:sz w:val="24"/>
                <w:szCs w:val="21"/>
                <w:highlight w:val="none"/>
                <w:u w:val="none"/>
                <w:vertAlign w:val="baseline"/>
                <w:lang w:val="en-US" w:eastAsia="zh-CN"/>
              </w:rPr>
              <w:t>时限</w:t>
            </w:r>
          </w:p>
        </w:tc>
        <w:tc>
          <w:tcPr>
            <w:tcW w:w="10721" w:type="dxa"/>
          </w:tcPr>
          <w:p w14:paraId="0A24B5B8">
            <w:pPr>
              <w:jc w:val="left"/>
              <w:rPr>
                <w:rFonts w:hint="eastAsia"/>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定</w:t>
            </w:r>
            <w:r>
              <w:rPr>
                <w:rFonts w:hint="default"/>
                <w:color w:val="auto"/>
                <w:sz w:val="24"/>
                <w:szCs w:val="21"/>
                <w:highlight w:val="none"/>
                <w:u w:val="none"/>
                <w:vertAlign w:val="baseline"/>
                <w:lang w:val="en-US" w:eastAsia="zh-CN"/>
              </w:rPr>
              <w:t>标</w:t>
            </w:r>
            <w:r>
              <w:rPr>
                <w:rFonts w:hint="eastAsia"/>
                <w:color w:val="auto"/>
                <w:sz w:val="24"/>
                <w:szCs w:val="21"/>
                <w:highlight w:val="none"/>
                <w:u w:val="none"/>
                <w:vertAlign w:val="baseline"/>
                <w:lang w:val="en-US" w:eastAsia="zh-CN"/>
              </w:rPr>
              <w:t>时限：</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r>
              <w:rPr>
                <w:rFonts w:hint="eastAsia"/>
                <w:color w:val="auto"/>
                <w:sz w:val="24"/>
                <w:szCs w:val="21"/>
                <w:highlight w:val="none"/>
                <w:u w:val="none"/>
                <w:vertAlign w:val="baseline"/>
                <w:lang w:val="en-US" w:eastAsia="zh-CN"/>
              </w:rPr>
              <w:t xml:space="preserve">     </w:t>
            </w:r>
          </w:p>
          <w:p w14:paraId="5FB160C3">
            <w:pPr>
              <w:jc w:val="left"/>
              <w:rPr>
                <w:rFonts w:hint="default"/>
                <w:color w:val="auto"/>
                <w:highlight w:val="none"/>
                <w:u w:val="single"/>
                <w:lang w:val="en-US" w:eastAsia="zh-CN"/>
              </w:rPr>
            </w:pPr>
            <w:r>
              <w:rPr>
                <w:rFonts w:hint="eastAsia" w:ascii="Calibri" w:hAnsi="Calibri" w:eastAsia="仿宋_GB2312" w:cstheme="minorBidi"/>
                <w:b w:val="0"/>
                <w:bCs/>
                <w:color w:val="auto"/>
                <w:kern w:val="2"/>
                <w:sz w:val="24"/>
                <w:szCs w:val="21"/>
                <w:highlight w:val="none"/>
                <w:u w:val="none"/>
                <w:vertAlign w:val="baseline"/>
                <w:lang w:val="en-US" w:eastAsia="zh-CN" w:bidi="ar-SA"/>
              </w:rPr>
              <w:t xml:space="preserve">注：定标一般应在中标候选人公示期结束之日起20日内完成。 </w:t>
            </w:r>
            <w:r>
              <w:rPr>
                <w:rFonts w:hint="eastAsia"/>
                <w:color w:val="auto"/>
                <w:sz w:val="24"/>
                <w:szCs w:val="21"/>
                <w:highlight w:val="none"/>
                <w:u w:val="none"/>
                <w:vertAlign w:val="baseline"/>
                <w:lang w:val="en-US" w:eastAsia="zh-CN"/>
              </w:rPr>
              <w:t xml:space="preserve">    </w:t>
            </w:r>
          </w:p>
        </w:tc>
      </w:tr>
      <w:tr w14:paraId="54F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286591DF">
            <w:pPr>
              <w:jc w:val="center"/>
              <w:rPr>
                <w:rFonts w:hint="eastAsia" w:ascii="宋体" w:hAnsi="宋体" w:eastAsia="宋体" w:cs="宋体"/>
                <w:color w:val="auto"/>
                <w:sz w:val="24"/>
                <w:szCs w:val="21"/>
                <w:highlight w:val="none"/>
                <w:u w:val="none"/>
                <w:vertAlign w:val="baseline"/>
                <w:lang w:val="en-US" w:eastAsia="zh-CN"/>
              </w:rPr>
            </w:pPr>
          </w:p>
          <w:p w14:paraId="0AA471EB">
            <w:pPr>
              <w:jc w:val="center"/>
              <w:rPr>
                <w:rFonts w:hint="eastAsia" w:ascii="宋体" w:hAnsi="宋体" w:eastAsia="宋体" w:cs="宋体"/>
                <w:color w:val="auto"/>
                <w:sz w:val="24"/>
                <w:szCs w:val="21"/>
                <w:highlight w:val="none"/>
                <w:u w:val="none"/>
                <w:vertAlign w:val="baseline"/>
                <w:lang w:val="en-US" w:eastAsia="zh-CN"/>
              </w:rPr>
            </w:pPr>
            <w:r>
              <w:rPr>
                <w:rFonts w:hint="eastAsia" w:ascii="宋体" w:hAnsi="宋体" w:eastAsia="宋体" w:cs="宋体"/>
                <w:color w:val="auto"/>
                <w:sz w:val="24"/>
                <w:szCs w:val="21"/>
                <w:highlight w:val="none"/>
                <w:u w:val="none"/>
                <w:vertAlign w:val="baseline"/>
                <w:lang w:val="en-US" w:eastAsia="zh-CN"/>
              </w:rPr>
              <w:t>2</w:t>
            </w:r>
          </w:p>
        </w:tc>
        <w:tc>
          <w:tcPr>
            <w:tcW w:w="1807" w:type="dxa"/>
          </w:tcPr>
          <w:p w14:paraId="31C911A7">
            <w:pPr>
              <w:pStyle w:val="16"/>
              <w:ind w:left="0" w:leftChars="0" w:firstLine="0" w:firstLineChars="0"/>
              <w:jc w:val="center"/>
              <w:rPr>
                <w:rFonts w:hint="eastAsia" w:asciiTheme="minorHAnsi" w:hAnsiTheme="minorHAnsi" w:eastAsiaTheme="minorEastAsia" w:cstheme="minorBidi"/>
                <w:b w:val="0"/>
                <w:bCs/>
                <w:color w:val="auto"/>
                <w:kern w:val="2"/>
                <w:sz w:val="24"/>
                <w:szCs w:val="21"/>
                <w:highlight w:val="none"/>
                <w:u w:val="none"/>
                <w:vertAlign w:val="baseline"/>
                <w:lang w:val="en-US" w:eastAsia="zh-CN" w:bidi="ar-SA"/>
              </w:rPr>
            </w:pPr>
          </w:p>
          <w:p w14:paraId="092005EB">
            <w:pPr>
              <w:pStyle w:val="16"/>
              <w:ind w:left="0" w:leftChars="0" w:firstLine="0" w:firstLineChars="0"/>
              <w:jc w:val="center"/>
              <w:rPr>
                <w:rFonts w:hint="default" w:cstheme="minorBidi"/>
                <w:b w:val="0"/>
                <w:bCs/>
                <w:color w:val="auto"/>
                <w:kern w:val="2"/>
                <w:sz w:val="24"/>
                <w:szCs w:val="21"/>
                <w:highlight w:val="none"/>
                <w:u w:val="none"/>
                <w:vertAlign w:val="baseline"/>
                <w:lang w:val="en-US" w:eastAsia="zh-CN" w:bidi="ar-SA"/>
              </w:rPr>
            </w:pPr>
            <w:r>
              <w:rPr>
                <w:rFonts w:hint="eastAsia" w:asciiTheme="minorHAnsi" w:hAnsiTheme="minorHAnsi" w:eastAsiaTheme="minorEastAsia" w:cstheme="minorBidi"/>
                <w:b w:val="0"/>
                <w:bCs/>
                <w:color w:val="auto"/>
                <w:kern w:val="2"/>
                <w:sz w:val="24"/>
                <w:szCs w:val="21"/>
                <w:highlight w:val="none"/>
                <w:u w:val="none"/>
                <w:vertAlign w:val="baseline"/>
                <w:lang w:val="en-US" w:eastAsia="zh-CN" w:bidi="ar-SA"/>
              </w:rPr>
              <w:t>是否</w:t>
            </w:r>
            <w:r>
              <w:rPr>
                <w:rFonts w:hint="default" w:asciiTheme="minorHAnsi" w:hAnsiTheme="minorHAnsi" w:eastAsiaTheme="minorEastAsia" w:cstheme="minorBidi"/>
                <w:b w:val="0"/>
                <w:bCs/>
                <w:color w:val="auto"/>
                <w:kern w:val="2"/>
                <w:sz w:val="24"/>
                <w:szCs w:val="21"/>
                <w:highlight w:val="none"/>
                <w:u w:val="none"/>
                <w:vertAlign w:val="baseline"/>
                <w:lang w:val="en-US" w:eastAsia="zh-CN" w:bidi="ar-SA"/>
              </w:rPr>
              <w:t>进行</w:t>
            </w:r>
            <w:r>
              <w:rPr>
                <w:rFonts w:hint="eastAsia" w:asciiTheme="minorHAnsi" w:hAnsiTheme="minorHAnsi" w:eastAsiaTheme="minorEastAsia" w:cstheme="minorBidi"/>
                <w:b w:val="0"/>
                <w:bCs/>
                <w:color w:val="auto"/>
                <w:kern w:val="2"/>
                <w:sz w:val="24"/>
                <w:szCs w:val="21"/>
                <w:highlight w:val="none"/>
                <w:u w:val="none"/>
                <w:vertAlign w:val="baseline"/>
                <w:lang w:val="en-US" w:eastAsia="zh-CN" w:bidi="ar-SA"/>
              </w:rPr>
              <w:t>中标候选人核查</w:t>
            </w:r>
          </w:p>
        </w:tc>
        <w:tc>
          <w:tcPr>
            <w:tcW w:w="10721" w:type="dxa"/>
          </w:tcPr>
          <w:p w14:paraId="3FEF9C2F">
            <w:pPr>
              <w:jc w:val="left"/>
              <w:rPr>
                <w:rFonts w:hint="eastAsia"/>
                <w:color w:val="auto"/>
                <w:sz w:val="24"/>
                <w:szCs w:val="21"/>
                <w:highlight w:val="none"/>
                <w:u w:val="none"/>
                <w:vertAlign w:val="baseline"/>
                <w:lang w:val="en-US" w:eastAsia="zh-CN"/>
              </w:rPr>
            </w:pPr>
            <w:r>
              <w:rPr>
                <w:rFonts w:hint="default" w:ascii="宋体" w:hAnsi="宋体"/>
                <w:sz w:val="24"/>
                <w:szCs w:val="24"/>
              </w:rPr>
              <w:t>□</w:t>
            </w:r>
            <w:r>
              <w:rPr>
                <w:rFonts w:hint="eastAsia"/>
                <w:color w:val="auto"/>
                <w:sz w:val="24"/>
                <w:szCs w:val="21"/>
                <w:highlight w:val="none"/>
                <w:u w:val="none"/>
                <w:vertAlign w:val="baseline"/>
                <w:lang w:val="en-US" w:eastAsia="zh-CN"/>
              </w:rPr>
              <w:t>不</w:t>
            </w:r>
            <w:r>
              <w:rPr>
                <w:rFonts w:hint="default"/>
                <w:color w:val="auto"/>
                <w:sz w:val="24"/>
                <w:szCs w:val="21"/>
                <w:highlight w:val="none"/>
                <w:u w:val="none"/>
                <w:vertAlign w:val="baseline"/>
                <w:lang w:val="en-US" w:eastAsia="zh-CN"/>
              </w:rPr>
              <w:t>进行</w:t>
            </w:r>
            <w:r>
              <w:rPr>
                <w:rFonts w:hint="eastAsia"/>
                <w:color w:val="auto"/>
                <w:sz w:val="24"/>
                <w:szCs w:val="21"/>
                <w:highlight w:val="none"/>
                <w:u w:val="none"/>
                <w:vertAlign w:val="baseline"/>
                <w:lang w:val="en-US" w:eastAsia="zh-CN"/>
              </w:rPr>
              <w:t xml:space="preserve">  </w:t>
            </w:r>
          </w:p>
          <w:p w14:paraId="354BADA9">
            <w:pPr>
              <w:jc w:val="left"/>
              <w:rPr>
                <w:rFonts w:hint="eastAsia" w:cstheme="minorBidi"/>
                <w:b w:val="0"/>
                <w:bCs/>
                <w:color w:val="auto"/>
                <w:kern w:val="2"/>
                <w:sz w:val="24"/>
                <w:szCs w:val="21"/>
                <w:highlight w:val="none"/>
                <w:u w:val="single"/>
                <w:vertAlign w:val="baseline"/>
                <w:lang w:val="en-US" w:eastAsia="zh-CN" w:bidi="ar-SA"/>
              </w:rPr>
            </w:pPr>
            <w:r>
              <w:rPr>
                <w:rFonts w:hint="default" w:ascii="宋体" w:hAnsi="宋体"/>
                <w:sz w:val="24"/>
                <w:szCs w:val="24"/>
              </w:rPr>
              <w:t>□</w:t>
            </w:r>
            <w:r>
              <w:rPr>
                <w:rFonts w:hint="default"/>
                <w:color w:val="auto"/>
                <w:sz w:val="24"/>
                <w:szCs w:val="21"/>
                <w:highlight w:val="none"/>
                <w:u w:val="none"/>
                <w:vertAlign w:val="baseline"/>
                <w:lang w:val="en-US" w:eastAsia="zh-CN"/>
              </w:rPr>
              <w:t>进行</w:t>
            </w:r>
            <w:r>
              <w:rPr>
                <w:rFonts w:hint="eastAsia" w:cstheme="minorBidi"/>
                <w:b w:val="0"/>
                <w:bCs/>
                <w:color w:val="auto"/>
                <w:kern w:val="2"/>
                <w:sz w:val="24"/>
                <w:szCs w:val="21"/>
                <w:highlight w:val="none"/>
                <w:u w:val="none"/>
                <w:vertAlign w:val="baseline"/>
                <w:lang w:val="en-US" w:eastAsia="zh-CN" w:bidi="ar-SA"/>
              </w:rPr>
              <w:t xml:space="preserve">   核查的内容：</w:t>
            </w:r>
            <w:r>
              <w:rPr>
                <w:rFonts w:hint="eastAsia" w:cstheme="minorBidi"/>
                <w:b w:val="0"/>
                <w:bCs/>
                <w:color w:val="auto"/>
                <w:kern w:val="2"/>
                <w:sz w:val="24"/>
                <w:szCs w:val="21"/>
                <w:highlight w:val="none"/>
                <w:u w:val="single"/>
                <w:vertAlign w:val="baseline"/>
                <w:lang w:val="en-US" w:eastAsia="zh-CN" w:bidi="ar-SA"/>
              </w:rPr>
              <w:t xml:space="preserve">                      </w:t>
            </w:r>
          </w:p>
          <w:p w14:paraId="3F57B514">
            <w:pPr>
              <w:pStyle w:val="16"/>
              <w:ind w:left="0" w:leftChars="0" w:firstLine="480" w:firstLineChars="200"/>
              <w:rPr>
                <w:rFonts w:hint="default"/>
                <w:color w:val="auto"/>
                <w:highlight w:val="none"/>
                <w:lang w:val="en-US" w:eastAsia="zh-CN"/>
              </w:rPr>
            </w:pPr>
            <w:r>
              <w:rPr>
                <w:rFonts w:hint="eastAsia" w:cstheme="minorBidi"/>
                <w:b w:val="0"/>
                <w:bCs/>
                <w:color w:val="auto"/>
                <w:kern w:val="2"/>
                <w:sz w:val="24"/>
                <w:szCs w:val="21"/>
                <w:highlight w:val="none"/>
                <w:u w:val="none"/>
                <w:vertAlign w:val="baseline"/>
                <w:lang w:val="en-US" w:eastAsia="zh-CN" w:bidi="ar-SA"/>
              </w:rPr>
              <w:t>注：核查可包括信用状况、履约能力、是否受到可能影响履约的行政处罚、是否被标注“资质异常”、是否被安全生产许可预警标注等内容，以及招标人认为需要核查的其他内容。核查应在定标前完成并将相关核查结果作为定标资料提交定标会议。</w:t>
            </w:r>
          </w:p>
        </w:tc>
      </w:tr>
      <w:tr w14:paraId="5C5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24" w:type="dxa"/>
            <w:vAlign w:val="top"/>
          </w:tcPr>
          <w:p w14:paraId="6AB12189">
            <w:pPr>
              <w:jc w:val="center"/>
              <w:rPr>
                <w:rFonts w:hint="eastAsia" w:ascii="宋体" w:hAnsi="宋体" w:eastAsia="宋体" w:cs="宋体"/>
                <w:color w:val="auto"/>
                <w:sz w:val="24"/>
                <w:szCs w:val="21"/>
                <w:highlight w:val="none"/>
                <w:u w:val="none"/>
                <w:vertAlign w:val="baseline"/>
                <w:lang w:val="en-US" w:eastAsia="zh-CN"/>
              </w:rPr>
            </w:pPr>
          </w:p>
          <w:p w14:paraId="37397526">
            <w:pPr>
              <w:jc w:val="center"/>
              <w:rPr>
                <w:rFonts w:hint="eastAsia" w:ascii="宋体" w:hAnsi="宋体" w:eastAsia="宋体" w:cs="宋体"/>
                <w:color w:val="auto"/>
                <w:sz w:val="24"/>
                <w:szCs w:val="21"/>
                <w:highlight w:val="none"/>
                <w:u w:val="none"/>
                <w:vertAlign w:val="baseline"/>
                <w:lang w:val="en-US" w:eastAsia="zh-CN"/>
              </w:rPr>
            </w:pPr>
          </w:p>
          <w:p w14:paraId="4E177F17">
            <w:pPr>
              <w:jc w:val="center"/>
              <w:rPr>
                <w:rFonts w:hint="eastAsia" w:ascii="宋体" w:hAnsi="宋体" w:eastAsia="宋体" w:cs="宋体"/>
                <w:color w:val="auto"/>
                <w:sz w:val="24"/>
                <w:szCs w:val="21"/>
                <w:highlight w:val="none"/>
                <w:u w:val="none"/>
                <w:vertAlign w:val="baseline"/>
                <w:lang w:val="en-US" w:eastAsia="zh-CN"/>
              </w:rPr>
            </w:pPr>
            <w:r>
              <w:rPr>
                <w:rFonts w:hint="eastAsia" w:ascii="宋体" w:hAnsi="宋体" w:eastAsia="宋体" w:cs="宋体"/>
                <w:color w:val="auto"/>
                <w:sz w:val="24"/>
                <w:szCs w:val="21"/>
                <w:highlight w:val="none"/>
                <w:u w:val="none"/>
                <w:vertAlign w:val="baseline"/>
                <w:lang w:val="en-US" w:eastAsia="zh-CN"/>
              </w:rPr>
              <w:t>3</w:t>
            </w:r>
          </w:p>
        </w:tc>
        <w:tc>
          <w:tcPr>
            <w:tcW w:w="1807" w:type="dxa"/>
          </w:tcPr>
          <w:p w14:paraId="2DC98755">
            <w:pPr>
              <w:jc w:val="center"/>
              <w:rPr>
                <w:rFonts w:hint="eastAsia"/>
                <w:color w:val="auto"/>
                <w:sz w:val="24"/>
                <w:szCs w:val="21"/>
                <w:highlight w:val="none"/>
                <w:u w:val="none"/>
                <w:vertAlign w:val="baseline"/>
                <w:lang w:val="en-US" w:eastAsia="zh-CN"/>
              </w:rPr>
            </w:pPr>
          </w:p>
          <w:p w14:paraId="3AD709DE">
            <w:pPr>
              <w:jc w:val="center"/>
              <w:rPr>
                <w:rFonts w:hint="eastAsia"/>
                <w:color w:val="auto"/>
                <w:sz w:val="24"/>
                <w:szCs w:val="21"/>
                <w:highlight w:val="none"/>
                <w:u w:val="none"/>
                <w:vertAlign w:val="baseline"/>
                <w:lang w:val="en-US" w:eastAsia="zh-CN"/>
              </w:rPr>
            </w:pPr>
          </w:p>
          <w:p w14:paraId="16B4B014">
            <w:pPr>
              <w:jc w:val="center"/>
              <w:rPr>
                <w:rFonts w:hint="default"/>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是否</w:t>
            </w:r>
            <w:r>
              <w:rPr>
                <w:rFonts w:hint="default"/>
                <w:color w:val="auto"/>
                <w:sz w:val="24"/>
                <w:szCs w:val="21"/>
                <w:highlight w:val="none"/>
                <w:u w:val="none"/>
                <w:vertAlign w:val="baseline"/>
                <w:lang w:val="en-US" w:eastAsia="zh-CN"/>
              </w:rPr>
              <w:t>进行现场考察</w:t>
            </w:r>
          </w:p>
        </w:tc>
        <w:tc>
          <w:tcPr>
            <w:tcW w:w="10721" w:type="dxa"/>
          </w:tcPr>
          <w:p w14:paraId="307D877C">
            <w:pPr>
              <w:jc w:val="left"/>
              <w:rPr>
                <w:rFonts w:hint="eastAsia" w:cstheme="minorBidi"/>
                <w:b w:val="0"/>
                <w:bCs/>
                <w:color w:val="auto"/>
                <w:kern w:val="2"/>
                <w:sz w:val="24"/>
                <w:szCs w:val="21"/>
                <w:highlight w:val="none"/>
                <w:u w:val="none"/>
                <w:vertAlign w:val="baseline"/>
                <w:lang w:val="en-US" w:eastAsia="zh-CN" w:bidi="ar-SA"/>
              </w:rPr>
            </w:pPr>
            <w:r>
              <w:rPr>
                <w:rFonts w:hint="default" w:ascii="宋体" w:hAnsi="宋体"/>
                <w:sz w:val="24"/>
                <w:szCs w:val="24"/>
              </w:rPr>
              <w:t>□</w:t>
            </w:r>
            <w:r>
              <w:rPr>
                <w:rFonts w:hint="eastAsia" w:cstheme="minorBidi"/>
                <w:b w:val="0"/>
                <w:bCs/>
                <w:color w:val="auto"/>
                <w:kern w:val="2"/>
                <w:sz w:val="24"/>
                <w:szCs w:val="21"/>
                <w:highlight w:val="none"/>
                <w:u w:val="none"/>
                <w:vertAlign w:val="baseline"/>
                <w:lang w:val="en-US" w:eastAsia="zh-CN" w:bidi="ar-SA"/>
              </w:rPr>
              <w:t>不</w:t>
            </w:r>
            <w:r>
              <w:rPr>
                <w:rFonts w:hint="default" w:cstheme="minorBidi"/>
                <w:b w:val="0"/>
                <w:bCs/>
                <w:color w:val="auto"/>
                <w:kern w:val="2"/>
                <w:sz w:val="24"/>
                <w:szCs w:val="21"/>
                <w:highlight w:val="none"/>
                <w:u w:val="none"/>
                <w:vertAlign w:val="baseline"/>
                <w:lang w:val="en-US" w:eastAsia="zh-CN" w:bidi="ar-SA"/>
              </w:rPr>
              <w:t>进行</w:t>
            </w:r>
            <w:r>
              <w:rPr>
                <w:rFonts w:hint="eastAsia" w:cstheme="minorBidi"/>
                <w:b w:val="0"/>
                <w:bCs/>
                <w:color w:val="auto"/>
                <w:kern w:val="2"/>
                <w:sz w:val="24"/>
                <w:szCs w:val="21"/>
                <w:highlight w:val="none"/>
                <w:u w:val="none"/>
                <w:vertAlign w:val="baseline"/>
                <w:lang w:val="en-US" w:eastAsia="zh-CN" w:bidi="ar-SA"/>
              </w:rPr>
              <w:t xml:space="preserve">  </w:t>
            </w:r>
          </w:p>
          <w:p w14:paraId="40E4BA28">
            <w:pPr>
              <w:jc w:val="left"/>
              <w:rPr>
                <w:rFonts w:hint="eastAsia"/>
                <w:color w:val="auto"/>
                <w:highlight w:val="none"/>
                <w:u w:val="single"/>
                <w:lang w:val="en-US" w:eastAsia="zh-CN"/>
              </w:rPr>
            </w:pPr>
            <w:r>
              <w:rPr>
                <w:rFonts w:hint="default" w:ascii="宋体" w:hAnsi="宋体"/>
                <w:sz w:val="24"/>
                <w:szCs w:val="24"/>
              </w:rPr>
              <w:t>□</w:t>
            </w:r>
            <w:r>
              <w:rPr>
                <w:rFonts w:hint="default" w:cstheme="minorBidi"/>
                <w:b w:val="0"/>
                <w:bCs/>
                <w:color w:val="auto"/>
                <w:kern w:val="2"/>
                <w:sz w:val="24"/>
                <w:szCs w:val="21"/>
                <w:highlight w:val="none"/>
                <w:u w:val="none"/>
                <w:vertAlign w:val="baseline"/>
                <w:lang w:val="en-US" w:eastAsia="zh-CN" w:bidi="ar-SA"/>
              </w:rPr>
              <w:t>进行</w:t>
            </w:r>
            <w:r>
              <w:rPr>
                <w:rFonts w:hint="eastAsia" w:cstheme="minorBidi"/>
                <w:b w:val="0"/>
                <w:bCs/>
                <w:color w:val="auto"/>
                <w:kern w:val="2"/>
                <w:sz w:val="24"/>
                <w:szCs w:val="21"/>
                <w:highlight w:val="none"/>
                <w:u w:val="none"/>
                <w:vertAlign w:val="baseline"/>
                <w:lang w:val="en-US" w:eastAsia="zh-CN" w:bidi="ar-SA"/>
              </w:rPr>
              <w:t xml:space="preserve">    </w:t>
            </w:r>
            <w:r>
              <w:rPr>
                <w:rFonts w:hint="default" w:cstheme="minorBidi"/>
                <w:b w:val="0"/>
                <w:bCs/>
                <w:color w:val="auto"/>
                <w:kern w:val="2"/>
                <w:sz w:val="24"/>
                <w:szCs w:val="21"/>
                <w:highlight w:val="none"/>
                <w:u w:val="none"/>
                <w:vertAlign w:val="baseline"/>
                <w:lang w:val="en-US" w:eastAsia="zh-CN" w:bidi="ar-SA"/>
              </w:rPr>
              <w:t>考察</w:t>
            </w:r>
            <w:r>
              <w:rPr>
                <w:rFonts w:hint="eastAsia" w:cstheme="minorBidi"/>
                <w:b w:val="0"/>
                <w:bCs/>
                <w:color w:val="auto"/>
                <w:kern w:val="2"/>
                <w:sz w:val="24"/>
                <w:szCs w:val="21"/>
                <w:highlight w:val="none"/>
                <w:u w:val="none"/>
                <w:vertAlign w:val="baseline"/>
                <w:lang w:val="en-US" w:eastAsia="zh-CN" w:bidi="ar-SA"/>
              </w:rPr>
              <w:t>的内容：</w:t>
            </w:r>
            <w:r>
              <w:rPr>
                <w:rFonts w:hint="eastAsia" w:cstheme="minorBidi"/>
                <w:b w:val="0"/>
                <w:bCs/>
                <w:color w:val="auto"/>
                <w:kern w:val="2"/>
                <w:sz w:val="24"/>
                <w:szCs w:val="21"/>
                <w:highlight w:val="none"/>
                <w:u w:val="single"/>
                <w:vertAlign w:val="baseline"/>
                <w:lang w:val="en-US" w:eastAsia="zh-CN" w:bidi="ar-SA"/>
              </w:rPr>
              <w:t xml:space="preserve">            </w:t>
            </w:r>
          </w:p>
          <w:p w14:paraId="5B1B509B">
            <w:pPr>
              <w:pStyle w:val="16"/>
              <w:rPr>
                <w:rFonts w:hint="default"/>
                <w:b w:val="0"/>
                <w:bCs/>
                <w:color w:val="auto"/>
                <w:highlight w:val="none"/>
                <w:lang w:val="en-US" w:eastAsia="zh-CN"/>
              </w:rPr>
            </w:pPr>
            <w:r>
              <w:rPr>
                <w:rFonts w:hint="eastAsia" w:cstheme="minorBidi"/>
                <w:b w:val="0"/>
                <w:bCs/>
                <w:color w:val="auto"/>
                <w:kern w:val="2"/>
                <w:sz w:val="24"/>
                <w:szCs w:val="21"/>
                <w:highlight w:val="none"/>
                <w:u w:val="none"/>
                <w:vertAlign w:val="baseline"/>
                <w:lang w:val="en-US" w:eastAsia="zh-CN" w:bidi="ar-SA"/>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14:paraId="6F23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3363BD80">
            <w:pPr>
              <w:jc w:val="center"/>
              <w:rPr>
                <w:rFonts w:hint="eastAsia" w:ascii="宋体" w:hAnsi="宋体" w:eastAsia="宋体" w:cs="宋体"/>
                <w:color w:val="auto"/>
                <w:sz w:val="24"/>
                <w:szCs w:val="21"/>
                <w:highlight w:val="none"/>
                <w:u w:val="none"/>
                <w:vertAlign w:val="baseline"/>
                <w:lang w:val="en-US" w:eastAsia="zh-CN"/>
              </w:rPr>
            </w:pPr>
          </w:p>
          <w:p w14:paraId="787829C2">
            <w:pPr>
              <w:jc w:val="center"/>
              <w:rPr>
                <w:rFonts w:hint="eastAsia" w:ascii="宋体" w:hAnsi="宋体" w:eastAsia="宋体" w:cs="宋体"/>
                <w:color w:val="auto"/>
                <w:sz w:val="24"/>
                <w:szCs w:val="21"/>
                <w:highlight w:val="none"/>
                <w:u w:val="none"/>
                <w:vertAlign w:val="baseline"/>
                <w:lang w:val="en-US" w:eastAsia="zh-CN"/>
              </w:rPr>
            </w:pPr>
          </w:p>
          <w:p w14:paraId="13081109">
            <w:pPr>
              <w:jc w:val="center"/>
              <w:rPr>
                <w:rFonts w:hint="eastAsia" w:ascii="宋体" w:hAnsi="宋体" w:eastAsia="宋体" w:cs="宋体"/>
                <w:color w:val="auto"/>
                <w:sz w:val="24"/>
                <w:szCs w:val="21"/>
                <w:highlight w:val="none"/>
                <w:u w:val="none"/>
                <w:vertAlign w:val="baseline"/>
                <w:lang w:val="en-US" w:eastAsia="zh-CN"/>
              </w:rPr>
            </w:pPr>
            <w:r>
              <w:rPr>
                <w:rFonts w:hint="eastAsia" w:ascii="宋体" w:hAnsi="宋体" w:eastAsia="宋体" w:cs="宋体"/>
                <w:color w:val="auto"/>
                <w:sz w:val="24"/>
                <w:szCs w:val="21"/>
                <w:highlight w:val="none"/>
                <w:u w:val="none"/>
                <w:vertAlign w:val="baseline"/>
                <w:lang w:val="en-US" w:eastAsia="zh-CN"/>
              </w:rPr>
              <w:t>4</w:t>
            </w:r>
          </w:p>
        </w:tc>
        <w:tc>
          <w:tcPr>
            <w:tcW w:w="1807" w:type="dxa"/>
          </w:tcPr>
          <w:p w14:paraId="086C0751">
            <w:pPr>
              <w:jc w:val="center"/>
              <w:rPr>
                <w:rFonts w:hint="eastAsia"/>
                <w:color w:val="auto"/>
                <w:sz w:val="24"/>
                <w:szCs w:val="21"/>
                <w:highlight w:val="none"/>
                <w:u w:val="none"/>
                <w:vertAlign w:val="baseline"/>
                <w:lang w:val="en-US" w:eastAsia="zh-CN"/>
              </w:rPr>
            </w:pPr>
          </w:p>
          <w:p w14:paraId="640CD744">
            <w:pPr>
              <w:jc w:val="center"/>
              <w:rPr>
                <w:rFonts w:hint="eastAsia"/>
                <w:b w:val="0"/>
                <w:bCs w:val="0"/>
                <w:color w:val="auto"/>
                <w:sz w:val="24"/>
                <w:szCs w:val="21"/>
                <w:highlight w:val="none"/>
                <w:u w:val="none"/>
                <w:vertAlign w:val="baseline"/>
                <w:lang w:val="en-US" w:eastAsia="zh-CN"/>
              </w:rPr>
            </w:pPr>
            <w:r>
              <w:rPr>
                <w:rFonts w:hint="eastAsia"/>
                <w:color w:val="auto"/>
                <w:sz w:val="24"/>
                <w:szCs w:val="21"/>
                <w:highlight w:val="none"/>
                <w:u w:val="none"/>
                <w:vertAlign w:val="baseline"/>
                <w:lang w:val="en-US" w:eastAsia="zh-CN"/>
              </w:rPr>
              <w:t>是否</w:t>
            </w:r>
            <w:r>
              <w:rPr>
                <w:rFonts w:hint="default"/>
                <w:color w:val="auto"/>
                <w:sz w:val="24"/>
                <w:szCs w:val="21"/>
                <w:highlight w:val="none"/>
                <w:u w:val="none"/>
                <w:vertAlign w:val="baseline"/>
                <w:lang w:val="en-US" w:eastAsia="zh-CN"/>
              </w:rPr>
              <w:t>进行</w:t>
            </w:r>
            <w:r>
              <w:rPr>
                <w:rFonts w:hint="eastAsia"/>
                <w:b w:val="0"/>
                <w:bCs w:val="0"/>
                <w:color w:val="auto"/>
                <w:sz w:val="24"/>
                <w:szCs w:val="21"/>
                <w:highlight w:val="none"/>
                <w:u w:val="none"/>
                <w:vertAlign w:val="baseline"/>
                <w:lang w:val="en-US" w:eastAsia="zh-CN"/>
              </w:rPr>
              <w:t>拟派项目团队现场答辩</w:t>
            </w:r>
          </w:p>
        </w:tc>
        <w:tc>
          <w:tcPr>
            <w:tcW w:w="10721" w:type="dxa"/>
          </w:tcPr>
          <w:p w14:paraId="36BE502D">
            <w:pPr>
              <w:jc w:val="left"/>
              <w:rPr>
                <w:rFonts w:hint="eastAsia"/>
                <w:color w:val="auto"/>
                <w:sz w:val="24"/>
                <w:szCs w:val="21"/>
                <w:highlight w:val="none"/>
                <w:u w:val="none"/>
                <w:vertAlign w:val="baseline"/>
                <w:lang w:val="en-US" w:eastAsia="zh-CN"/>
              </w:rPr>
            </w:pPr>
            <w:r>
              <w:rPr>
                <w:rFonts w:hint="default" w:ascii="宋体" w:hAnsi="宋体"/>
                <w:sz w:val="24"/>
                <w:szCs w:val="24"/>
              </w:rPr>
              <w:t>□</w:t>
            </w:r>
            <w:r>
              <w:rPr>
                <w:rFonts w:hint="eastAsia"/>
                <w:color w:val="auto"/>
                <w:sz w:val="24"/>
                <w:szCs w:val="21"/>
                <w:highlight w:val="none"/>
                <w:u w:val="none"/>
                <w:vertAlign w:val="baseline"/>
                <w:lang w:val="en-US" w:eastAsia="zh-CN"/>
              </w:rPr>
              <w:t>不</w:t>
            </w:r>
            <w:r>
              <w:rPr>
                <w:rFonts w:hint="default"/>
                <w:color w:val="auto"/>
                <w:sz w:val="24"/>
                <w:szCs w:val="21"/>
                <w:highlight w:val="none"/>
                <w:u w:val="none"/>
                <w:vertAlign w:val="baseline"/>
                <w:lang w:val="en-US" w:eastAsia="zh-CN"/>
              </w:rPr>
              <w:t>进行</w:t>
            </w:r>
            <w:r>
              <w:rPr>
                <w:rFonts w:hint="eastAsia"/>
                <w:color w:val="auto"/>
                <w:sz w:val="24"/>
                <w:szCs w:val="21"/>
                <w:highlight w:val="none"/>
                <w:u w:val="none"/>
                <w:vertAlign w:val="baseline"/>
                <w:lang w:val="en-US" w:eastAsia="zh-CN"/>
              </w:rPr>
              <w:t xml:space="preserve">    </w:t>
            </w:r>
          </w:p>
          <w:p w14:paraId="22C7727B">
            <w:pPr>
              <w:jc w:val="left"/>
              <w:rPr>
                <w:rFonts w:hint="eastAsia"/>
                <w:color w:val="auto"/>
                <w:sz w:val="24"/>
                <w:szCs w:val="21"/>
                <w:highlight w:val="none"/>
                <w:u w:val="single"/>
                <w:vertAlign w:val="baseline"/>
                <w:lang w:val="en-US" w:eastAsia="zh-CN"/>
              </w:rPr>
            </w:pPr>
            <w:r>
              <w:rPr>
                <w:rFonts w:hint="default" w:ascii="宋体" w:hAnsi="宋体"/>
                <w:sz w:val="24"/>
                <w:szCs w:val="24"/>
              </w:rPr>
              <w:t>□</w:t>
            </w:r>
            <w:r>
              <w:rPr>
                <w:rFonts w:hint="default"/>
                <w:color w:val="auto"/>
                <w:sz w:val="24"/>
                <w:szCs w:val="21"/>
                <w:highlight w:val="none"/>
                <w:u w:val="none"/>
                <w:vertAlign w:val="baseline"/>
                <w:lang w:val="en-US" w:eastAsia="zh-CN"/>
              </w:rPr>
              <w:t>进行</w:t>
            </w:r>
            <w:r>
              <w:rPr>
                <w:rFonts w:hint="eastAsia"/>
                <w:color w:val="auto"/>
                <w:sz w:val="24"/>
                <w:szCs w:val="21"/>
                <w:highlight w:val="none"/>
                <w:u w:val="none"/>
                <w:vertAlign w:val="baseline"/>
                <w:lang w:val="en-US" w:eastAsia="zh-CN"/>
              </w:rPr>
              <w:t xml:space="preserve">    </w:t>
            </w:r>
            <w:r>
              <w:rPr>
                <w:rFonts w:hint="default"/>
                <w:color w:val="auto"/>
                <w:sz w:val="24"/>
                <w:szCs w:val="21"/>
                <w:highlight w:val="none"/>
                <w:u w:val="none"/>
                <w:vertAlign w:val="baseline"/>
                <w:lang w:val="en-US" w:eastAsia="zh-CN"/>
              </w:rPr>
              <w:t>答辩内容</w:t>
            </w:r>
            <w:r>
              <w:rPr>
                <w:rFonts w:hint="eastAsia"/>
                <w:color w:val="auto"/>
                <w:sz w:val="24"/>
                <w:szCs w:val="21"/>
                <w:highlight w:val="none"/>
                <w:u w:val="none"/>
                <w:vertAlign w:val="baseline"/>
                <w:lang w:val="en-US" w:eastAsia="zh-CN"/>
              </w:rPr>
              <w:t>与要求</w:t>
            </w:r>
            <w:r>
              <w:rPr>
                <w:rFonts w:hint="default"/>
                <w:color w:val="auto"/>
                <w:sz w:val="24"/>
                <w:szCs w:val="21"/>
                <w:highlight w:val="none"/>
                <w:u w:val="none"/>
                <w:vertAlign w:val="baseline"/>
                <w:lang w:val="en-US" w:eastAsia="zh-CN"/>
              </w:rPr>
              <w:t>:</w:t>
            </w:r>
            <w:r>
              <w:rPr>
                <w:rFonts w:hint="eastAsia"/>
                <w:color w:val="auto"/>
                <w:sz w:val="24"/>
                <w:szCs w:val="21"/>
                <w:highlight w:val="none"/>
                <w:u w:val="single"/>
                <w:vertAlign w:val="baseline"/>
                <w:lang w:val="en-US" w:eastAsia="zh-CN"/>
              </w:rPr>
              <w:t xml:space="preserve">         </w:t>
            </w:r>
          </w:p>
          <w:p w14:paraId="3BEB8858">
            <w:pPr>
              <w:pStyle w:val="16"/>
              <w:rPr>
                <w:rFonts w:hint="default"/>
                <w:color w:val="auto"/>
                <w:highlight w:val="none"/>
                <w:lang w:val="en-US" w:eastAsia="zh-CN"/>
              </w:rPr>
            </w:pPr>
            <w:r>
              <w:rPr>
                <w:rFonts w:hint="eastAsia" w:cstheme="minorBidi"/>
                <w:b w:val="0"/>
                <w:bCs/>
                <w:color w:val="auto"/>
                <w:kern w:val="2"/>
                <w:sz w:val="24"/>
                <w:szCs w:val="21"/>
                <w:highlight w:val="none"/>
                <w:u w:val="none"/>
                <w:vertAlign w:val="baseline"/>
                <w:lang w:val="en-US" w:eastAsia="zh-CN" w:bidi="ar-SA"/>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14:paraId="0C26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shd w:val="clear" w:color="auto" w:fill="auto"/>
            <w:vAlign w:val="top"/>
          </w:tcPr>
          <w:p w14:paraId="60B292F2">
            <w:pPr>
              <w:jc w:val="center"/>
              <w:rPr>
                <w:rFonts w:hint="eastAsia" w:ascii="宋体" w:hAnsi="宋体" w:eastAsia="宋体" w:cs="宋体"/>
                <w:color w:val="auto"/>
                <w:sz w:val="24"/>
                <w:szCs w:val="21"/>
                <w:highlight w:val="none"/>
                <w:u w:val="none"/>
                <w:vertAlign w:val="baseline"/>
                <w:lang w:val="en-US" w:eastAsia="zh-CN"/>
              </w:rPr>
            </w:pPr>
          </w:p>
          <w:p w14:paraId="29643CED">
            <w:pPr>
              <w:jc w:val="center"/>
              <w:rPr>
                <w:rFonts w:hint="eastAsia" w:ascii="宋体" w:hAnsi="宋体" w:eastAsia="宋体" w:cs="宋体"/>
                <w:color w:val="auto"/>
                <w:sz w:val="24"/>
                <w:szCs w:val="21"/>
                <w:highlight w:val="none"/>
                <w:u w:val="none"/>
                <w:vertAlign w:val="baseline"/>
                <w:lang w:val="en-US" w:eastAsia="zh-CN"/>
              </w:rPr>
            </w:pPr>
          </w:p>
          <w:p w14:paraId="5E038D1C">
            <w:pPr>
              <w:jc w:val="center"/>
              <w:rPr>
                <w:rFonts w:hint="eastAsia" w:ascii="宋体" w:hAnsi="宋体" w:eastAsia="宋体" w:cs="宋体"/>
                <w:color w:val="auto"/>
                <w:sz w:val="24"/>
                <w:szCs w:val="21"/>
                <w:highlight w:val="none"/>
                <w:u w:val="none"/>
                <w:vertAlign w:val="baseline"/>
                <w:lang w:val="en-US" w:eastAsia="zh-CN"/>
              </w:rPr>
            </w:pPr>
          </w:p>
          <w:p w14:paraId="2B09FF49">
            <w:pPr>
              <w:jc w:val="center"/>
              <w:rPr>
                <w:rFonts w:hint="eastAsia" w:ascii="宋体" w:hAnsi="宋体" w:eastAsia="宋体" w:cs="宋体"/>
                <w:color w:val="auto"/>
                <w:sz w:val="24"/>
                <w:szCs w:val="21"/>
                <w:highlight w:val="none"/>
                <w:u w:val="none"/>
                <w:vertAlign w:val="baseline"/>
                <w:lang w:val="en-US" w:eastAsia="zh-CN"/>
              </w:rPr>
            </w:pPr>
          </w:p>
          <w:p w14:paraId="593CF056">
            <w:pPr>
              <w:jc w:val="center"/>
              <w:rPr>
                <w:rFonts w:hint="eastAsia" w:ascii="宋体" w:hAnsi="宋体" w:eastAsia="宋体" w:cs="宋体"/>
                <w:color w:val="auto"/>
                <w:kern w:val="2"/>
                <w:sz w:val="24"/>
                <w:szCs w:val="21"/>
                <w:highlight w:val="none"/>
                <w:u w:val="none"/>
                <w:vertAlign w:val="baseline"/>
                <w:lang w:val="en-US" w:eastAsia="zh-CN" w:bidi="ar-SA"/>
              </w:rPr>
            </w:pPr>
            <w:r>
              <w:rPr>
                <w:rFonts w:hint="eastAsia" w:ascii="宋体" w:hAnsi="宋体" w:eastAsia="宋体" w:cs="宋体"/>
                <w:color w:val="auto"/>
                <w:sz w:val="24"/>
                <w:szCs w:val="21"/>
                <w:highlight w:val="none"/>
                <w:u w:val="none"/>
                <w:vertAlign w:val="baseline"/>
                <w:lang w:val="en-US" w:eastAsia="zh-CN"/>
              </w:rPr>
              <w:t>5</w:t>
            </w:r>
          </w:p>
        </w:tc>
        <w:tc>
          <w:tcPr>
            <w:tcW w:w="1807" w:type="dxa"/>
            <w:shd w:val="clear" w:color="auto" w:fill="auto"/>
            <w:vAlign w:val="top"/>
          </w:tcPr>
          <w:p w14:paraId="12970714">
            <w:pPr>
              <w:ind w:firstLine="480" w:firstLineChars="200"/>
              <w:jc w:val="left"/>
              <w:rPr>
                <w:rFonts w:hint="default"/>
                <w:color w:val="auto"/>
                <w:sz w:val="24"/>
                <w:szCs w:val="21"/>
                <w:highlight w:val="none"/>
                <w:u w:val="none"/>
                <w:vertAlign w:val="baseline"/>
                <w:lang w:val="en-US" w:eastAsia="zh-CN"/>
              </w:rPr>
            </w:pPr>
          </w:p>
          <w:p w14:paraId="665E57FC">
            <w:pPr>
              <w:ind w:firstLine="480" w:firstLineChars="200"/>
              <w:jc w:val="left"/>
              <w:rPr>
                <w:rFonts w:hint="default"/>
                <w:color w:val="auto"/>
                <w:sz w:val="24"/>
                <w:szCs w:val="21"/>
                <w:highlight w:val="none"/>
                <w:u w:val="none"/>
                <w:vertAlign w:val="baseline"/>
                <w:lang w:val="en-US" w:eastAsia="zh-CN"/>
              </w:rPr>
            </w:pPr>
          </w:p>
          <w:p w14:paraId="6B70D6FF">
            <w:pPr>
              <w:ind w:firstLine="480" w:firstLineChars="200"/>
              <w:jc w:val="left"/>
              <w:rPr>
                <w:rFonts w:hint="default"/>
                <w:color w:val="auto"/>
                <w:sz w:val="24"/>
                <w:szCs w:val="21"/>
                <w:highlight w:val="none"/>
                <w:u w:val="none"/>
                <w:vertAlign w:val="baseline"/>
                <w:lang w:val="en-US" w:eastAsia="zh-CN"/>
              </w:rPr>
            </w:pPr>
          </w:p>
          <w:p w14:paraId="555E4362">
            <w:pPr>
              <w:ind w:firstLine="480" w:firstLineChars="200"/>
              <w:jc w:val="left"/>
              <w:rPr>
                <w:rFonts w:hint="default"/>
                <w:color w:val="auto"/>
                <w:sz w:val="24"/>
                <w:szCs w:val="21"/>
                <w:highlight w:val="none"/>
                <w:u w:val="none"/>
                <w:vertAlign w:val="baseline"/>
                <w:lang w:val="en-US" w:eastAsia="zh-CN"/>
              </w:rPr>
            </w:pPr>
          </w:p>
          <w:p w14:paraId="0272D957">
            <w:pPr>
              <w:ind w:firstLine="480" w:firstLineChars="200"/>
              <w:jc w:val="left"/>
              <w:rPr>
                <w:rFonts w:hint="eastAsia" w:asciiTheme="minorHAnsi" w:hAnsiTheme="minorHAnsi" w:eastAsiaTheme="minorEastAsia" w:cstheme="minorBidi"/>
                <w:color w:val="auto"/>
                <w:kern w:val="2"/>
                <w:sz w:val="24"/>
                <w:szCs w:val="21"/>
                <w:highlight w:val="none"/>
                <w:u w:val="none"/>
                <w:vertAlign w:val="baseline"/>
                <w:lang w:val="en-US" w:eastAsia="zh-CN" w:bidi="ar-SA"/>
              </w:rPr>
            </w:pPr>
            <w:r>
              <w:rPr>
                <w:rFonts w:hint="default"/>
                <w:color w:val="auto"/>
                <w:sz w:val="24"/>
                <w:szCs w:val="21"/>
                <w:highlight w:val="none"/>
                <w:u w:val="none"/>
                <w:vertAlign w:val="baseline"/>
                <w:lang w:val="en-US" w:eastAsia="zh-CN"/>
              </w:rPr>
              <w:t>定标因素</w:t>
            </w:r>
          </w:p>
        </w:tc>
        <w:tc>
          <w:tcPr>
            <w:tcW w:w="10721" w:type="dxa"/>
            <w:shd w:val="clear" w:color="auto" w:fill="auto"/>
            <w:vAlign w:val="top"/>
          </w:tcPr>
          <w:p w14:paraId="781E101A">
            <w:pPr>
              <w:jc w:val="left"/>
              <w:rPr>
                <w:rFonts w:hint="default"/>
                <w:color w:val="auto"/>
                <w:sz w:val="24"/>
                <w:szCs w:val="21"/>
                <w:highlight w:val="none"/>
                <w:u w:val="single"/>
                <w:vertAlign w:val="baseline"/>
                <w:lang w:val="en-US" w:eastAsia="zh-CN"/>
              </w:rPr>
            </w:pPr>
            <w:r>
              <w:rPr>
                <w:rFonts w:hint="default"/>
                <w:color w:val="auto"/>
                <w:sz w:val="24"/>
                <w:szCs w:val="21"/>
                <w:highlight w:val="none"/>
                <w:u w:val="none"/>
                <w:vertAlign w:val="baseline"/>
                <w:lang w:val="en-US" w:eastAsia="zh-CN"/>
              </w:rPr>
              <w:t>定标因素:</w:t>
            </w:r>
            <w:r>
              <w:rPr>
                <w:rFonts w:hint="eastAsia"/>
                <w:color w:val="auto"/>
                <w:sz w:val="24"/>
                <w:szCs w:val="21"/>
                <w:highlight w:val="none"/>
                <w:u w:val="single"/>
                <w:vertAlign w:val="baseline"/>
                <w:lang w:val="en-US" w:eastAsia="zh-CN"/>
              </w:rPr>
              <w:t xml:space="preserve">                     </w:t>
            </w:r>
          </w:p>
          <w:p w14:paraId="3573D83A">
            <w:pPr>
              <w:ind w:firstLine="480" w:firstLineChars="200"/>
              <w:jc w:val="left"/>
              <w:rPr>
                <w:rFonts w:hint="eastAsia"/>
                <w:color w:val="auto"/>
                <w:sz w:val="24"/>
                <w:szCs w:val="21"/>
                <w:highlight w:val="none"/>
                <w:u w:val="none"/>
                <w:vertAlign w:val="baseline"/>
                <w:lang w:val="en-US" w:eastAsia="zh-CN"/>
              </w:rPr>
            </w:pPr>
          </w:p>
          <w:p w14:paraId="4F4C67BD">
            <w:pPr>
              <w:ind w:firstLine="480" w:firstLineChars="200"/>
              <w:jc w:val="left"/>
              <w:rPr>
                <w:color w:val="auto"/>
                <w:highlight w:val="none"/>
              </w:rPr>
            </w:pPr>
            <w:r>
              <w:rPr>
                <w:rFonts w:hint="eastAsia" w:ascii="Calibri" w:hAnsi="Calibri" w:eastAsia="仿宋_GB2312" w:cstheme="minorBidi"/>
                <w:b w:val="0"/>
                <w:bCs/>
                <w:color w:val="auto"/>
                <w:kern w:val="2"/>
                <w:sz w:val="24"/>
                <w:szCs w:val="21"/>
                <w:highlight w:val="none"/>
                <w:u w:val="none"/>
                <w:vertAlign w:val="baseline"/>
                <w:lang w:val="en-US" w:eastAsia="zh-CN" w:bidi="ar-SA"/>
              </w:rPr>
              <w:t>注：（1）</w:t>
            </w:r>
            <w:r>
              <w:rPr>
                <w:rFonts w:hint="default" w:ascii="Calibri" w:hAnsi="Calibri" w:eastAsia="仿宋_GB2312" w:cstheme="minorBidi"/>
                <w:b w:val="0"/>
                <w:bCs/>
                <w:color w:val="auto"/>
                <w:kern w:val="2"/>
                <w:sz w:val="24"/>
                <w:szCs w:val="21"/>
                <w:highlight w:val="none"/>
                <w:u w:val="none"/>
                <w:vertAlign w:val="baseline"/>
                <w:lang w:val="en-US" w:eastAsia="zh-CN" w:bidi="ar-SA"/>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ascii="Calibri" w:hAnsi="Calibri" w:eastAsia="仿宋_GB2312" w:cstheme="minorBidi"/>
                <w:b w:val="0"/>
                <w:bCs/>
                <w:color w:val="auto"/>
                <w:kern w:val="2"/>
                <w:sz w:val="24"/>
                <w:szCs w:val="21"/>
                <w:highlight w:val="none"/>
                <w:u w:val="none"/>
                <w:vertAlign w:val="baseline"/>
                <w:lang w:val="en-US" w:eastAsia="zh-CN" w:bidi="ar-SA"/>
              </w:rPr>
              <w:t>。定标可参考以下要素：</w:t>
            </w:r>
            <w:r>
              <w:rPr>
                <w:rFonts w:hint="default" w:ascii="Calibri" w:hAnsi="Calibri" w:eastAsia="仿宋_GB2312" w:cstheme="minorBidi"/>
                <w:b w:val="0"/>
                <w:bCs/>
                <w:color w:val="auto"/>
                <w:kern w:val="2"/>
                <w:sz w:val="24"/>
                <w:szCs w:val="21"/>
                <w:highlight w:val="none"/>
                <w:u w:val="none"/>
                <w:vertAlign w:val="baseline"/>
                <w:lang w:val="en-US" w:eastAsia="zh-CN" w:bidi="ar-SA"/>
              </w:rPr>
              <w:t>价格因素</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企业实力</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企业信誉</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投标方案</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拟派团队能力与水平</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提供产品服务质量</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招标人认为需要考量的其他合理因素</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p>
          <w:p w14:paraId="322EFF6D">
            <w:pPr>
              <w:ind w:firstLine="480" w:firstLineChars="200"/>
              <w:jc w:val="left"/>
              <w:rPr>
                <w:rFonts w:hint="default"/>
                <w:color w:val="auto"/>
                <w:highlight w:val="none"/>
                <w:lang w:val="en-US" w:eastAsia="zh-CN"/>
              </w:rPr>
            </w:pPr>
            <w:r>
              <w:rPr>
                <w:rFonts w:hint="eastAsia" w:ascii="Calibri" w:hAnsi="Calibri" w:eastAsia="仿宋_GB2312" w:cstheme="minorBidi"/>
                <w:b w:val="0"/>
                <w:bCs/>
                <w:color w:val="auto"/>
                <w:kern w:val="2"/>
                <w:sz w:val="24"/>
                <w:szCs w:val="21"/>
                <w:highlight w:val="none"/>
                <w:u w:val="none"/>
                <w:vertAlign w:val="baseline"/>
                <w:lang w:val="en-US" w:eastAsia="zh-CN" w:bidi="ar-SA"/>
              </w:rPr>
              <w:t>（2）我省依法必须招标的国家投资工程，</w:t>
            </w:r>
            <w:r>
              <w:rPr>
                <w:rFonts w:hint="default" w:ascii="Calibri" w:hAnsi="Calibri" w:eastAsia="仿宋_GB2312" w:cstheme="minorBidi"/>
                <w:b w:val="0"/>
                <w:bCs/>
                <w:color w:val="auto"/>
                <w:kern w:val="2"/>
                <w:sz w:val="24"/>
                <w:szCs w:val="21"/>
                <w:highlight w:val="none"/>
                <w:u w:val="none"/>
                <w:vertAlign w:val="baseline"/>
                <w:lang w:val="en-US" w:eastAsia="zh-CN" w:bidi="ar-SA"/>
              </w:rPr>
              <w:t>招标控制价在</w:t>
            </w:r>
            <w:r>
              <w:rPr>
                <w:rFonts w:hint="eastAsia" w:ascii="Calibri" w:hAnsi="Calibri" w:eastAsia="仿宋_GB2312" w:cstheme="minorBidi"/>
                <w:b w:val="0"/>
                <w:bCs/>
                <w:color w:val="auto"/>
                <w:kern w:val="2"/>
                <w:sz w:val="24"/>
                <w:szCs w:val="21"/>
                <w:highlight w:val="none"/>
                <w:u w:val="none"/>
                <w:vertAlign w:val="baseline"/>
                <w:lang w:val="en-US" w:eastAsia="zh-CN" w:bidi="ar-SA"/>
              </w:rPr>
              <w:t>3000</w:t>
            </w:r>
            <w:r>
              <w:rPr>
                <w:rFonts w:hint="default" w:ascii="Calibri" w:hAnsi="Calibri" w:eastAsia="仿宋_GB2312" w:cstheme="minorBidi"/>
                <w:b w:val="0"/>
                <w:bCs/>
                <w:color w:val="auto"/>
                <w:kern w:val="2"/>
                <w:sz w:val="24"/>
                <w:szCs w:val="21"/>
                <w:highlight w:val="none"/>
                <w:u w:val="none"/>
                <w:vertAlign w:val="baseline"/>
                <w:lang w:val="en-US" w:eastAsia="zh-CN" w:bidi="ar-SA"/>
              </w:rPr>
              <w:t>万元以下的施工项目</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标段</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r>
              <w:rPr>
                <w:rFonts w:hint="default" w:ascii="Calibri" w:hAnsi="Calibri" w:eastAsia="仿宋_GB2312" w:cstheme="minorBidi"/>
                <w:b w:val="0"/>
                <w:bCs/>
                <w:color w:val="auto"/>
                <w:kern w:val="2"/>
                <w:sz w:val="24"/>
                <w:szCs w:val="21"/>
                <w:highlight w:val="none"/>
                <w:u w:val="none"/>
                <w:vertAlign w:val="baseline"/>
                <w:lang w:val="en-US" w:eastAsia="zh-CN" w:bidi="ar-SA"/>
              </w:rPr>
              <w:t>原则上优先发包给小微建筑企业</w:t>
            </w:r>
            <w:r>
              <w:rPr>
                <w:rFonts w:hint="eastAsia" w:ascii="Calibri" w:hAnsi="Calibri" w:eastAsia="仿宋_GB2312" w:cstheme="minorBidi"/>
                <w:b w:val="0"/>
                <w:bCs/>
                <w:color w:val="auto"/>
                <w:kern w:val="2"/>
                <w:sz w:val="24"/>
                <w:szCs w:val="21"/>
                <w:highlight w:val="none"/>
                <w:u w:val="none"/>
                <w:vertAlign w:val="baseline"/>
                <w:lang w:val="en-US" w:eastAsia="zh-CN" w:bidi="ar-SA"/>
              </w:rPr>
              <w:t>。</w:t>
            </w:r>
          </w:p>
        </w:tc>
      </w:tr>
      <w:tr w14:paraId="16AB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0D9B129F">
            <w:pPr>
              <w:jc w:val="center"/>
              <w:rPr>
                <w:rFonts w:hint="eastAsia" w:ascii="宋体" w:hAnsi="宋体" w:eastAsia="宋体" w:cs="宋体"/>
                <w:color w:val="auto"/>
                <w:sz w:val="24"/>
                <w:szCs w:val="21"/>
                <w:highlight w:val="none"/>
                <w:u w:val="none"/>
                <w:vertAlign w:val="baseline"/>
                <w:lang w:val="en-US" w:eastAsia="zh-CN"/>
              </w:rPr>
            </w:pPr>
          </w:p>
          <w:p w14:paraId="3750F8EF">
            <w:pPr>
              <w:jc w:val="center"/>
              <w:rPr>
                <w:rFonts w:hint="eastAsia" w:ascii="宋体" w:hAnsi="宋体" w:eastAsia="宋体" w:cs="宋体"/>
                <w:color w:val="auto"/>
                <w:sz w:val="24"/>
                <w:szCs w:val="21"/>
                <w:highlight w:val="none"/>
                <w:u w:val="none"/>
                <w:vertAlign w:val="baseline"/>
                <w:lang w:val="en-US" w:eastAsia="zh-CN"/>
              </w:rPr>
            </w:pPr>
          </w:p>
          <w:p w14:paraId="2B6EF895">
            <w:pPr>
              <w:jc w:val="center"/>
              <w:rPr>
                <w:rFonts w:hint="eastAsia" w:ascii="宋体" w:hAnsi="宋体" w:eastAsia="宋体" w:cs="宋体"/>
                <w:color w:val="auto"/>
                <w:sz w:val="24"/>
                <w:szCs w:val="21"/>
                <w:highlight w:val="none"/>
                <w:u w:val="none"/>
                <w:vertAlign w:val="baseline"/>
                <w:lang w:val="en-US" w:eastAsia="zh-CN"/>
              </w:rPr>
            </w:pPr>
          </w:p>
          <w:p w14:paraId="43A359C6">
            <w:pPr>
              <w:jc w:val="center"/>
              <w:rPr>
                <w:rFonts w:hint="eastAsia" w:ascii="宋体" w:hAnsi="宋体" w:eastAsia="宋体" w:cs="宋体"/>
                <w:color w:val="auto"/>
                <w:sz w:val="24"/>
                <w:szCs w:val="21"/>
                <w:highlight w:val="none"/>
                <w:u w:val="none"/>
                <w:vertAlign w:val="baseline"/>
                <w:lang w:val="en-US" w:eastAsia="zh-CN"/>
              </w:rPr>
            </w:pPr>
          </w:p>
          <w:p w14:paraId="445675DD">
            <w:pPr>
              <w:jc w:val="center"/>
              <w:rPr>
                <w:rFonts w:hint="eastAsia" w:ascii="宋体" w:hAnsi="宋体" w:eastAsia="宋体" w:cs="宋体"/>
                <w:color w:val="auto"/>
                <w:sz w:val="24"/>
                <w:szCs w:val="21"/>
                <w:highlight w:val="none"/>
                <w:u w:val="none"/>
                <w:vertAlign w:val="baseline"/>
                <w:lang w:val="en-US" w:eastAsia="zh-CN"/>
              </w:rPr>
            </w:pPr>
          </w:p>
          <w:p w14:paraId="315522CF">
            <w:pPr>
              <w:jc w:val="center"/>
              <w:rPr>
                <w:rFonts w:hint="eastAsia" w:ascii="宋体" w:hAnsi="宋体" w:eastAsia="宋体" w:cs="宋体"/>
                <w:color w:val="auto"/>
                <w:sz w:val="24"/>
                <w:szCs w:val="21"/>
                <w:highlight w:val="none"/>
                <w:u w:val="none"/>
                <w:vertAlign w:val="baseline"/>
                <w:lang w:val="en-US" w:eastAsia="zh-CN"/>
              </w:rPr>
            </w:pPr>
            <w:r>
              <w:rPr>
                <w:rFonts w:hint="eastAsia" w:ascii="宋体" w:hAnsi="宋体" w:eastAsia="宋体" w:cs="宋体"/>
                <w:color w:val="auto"/>
                <w:sz w:val="24"/>
                <w:szCs w:val="21"/>
                <w:highlight w:val="none"/>
                <w:u w:val="none"/>
                <w:vertAlign w:val="baseline"/>
                <w:lang w:val="en-US" w:eastAsia="zh-CN"/>
              </w:rPr>
              <w:t>6</w:t>
            </w:r>
          </w:p>
        </w:tc>
        <w:tc>
          <w:tcPr>
            <w:tcW w:w="1807" w:type="dxa"/>
          </w:tcPr>
          <w:p w14:paraId="0ACABA24">
            <w:pPr>
              <w:jc w:val="left"/>
              <w:rPr>
                <w:rFonts w:hint="default"/>
                <w:color w:val="auto"/>
                <w:sz w:val="24"/>
                <w:szCs w:val="21"/>
                <w:highlight w:val="none"/>
                <w:u w:val="none"/>
                <w:vertAlign w:val="baseline"/>
                <w:lang w:val="en-US" w:eastAsia="zh-CN"/>
              </w:rPr>
            </w:pPr>
          </w:p>
          <w:p w14:paraId="4DAC3D70">
            <w:pPr>
              <w:jc w:val="left"/>
              <w:rPr>
                <w:rFonts w:hint="default"/>
                <w:color w:val="auto"/>
                <w:sz w:val="24"/>
                <w:szCs w:val="21"/>
                <w:highlight w:val="none"/>
                <w:u w:val="none"/>
                <w:vertAlign w:val="baseline"/>
                <w:lang w:val="en-US" w:eastAsia="zh-CN"/>
              </w:rPr>
            </w:pPr>
          </w:p>
          <w:p w14:paraId="2D3E0ADD">
            <w:pPr>
              <w:jc w:val="left"/>
              <w:rPr>
                <w:rFonts w:hint="default"/>
                <w:color w:val="auto"/>
                <w:sz w:val="24"/>
                <w:szCs w:val="21"/>
                <w:highlight w:val="none"/>
                <w:u w:val="none"/>
                <w:vertAlign w:val="baseline"/>
                <w:lang w:val="en-US" w:eastAsia="zh-CN"/>
              </w:rPr>
            </w:pPr>
          </w:p>
          <w:p w14:paraId="46D47AB8">
            <w:pPr>
              <w:jc w:val="left"/>
              <w:rPr>
                <w:rFonts w:hint="default"/>
                <w:color w:val="auto"/>
                <w:sz w:val="24"/>
                <w:szCs w:val="21"/>
                <w:highlight w:val="none"/>
                <w:u w:val="none"/>
                <w:vertAlign w:val="baseline"/>
                <w:lang w:val="en-US" w:eastAsia="zh-CN"/>
              </w:rPr>
            </w:pPr>
          </w:p>
          <w:p w14:paraId="7D93FD28">
            <w:pPr>
              <w:jc w:val="left"/>
              <w:rPr>
                <w:rFonts w:hint="default"/>
                <w:color w:val="auto"/>
                <w:sz w:val="24"/>
                <w:szCs w:val="21"/>
                <w:highlight w:val="none"/>
                <w:u w:val="none"/>
                <w:vertAlign w:val="baseline"/>
                <w:lang w:val="en-US" w:eastAsia="zh-CN"/>
              </w:rPr>
            </w:pPr>
          </w:p>
          <w:p w14:paraId="50439E33">
            <w:pPr>
              <w:ind w:firstLine="480" w:firstLineChars="200"/>
              <w:jc w:val="left"/>
              <w:rPr>
                <w:rFonts w:hint="default"/>
                <w:color w:val="auto"/>
                <w:sz w:val="24"/>
                <w:szCs w:val="21"/>
                <w:highlight w:val="none"/>
                <w:u w:val="none"/>
                <w:vertAlign w:val="baseline"/>
                <w:lang w:val="en-US" w:eastAsia="zh-CN"/>
              </w:rPr>
            </w:pPr>
            <w:r>
              <w:rPr>
                <w:rFonts w:hint="default"/>
                <w:color w:val="auto"/>
                <w:sz w:val="24"/>
                <w:szCs w:val="21"/>
                <w:highlight w:val="none"/>
                <w:u w:val="none"/>
                <w:vertAlign w:val="baseline"/>
                <w:lang w:val="en-US" w:eastAsia="zh-CN"/>
              </w:rPr>
              <w:t>定标</w:t>
            </w:r>
            <w:r>
              <w:rPr>
                <w:rFonts w:hint="eastAsia"/>
                <w:color w:val="auto"/>
                <w:sz w:val="24"/>
                <w:szCs w:val="21"/>
                <w:highlight w:val="none"/>
                <w:u w:val="none"/>
                <w:vertAlign w:val="baseline"/>
                <w:lang w:val="en-US" w:eastAsia="zh-CN"/>
              </w:rPr>
              <w:t>方式</w:t>
            </w:r>
          </w:p>
          <w:p w14:paraId="6DCACFB4">
            <w:pPr>
              <w:pStyle w:val="16"/>
              <w:rPr>
                <w:color w:val="auto"/>
                <w:highlight w:val="none"/>
              </w:rPr>
            </w:pPr>
          </w:p>
        </w:tc>
        <w:tc>
          <w:tcPr>
            <w:tcW w:w="10721" w:type="dxa"/>
          </w:tcPr>
          <w:p w14:paraId="6CECCC25">
            <w:pPr>
              <w:numPr>
                <w:ilvl w:val="0"/>
                <w:numId w:val="0"/>
              </w:numPr>
              <w:jc w:val="left"/>
              <w:rPr>
                <w:rFonts w:hint="default"/>
                <w:color w:val="auto"/>
                <w:sz w:val="24"/>
                <w:szCs w:val="21"/>
                <w:highlight w:val="none"/>
                <w:u w:val="none"/>
                <w:vertAlign w:val="baseline"/>
                <w:lang w:val="en-US" w:eastAsia="zh-CN"/>
              </w:rPr>
            </w:pPr>
            <w:r>
              <w:rPr>
                <w:rFonts w:hint="default" w:ascii="宋体" w:hAnsi="宋体"/>
                <w:sz w:val="24"/>
                <w:szCs w:val="24"/>
              </w:rPr>
              <w:t>□</w:t>
            </w:r>
            <w:r>
              <w:rPr>
                <w:rFonts w:hint="eastAsia"/>
                <w:color w:val="auto"/>
                <w:sz w:val="24"/>
                <w:szCs w:val="21"/>
                <w:highlight w:val="none"/>
                <w:u w:val="none"/>
                <w:vertAlign w:val="baseline"/>
                <w:lang w:val="en-US" w:eastAsia="zh-CN"/>
              </w:rPr>
              <w:t>招标人领导班子（党政机关、事业单位、团体组织的党委、党组，国有及国有控股企业相应“三重一大”决策层级）集体决策</w:t>
            </w:r>
          </w:p>
          <w:p w14:paraId="022EA99C">
            <w:pPr>
              <w:numPr>
                <w:ilvl w:val="0"/>
                <w:numId w:val="0"/>
              </w:numPr>
              <w:jc w:val="left"/>
              <w:rPr>
                <w:rFonts w:hint="default"/>
                <w:color w:val="auto"/>
                <w:sz w:val="24"/>
                <w:szCs w:val="21"/>
                <w:highlight w:val="none"/>
                <w:u w:val="single"/>
                <w:vertAlign w:val="baseline"/>
                <w:lang w:val="en-US" w:eastAsia="zh-CN"/>
              </w:rPr>
            </w:pPr>
            <w:r>
              <w:rPr>
                <w:rFonts w:hint="eastAsia"/>
                <w:color w:val="auto"/>
                <w:sz w:val="24"/>
                <w:szCs w:val="21"/>
                <w:highlight w:val="none"/>
                <w:u w:val="single"/>
                <w:vertAlign w:val="baseline"/>
                <w:lang w:val="en-US" w:eastAsia="zh-CN"/>
              </w:rPr>
              <w:t xml:space="preserve">               （具体规则）  </w:t>
            </w:r>
          </w:p>
          <w:p w14:paraId="0CA6042C">
            <w:pPr>
              <w:jc w:val="left"/>
              <w:rPr>
                <w:rFonts w:hint="default"/>
                <w:color w:val="auto"/>
                <w:sz w:val="24"/>
                <w:szCs w:val="21"/>
                <w:highlight w:val="none"/>
                <w:u w:val="none"/>
                <w:vertAlign w:val="baseline"/>
                <w:lang w:val="en-US" w:eastAsia="zh-CN"/>
              </w:rPr>
            </w:pPr>
            <w:r>
              <w:rPr>
                <w:rFonts w:hint="default" w:ascii="宋体" w:hAnsi="宋体"/>
                <w:sz w:val="24"/>
                <w:szCs w:val="24"/>
              </w:rPr>
              <w:t>□</w:t>
            </w:r>
            <w:r>
              <w:rPr>
                <w:rFonts w:hint="eastAsia"/>
                <w:color w:val="auto"/>
                <w:sz w:val="24"/>
                <w:szCs w:val="21"/>
                <w:highlight w:val="none"/>
                <w:u w:val="none"/>
                <w:vertAlign w:val="baseline"/>
                <w:lang w:val="en-US" w:eastAsia="zh-CN"/>
              </w:rPr>
              <w:t>组建定标委员会确定（</w:t>
            </w:r>
            <w:r>
              <w:rPr>
                <w:rFonts w:hint="default" w:ascii="宋体" w:hAnsi="宋体"/>
                <w:sz w:val="24"/>
                <w:szCs w:val="24"/>
              </w:rPr>
              <w:t>□</w:t>
            </w:r>
            <w:r>
              <w:rPr>
                <w:rFonts w:hint="default"/>
                <w:color w:val="auto"/>
                <w:sz w:val="24"/>
                <w:szCs w:val="21"/>
                <w:highlight w:val="none"/>
                <w:u w:val="none"/>
                <w:vertAlign w:val="baseline"/>
                <w:lang w:val="en-US" w:eastAsia="zh-CN"/>
              </w:rPr>
              <w:t>直接票决制</w:t>
            </w:r>
            <w:r>
              <w:rPr>
                <w:rFonts w:hint="eastAsia"/>
                <w:color w:val="auto"/>
                <w:sz w:val="24"/>
                <w:szCs w:val="21"/>
                <w:highlight w:val="none"/>
                <w:u w:val="none"/>
                <w:vertAlign w:val="baseline"/>
                <w:lang w:val="en-US" w:eastAsia="zh-CN"/>
              </w:rPr>
              <w:t xml:space="preserve">  </w:t>
            </w:r>
            <w:r>
              <w:rPr>
                <w:rFonts w:hint="default" w:ascii="宋体" w:hAnsi="宋体"/>
                <w:sz w:val="24"/>
                <w:szCs w:val="24"/>
              </w:rPr>
              <w:t>□</w:t>
            </w:r>
            <w:r>
              <w:rPr>
                <w:rFonts w:hint="default"/>
                <w:color w:val="auto"/>
                <w:sz w:val="24"/>
                <w:szCs w:val="21"/>
                <w:highlight w:val="none"/>
                <w:u w:val="none"/>
                <w:vertAlign w:val="baseline"/>
                <w:lang w:val="en-US" w:eastAsia="zh-CN"/>
              </w:rPr>
              <w:t>逐轮票决制</w:t>
            </w:r>
            <w:r>
              <w:rPr>
                <w:rFonts w:hint="eastAsia"/>
                <w:color w:val="auto"/>
                <w:sz w:val="24"/>
                <w:szCs w:val="21"/>
                <w:highlight w:val="none"/>
                <w:u w:val="none"/>
                <w:vertAlign w:val="baseline"/>
                <w:lang w:val="en-US" w:eastAsia="zh-CN"/>
              </w:rPr>
              <w:t xml:space="preserve"> </w:t>
            </w:r>
            <w:r>
              <w:rPr>
                <w:rFonts w:hint="default" w:ascii="宋体" w:hAnsi="宋体"/>
                <w:sz w:val="24"/>
                <w:szCs w:val="24"/>
              </w:rPr>
              <w:t>□</w:t>
            </w:r>
            <w:r>
              <w:rPr>
                <w:rFonts w:hint="eastAsia"/>
                <w:color w:val="auto"/>
                <w:sz w:val="24"/>
                <w:szCs w:val="21"/>
                <w:highlight w:val="none"/>
                <w:u w:val="none"/>
                <w:vertAlign w:val="baseline"/>
                <w:lang w:val="en-US" w:eastAsia="zh-CN"/>
              </w:rPr>
              <w:t>其他）</w:t>
            </w:r>
          </w:p>
          <w:p w14:paraId="58D98DA6">
            <w:pPr>
              <w:numPr>
                <w:ilvl w:val="0"/>
                <w:numId w:val="0"/>
              </w:numPr>
              <w:jc w:val="left"/>
              <w:rPr>
                <w:rFonts w:hint="default"/>
                <w:color w:val="auto"/>
                <w:sz w:val="24"/>
                <w:szCs w:val="21"/>
                <w:highlight w:val="none"/>
                <w:u w:val="single"/>
                <w:vertAlign w:val="baseline"/>
                <w:lang w:val="en-US" w:eastAsia="zh-CN"/>
              </w:rPr>
            </w:pPr>
            <w:r>
              <w:rPr>
                <w:rFonts w:hint="eastAsia"/>
                <w:color w:val="auto"/>
                <w:sz w:val="24"/>
                <w:szCs w:val="21"/>
                <w:highlight w:val="none"/>
                <w:u w:val="single"/>
                <w:vertAlign w:val="baseline"/>
                <w:lang w:val="en-US" w:eastAsia="zh-CN"/>
              </w:rPr>
              <w:t xml:space="preserve">               （具体规则）  </w:t>
            </w:r>
          </w:p>
          <w:p w14:paraId="2F017B49">
            <w:pPr>
              <w:jc w:val="left"/>
              <w:rPr>
                <w:rFonts w:hint="default"/>
                <w:color w:val="auto"/>
                <w:sz w:val="24"/>
                <w:szCs w:val="21"/>
                <w:highlight w:val="none"/>
                <w:u w:val="single"/>
                <w:vertAlign w:val="baseline"/>
                <w:lang w:val="en-US" w:eastAsia="zh-CN"/>
              </w:rPr>
            </w:pPr>
            <w:r>
              <w:rPr>
                <w:rFonts w:hint="eastAsia"/>
                <w:color w:val="auto"/>
                <w:sz w:val="24"/>
                <w:szCs w:val="21"/>
                <w:highlight w:val="none"/>
                <w:u w:val="none"/>
                <w:vertAlign w:val="baseline"/>
                <w:lang w:val="en-US" w:eastAsia="zh-CN"/>
              </w:rPr>
              <w:t>定</w:t>
            </w:r>
            <w:r>
              <w:rPr>
                <w:rFonts w:hint="default"/>
                <w:color w:val="auto"/>
                <w:sz w:val="24"/>
                <w:szCs w:val="21"/>
                <w:highlight w:val="none"/>
                <w:u w:val="none"/>
                <w:vertAlign w:val="baseline"/>
                <w:lang w:val="en-US" w:eastAsia="zh-CN"/>
              </w:rPr>
              <w:t>标委员会组成:</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p>
          <w:p w14:paraId="78A0A843">
            <w:pPr>
              <w:jc w:val="left"/>
              <w:rPr>
                <w:rFonts w:hint="eastAsia"/>
                <w:color w:val="auto"/>
                <w:sz w:val="24"/>
                <w:szCs w:val="21"/>
                <w:highlight w:val="none"/>
                <w:u w:val="single"/>
                <w:vertAlign w:val="baseline"/>
                <w:lang w:val="en-US" w:eastAsia="zh-CN"/>
              </w:rPr>
            </w:pPr>
            <w:r>
              <w:rPr>
                <w:rFonts w:hint="default"/>
                <w:color w:val="auto"/>
                <w:sz w:val="24"/>
                <w:szCs w:val="21"/>
                <w:highlight w:val="none"/>
                <w:u w:val="none"/>
                <w:vertAlign w:val="baseline"/>
                <w:lang w:val="en-US" w:eastAsia="zh-CN"/>
              </w:rPr>
              <w:t>数量:</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p>
          <w:p w14:paraId="527D58C6">
            <w:pPr>
              <w:jc w:val="left"/>
              <w:rPr>
                <w:rFonts w:hint="eastAsia"/>
                <w:color w:val="auto"/>
                <w:sz w:val="24"/>
                <w:szCs w:val="21"/>
                <w:highlight w:val="none"/>
                <w:u w:val="single"/>
                <w:vertAlign w:val="baseline"/>
                <w:lang w:val="en-US" w:eastAsia="zh-CN"/>
              </w:rPr>
            </w:pPr>
            <w:r>
              <w:rPr>
                <w:rFonts w:hint="eastAsia"/>
                <w:color w:val="auto"/>
                <w:sz w:val="24"/>
                <w:szCs w:val="21"/>
                <w:highlight w:val="none"/>
                <w:u w:val="none"/>
                <w:vertAlign w:val="baseline"/>
                <w:lang w:val="en-US" w:eastAsia="zh-CN"/>
              </w:rPr>
              <w:t>定标委员会成员应当回避的具体情形：</w:t>
            </w:r>
            <w:r>
              <w:rPr>
                <w:rFonts w:hint="eastAsia"/>
                <w:color w:val="auto"/>
                <w:sz w:val="24"/>
                <w:szCs w:val="21"/>
                <w:highlight w:val="none"/>
                <w:u w:val="single"/>
                <w:vertAlign w:val="baseline"/>
                <w:lang w:val="en-US" w:eastAsia="zh-CN"/>
              </w:rPr>
              <w:t xml:space="preserve">      </w:t>
            </w:r>
            <w:r>
              <w:rPr>
                <w:rFonts w:hint="default"/>
                <w:color w:val="auto"/>
                <w:sz w:val="24"/>
                <w:szCs w:val="21"/>
                <w:highlight w:val="none"/>
                <w:u w:val="single"/>
                <w:vertAlign w:val="baseline"/>
                <w:lang w:eastAsia="zh-CN"/>
              </w:rPr>
              <w:t xml:space="preserve">    </w:t>
            </w:r>
            <w:r>
              <w:rPr>
                <w:rFonts w:hint="eastAsia"/>
                <w:color w:val="auto"/>
                <w:sz w:val="24"/>
                <w:szCs w:val="21"/>
                <w:highlight w:val="none"/>
                <w:u w:val="single"/>
                <w:vertAlign w:val="baseline"/>
                <w:lang w:val="en-US" w:eastAsia="zh-CN"/>
              </w:rPr>
              <w:t xml:space="preserve">       </w:t>
            </w:r>
          </w:p>
          <w:p w14:paraId="768F663D">
            <w:pPr>
              <w:pStyle w:val="16"/>
              <w:ind w:left="0" w:leftChars="0" w:firstLine="480" w:firstLineChars="200"/>
              <w:rPr>
                <w:rFonts w:hint="default" w:eastAsia="仿宋_GB2312"/>
                <w:color w:val="auto"/>
                <w:highlight w:val="none"/>
                <w:lang w:val="en-US" w:eastAsia="zh-CN"/>
              </w:rPr>
            </w:pPr>
            <w:r>
              <w:rPr>
                <w:rFonts w:hint="eastAsia" w:cstheme="minorBidi"/>
                <w:b w:val="0"/>
                <w:bCs/>
                <w:color w:val="auto"/>
                <w:kern w:val="2"/>
                <w:sz w:val="24"/>
                <w:szCs w:val="21"/>
                <w:highlight w:val="none"/>
                <w:u w:val="none"/>
                <w:vertAlign w:val="baseline"/>
                <w:lang w:val="en-US" w:eastAsia="zh-CN" w:bidi="ar-SA"/>
              </w:rPr>
              <w:t>注：招标控制价在3000万元以下，使用通用技术、性能标准，或者招标人对技术、性能没有特殊要求的施工项目，宜通过招标人议事决策机制直接定标。项目规模较大、技术较为复杂的项目，招标人可以组建定标委员会负责定标事宜。</w:t>
            </w:r>
          </w:p>
        </w:tc>
      </w:tr>
    </w:tbl>
    <w:p w14:paraId="60138626">
      <w:pPr>
        <w:pStyle w:val="16"/>
        <w:ind w:left="0" w:leftChars="0" w:firstLine="0" w:firstLineChars="0"/>
        <w:rPr>
          <w:rFonts w:hint="eastAsia" w:cstheme="minorBidi"/>
          <w:b w:val="0"/>
          <w:bCs/>
          <w:color w:val="auto"/>
          <w:kern w:val="2"/>
          <w:sz w:val="24"/>
          <w:szCs w:val="21"/>
          <w:highlight w:val="none"/>
          <w:u w:val="none"/>
          <w:vertAlign w:val="baseline"/>
          <w:lang w:val="en-US" w:eastAsia="zh-CN" w:bidi="ar-SA"/>
        </w:rPr>
      </w:pPr>
      <w:r>
        <w:rPr>
          <w:rFonts w:hint="eastAsia" w:cstheme="minorBidi"/>
          <w:b w:val="0"/>
          <w:bCs/>
          <w:color w:val="auto"/>
          <w:kern w:val="2"/>
          <w:sz w:val="24"/>
          <w:szCs w:val="21"/>
          <w:highlight w:val="none"/>
          <w:u w:val="none"/>
          <w:vertAlign w:val="baseline"/>
          <w:lang w:val="en-US" w:eastAsia="zh-CN" w:bidi="ar-SA"/>
        </w:rPr>
        <w:t>注：招标人应结合项目实际编制定标方案，具体要求详见《四川省发展和改革委员会等部门关于扩面推广工程建设项目</w:t>
      </w:r>
    </w:p>
    <w:p w14:paraId="4B847B2E">
      <w:pPr>
        <w:pStyle w:val="16"/>
        <w:ind w:left="0" w:leftChars="0" w:firstLine="0" w:firstLineChars="0"/>
        <w:rPr>
          <w:rFonts w:hint="eastAsia" w:cstheme="minorBidi"/>
          <w:b w:val="0"/>
          <w:bCs/>
          <w:color w:val="auto"/>
          <w:kern w:val="2"/>
          <w:sz w:val="24"/>
          <w:szCs w:val="21"/>
          <w:highlight w:val="none"/>
          <w:u w:val="none"/>
          <w:vertAlign w:val="baseline"/>
          <w:lang w:val="en-US" w:eastAsia="zh-CN" w:bidi="ar-SA"/>
        </w:rPr>
      </w:pPr>
      <w:r>
        <w:rPr>
          <w:rFonts w:hint="eastAsia" w:cstheme="minorBidi"/>
          <w:b w:val="0"/>
          <w:bCs/>
          <w:color w:val="auto"/>
          <w:kern w:val="2"/>
          <w:sz w:val="24"/>
          <w:szCs w:val="21"/>
          <w:highlight w:val="none"/>
          <w:u w:val="none"/>
          <w:vertAlign w:val="baseline"/>
          <w:lang w:val="en-US" w:eastAsia="zh-CN" w:bidi="ar-SA"/>
        </w:rPr>
        <w:t>招标投标中标候选人评定分离机制的通知》。</w:t>
      </w:r>
    </w:p>
    <w:p w14:paraId="4330ABCE">
      <w:pPr>
        <w:rPr>
          <w:rFonts w:hint="eastAsia" w:ascii="仿宋" w:hAnsi="仿宋" w:eastAsia="仿宋" w:cs="仿宋"/>
          <w:sz w:val="32"/>
          <w:szCs w:val="32"/>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58920-853D-4738-9D81-151233C6BC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5A6C67-194C-47C0-8A74-DF5497C9C8BA}"/>
  </w:font>
  <w:font w:name="仿宋">
    <w:panose1 w:val="02010609060101010101"/>
    <w:charset w:val="86"/>
    <w:family w:val="modern"/>
    <w:pitch w:val="default"/>
    <w:sig w:usb0="800002BF" w:usb1="38CF7CFA" w:usb2="00000016" w:usb3="00000000" w:csb0="00040001" w:csb1="00000000"/>
    <w:embedRegular r:id="rId3" w:fontKey="{880BF979-5D35-44A5-A44E-F963AABDCD0E}"/>
  </w:font>
  <w:font w:name="仿宋_GB2312">
    <w:altName w:val="仿宋"/>
    <w:panose1 w:val="02010609030101010101"/>
    <w:charset w:val="86"/>
    <w:family w:val="modern"/>
    <w:pitch w:val="default"/>
    <w:sig w:usb0="00000000" w:usb1="00000000" w:usb2="00000000" w:usb3="00000000" w:csb0="00040000" w:csb1="00000000"/>
    <w:embedRegular r:id="rId4" w:fontKey="{3CC8D9E6-9E9A-48E0-B9FD-889670E75C91}"/>
  </w:font>
  <w:font w:name="方正小标宋简体">
    <w:panose1 w:val="02000000000000000000"/>
    <w:charset w:val="86"/>
    <w:family w:val="script"/>
    <w:pitch w:val="default"/>
    <w:sig w:usb0="00000001" w:usb1="08000000" w:usb2="00000000" w:usb3="00000000" w:csb0="00040000" w:csb1="00000000"/>
    <w:embedRegular r:id="rId5" w:fontKey="{098CD54E-DA82-45B7-BE38-2DB062370287}"/>
  </w:font>
  <w:font w:name="Wingdings 2">
    <w:altName w:val="Wingdings"/>
    <w:panose1 w:val="05020102010507070707"/>
    <w:charset w:val="02"/>
    <w:family w:val="roman"/>
    <w:pitch w:val="default"/>
    <w:sig w:usb0="00000000" w:usb1="00000000" w:usb2="00000000" w:usb3="00000000" w:csb0="80000000" w:csb1="00000000"/>
    <w:embedRegular r:id="rId6" w:fontKey="{E64D1274-EECD-4C5F-AB5D-D282B45F1D91}"/>
  </w:font>
  <w:font w:name="MS Gothic">
    <w:panose1 w:val="020B0609070205080204"/>
    <w:charset w:val="80"/>
    <w:family w:val="auto"/>
    <w:pitch w:val="default"/>
    <w:sig w:usb0="E00002FF" w:usb1="6AC7FDFB" w:usb2="08000012" w:usb3="00000000" w:csb0="4002009F" w:csb1="DFD70000"/>
    <w:embedRegular r:id="rId7" w:fontKey="{6791EF88-BC0A-4177-A1BE-AE8DA437C74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394D4"/>
    <w:multiLevelType w:val="singleLevel"/>
    <w:tmpl w:val="BBF394D4"/>
    <w:lvl w:ilvl="0" w:tentative="0">
      <w:start w:val="3"/>
      <w:numFmt w:val="decimal"/>
      <w:suff w:val="nothing"/>
      <w:lvlText w:val="（%1）"/>
      <w:lvlJc w:val="left"/>
    </w:lvl>
  </w:abstractNum>
  <w:abstractNum w:abstractNumId="1">
    <w:nsid w:val="F31F916E"/>
    <w:multiLevelType w:val="singleLevel"/>
    <w:tmpl w:val="F31F916E"/>
    <w:lvl w:ilvl="0" w:tentative="0">
      <w:start w:val="3"/>
      <w:numFmt w:val="decimal"/>
      <w:suff w:val="nothing"/>
      <w:lvlText w:val="（%1）"/>
      <w:lvlJc w:val="left"/>
    </w:lvl>
  </w:abstractNum>
  <w:abstractNum w:abstractNumId="2">
    <w:nsid w:val="0C9D0A62"/>
    <w:multiLevelType w:val="singleLevel"/>
    <w:tmpl w:val="0C9D0A62"/>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ODU4NDQzNGM1ODY0NjE2OTI2MmIwYzljYjg1MTMifQ=="/>
  </w:docVars>
  <w:rsids>
    <w:rsidRoot w:val="6C8925D7"/>
    <w:rsid w:val="00115BD1"/>
    <w:rsid w:val="00185320"/>
    <w:rsid w:val="00244AFB"/>
    <w:rsid w:val="00267438"/>
    <w:rsid w:val="00315931"/>
    <w:rsid w:val="00331FE2"/>
    <w:rsid w:val="003507D3"/>
    <w:rsid w:val="003B3224"/>
    <w:rsid w:val="004A5981"/>
    <w:rsid w:val="005822C5"/>
    <w:rsid w:val="007500D8"/>
    <w:rsid w:val="00954B3E"/>
    <w:rsid w:val="00BE79F4"/>
    <w:rsid w:val="00BF417A"/>
    <w:rsid w:val="00C81931"/>
    <w:rsid w:val="00D315B9"/>
    <w:rsid w:val="00DD58DF"/>
    <w:rsid w:val="00F12ECE"/>
    <w:rsid w:val="019A1034"/>
    <w:rsid w:val="01B30C5D"/>
    <w:rsid w:val="01DE3F57"/>
    <w:rsid w:val="023A0C1C"/>
    <w:rsid w:val="02FF4631"/>
    <w:rsid w:val="03D46282"/>
    <w:rsid w:val="047B4E6A"/>
    <w:rsid w:val="051D13D1"/>
    <w:rsid w:val="05331AAE"/>
    <w:rsid w:val="059229D0"/>
    <w:rsid w:val="06C63C36"/>
    <w:rsid w:val="06FE334E"/>
    <w:rsid w:val="072D5EC8"/>
    <w:rsid w:val="077C5CB6"/>
    <w:rsid w:val="07AF3996"/>
    <w:rsid w:val="07DB478B"/>
    <w:rsid w:val="087878CC"/>
    <w:rsid w:val="089332B7"/>
    <w:rsid w:val="089840FE"/>
    <w:rsid w:val="08B8700D"/>
    <w:rsid w:val="08D31906"/>
    <w:rsid w:val="090B7262"/>
    <w:rsid w:val="090D3DE9"/>
    <w:rsid w:val="091078E8"/>
    <w:rsid w:val="09570789"/>
    <w:rsid w:val="09630EDC"/>
    <w:rsid w:val="09A02008"/>
    <w:rsid w:val="09D55D54"/>
    <w:rsid w:val="0A177D17"/>
    <w:rsid w:val="0A741E46"/>
    <w:rsid w:val="0AF52007"/>
    <w:rsid w:val="0B172C52"/>
    <w:rsid w:val="0B206BBC"/>
    <w:rsid w:val="0B456830"/>
    <w:rsid w:val="0B521208"/>
    <w:rsid w:val="0BD73104"/>
    <w:rsid w:val="0C083FBC"/>
    <w:rsid w:val="0C1B18BB"/>
    <w:rsid w:val="0C221946"/>
    <w:rsid w:val="0C965124"/>
    <w:rsid w:val="0CB96E0C"/>
    <w:rsid w:val="0CD85350"/>
    <w:rsid w:val="0CDC510D"/>
    <w:rsid w:val="0CE90800"/>
    <w:rsid w:val="0D224C0A"/>
    <w:rsid w:val="0D4A5F0F"/>
    <w:rsid w:val="0DF922C4"/>
    <w:rsid w:val="0E3966AF"/>
    <w:rsid w:val="0E690310"/>
    <w:rsid w:val="0F010778"/>
    <w:rsid w:val="0F113C62"/>
    <w:rsid w:val="0F225AB1"/>
    <w:rsid w:val="0FF07241"/>
    <w:rsid w:val="0FFB6E6D"/>
    <w:rsid w:val="10181CD7"/>
    <w:rsid w:val="102F0EE2"/>
    <w:rsid w:val="109B7D6A"/>
    <w:rsid w:val="10CA7BE3"/>
    <w:rsid w:val="110F5774"/>
    <w:rsid w:val="11C6371B"/>
    <w:rsid w:val="122A2FE8"/>
    <w:rsid w:val="124E105C"/>
    <w:rsid w:val="135875D7"/>
    <w:rsid w:val="13A4281C"/>
    <w:rsid w:val="14144048"/>
    <w:rsid w:val="143C0CA7"/>
    <w:rsid w:val="149A0C5C"/>
    <w:rsid w:val="15373F88"/>
    <w:rsid w:val="1577745B"/>
    <w:rsid w:val="16A8487E"/>
    <w:rsid w:val="16EB65E1"/>
    <w:rsid w:val="16F7691B"/>
    <w:rsid w:val="178F7340"/>
    <w:rsid w:val="17CD483B"/>
    <w:rsid w:val="183439D8"/>
    <w:rsid w:val="18354B4A"/>
    <w:rsid w:val="18631593"/>
    <w:rsid w:val="1869193F"/>
    <w:rsid w:val="18B4563D"/>
    <w:rsid w:val="18B779B2"/>
    <w:rsid w:val="18B828C6"/>
    <w:rsid w:val="18E15979"/>
    <w:rsid w:val="18E86D07"/>
    <w:rsid w:val="193261D5"/>
    <w:rsid w:val="1A3D12D5"/>
    <w:rsid w:val="1B122762"/>
    <w:rsid w:val="1BB475E8"/>
    <w:rsid w:val="1C675D42"/>
    <w:rsid w:val="1CB15636"/>
    <w:rsid w:val="1DCB3BE4"/>
    <w:rsid w:val="1E1B16C6"/>
    <w:rsid w:val="1E4744D0"/>
    <w:rsid w:val="1E4E3E8A"/>
    <w:rsid w:val="1E546BED"/>
    <w:rsid w:val="1E7B38F4"/>
    <w:rsid w:val="1E91399D"/>
    <w:rsid w:val="1E943D2D"/>
    <w:rsid w:val="1EE0095E"/>
    <w:rsid w:val="1EF503D0"/>
    <w:rsid w:val="1F19736A"/>
    <w:rsid w:val="1F5170FC"/>
    <w:rsid w:val="1FA86243"/>
    <w:rsid w:val="20242A52"/>
    <w:rsid w:val="202F7138"/>
    <w:rsid w:val="20452C91"/>
    <w:rsid w:val="206A26F8"/>
    <w:rsid w:val="20A116D4"/>
    <w:rsid w:val="20AC20E7"/>
    <w:rsid w:val="20F052F3"/>
    <w:rsid w:val="21674E89"/>
    <w:rsid w:val="21937BF3"/>
    <w:rsid w:val="22010E3A"/>
    <w:rsid w:val="222B5EB7"/>
    <w:rsid w:val="22B8599C"/>
    <w:rsid w:val="23026A05"/>
    <w:rsid w:val="239F090A"/>
    <w:rsid w:val="24442431"/>
    <w:rsid w:val="24B36707"/>
    <w:rsid w:val="25606A59"/>
    <w:rsid w:val="258204E4"/>
    <w:rsid w:val="258536A8"/>
    <w:rsid w:val="271F18EF"/>
    <w:rsid w:val="272F01F7"/>
    <w:rsid w:val="27363334"/>
    <w:rsid w:val="27E2484F"/>
    <w:rsid w:val="28740DF0"/>
    <w:rsid w:val="288F4EDF"/>
    <w:rsid w:val="28F35173"/>
    <w:rsid w:val="293F0DF9"/>
    <w:rsid w:val="2A231490"/>
    <w:rsid w:val="2A3E7E3C"/>
    <w:rsid w:val="2A5228CF"/>
    <w:rsid w:val="2A5A1A2F"/>
    <w:rsid w:val="2A7506C5"/>
    <w:rsid w:val="2A802641"/>
    <w:rsid w:val="2ABB0720"/>
    <w:rsid w:val="2AC1385C"/>
    <w:rsid w:val="2BAD6A22"/>
    <w:rsid w:val="2BCD626B"/>
    <w:rsid w:val="2BEE68D3"/>
    <w:rsid w:val="2C0E0A8D"/>
    <w:rsid w:val="2D2A0007"/>
    <w:rsid w:val="2E0E2DA9"/>
    <w:rsid w:val="2E684664"/>
    <w:rsid w:val="2F2B28F9"/>
    <w:rsid w:val="2F6C7FD3"/>
    <w:rsid w:val="30025B7B"/>
    <w:rsid w:val="30A565FF"/>
    <w:rsid w:val="30C16BB4"/>
    <w:rsid w:val="30F54B30"/>
    <w:rsid w:val="31F91B2E"/>
    <w:rsid w:val="328F6795"/>
    <w:rsid w:val="33D6095B"/>
    <w:rsid w:val="33D8657F"/>
    <w:rsid w:val="35E6020A"/>
    <w:rsid w:val="365404BF"/>
    <w:rsid w:val="369B5DC3"/>
    <w:rsid w:val="36BE6EA2"/>
    <w:rsid w:val="38064FA4"/>
    <w:rsid w:val="386D0BF2"/>
    <w:rsid w:val="388F6FE2"/>
    <w:rsid w:val="38975BFC"/>
    <w:rsid w:val="38FA1E5D"/>
    <w:rsid w:val="39DA74F4"/>
    <w:rsid w:val="3A7B361A"/>
    <w:rsid w:val="3A7F5A8B"/>
    <w:rsid w:val="3A8D4DC0"/>
    <w:rsid w:val="3BE55167"/>
    <w:rsid w:val="3C343181"/>
    <w:rsid w:val="3C3510D2"/>
    <w:rsid w:val="3C3D6ABB"/>
    <w:rsid w:val="3C5C2D42"/>
    <w:rsid w:val="3D9D2C7A"/>
    <w:rsid w:val="3E71615E"/>
    <w:rsid w:val="3EF35B91"/>
    <w:rsid w:val="3F2F4DE1"/>
    <w:rsid w:val="3F4A39C9"/>
    <w:rsid w:val="3F68377D"/>
    <w:rsid w:val="3F6F65C9"/>
    <w:rsid w:val="3F9F0716"/>
    <w:rsid w:val="3FA70150"/>
    <w:rsid w:val="3FA70E1B"/>
    <w:rsid w:val="3FE941C9"/>
    <w:rsid w:val="40F24318"/>
    <w:rsid w:val="4129103A"/>
    <w:rsid w:val="42A00AA0"/>
    <w:rsid w:val="42A32E3D"/>
    <w:rsid w:val="42C254EB"/>
    <w:rsid w:val="433D588C"/>
    <w:rsid w:val="449C74DB"/>
    <w:rsid w:val="44E328F5"/>
    <w:rsid w:val="4569464D"/>
    <w:rsid w:val="45B55914"/>
    <w:rsid w:val="45E15EEC"/>
    <w:rsid w:val="46F0008C"/>
    <w:rsid w:val="47037BF6"/>
    <w:rsid w:val="47042015"/>
    <w:rsid w:val="474C14AD"/>
    <w:rsid w:val="478575F1"/>
    <w:rsid w:val="47917071"/>
    <w:rsid w:val="47C278E0"/>
    <w:rsid w:val="47F70466"/>
    <w:rsid w:val="486B7FF3"/>
    <w:rsid w:val="496D5BAE"/>
    <w:rsid w:val="4ABF2A29"/>
    <w:rsid w:val="4C2555A1"/>
    <w:rsid w:val="4CD105C5"/>
    <w:rsid w:val="4D5D2926"/>
    <w:rsid w:val="4EAB6EC6"/>
    <w:rsid w:val="4F18319B"/>
    <w:rsid w:val="4F493C9D"/>
    <w:rsid w:val="4F971D37"/>
    <w:rsid w:val="505F3BEE"/>
    <w:rsid w:val="5099655E"/>
    <w:rsid w:val="50A83EC7"/>
    <w:rsid w:val="50EA6DB9"/>
    <w:rsid w:val="50EE68AA"/>
    <w:rsid w:val="515656DE"/>
    <w:rsid w:val="51F85D02"/>
    <w:rsid w:val="522F54B0"/>
    <w:rsid w:val="529C40E3"/>
    <w:rsid w:val="52FA7614"/>
    <w:rsid w:val="53693ABA"/>
    <w:rsid w:val="53A70F92"/>
    <w:rsid w:val="54085ED4"/>
    <w:rsid w:val="54357A1D"/>
    <w:rsid w:val="54AA7BED"/>
    <w:rsid w:val="54B158BA"/>
    <w:rsid w:val="55CD4D2F"/>
    <w:rsid w:val="55F73686"/>
    <w:rsid w:val="560206B5"/>
    <w:rsid w:val="56BA1588"/>
    <w:rsid w:val="56BE6D1E"/>
    <w:rsid w:val="58277A1F"/>
    <w:rsid w:val="58472D43"/>
    <w:rsid w:val="58674036"/>
    <w:rsid w:val="58AD5051"/>
    <w:rsid w:val="58DD5EF2"/>
    <w:rsid w:val="59B81BCF"/>
    <w:rsid w:val="5A0C4A9A"/>
    <w:rsid w:val="5A1455A6"/>
    <w:rsid w:val="5B0F0CA8"/>
    <w:rsid w:val="5B484E08"/>
    <w:rsid w:val="5B522C11"/>
    <w:rsid w:val="5B667984"/>
    <w:rsid w:val="5BB64468"/>
    <w:rsid w:val="5BE2700B"/>
    <w:rsid w:val="5C2B3167"/>
    <w:rsid w:val="5C3D6937"/>
    <w:rsid w:val="5CF55C43"/>
    <w:rsid w:val="5D184CAE"/>
    <w:rsid w:val="5DDA0A5F"/>
    <w:rsid w:val="5E361890"/>
    <w:rsid w:val="5E725839"/>
    <w:rsid w:val="5E77058B"/>
    <w:rsid w:val="5F090D52"/>
    <w:rsid w:val="5F17346F"/>
    <w:rsid w:val="5FB32A6C"/>
    <w:rsid w:val="60703BE2"/>
    <w:rsid w:val="60892723"/>
    <w:rsid w:val="60ED6C7F"/>
    <w:rsid w:val="625A54A6"/>
    <w:rsid w:val="62785599"/>
    <w:rsid w:val="62B15989"/>
    <w:rsid w:val="632048BD"/>
    <w:rsid w:val="635F3272"/>
    <w:rsid w:val="636C7073"/>
    <w:rsid w:val="63797DF5"/>
    <w:rsid w:val="63BE035D"/>
    <w:rsid w:val="644C05D5"/>
    <w:rsid w:val="64675359"/>
    <w:rsid w:val="64947BB9"/>
    <w:rsid w:val="64A24091"/>
    <w:rsid w:val="64C37408"/>
    <w:rsid w:val="65037813"/>
    <w:rsid w:val="65562F49"/>
    <w:rsid w:val="65BB001D"/>
    <w:rsid w:val="66291CDA"/>
    <w:rsid w:val="66BE5C0F"/>
    <w:rsid w:val="66F67111"/>
    <w:rsid w:val="67183796"/>
    <w:rsid w:val="67A12920"/>
    <w:rsid w:val="67C24194"/>
    <w:rsid w:val="68101F15"/>
    <w:rsid w:val="682E35F3"/>
    <w:rsid w:val="6842062E"/>
    <w:rsid w:val="684F3C7A"/>
    <w:rsid w:val="6860411E"/>
    <w:rsid w:val="68B63CF9"/>
    <w:rsid w:val="691D5B26"/>
    <w:rsid w:val="69365725"/>
    <w:rsid w:val="69782D5D"/>
    <w:rsid w:val="6A3C6480"/>
    <w:rsid w:val="6AA555CB"/>
    <w:rsid w:val="6C3C6105"/>
    <w:rsid w:val="6C8925D7"/>
    <w:rsid w:val="6D4F0278"/>
    <w:rsid w:val="6D5835D1"/>
    <w:rsid w:val="6DA73BE9"/>
    <w:rsid w:val="6DEA7FA1"/>
    <w:rsid w:val="6E3F40E2"/>
    <w:rsid w:val="6F332627"/>
    <w:rsid w:val="713E2ADE"/>
    <w:rsid w:val="7156731A"/>
    <w:rsid w:val="715F3ECE"/>
    <w:rsid w:val="71DA10B3"/>
    <w:rsid w:val="739A1DDB"/>
    <w:rsid w:val="73C34218"/>
    <w:rsid w:val="73F54301"/>
    <w:rsid w:val="7490218A"/>
    <w:rsid w:val="74D35955"/>
    <w:rsid w:val="74DC555A"/>
    <w:rsid w:val="754206C3"/>
    <w:rsid w:val="758A5266"/>
    <w:rsid w:val="7677728B"/>
    <w:rsid w:val="767E427E"/>
    <w:rsid w:val="776A45F4"/>
    <w:rsid w:val="77EB5041"/>
    <w:rsid w:val="78027F16"/>
    <w:rsid w:val="786D6F71"/>
    <w:rsid w:val="787666EB"/>
    <w:rsid w:val="78F9553C"/>
    <w:rsid w:val="792F1CEA"/>
    <w:rsid w:val="79383716"/>
    <w:rsid w:val="79ED4F3B"/>
    <w:rsid w:val="7A48071F"/>
    <w:rsid w:val="7BAB5214"/>
    <w:rsid w:val="7BDD1B24"/>
    <w:rsid w:val="7C5C7D42"/>
    <w:rsid w:val="7C901442"/>
    <w:rsid w:val="7CDE6F23"/>
    <w:rsid w:val="7D7D2FB2"/>
    <w:rsid w:val="7D9B4E14"/>
    <w:rsid w:val="7DB63B92"/>
    <w:rsid w:val="7E903F0F"/>
    <w:rsid w:val="7F103165"/>
    <w:rsid w:val="7F3B48A0"/>
    <w:rsid w:val="7F4811D4"/>
    <w:rsid w:val="B7BF0E99"/>
    <w:rsid w:val="FBD7F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3"/>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basedOn w:val="1"/>
    <w:qFormat/>
    <w:uiPriority w:val="0"/>
    <w:pPr>
      <w:widowControl/>
      <w:jc w:val="left"/>
    </w:pPr>
    <w:rPr>
      <w:rFonts w:ascii="Calibri" w:hAnsi="Calibri" w:eastAsia="Calibri" w:cs="Times New Roman"/>
      <w:kern w:val="0"/>
      <w:sz w:val="20"/>
      <w:szCs w:val="20"/>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none"/>
    </w:rPr>
  </w:style>
  <w:style w:type="character" w:styleId="13">
    <w:name w:val="Hyperlink"/>
    <w:basedOn w:val="11"/>
    <w:qFormat/>
    <w:uiPriority w:val="0"/>
    <w:rPr>
      <w:color w:val="0000FF"/>
      <w:u w:val="none"/>
    </w:rPr>
  </w:style>
  <w:style w:type="character" w:customStyle="1" w:styleId="14">
    <w:name w:val="span_juli"/>
    <w:basedOn w:val="11"/>
    <w:qFormat/>
    <w:uiPriority w:val="0"/>
  </w:style>
  <w:style w:type="paragraph" w:styleId="15">
    <w:name w:val="List Paragraph"/>
    <w:basedOn w:val="1"/>
    <w:qFormat/>
    <w:uiPriority w:val="99"/>
    <w:pPr>
      <w:ind w:firstLine="420" w:firstLineChars="200"/>
    </w:pPr>
  </w:style>
  <w:style w:type="paragraph" w:customStyle="1" w:styleId="16">
    <w:name w:val="Body Text First Indent 21"/>
    <w:basedOn w:val="17"/>
    <w:qFormat/>
    <w:uiPriority w:val="0"/>
    <w:pPr>
      <w:ind w:firstLine="420" w:firstLineChars="200"/>
    </w:pPr>
  </w:style>
  <w:style w:type="paragraph" w:customStyle="1" w:styleId="17">
    <w:name w:val="Body Text Indent1"/>
    <w:basedOn w:val="18"/>
    <w:qFormat/>
    <w:uiPriority w:val="0"/>
    <w:pPr>
      <w:ind w:firstLine="624"/>
    </w:pPr>
    <w:rPr>
      <w:rFonts w:ascii="Calibri" w:hAnsi="Calibri" w:eastAsia="仿宋_GB2312"/>
      <w:b/>
      <w:sz w:val="36"/>
      <w:szCs w:val="22"/>
    </w:rPr>
  </w:style>
  <w:style w:type="paragraph" w:customStyle="1" w:styleId="18">
    <w:name w:val="正文 New New"/>
    <w:next w:val="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2523</Words>
  <Characters>2608</Characters>
  <Lines>26</Lines>
  <Paragraphs>7</Paragraphs>
  <TotalTime>20</TotalTime>
  <ScaleCrop>false</ScaleCrop>
  <LinksUpToDate>false</LinksUpToDate>
  <CharactersWithSpaces>2916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2021-04-07T03:39:00Z</dcterms:created>
  <dc:creator>周星星同学</dc:creator>
  <cp:lastModifiedBy>周星星同学</cp:lastModifiedBy>
  <cp:lastPrinted>2021-04-06T23:38:00Z</cp:lastPrinted>
  <dcterms:modified xsi:type="dcterms:W3CDTF">2025-10-11T01:11:12Z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D8CB6D0AA3404319A8D2DD7DB7E7642B_13</vt:lpwstr>
  </property>
  <property fmtid="{D5CDD505-2E9C-101B-9397-08002B2CF9AE}" pid="4" name="KSOTemplateDocerSaveRecord">
    <vt:lpwstr>eyJoZGlkIjoiNWRiODU4NDQzNGM1ODY0NjE2OTI2MmIwYzljYjg1MTMiLCJ1c2VySWQiOiI3MDEyODE4ODQifQ==</vt:lpwstr>
  </property>
</Properties>
</file>