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EF029">
      <w:pPr>
        <w:rPr>
          <w:rFonts w:ascii="Times New Roman" w:hAnsi="Times New Roman" w:eastAsia="方正小标宋简体" w:cs="Times New Roman"/>
          <w:szCs w:val="32"/>
        </w:rPr>
      </w:pPr>
      <w:bookmarkStart w:id="8" w:name="_GoBack"/>
      <w:bookmarkEnd w:id="8"/>
      <w:r>
        <w:rPr>
          <w:rFonts w:ascii="Times New Roman" w:hAnsi="Times New Roman" w:eastAsia="黑体" w:cs="Times New Roman"/>
          <w:szCs w:val="32"/>
        </w:rPr>
        <w:t>附件</w:t>
      </w:r>
    </w:p>
    <w:p w14:paraId="659321DB">
      <w:pPr>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标准招标文件修改和补充（</w:t>
      </w:r>
      <w:r>
        <w:rPr>
          <w:rFonts w:hint="eastAsia" w:ascii="Times New Roman" w:hAnsi="Times New Roman" w:eastAsia="方正小标宋简体" w:cs="Times New Roman"/>
          <w:sz w:val="44"/>
          <w:szCs w:val="44"/>
          <w:lang w:val="en-US" w:eastAsia="zh-CN"/>
        </w:rPr>
        <w:t>四</w:t>
      </w:r>
      <w:r>
        <w:rPr>
          <w:rFonts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征求意见稿</w:t>
      </w:r>
      <w:r>
        <w:rPr>
          <w:rFonts w:hint="eastAsia" w:ascii="Times New Roman" w:hAnsi="Times New Roman" w:eastAsia="方正小标宋简体" w:cs="Times New Roman"/>
          <w:sz w:val="44"/>
          <w:szCs w:val="44"/>
          <w:lang w:eastAsia="zh-CN"/>
        </w:rPr>
        <w:t>）</w:t>
      </w:r>
    </w:p>
    <w:p w14:paraId="4E94EC02">
      <w:pPr>
        <w:jc w:val="left"/>
        <w:rPr>
          <w:rFonts w:hint="default" w:ascii="Times New Roman" w:hAnsi="Times New Roman" w:eastAsia="方正小标宋简体" w:cs="Times New Roman"/>
          <w:sz w:val="36"/>
          <w:szCs w:val="36"/>
          <w:lang w:val="en-US" w:eastAsia="zh-CN"/>
        </w:rPr>
      </w:pPr>
      <w:bookmarkStart w:id="0" w:name="OLE_LINK7"/>
      <w:r>
        <w:rPr>
          <w:rFonts w:hint="eastAsia" w:ascii="Times New Roman" w:hAnsi="Times New Roman" w:eastAsia="方正小标宋简体" w:cs="Times New Roman"/>
          <w:sz w:val="36"/>
          <w:szCs w:val="36"/>
          <w:lang w:val="en-US" w:eastAsia="zh-CN"/>
        </w:rPr>
        <w:t>一、通用修改部分</w:t>
      </w:r>
    </w:p>
    <w:bookmarkEnd w:id="0"/>
    <w:tbl>
      <w:tblPr>
        <w:tblStyle w:val="11"/>
        <w:tblpPr w:leftFromText="180" w:rightFromText="180" w:vertAnchor="text" w:horzAnchor="page" w:tblpX="1560" w:tblpY="437"/>
        <w:tblOverlap w:val="never"/>
        <w:tblW w:w="13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2268"/>
        <w:gridCol w:w="4200"/>
        <w:gridCol w:w="4857"/>
      </w:tblGrid>
      <w:tr w14:paraId="23D6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15" w:type="dxa"/>
            <w:vAlign w:val="center"/>
          </w:tcPr>
          <w:p w14:paraId="20BB6B77">
            <w:pPr>
              <w:pStyle w:val="9"/>
              <w:widowControl/>
              <w:spacing w:beforeAutospacing="0" w:afterAutospacing="0" w:line="28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招标文件类型</w:t>
            </w:r>
          </w:p>
        </w:tc>
        <w:tc>
          <w:tcPr>
            <w:tcW w:w="2268" w:type="dxa"/>
            <w:vAlign w:val="center"/>
          </w:tcPr>
          <w:p w14:paraId="01BE870F">
            <w:pPr>
              <w:pStyle w:val="9"/>
              <w:widowControl/>
              <w:spacing w:beforeAutospacing="0" w:afterAutospacing="0" w:line="2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4200" w:type="dxa"/>
          </w:tcPr>
          <w:p w14:paraId="1AB9CCA0">
            <w:pPr>
              <w:pStyle w:val="9"/>
              <w:widowControl/>
              <w:spacing w:beforeAutospacing="0" w:afterAutospacing="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原内容</w:t>
            </w:r>
          </w:p>
        </w:tc>
        <w:tc>
          <w:tcPr>
            <w:tcW w:w="4857" w:type="dxa"/>
          </w:tcPr>
          <w:p w14:paraId="2B795B1A">
            <w:pPr>
              <w:pStyle w:val="9"/>
              <w:widowControl/>
              <w:spacing w:beforeAutospacing="0" w:afterAutospacing="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修改后内容</w:t>
            </w:r>
          </w:p>
        </w:tc>
      </w:tr>
      <w:tr w14:paraId="2CB4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2115" w:type="dxa"/>
            <w:vAlign w:val="center"/>
          </w:tcPr>
          <w:p w14:paraId="29CE85AE">
            <w:pPr>
              <w:pStyle w:val="9"/>
              <w:widowControl/>
              <w:spacing w:beforeAutospacing="0" w:afterAutospacing="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勘察、设计、勘察设计、施工、设计施工总承包、监理、设备采购、材料采购</w:t>
            </w:r>
          </w:p>
        </w:tc>
        <w:tc>
          <w:tcPr>
            <w:tcW w:w="2268" w:type="dxa"/>
            <w:vAlign w:val="center"/>
          </w:tcPr>
          <w:p w14:paraId="7C0C4258">
            <w:pPr>
              <w:pStyle w:val="9"/>
              <w:widowControl/>
              <w:spacing w:beforeAutospacing="0" w:afterAutospacing="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招标文件封面</w:t>
            </w:r>
          </w:p>
        </w:tc>
        <w:tc>
          <w:tcPr>
            <w:tcW w:w="4200" w:type="dxa"/>
          </w:tcPr>
          <w:p w14:paraId="24A8D677">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招标代理机构项目负责人：</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（盖从业印章）</w:t>
            </w:r>
          </w:p>
          <w:p w14:paraId="17E54894">
            <w:pPr>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bidi="ar-SA"/>
              </w:rPr>
              <w:t>招标文件编制人员：</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（盖从业印章）</w:t>
            </w:r>
          </w:p>
        </w:tc>
        <w:tc>
          <w:tcPr>
            <w:tcW w:w="4857" w:type="dxa"/>
          </w:tcPr>
          <w:p w14:paraId="5DDDBFA1">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招标代理机构项目负责人：</w:t>
            </w:r>
            <w:r>
              <w:rPr>
                <w:rFonts w:hint="eastAsia" w:ascii="仿宋" w:hAnsi="仿宋" w:eastAsia="仿宋" w:cs="仿宋"/>
                <w:color w:val="auto"/>
                <w:kern w:val="2"/>
                <w:sz w:val="24"/>
                <w:szCs w:val="24"/>
                <w:highlight w:val="none"/>
                <w:u w:val="single"/>
                <w:lang w:val="en-US" w:eastAsia="zh-CN" w:bidi="ar-SA"/>
              </w:rPr>
              <w:t xml:space="preserve">   </w:t>
            </w:r>
          </w:p>
          <w:p w14:paraId="5F2C142B">
            <w:pPr>
              <w:pStyle w:val="9"/>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招标文件编制人员：</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tc>
      </w:tr>
      <w:tr w14:paraId="62EC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15" w:type="dxa"/>
            <w:vAlign w:val="center"/>
          </w:tcPr>
          <w:p w14:paraId="2BA8A7D3">
            <w:pPr>
              <w:pStyle w:val="9"/>
              <w:widowControl/>
              <w:spacing w:beforeAutospacing="0" w:afterAutospacing="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施工、设计施工总承包</w:t>
            </w:r>
          </w:p>
        </w:tc>
        <w:tc>
          <w:tcPr>
            <w:tcW w:w="2268" w:type="dxa"/>
            <w:vAlign w:val="center"/>
          </w:tcPr>
          <w:p w14:paraId="6B75EE9B">
            <w:pPr>
              <w:pStyle w:val="9"/>
              <w:widowControl/>
              <w:spacing w:beforeAutospacing="0" w:afterAutospacing="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lang w:val="en-US" w:eastAsia="zh-CN"/>
              </w:rPr>
              <w:t>第一章招标公告（未进行资格预审，适用于公开招标）、第一章招标公告（适用于邀请招标）</w:t>
            </w:r>
          </w:p>
        </w:tc>
        <w:tc>
          <w:tcPr>
            <w:tcW w:w="4200" w:type="dxa"/>
            <w:shd w:val="clear" w:color="auto" w:fill="auto"/>
            <w:vAlign w:val="top"/>
          </w:tcPr>
          <w:p w14:paraId="173DF3ED">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3.投标人资格要求</w:t>
            </w:r>
          </w:p>
        </w:tc>
        <w:tc>
          <w:tcPr>
            <w:tcW w:w="4857" w:type="dxa"/>
            <w:shd w:val="clear" w:color="auto" w:fill="auto"/>
            <w:vAlign w:val="top"/>
          </w:tcPr>
          <w:p w14:paraId="123A8B9C">
            <w:pPr>
              <w:pStyle w:val="9"/>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施工新增：</w:t>
            </w:r>
          </w:p>
          <w:p w14:paraId="042814DA">
            <w:pPr>
              <w:pStyle w:val="9"/>
              <w:widowControl/>
              <w:spacing w:beforeAutospacing="0" w:afterAutospacing="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bookmarkStart w:id="1" w:name="OLE_LINK3"/>
            <w:r>
              <w:rPr>
                <w:rFonts w:hint="eastAsia" w:ascii="仿宋" w:hAnsi="仿宋" w:eastAsia="仿宋" w:cs="仿宋"/>
                <w:color w:val="auto"/>
                <w:sz w:val="24"/>
                <w:szCs w:val="24"/>
                <w:highlight w:val="none"/>
                <w:lang w:val="en-US" w:eastAsia="zh-CN"/>
              </w:rPr>
              <w:t>3.4</w:t>
            </w:r>
            <w:bookmarkEnd w:id="1"/>
            <w:r>
              <w:rPr>
                <w:rFonts w:hint="eastAsia" w:ascii="仿宋" w:hAnsi="仿宋" w:eastAsia="仿宋" w:cs="仿宋"/>
                <w:color w:val="auto"/>
                <w:kern w:val="0"/>
                <w:sz w:val="24"/>
                <w:szCs w:val="24"/>
                <w:highlight w:val="none"/>
                <w:lang w:val="en-US" w:eastAsia="zh-CN" w:bidi="ar-SA"/>
              </w:rPr>
              <w:t>本次招标仅面向中小企业发包（</w:t>
            </w:r>
            <w:r>
              <w:rPr>
                <w:rFonts w:hint="eastAsia" w:ascii="仿宋" w:hAnsi="仿宋" w:eastAsia="仿宋" w:cs="仿宋"/>
                <w:color w:val="auto"/>
                <w:sz w:val="24"/>
                <w:szCs w:val="24"/>
                <w:highlight w:val="none"/>
                <w:lang w:val="en-US" w:eastAsia="zh-CN"/>
              </w:rPr>
              <w:t>其中属于大企业的分支机构、存在控股股东为大企业、与大企业的负责人为同一人的情形的企业均不属于中小企业。</w:t>
            </w:r>
            <w:bookmarkStart w:id="2" w:name="OLE_LINK2"/>
            <w:r>
              <w:rPr>
                <w:rFonts w:hint="eastAsia" w:ascii="仿宋" w:hAnsi="仿宋" w:eastAsia="仿宋" w:cs="仿宋"/>
                <w:color w:val="auto"/>
                <w:sz w:val="24"/>
                <w:szCs w:val="24"/>
                <w:highlight w:val="none"/>
                <w:lang w:val="en-US" w:eastAsia="zh-CN"/>
              </w:rPr>
              <w:t>若为联合体投标的，联合体所有单位均应属于中小企业</w:t>
            </w:r>
            <w:bookmarkEnd w:id="2"/>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。具体标准以《工业和信息化部、国家统计局、国家发展和改革委员会、财政部关于印发中小企业划型标准规定的通知》（工信部联企业〔2011〕300号）中的“建筑业”划型标准为准，</w:t>
            </w:r>
            <w:r>
              <w:rPr>
                <w:rFonts w:hint="eastAsia" w:ascii="仿宋" w:hAnsi="仿宋" w:eastAsia="仿宋" w:cs="仿宋"/>
                <w:color w:val="auto"/>
                <w:kern w:val="0"/>
                <w:sz w:val="24"/>
                <w:szCs w:val="24"/>
                <w:highlight w:val="none"/>
                <w:lang w:val="en-US" w:eastAsia="zh-CN" w:bidi="ar-SA"/>
              </w:rPr>
              <w:t>投标人应提供中小企业声明函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（除技术复杂、存在特殊要求外，我省依法必须招标的国家投资工程，招标控制价在3000万元以下的施工项目(标段) 应勾选此项。）</w:t>
            </w:r>
          </w:p>
          <w:p w14:paraId="42730C38">
            <w:pPr>
              <w:pStyle w:val="9"/>
              <w:widowControl/>
              <w:spacing w:beforeAutospacing="0" w:afterAutospacing="0"/>
              <w:jc w:val="both"/>
              <w:rPr>
                <w:rFonts w:hint="eastAsia" w:ascii="仿宋" w:hAnsi="仿宋" w:eastAsia="仿宋" w:cs="仿宋"/>
                <w:color w:val="auto"/>
                <w:sz w:val="24"/>
                <w:szCs w:val="24"/>
                <w:highlight w:val="none"/>
                <w:lang w:val="en-US" w:eastAsia="zh-CN"/>
              </w:rPr>
            </w:pPr>
          </w:p>
          <w:p w14:paraId="5A9BB50E">
            <w:pPr>
              <w:pStyle w:val="9"/>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设计施工总承包新增：</w:t>
            </w:r>
          </w:p>
          <w:p w14:paraId="3FB23F5F">
            <w:pPr>
              <w:pStyle w:val="9"/>
              <w:widowControl/>
              <w:spacing w:beforeAutospacing="0" w:afterAutospacing="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3.4</w:t>
            </w:r>
            <w:r>
              <w:rPr>
                <w:rFonts w:hint="eastAsia" w:ascii="仿宋" w:hAnsi="仿宋" w:eastAsia="仿宋" w:cs="仿宋"/>
                <w:color w:val="auto"/>
                <w:kern w:val="0"/>
                <w:sz w:val="24"/>
                <w:szCs w:val="24"/>
                <w:highlight w:val="none"/>
                <w:lang w:val="en-US" w:eastAsia="zh-CN" w:bidi="ar-SA"/>
              </w:rPr>
              <w:t>本次招标范围中施工部分的工作仅面向中小企业发包（</w:t>
            </w:r>
            <w:r>
              <w:rPr>
                <w:rFonts w:hint="eastAsia" w:ascii="仿宋" w:hAnsi="仿宋" w:eastAsia="仿宋" w:cs="仿宋"/>
                <w:color w:val="auto"/>
                <w:sz w:val="24"/>
                <w:szCs w:val="24"/>
                <w:highlight w:val="none"/>
                <w:lang w:val="en-US" w:eastAsia="zh-CN"/>
              </w:rPr>
              <w:t>其中属于大企业的分支机构、存在控股股东为大企业、与大企业的负责人为同一人的情形的企业均不属于中小企业。</w:t>
            </w:r>
            <w:bookmarkStart w:id="3" w:name="OLE_LINK5"/>
            <w:r>
              <w:rPr>
                <w:rFonts w:hint="eastAsia" w:ascii="仿宋" w:hAnsi="仿宋" w:eastAsia="仿宋" w:cs="仿宋"/>
                <w:color w:val="auto"/>
                <w:sz w:val="24"/>
                <w:szCs w:val="24"/>
                <w:highlight w:val="none"/>
                <w:lang w:val="en-US" w:eastAsia="zh-CN"/>
              </w:rPr>
              <w:t>若为联合体投标的，本项目联合体协议书中职责分工为承揽施工工作的所有单位均应属于中小企业</w:t>
            </w:r>
            <w:bookmarkEnd w:id="3"/>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。具体标准以《工业和信息化部、国家统计局、国家发展和改革委员会、财政部关于印发中小企业划型标准规定的通知》（</w:t>
            </w:r>
            <w:bookmarkStart w:id="4" w:name="OLE_LINK4"/>
            <w:r>
              <w:rPr>
                <w:rFonts w:hint="eastAsia" w:ascii="仿宋" w:hAnsi="仿宋" w:eastAsia="仿宋" w:cs="仿宋"/>
                <w:color w:val="auto"/>
                <w:sz w:val="24"/>
                <w:szCs w:val="24"/>
                <w:highlight w:val="none"/>
                <w:lang w:val="en-US" w:eastAsia="zh-CN"/>
              </w:rPr>
              <w:t>工信部联企业〔2011〕300号</w:t>
            </w:r>
            <w:bookmarkEnd w:id="4"/>
            <w:r>
              <w:rPr>
                <w:rFonts w:hint="eastAsia" w:ascii="仿宋" w:hAnsi="仿宋" w:eastAsia="仿宋" w:cs="仿宋"/>
                <w:color w:val="auto"/>
                <w:sz w:val="24"/>
                <w:szCs w:val="24"/>
                <w:highlight w:val="none"/>
                <w:lang w:val="en-US" w:eastAsia="zh-CN"/>
              </w:rPr>
              <w:t>）中的“建筑业”划型标准为准，</w:t>
            </w:r>
            <w:r>
              <w:rPr>
                <w:rFonts w:hint="eastAsia" w:ascii="仿宋" w:hAnsi="仿宋" w:eastAsia="仿宋" w:cs="仿宋"/>
                <w:color w:val="auto"/>
                <w:kern w:val="0"/>
                <w:sz w:val="24"/>
                <w:szCs w:val="24"/>
                <w:highlight w:val="none"/>
                <w:lang w:val="en-US" w:eastAsia="zh-CN" w:bidi="ar-SA"/>
              </w:rPr>
              <w:t>投标人应提供中小企业声明函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（除技术复杂、存在特殊要求外，我省依法必须招标的国家投资工程，施工部分招标控制价在3000万元以下的，应勾选此项。）</w:t>
            </w:r>
          </w:p>
        </w:tc>
      </w:tr>
      <w:tr w14:paraId="6BA4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115" w:type="dxa"/>
            <w:vMerge w:val="restart"/>
            <w:vAlign w:val="center"/>
          </w:tcPr>
          <w:p w14:paraId="3036F83A">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Merge w:val="restart"/>
            <w:vAlign w:val="center"/>
          </w:tcPr>
          <w:p w14:paraId="6EAB56CF">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第一章招标公告（适用于公开招标）、第一章 投标邀请书（适用于邀请招标）</w:t>
            </w:r>
          </w:p>
        </w:tc>
        <w:tc>
          <w:tcPr>
            <w:tcW w:w="4200" w:type="dxa"/>
          </w:tcPr>
          <w:p w14:paraId="34BCBF98">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 联系方式</w:t>
            </w:r>
          </w:p>
        </w:tc>
        <w:tc>
          <w:tcPr>
            <w:tcW w:w="4857" w:type="dxa"/>
          </w:tcPr>
          <w:p w14:paraId="796094BD">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 联系方式</w:t>
            </w:r>
          </w:p>
        </w:tc>
      </w:tr>
      <w:tr w14:paraId="6670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115" w:type="dxa"/>
            <w:vMerge w:val="continue"/>
            <w:vAlign w:val="center"/>
          </w:tcPr>
          <w:p w14:paraId="5832833C">
            <w:pPr>
              <w:spacing w:line="360" w:lineRule="auto"/>
              <w:rPr>
                <w:rFonts w:hint="eastAsia" w:ascii="仿宋" w:hAnsi="仿宋" w:eastAsia="仿宋" w:cs="仿宋"/>
                <w:color w:val="auto"/>
                <w:sz w:val="24"/>
                <w:szCs w:val="24"/>
                <w:highlight w:val="none"/>
              </w:rPr>
            </w:pPr>
          </w:p>
        </w:tc>
        <w:tc>
          <w:tcPr>
            <w:tcW w:w="2268" w:type="dxa"/>
            <w:vMerge w:val="continue"/>
            <w:vAlign w:val="center"/>
          </w:tcPr>
          <w:p w14:paraId="41432937">
            <w:pPr>
              <w:spacing w:line="360" w:lineRule="auto"/>
              <w:rPr>
                <w:rFonts w:hint="eastAsia" w:ascii="仿宋" w:hAnsi="仿宋" w:eastAsia="仿宋" w:cs="仿宋"/>
                <w:color w:val="auto"/>
                <w:sz w:val="24"/>
                <w:szCs w:val="24"/>
                <w:highlight w:val="none"/>
              </w:rPr>
            </w:pPr>
          </w:p>
        </w:tc>
        <w:tc>
          <w:tcPr>
            <w:tcW w:w="4200" w:type="dxa"/>
          </w:tcPr>
          <w:p w14:paraId="50ACEA0C">
            <w:pPr>
              <w:spacing w:line="360" w:lineRule="auto"/>
              <w:jc w:val="center"/>
              <w:rPr>
                <w:rFonts w:hint="eastAsia" w:ascii="仿宋" w:hAnsi="仿宋" w:eastAsia="仿宋" w:cs="仿宋"/>
                <w:color w:val="auto"/>
                <w:kern w:val="2"/>
                <w:sz w:val="24"/>
                <w:szCs w:val="24"/>
                <w:highlight w:val="none"/>
                <w:lang w:val="en-US" w:eastAsia="zh-CN" w:bidi="ar-SA"/>
              </w:rPr>
            </w:pPr>
          </w:p>
          <w:p w14:paraId="3094D09A">
            <w:pPr>
              <w:spacing w:line="360" w:lineRule="auto"/>
              <w:ind w:firstLine="1680" w:firstLineChars="7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c>
          <w:tcPr>
            <w:tcW w:w="4857" w:type="dxa"/>
          </w:tcPr>
          <w:p w14:paraId="310FE136">
            <w:pPr>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新增：</w:t>
            </w:r>
          </w:p>
          <w:p w14:paraId="6D04C322">
            <w:pPr>
              <w:numPr>
                <w:ilvl w:val="0"/>
                <w:numId w:val="1"/>
              </w:num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行政监督部门</w:t>
            </w:r>
          </w:p>
          <w:p w14:paraId="55BB70CF">
            <w:pPr>
              <w:numPr>
                <w:ilvl w:val="0"/>
                <w:numId w:val="0"/>
              </w:numPr>
              <w:spacing w:line="360" w:lineRule="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单位名称：</w:t>
            </w:r>
            <w:r>
              <w:rPr>
                <w:rFonts w:hint="eastAsia" w:ascii="仿宋" w:hAnsi="仿宋" w:eastAsia="仿宋" w:cs="仿宋"/>
                <w:color w:val="auto"/>
                <w:kern w:val="2"/>
                <w:sz w:val="24"/>
                <w:szCs w:val="24"/>
                <w:highlight w:val="none"/>
                <w:u w:val="single"/>
                <w:lang w:val="en-US" w:eastAsia="zh-CN" w:bidi="ar-SA"/>
              </w:rPr>
              <w:t xml:space="preserve">                </w:t>
            </w:r>
          </w:p>
          <w:p w14:paraId="45C166C4">
            <w:pPr>
              <w:numPr>
                <w:ilvl w:val="0"/>
                <w:numId w:val="0"/>
              </w:num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联系电话：</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tc>
      </w:tr>
      <w:tr w14:paraId="07D8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115" w:type="dxa"/>
            <w:vMerge w:val="continue"/>
            <w:vAlign w:val="center"/>
          </w:tcPr>
          <w:p w14:paraId="76FCFFEB">
            <w:pPr>
              <w:spacing w:line="360" w:lineRule="auto"/>
              <w:rPr>
                <w:rFonts w:hint="eastAsia" w:ascii="仿宋" w:hAnsi="仿宋" w:eastAsia="仿宋" w:cs="仿宋"/>
                <w:color w:val="auto"/>
                <w:sz w:val="24"/>
                <w:szCs w:val="24"/>
                <w:highlight w:val="none"/>
              </w:rPr>
            </w:pPr>
          </w:p>
        </w:tc>
        <w:tc>
          <w:tcPr>
            <w:tcW w:w="2268" w:type="dxa"/>
            <w:vMerge w:val="continue"/>
            <w:vAlign w:val="center"/>
          </w:tcPr>
          <w:p w14:paraId="75DAAA49">
            <w:pPr>
              <w:spacing w:line="360" w:lineRule="auto"/>
              <w:rPr>
                <w:rFonts w:hint="eastAsia" w:ascii="仿宋" w:hAnsi="仿宋" w:eastAsia="仿宋" w:cs="仿宋"/>
                <w:color w:val="auto"/>
                <w:sz w:val="24"/>
                <w:szCs w:val="24"/>
                <w:highlight w:val="none"/>
              </w:rPr>
            </w:pPr>
          </w:p>
        </w:tc>
        <w:tc>
          <w:tcPr>
            <w:tcW w:w="4200" w:type="dxa"/>
          </w:tcPr>
          <w:p w14:paraId="6658EF5C">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招标代理机构：</w:t>
            </w:r>
            <w:r>
              <w:rPr>
                <w:rFonts w:hint="eastAsia" w:ascii="仿宋" w:hAnsi="仿宋" w:eastAsia="仿宋" w:cs="仿宋"/>
                <w:b/>
                <w:color w:val="auto"/>
                <w:sz w:val="24"/>
                <w:szCs w:val="24"/>
                <w:highlight w:val="none"/>
                <w:u w:val="single"/>
              </w:rPr>
              <w:t xml:space="preserve">         </w:t>
            </w:r>
          </w:p>
          <w:p w14:paraId="3C1F8083">
            <w:pPr>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2036211B">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r>
              <w:rPr>
                <w:rFonts w:hint="eastAsia" w:ascii="仿宋" w:hAnsi="仿宋" w:eastAsia="仿宋" w:cs="仿宋"/>
                <w:b/>
                <w:color w:val="auto"/>
                <w:sz w:val="24"/>
                <w:szCs w:val="24"/>
                <w:highlight w:val="none"/>
                <w:u w:val="single"/>
              </w:rPr>
              <w:t xml:space="preserve">         </w:t>
            </w:r>
          </w:p>
          <w:p w14:paraId="3C25E95F">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b/>
                <w:color w:val="auto"/>
                <w:sz w:val="24"/>
                <w:szCs w:val="24"/>
                <w:highlight w:val="none"/>
                <w:u w:val="single"/>
              </w:rPr>
              <w:t xml:space="preserve">         </w:t>
            </w:r>
          </w:p>
          <w:p w14:paraId="1964C12A">
            <w:pPr>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370F60E0">
            <w:pPr>
              <w:adjustRightInd w:val="0"/>
              <w:snapToGrid w:val="0"/>
              <w:spacing w:line="360" w:lineRule="auto"/>
              <w:rPr>
                <w:rFonts w:hint="eastAsia" w:ascii="仿宋" w:hAnsi="仿宋" w:eastAsia="仿宋" w:cs="仿宋"/>
                <w:color w:val="auto"/>
                <w:kern w:val="2"/>
                <w:sz w:val="24"/>
                <w:szCs w:val="24"/>
                <w:highlight w:val="none"/>
                <w:lang w:val="en-US" w:eastAsia="zh-CN" w:bidi="ar-SA"/>
              </w:rPr>
            </w:pPr>
          </w:p>
        </w:tc>
        <w:tc>
          <w:tcPr>
            <w:tcW w:w="4857" w:type="dxa"/>
          </w:tcPr>
          <w:p w14:paraId="63D8480B">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招标代理机构：</w:t>
            </w:r>
            <w:r>
              <w:rPr>
                <w:rFonts w:hint="eastAsia" w:ascii="仿宋" w:hAnsi="仿宋" w:eastAsia="仿宋" w:cs="仿宋"/>
                <w:b/>
                <w:color w:val="auto"/>
                <w:sz w:val="24"/>
                <w:szCs w:val="24"/>
                <w:highlight w:val="none"/>
                <w:u w:val="single"/>
              </w:rPr>
              <w:t xml:space="preserve">         </w:t>
            </w:r>
          </w:p>
          <w:p w14:paraId="1F9FF968">
            <w:pPr>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2839260A">
            <w:pPr>
              <w:adjustRightInd w:val="0"/>
              <w:snapToGrid w:val="0"/>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rPr>
              <w:t>联 系 人：</w:t>
            </w:r>
            <w:r>
              <w:rPr>
                <w:rFonts w:hint="eastAsia" w:ascii="仿宋" w:hAnsi="仿宋" w:eastAsia="仿宋" w:cs="仿宋"/>
                <w:b/>
                <w:color w:val="auto"/>
                <w:sz w:val="24"/>
                <w:szCs w:val="24"/>
                <w:highlight w:val="none"/>
                <w:u w:val="single"/>
              </w:rPr>
              <w:t xml:space="preserve">         </w:t>
            </w:r>
          </w:p>
          <w:p w14:paraId="419D3FC1">
            <w:pPr>
              <w:adjustRightInd w:val="0"/>
              <w:snapToGrid w:val="0"/>
              <w:spacing w:line="360" w:lineRule="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项目负责人：</w:t>
            </w:r>
            <w:r>
              <w:rPr>
                <w:rFonts w:hint="eastAsia" w:ascii="仿宋" w:hAnsi="仿宋" w:eastAsia="仿宋" w:cs="仿宋"/>
                <w:color w:val="auto"/>
                <w:sz w:val="24"/>
                <w:szCs w:val="24"/>
                <w:highlight w:val="none"/>
                <w:u w:val="single"/>
                <w:lang w:val="en-US" w:eastAsia="zh-CN"/>
              </w:rPr>
              <w:t xml:space="preserve">         </w:t>
            </w:r>
          </w:p>
          <w:p w14:paraId="4B523644">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b/>
                <w:color w:val="auto"/>
                <w:sz w:val="24"/>
                <w:szCs w:val="24"/>
                <w:highlight w:val="none"/>
                <w:u w:val="single"/>
              </w:rPr>
              <w:t xml:space="preserve">         </w:t>
            </w:r>
          </w:p>
          <w:p w14:paraId="12DA5451">
            <w:pPr>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p>
        </w:tc>
      </w:tr>
      <w:tr w14:paraId="19C5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2115" w:type="dxa"/>
            <w:vAlign w:val="center"/>
          </w:tcPr>
          <w:p w14:paraId="51A5D2FF">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勘察、设计、勘察设计、监理</w:t>
            </w:r>
          </w:p>
        </w:tc>
        <w:tc>
          <w:tcPr>
            <w:tcW w:w="2268" w:type="dxa"/>
            <w:vAlign w:val="center"/>
          </w:tcPr>
          <w:p w14:paraId="15B2B7CF">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第二章“投标人须知”前附表1.4.1</w:t>
            </w:r>
          </w:p>
        </w:tc>
        <w:tc>
          <w:tcPr>
            <w:tcW w:w="4200" w:type="dxa"/>
          </w:tcPr>
          <w:p w14:paraId="42411B8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其他要求（多项选择）：</w:t>
            </w:r>
          </w:p>
          <w:p w14:paraId="68BDE5C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□企业注册地不在四川省行政区域内的省外企业须提供在有效期内的四川省住房和城乡建设厅官网已公开的入川信息网页截图。</w:t>
            </w:r>
          </w:p>
          <w:p w14:paraId="515FF0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tc>
        <w:tc>
          <w:tcPr>
            <w:tcW w:w="4857" w:type="dxa"/>
          </w:tcPr>
          <w:p w14:paraId="68BA50F5">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w:t>
            </w:r>
          </w:p>
          <w:p w14:paraId="2024A344">
            <w:pPr>
              <w:numPr>
                <w:ilvl w:val="0"/>
                <w:numId w:val="0"/>
              </w:numPr>
              <w:spacing w:line="360" w:lineRule="auto"/>
              <w:rPr>
                <w:rFonts w:hint="eastAsia" w:ascii="仿宋" w:hAnsi="仿宋" w:eastAsia="仿宋" w:cs="仿宋"/>
                <w:color w:val="auto"/>
                <w:sz w:val="24"/>
                <w:szCs w:val="24"/>
                <w:highlight w:val="none"/>
              </w:rPr>
            </w:pPr>
          </w:p>
        </w:tc>
      </w:tr>
      <w:tr w14:paraId="0D01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5" w:type="dxa"/>
            <w:vAlign w:val="center"/>
          </w:tcPr>
          <w:p w14:paraId="4D3E59F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施工、设计施工总承包</w:t>
            </w:r>
          </w:p>
        </w:tc>
        <w:tc>
          <w:tcPr>
            <w:tcW w:w="2268" w:type="dxa"/>
            <w:vAlign w:val="center"/>
          </w:tcPr>
          <w:p w14:paraId="5EECC47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第二章投标人须知前附表1.4.1</w:t>
            </w:r>
          </w:p>
        </w:tc>
        <w:tc>
          <w:tcPr>
            <w:tcW w:w="4200" w:type="dxa"/>
            <w:vAlign w:val="center"/>
          </w:tcPr>
          <w:p w14:paraId="443C498D">
            <w:pPr>
              <w:numPr>
                <w:ilvl w:val="0"/>
                <w:numId w:val="0"/>
              </w:num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其他要求（多项选择）</w:t>
            </w:r>
          </w:p>
          <w:p w14:paraId="269A08E7">
            <w:pPr>
              <w:adjustRightInd w:val="0"/>
              <w:snapToGrid w:val="0"/>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sym w:font="Wingdings 2" w:char="00A3"/>
            </w:r>
            <w:r>
              <w:rPr>
                <w:rFonts w:hint="eastAsia" w:ascii="仿宋" w:hAnsi="仿宋" w:eastAsia="仿宋" w:cs="仿宋"/>
                <w:color w:val="auto"/>
                <w:kern w:val="0"/>
                <w:sz w:val="24"/>
                <w:szCs w:val="24"/>
                <w:highlight w:val="none"/>
                <w:lang w:val="en-US" w:eastAsia="zh-CN" w:bidi="ar-SA"/>
              </w:rPr>
              <w:t>企业注册地不在四川省行政区域内的省外企业须提供在有效期内的四川省住房和城乡建设厅官网已公开的入川信息网页截图。</w:t>
            </w:r>
          </w:p>
          <w:p w14:paraId="7D50EF13">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sym w:font="Wingdings 2" w:char="00A3"/>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w:t>
            </w:r>
          </w:p>
        </w:tc>
        <w:tc>
          <w:tcPr>
            <w:tcW w:w="4857" w:type="dxa"/>
            <w:vAlign w:val="top"/>
          </w:tcPr>
          <w:p w14:paraId="6E40FDA0">
            <w:pPr>
              <w:pStyle w:val="9"/>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施工：</w:t>
            </w:r>
          </w:p>
          <w:p w14:paraId="1866FCEA">
            <w:pPr>
              <w:numPr>
                <w:ilvl w:val="0"/>
                <w:numId w:val="0"/>
              </w:num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其他要求（多项选择）</w:t>
            </w:r>
          </w:p>
          <w:p w14:paraId="70CD1645">
            <w:pPr>
              <w:pStyle w:val="9"/>
              <w:widowControl/>
              <w:spacing w:beforeAutospacing="0" w:afterAutospacing="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0"/>
                <w:sz w:val="24"/>
                <w:szCs w:val="24"/>
                <w:highlight w:val="none"/>
                <w:lang w:val="en-US" w:eastAsia="zh-CN" w:bidi="ar-SA"/>
              </w:rPr>
              <w:t>本次招标仅面向中小企业发包（</w:t>
            </w:r>
            <w:r>
              <w:rPr>
                <w:rFonts w:hint="eastAsia" w:ascii="仿宋" w:hAnsi="仿宋" w:eastAsia="仿宋" w:cs="仿宋"/>
                <w:color w:val="auto"/>
                <w:sz w:val="24"/>
                <w:szCs w:val="24"/>
                <w:highlight w:val="none"/>
                <w:lang w:val="en-US" w:eastAsia="zh-CN"/>
              </w:rPr>
              <w:t>其中属于大企业的分支机构、存在控股股东为大企业、与大企业的负责人为同一人的情形的企业均不属于中小企业。若为联合体投标的，联合体所有单位均应属于中小企业</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。具体标准以《工业和信息化部、国家统计局、国家发展和改革委员会、财政部关于印发中小企业划型标准规定的通知》（工信部联企业〔2011〕300号）中的“建筑业”划型标准为准，</w:t>
            </w:r>
            <w:r>
              <w:rPr>
                <w:rFonts w:hint="eastAsia" w:ascii="仿宋" w:hAnsi="仿宋" w:eastAsia="仿宋" w:cs="仿宋"/>
                <w:color w:val="auto"/>
                <w:kern w:val="0"/>
                <w:sz w:val="24"/>
                <w:szCs w:val="24"/>
                <w:highlight w:val="none"/>
                <w:lang w:val="en-US" w:eastAsia="zh-CN" w:bidi="ar-SA"/>
              </w:rPr>
              <w:t>投标人应提供中小企业声明函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（除技术复杂、存在特殊要求外，我省依法必须招标的国家投资工程，招标控制价在3000万元以下的施工项目(标段) 应勾选此项。）</w:t>
            </w:r>
          </w:p>
          <w:p w14:paraId="4D9CD81E">
            <w:pPr>
              <w:pStyle w:val="9"/>
              <w:widowControl/>
              <w:spacing w:beforeAutospacing="0" w:afterAutospacing="0"/>
              <w:jc w:val="both"/>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sym w:font="Wingdings 2" w:char="00A3"/>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w:t>
            </w:r>
          </w:p>
          <w:p w14:paraId="1021B80E">
            <w:pPr>
              <w:pStyle w:val="9"/>
              <w:widowControl/>
              <w:spacing w:beforeAutospacing="0" w:afterAutospacing="0"/>
              <w:jc w:val="both"/>
              <w:rPr>
                <w:rFonts w:hint="eastAsia" w:ascii="仿宋" w:hAnsi="仿宋" w:eastAsia="仿宋" w:cs="仿宋"/>
                <w:color w:val="auto"/>
                <w:kern w:val="0"/>
                <w:sz w:val="24"/>
                <w:szCs w:val="24"/>
                <w:highlight w:val="none"/>
                <w:lang w:val="en-US" w:eastAsia="zh-CN" w:bidi="ar-SA"/>
              </w:rPr>
            </w:pPr>
          </w:p>
          <w:p w14:paraId="3F67E166">
            <w:pPr>
              <w:pStyle w:val="9"/>
              <w:widowControl/>
              <w:spacing w:beforeAutospacing="0" w:afterAutospacing="0"/>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设计施工总承包：</w:t>
            </w:r>
          </w:p>
          <w:p w14:paraId="32C3BEC9">
            <w:pPr>
              <w:numPr>
                <w:ilvl w:val="0"/>
                <w:numId w:val="0"/>
              </w:num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其他要求（多项选择）</w:t>
            </w:r>
          </w:p>
          <w:p w14:paraId="36B1064B">
            <w:pPr>
              <w:pStyle w:val="9"/>
              <w:widowControl/>
              <w:spacing w:beforeAutospacing="0" w:afterAutospacing="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0"/>
                <w:sz w:val="24"/>
                <w:szCs w:val="24"/>
                <w:highlight w:val="none"/>
                <w:lang w:val="en-US" w:eastAsia="zh-CN" w:bidi="ar-SA"/>
              </w:rPr>
              <w:t>本次招标范围中施工部分的工作仅面向中小企业发包（</w:t>
            </w:r>
            <w:r>
              <w:rPr>
                <w:rFonts w:hint="eastAsia" w:ascii="仿宋" w:hAnsi="仿宋" w:eastAsia="仿宋" w:cs="仿宋"/>
                <w:color w:val="auto"/>
                <w:sz w:val="24"/>
                <w:szCs w:val="24"/>
                <w:highlight w:val="none"/>
                <w:lang w:val="en-US" w:eastAsia="zh-CN"/>
              </w:rPr>
              <w:t>其中属于大企业的分支机构、存在控股股东为大企业、与大企业的负责人为同一人的情形的企业均不属于中小企业。若为联合体投标的，本项目联合体协议书中职责分工为承揽施工工作的所有单位均应属于中小企业</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color w:val="auto"/>
                <w:sz w:val="24"/>
                <w:szCs w:val="24"/>
                <w:highlight w:val="none"/>
                <w:lang w:val="en-US" w:eastAsia="zh-CN"/>
              </w:rPr>
              <w:t>。具体标准以《工业和信息化部、国家统计局、国家发展和改革委员会、财政部关于印发中小企业划型标准规定的通知》（工信部联企业〔2011〕300号）中的“建筑业”划型标准为准，</w:t>
            </w:r>
            <w:r>
              <w:rPr>
                <w:rFonts w:hint="eastAsia" w:ascii="仿宋" w:hAnsi="仿宋" w:eastAsia="仿宋" w:cs="仿宋"/>
                <w:color w:val="auto"/>
                <w:kern w:val="0"/>
                <w:sz w:val="24"/>
                <w:szCs w:val="24"/>
                <w:highlight w:val="none"/>
                <w:lang w:val="en-US" w:eastAsia="zh-CN" w:bidi="ar-SA"/>
              </w:rPr>
              <w:t>投标人应提供中小企业声明函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lang w:val="en-US" w:eastAsia="zh-CN" w:bidi="ar-SA"/>
              </w:rPr>
              <w:t>（除技术复杂、存在特殊要求外，我省依法必须招标的国家投资工程，施工部分招标控制价在3000万元以下的，应勾选此项。）</w:t>
            </w:r>
          </w:p>
          <w:p w14:paraId="28D78004">
            <w:pPr>
              <w:pStyle w:val="9"/>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sym w:font="Wingdings 2" w:char="00A3"/>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w:t>
            </w:r>
          </w:p>
        </w:tc>
      </w:tr>
      <w:tr w14:paraId="2DBA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5C66ECD2">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08A4A310">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第二章“投标人须知”前附表3.4.4</w:t>
            </w:r>
          </w:p>
        </w:tc>
        <w:tc>
          <w:tcPr>
            <w:tcW w:w="4200" w:type="dxa"/>
            <w:vAlign w:val="center"/>
          </w:tcPr>
          <w:p w14:paraId="36A2BE1D">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在投标活动中，投标人串通投标、弄虚作假，中标人在收到中标通知书后，无正当理由拒签合同协议书的，投标保证金也不予退还。</w:t>
            </w:r>
          </w:p>
        </w:tc>
        <w:tc>
          <w:tcPr>
            <w:tcW w:w="4857" w:type="dxa"/>
          </w:tcPr>
          <w:p w14:paraId="05595472">
            <w:pPr>
              <w:pStyle w:val="9"/>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在投标活动中，投标人串通投标、弄虚作假、</w:t>
            </w:r>
            <w:r>
              <w:rPr>
                <w:rFonts w:hint="eastAsia" w:ascii="仿宋" w:hAnsi="仿宋" w:eastAsia="仿宋" w:cs="仿宋"/>
                <w:b/>
                <w:bCs/>
                <w:color w:val="auto"/>
                <w:kern w:val="2"/>
                <w:sz w:val="24"/>
                <w:szCs w:val="24"/>
                <w:highlight w:val="none"/>
                <w:lang w:val="en-US" w:eastAsia="zh-CN" w:bidi="ar-SA"/>
              </w:rPr>
              <w:t>隐瞒限制投标情形</w:t>
            </w:r>
            <w:r>
              <w:rPr>
                <w:rFonts w:hint="eastAsia" w:ascii="仿宋" w:hAnsi="仿宋" w:eastAsia="仿宋" w:cs="仿宋"/>
                <w:color w:val="auto"/>
                <w:kern w:val="2"/>
                <w:sz w:val="24"/>
                <w:szCs w:val="24"/>
                <w:highlight w:val="none"/>
                <w:lang w:val="en-US" w:eastAsia="zh-CN" w:bidi="ar-SA"/>
              </w:rPr>
              <w:t>，中标人在收到中标通知书后，无正当理由拒签合同协议书的，投标保证金也不予退还。</w:t>
            </w:r>
          </w:p>
        </w:tc>
      </w:tr>
      <w:tr w14:paraId="0FF5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6DC42568">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施工、设计施工总承包</w:t>
            </w:r>
          </w:p>
        </w:tc>
        <w:tc>
          <w:tcPr>
            <w:tcW w:w="2268" w:type="dxa"/>
            <w:vAlign w:val="center"/>
          </w:tcPr>
          <w:p w14:paraId="0E6A6B4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第二章“投标人须知”前附表3.7.3</w:t>
            </w:r>
          </w:p>
        </w:tc>
        <w:tc>
          <w:tcPr>
            <w:tcW w:w="4200" w:type="dxa"/>
            <w:vAlign w:val="center"/>
          </w:tcPr>
          <w:p w14:paraId="3C55ACD8">
            <w:pPr>
              <w:adjustRightInd w:val="0"/>
              <w:snapToGrid w:val="0"/>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施工：</w:t>
            </w:r>
          </w:p>
          <w:p w14:paraId="55D32BEC">
            <w:pPr>
              <w:numPr>
                <w:ilvl w:val="0"/>
                <w:numId w:val="2"/>
              </w:numPr>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据电文形式投标文件所有要求盖章的地方，除已标价工程量清单扉页和联合体协议书外，均应加盖投标人（联合体投标的，为联合体牵头人）电子印章，已标价工程量清单扉页和联合体协议书上传签字、盖章的扫描件。</w:t>
            </w:r>
          </w:p>
          <w:p w14:paraId="3F1B1287">
            <w:pPr>
              <w:numPr>
                <w:ilvl w:val="0"/>
                <w:numId w:val="0"/>
              </w:numPr>
              <w:adjustRightInd w:val="0"/>
              <w:snapToGrid w:val="0"/>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设计施工总承包：</w:t>
            </w:r>
          </w:p>
          <w:p w14:paraId="39FCDBA3">
            <w:pPr>
              <w:numPr>
                <w:ilvl w:val="0"/>
                <w:numId w:val="0"/>
              </w:numPr>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（3）数据电文形式投标文件所有要求盖章的地方，除投标总价扉页和联合体协议书外，均应加盖投标人（联合体投标的，为联合体牵头人）电子印章，投标总价扉页和联合体协议书上传签字、盖章的扫描件。</w:t>
            </w:r>
          </w:p>
        </w:tc>
        <w:tc>
          <w:tcPr>
            <w:tcW w:w="4857" w:type="dxa"/>
          </w:tcPr>
          <w:p w14:paraId="4DC0D6AA">
            <w:pPr>
              <w:adjustRightInd w:val="0"/>
              <w:snapToGrid w:val="0"/>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施工：</w:t>
            </w:r>
          </w:p>
          <w:p w14:paraId="53798C95">
            <w:pPr>
              <w:numPr>
                <w:ilvl w:val="0"/>
                <w:numId w:val="0"/>
              </w:numPr>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数据电文形式投标文件所有要求盖章的地方，除已标价工程量清单扉页、联合体协议书以及中小企业声明函外，均应加盖投标人（联合体投标的，为联合体牵头人）电子印章，已标价工程量清单扉页和联合体协议书上传签字、盖章的扫描件。</w:t>
            </w:r>
          </w:p>
          <w:p w14:paraId="6D578167">
            <w:pPr>
              <w:numPr>
                <w:ilvl w:val="0"/>
                <w:numId w:val="0"/>
              </w:numPr>
              <w:adjustRightInd w:val="0"/>
              <w:snapToGrid w:val="0"/>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设计施工总承包：</w:t>
            </w:r>
          </w:p>
          <w:p w14:paraId="54D8D6CB">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数据电文形式投标文件所有要求盖章的地方，除投标总价扉页、联合体协议书以及中小企业声明函外，均应加盖投标人（联合体投标的，为联合体牵头人）电子印章，投标总价扉页和联合体协议书上传签字、盖章的扫描件。</w:t>
            </w:r>
          </w:p>
        </w:tc>
      </w:tr>
      <w:tr w14:paraId="746A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2E1435D4">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68844922">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第二章“投标人须知”前附表5.2</w:t>
            </w:r>
          </w:p>
        </w:tc>
        <w:tc>
          <w:tcPr>
            <w:tcW w:w="4200" w:type="dxa"/>
            <w:vAlign w:val="center"/>
          </w:tcPr>
          <w:p w14:paraId="67AF8E8A">
            <w:pPr>
              <w:adjustRightInd w:val="0"/>
              <w:snapToGrid w:val="0"/>
              <w:spacing w:line="360" w:lineRule="auto"/>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投标人最迟应在完成上述第（5）项程序后10分钟内在线提出异议，招标人或其委托招标代理机构在线即时答复处理。如投标人未提出异议的，视为其认可开标过程、开标内容和开标结果。</w:t>
            </w:r>
          </w:p>
          <w:p w14:paraId="08D5509C">
            <w:pPr>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投标文件无法导入开标系统或未解密的，视为撤回其投标文件。已导入电子开标系统但无法导入电子评标系统的，招标人（或招标代理机构）做好开标记录，其投标文件由评标委员会作否决处理。</w:t>
            </w:r>
          </w:p>
        </w:tc>
        <w:tc>
          <w:tcPr>
            <w:tcW w:w="4857" w:type="dxa"/>
          </w:tcPr>
          <w:p w14:paraId="131AE430">
            <w:pPr>
              <w:adjustRightInd w:val="0"/>
              <w:snapToGrid w:val="0"/>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投标人最迟应在完成上述第（5）项程序后10分钟内在线提出异议，招标人或其委托招标代理机构在线即时答复处理。如投标人未提出异议的，视为其认可开标过程、开标内容和开标结果。</w:t>
            </w:r>
          </w:p>
          <w:p w14:paraId="586D2903">
            <w:pPr>
              <w:adjustRightInd w:val="0"/>
              <w:snapToGrid w:val="0"/>
              <w:spacing w:line="360" w:lineRule="auto"/>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因投标人原因造成投标文件未解密的，视为撤销其投标文件；因投标人之外的原因造成投标文件未解密的，视为撤回其投标文件。</w:t>
            </w:r>
          </w:p>
          <w:p w14:paraId="44A1796C">
            <w:pPr>
              <w:pStyle w:val="9"/>
              <w:widowControl/>
              <w:spacing w:beforeAutospacing="0" w:afterAutospacing="0"/>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已导入电子开标系统但无法导入电子评标系统的，招标人（或招标代理机构）做好开标记录，其投标文件由评标委员会作否决处理。</w:t>
            </w:r>
          </w:p>
        </w:tc>
      </w:tr>
      <w:tr w14:paraId="2BE3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15" w:type="dxa"/>
            <w:vAlign w:val="center"/>
          </w:tcPr>
          <w:p w14:paraId="321D29EC">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w:t>
            </w:r>
          </w:p>
        </w:tc>
        <w:tc>
          <w:tcPr>
            <w:tcW w:w="2268" w:type="dxa"/>
            <w:vAlign w:val="center"/>
          </w:tcPr>
          <w:p w14:paraId="208D36EB">
            <w:pPr>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第二章“投标人须知”前附表10.7</w:t>
            </w:r>
          </w:p>
        </w:tc>
        <w:tc>
          <w:tcPr>
            <w:tcW w:w="4200" w:type="dxa"/>
            <w:vAlign w:val="top"/>
          </w:tcPr>
          <w:p w14:paraId="3546A77F">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2）《建设工程工程量清单计价规范》（GB50500-2013）第3.4.1条：“建设工程承发包，必须在招标文件、合同中明确计价中的风险内容及其范围，不得采用无限风险、所有风险或类似语句规定计价中的风险内容及范围。”</w:t>
            </w:r>
          </w:p>
        </w:tc>
        <w:tc>
          <w:tcPr>
            <w:tcW w:w="4857" w:type="dxa"/>
            <w:vAlign w:val="top"/>
          </w:tcPr>
          <w:p w14:paraId="2B0D5A97">
            <w:pPr>
              <w:spacing w:line="38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2）《建设工程工程量清单计价标准》（GB/T50500-2024）第3.3.1条：“建设工程的施工发承包，应在招标文件、合同中明确计量与计价的风险内容及其范围，不得采用无限风险、所有风险或类似语句约定工程计量与计价中的风险内容及范围。”</w:t>
            </w:r>
          </w:p>
        </w:tc>
      </w:tr>
      <w:tr w14:paraId="570F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15" w:type="dxa"/>
            <w:vAlign w:val="center"/>
          </w:tcPr>
          <w:p w14:paraId="5A64DA80">
            <w:pPr>
              <w:jc w:val="center"/>
              <w:rPr>
                <w:rFonts w:hint="eastAsia" w:ascii="仿宋" w:hAnsi="仿宋" w:eastAsia="仿宋" w:cs="仿宋"/>
                <w:color w:val="auto"/>
                <w:kern w:val="2"/>
                <w:sz w:val="24"/>
                <w:szCs w:val="24"/>
                <w:highlight w:val="none"/>
                <w:lang w:val="en-US" w:eastAsia="zh-CN" w:bidi="ar-SA"/>
              </w:rPr>
            </w:pPr>
          </w:p>
          <w:p w14:paraId="255705EE">
            <w:pPr>
              <w:jc w:val="center"/>
              <w:rPr>
                <w:rFonts w:hint="eastAsia" w:ascii="仿宋" w:hAnsi="仿宋" w:eastAsia="仿宋" w:cs="仿宋"/>
                <w:color w:val="auto"/>
                <w:kern w:val="2"/>
                <w:sz w:val="24"/>
                <w:szCs w:val="24"/>
                <w:highlight w:val="none"/>
                <w:lang w:val="en-US" w:eastAsia="zh-CN" w:bidi="ar-SA"/>
              </w:rPr>
            </w:pPr>
          </w:p>
          <w:p w14:paraId="30BAC206">
            <w:pPr>
              <w:jc w:val="center"/>
              <w:rPr>
                <w:rFonts w:hint="eastAsia" w:ascii="仿宋" w:hAnsi="仿宋" w:eastAsia="仿宋" w:cs="仿宋"/>
                <w:color w:val="auto"/>
                <w:kern w:val="2"/>
                <w:sz w:val="24"/>
                <w:szCs w:val="24"/>
                <w:highlight w:val="none"/>
                <w:lang w:val="en-US" w:eastAsia="zh-CN" w:bidi="ar-SA"/>
              </w:rPr>
            </w:pPr>
          </w:p>
          <w:p w14:paraId="0ABF4602">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703E3694">
            <w:pPr>
              <w:jc w:val="center"/>
              <w:rPr>
                <w:rFonts w:hint="eastAsia" w:ascii="仿宋" w:hAnsi="仿宋" w:eastAsia="仿宋" w:cs="仿宋"/>
                <w:color w:val="auto"/>
                <w:kern w:val="2"/>
                <w:sz w:val="24"/>
                <w:szCs w:val="24"/>
                <w:highlight w:val="none"/>
                <w:lang w:val="en-US" w:eastAsia="zh-CN" w:bidi="ar-SA"/>
              </w:rPr>
            </w:pPr>
          </w:p>
          <w:p w14:paraId="3108BFA6">
            <w:pPr>
              <w:jc w:val="center"/>
              <w:rPr>
                <w:rFonts w:hint="eastAsia" w:ascii="仿宋" w:hAnsi="仿宋" w:eastAsia="仿宋" w:cs="仿宋"/>
                <w:color w:val="auto"/>
                <w:kern w:val="2"/>
                <w:sz w:val="24"/>
                <w:szCs w:val="24"/>
                <w:highlight w:val="none"/>
                <w:lang w:val="en-US" w:eastAsia="zh-CN" w:bidi="ar-SA"/>
              </w:rPr>
            </w:pPr>
          </w:p>
          <w:p w14:paraId="62D48A0E">
            <w:pPr>
              <w:jc w:val="center"/>
              <w:rPr>
                <w:rFonts w:hint="eastAsia" w:ascii="仿宋" w:hAnsi="仿宋" w:eastAsia="仿宋" w:cs="仿宋"/>
                <w:color w:val="auto"/>
                <w:kern w:val="2"/>
                <w:sz w:val="24"/>
                <w:szCs w:val="24"/>
                <w:highlight w:val="none"/>
                <w:lang w:val="en-US" w:eastAsia="zh-CN" w:bidi="ar-SA"/>
              </w:rPr>
            </w:pPr>
          </w:p>
          <w:p w14:paraId="1E5BFA5F">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第二章“投标人须知”前附表增加条款表</w:t>
            </w:r>
          </w:p>
        </w:tc>
        <w:tc>
          <w:tcPr>
            <w:tcW w:w="4200" w:type="dxa"/>
            <w:vAlign w:val="center"/>
          </w:tcPr>
          <w:p w14:paraId="6BA8B09D">
            <w:pPr>
              <w:ind w:firstLine="1680" w:firstLineChars="700"/>
              <w:jc w:val="left"/>
              <w:rPr>
                <w:rFonts w:hint="eastAsia" w:ascii="仿宋" w:hAnsi="仿宋" w:eastAsia="仿宋" w:cs="仿宋"/>
                <w:color w:val="auto"/>
                <w:sz w:val="24"/>
                <w:szCs w:val="24"/>
                <w:highlight w:val="none"/>
                <w:lang w:val="en-US" w:eastAsia="zh-CN"/>
              </w:rPr>
            </w:pPr>
          </w:p>
          <w:p w14:paraId="1F7410D1">
            <w:pPr>
              <w:ind w:firstLine="1680" w:firstLineChars="700"/>
              <w:jc w:val="left"/>
              <w:rPr>
                <w:rFonts w:hint="eastAsia" w:ascii="仿宋" w:hAnsi="仿宋" w:eastAsia="仿宋" w:cs="仿宋"/>
                <w:color w:val="auto"/>
                <w:sz w:val="24"/>
                <w:szCs w:val="24"/>
                <w:highlight w:val="none"/>
                <w:lang w:val="en-US" w:eastAsia="zh-CN"/>
              </w:rPr>
            </w:pPr>
          </w:p>
          <w:p w14:paraId="3F71A278">
            <w:pPr>
              <w:ind w:firstLine="1680" w:firstLineChars="7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4857" w:type="dxa"/>
          </w:tcPr>
          <w:p w14:paraId="130A4A45">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勘察、设计、勘察设计、监理新增：10.10</w:t>
            </w:r>
          </w:p>
          <w:p w14:paraId="51E3E2D2">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施工新增：10.15</w:t>
            </w:r>
          </w:p>
          <w:p w14:paraId="6FC09644">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设计施工总承包新增：9.14</w:t>
            </w:r>
          </w:p>
          <w:p w14:paraId="3640EF37">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设备采购、材料采购新增：10.9</w:t>
            </w:r>
          </w:p>
          <w:p w14:paraId="5043B35A">
            <w:pPr>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以下情形视为第三章“评标办法”第3.1.2（2）项的“串通投标”情形，评标委员会应按照评标办法“注（7）”的规定进行认定处理，可以视情况要求投标人予以澄清、说明：</w:t>
            </w:r>
          </w:p>
          <w:p w14:paraId="0716EE6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（1）不同投标人的投标文件由同一单位或者个人编制〔包括但不限于：a.同一标段的不同投标人电子投标文件编制时的机器码(计算机网卡MAC 地址、CPU 编号和硬盘信息)均相同的；b.不同投标人的投标价格清单的计价软件编号、机器码任一条相同的〕。 </w:t>
            </w:r>
          </w:p>
          <w:p w14:paraId="7E2FA436">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不同投标人委托同一单位或者个人办理投标事宜〔包括但不限于：a.不同投标人从同一投标单位或同一自然人的互联网协议（IP）地址上传投标文件；b.购买电子保函或参加投标活动的人员为同一标段其他投标人的在职人员〕。 </w:t>
            </w:r>
          </w:p>
          <w:p w14:paraId="3A6A661F">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（3）不同投标人的投标文件载明的项目管理成员为同一人。 </w:t>
            </w:r>
          </w:p>
          <w:p w14:paraId="0C786457">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（4）不同投标人的投标文件异常一致或者投标报价呈规律性差异。 </w:t>
            </w:r>
          </w:p>
          <w:p w14:paraId="45E8381C">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（5）不同投标人的投标文件相互混装。 </w:t>
            </w:r>
          </w:p>
          <w:p w14:paraId="4B5C5DF7">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（6）不同投标人的投标保证金从同一单位或者个人的账户转出（包括但不限于：不同投标人通过同一单位或者个人账户购买电子保函）。</w:t>
            </w:r>
          </w:p>
          <w:p w14:paraId="533433F3">
            <w:pPr>
              <w:pStyle w:val="9"/>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b/>
                <w:bCs/>
                <w:color w:val="auto"/>
                <w:kern w:val="2"/>
                <w:sz w:val="24"/>
                <w:szCs w:val="24"/>
                <w:highlight w:val="none"/>
                <w:lang w:val="en-US" w:eastAsia="zh-CN" w:bidi="ar-SA"/>
              </w:rPr>
              <w:t>评标委员会发现的以上情形，招标人应在评标结束后及时向有关行政监督部门报告。</w:t>
            </w:r>
          </w:p>
        </w:tc>
      </w:tr>
      <w:tr w14:paraId="1202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15" w:type="dxa"/>
            <w:vAlign w:val="center"/>
          </w:tcPr>
          <w:p w14:paraId="53E3229E">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勘察、设计、勘察设计、施工、设计施工总承包、监理、设备采购、材料采购</w:t>
            </w:r>
          </w:p>
        </w:tc>
        <w:tc>
          <w:tcPr>
            <w:tcW w:w="2268" w:type="dxa"/>
            <w:vAlign w:val="center"/>
          </w:tcPr>
          <w:p w14:paraId="704F555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 是否采用“暗标”评审方式</w:t>
            </w:r>
          </w:p>
        </w:tc>
        <w:tc>
          <w:tcPr>
            <w:tcW w:w="4200" w:type="dxa"/>
            <w:vAlign w:val="top"/>
          </w:tcPr>
          <w:p w14:paraId="3859C30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w:t>
            </w:r>
          </w:p>
        </w:tc>
        <w:tc>
          <w:tcPr>
            <w:tcW w:w="4857" w:type="dxa"/>
            <w:vAlign w:val="top"/>
          </w:tcPr>
          <w:p w14:paraId="46D922C3">
            <w:pPr>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勘察、设计、勘察设计、监理新增:10.11</w:t>
            </w:r>
          </w:p>
          <w:p w14:paraId="7ABA8046">
            <w:pPr>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施工新增:10.16</w:t>
            </w:r>
          </w:p>
          <w:p w14:paraId="53675419">
            <w:pPr>
              <w:spacing w:line="36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设计施工总承包新增:9.15</w:t>
            </w:r>
          </w:p>
          <w:p w14:paraId="7C2498C7">
            <w:pPr>
              <w:spacing w:line="360" w:lineRule="auto"/>
              <w:rPr>
                <w:rFonts w:hint="eastAsia" w:ascii="仿宋" w:hAnsi="仿宋" w:eastAsia="仿宋" w:cs="仿宋"/>
                <w:color w:val="auto"/>
                <w:kern w:val="2"/>
                <w:sz w:val="24"/>
                <w:szCs w:val="24"/>
                <w:highlight w:val="none"/>
                <w:lang w:val="en-US" w:eastAsia="zh-CN" w:bidi="ar-SA"/>
              </w:rPr>
            </w:pPr>
            <w:sdt>
              <w:sdtPr>
                <w:rPr>
                  <w:rFonts w:hint="eastAsia" w:ascii="仿宋" w:hAnsi="仿宋" w:eastAsia="仿宋" w:cs="仿宋"/>
                  <w:color w:val="auto"/>
                  <w:kern w:val="2"/>
                  <w:sz w:val="24"/>
                  <w:szCs w:val="24"/>
                  <w:highlight w:val="none"/>
                  <w:lang w:val="en-US" w:eastAsia="zh-CN" w:bidi="ar-SA"/>
                </w:rPr>
                <w:id w:val="147480251"/>
                <w14:checkbox>
                  <w14:checked w14:val="0"/>
                  <w14:checkedState w14:val="2611" w14:font="MS Gothic"/>
                  <w14:uncheckedState w14:val="2610" w14:font="MS Gothic"/>
                </w14:checkbox>
              </w:sdtPr>
              <w:sdtEndPr>
                <w:rPr>
                  <w:rFonts w:hint="eastAsia" w:ascii="仿宋" w:hAnsi="仿宋" w:eastAsia="仿宋" w:cs="仿宋"/>
                  <w:color w:val="auto"/>
                  <w:kern w:val="2"/>
                  <w:sz w:val="24"/>
                  <w:szCs w:val="24"/>
                  <w:highlight w:val="none"/>
                  <w:lang w:val="en-US" w:eastAsia="zh-CN" w:bidi="ar-SA"/>
                </w:rPr>
              </w:sdtEndPr>
              <w:sdtContent>
                <w:r>
                  <w:rPr>
                    <w:rFonts w:hint="eastAsia" w:ascii="仿宋" w:hAnsi="仿宋" w:eastAsia="仿宋" w:cs="仿宋"/>
                    <w:color w:val="auto"/>
                    <w:kern w:val="2"/>
                    <w:sz w:val="24"/>
                    <w:szCs w:val="24"/>
                    <w:highlight w:val="none"/>
                    <w:lang w:val="en-US" w:eastAsia="zh-CN" w:bidi="ar-SA"/>
                  </w:rPr>
                  <w:t>☐</w:t>
                </w:r>
              </w:sdtContent>
            </w:sdt>
            <w:r>
              <w:rPr>
                <w:rFonts w:hint="eastAsia" w:ascii="仿宋" w:hAnsi="仿宋" w:eastAsia="仿宋" w:cs="仿宋"/>
                <w:color w:val="auto"/>
                <w:kern w:val="2"/>
                <w:sz w:val="24"/>
                <w:szCs w:val="24"/>
                <w:highlight w:val="none"/>
                <w:lang w:val="en-US" w:eastAsia="zh-CN" w:bidi="ar-SA"/>
              </w:rPr>
              <w:t xml:space="preserve"> 不采用</w:t>
            </w:r>
          </w:p>
          <w:p w14:paraId="413AA6B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sdt>
              <w:sdtPr>
                <w:rPr>
                  <w:rFonts w:hint="eastAsia" w:ascii="仿宋" w:hAnsi="仿宋" w:eastAsia="仿宋" w:cs="仿宋"/>
                  <w:color w:val="auto"/>
                  <w:kern w:val="2"/>
                  <w:sz w:val="24"/>
                  <w:szCs w:val="24"/>
                  <w:highlight w:val="none"/>
                  <w:lang w:val="en-US" w:eastAsia="zh-CN" w:bidi="ar-SA"/>
                </w:rPr>
                <w:id w:val="147471214"/>
                <w14:checkbox>
                  <w14:checked w14:val="0"/>
                  <w14:checkedState w14:val="2611" w14:font="MS Gothic"/>
                  <w14:uncheckedState w14:val="2610" w14:font="MS Gothic"/>
                </w14:checkbox>
              </w:sdtPr>
              <w:sdtEndPr>
                <w:rPr>
                  <w:rFonts w:hint="eastAsia" w:ascii="仿宋" w:hAnsi="仿宋" w:eastAsia="仿宋" w:cs="仿宋"/>
                  <w:color w:val="auto"/>
                  <w:kern w:val="2"/>
                  <w:sz w:val="24"/>
                  <w:szCs w:val="24"/>
                  <w:highlight w:val="none"/>
                  <w:lang w:val="en-US" w:eastAsia="zh-CN" w:bidi="ar-SA"/>
                </w:rPr>
              </w:sdtEndPr>
              <w:sdtContent>
                <w:r>
                  <w:rPr>
                    <w:rFonts w:hint="eastAsia" w:ascii="仿宋" w:hAnsi="仿宋" w:eastAsia="仿宋" w:cs="仿宋"/>
                    <w:color w:val="auto"/>
                    <w:kern w:val="2"/>
                    <w:sz w:val="24"/>
                    <w:szCs w:val="24"/>
                    <w:highlight w:val="none"/>
                    <w:lang w:val="en-US" w:eastAsia="zh-CN" w:bidi="ar-SA"/>
                  </w:rPr>
                  <w:t>☐</w:t>
                </w:r>
              </w:sdtContent>
            </w:sdt>
            <w:r>
              <w:rPr>
                <w:rFonts w:hint="eastAsia" w:ascii="仿宋" w:hAnsi="仿宋" w:eastAsia="仿宋" w:cs="仿宋"/>
                <w:color w:val="auto"/>
                <w:kern w:val="2"/>
                <w:sz w:val="24"/>
                <w:szCs w:val="24"/>
                <w:highlight w:val="none"/>
                <w:lang w:val="en-US" w:eastAsia="zh-CN" w:bidi="ar-SA"/>
              </w:rPr>
              <w:t xml:space="preserve"> 采用（适用综合评估法），勘察纲要/设计方案（设计大纲）/勘察纲要、设计大纲/监理大纲/施工组织设计/承包人建议书和承包人实施方案采用暗标评审方式，投标文件该部分需单独编制，且要求如下：</w:t>
            </w:r>
          </w:p>
          <w:p w14:paraId="5A03E806">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1.投标文件暗标部分均不得出现可能泄露投标人单位及个人信息的文字、图片、图表等有关表述或者任何标记，否则评标委员会按零分处理，并在评标报告中载明按零分处理的具体原因。</w:t>
            </w:r>
          </w:p>
          <w:p w14:paraId="43C1A057">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在评审暗标部分时，需要向投标人发出澄清的，投标人的澄清回复内容不得签字和盖章，也不得出现可能泄露投标人单位及个人信息的文字、图片、图表等有关表述或者任何标记，否则评标委员会按零分处理，并在评标报告中载明按零分处理的具体原因。</w:t>
            </w:r>
          </w:p>
          <w:p w14:paraId="1FB4FA07">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 投标人使用XX投标文件编制工具编制暗标部分内容，投标文件编制工具将所有投标人投标文件中的此部分内容规范成统一格式。</w:t>
            </w:r>
          </w:p>
          <w:p w14:paraId="3950CC28">
            <w:pPr>
              <w:pStyle w:val="18"/>
              <w:ind w:left="0" w:leftChars="0" w:firstLine="0" w:firstLineChars="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4.暗标部分的页数不得超过</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页。</w:t>
            </w:r>
          </w:p>
        </w:tc>
      </w:tr>
      <w:tr w14:paraId="5E62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2115" w:type="dxa"/>
            <w:vAlign w:val="center"/>
          </w:tcPr>
          <w:p w14:paraId="389D294C">
            <w:pPr>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设备采购、材料采购</w:t>
            </w:r>
          </w:p>
        </w:tc>
        <w:tc>
          <w:tcPr>
            <w:tcW w:w="2268" w:type="dxa"/>
            <w:vAlign w:val="center"/>
          </w:tcPr>
          <w:p w14:paraId="6F4DAC4E">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第三章“评标办法（综合评估法）”前附表2.2.4（2）“技术评分标准”</w:t>
            </w:r>
          </w:p>
        </w:tc>
        <w:tc>
          <w:tcPr>
            <w:tcW w:w="4200" w:type="dxa"/>
            <w:vAlign w:val="center"/>
          </w:tcPr>
          <w:p w14:paraId="2920716F">
            <w:pPr>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注：技术评分标准可从对投标设备的整体评价、投标设备技术性能指标的响应程度、对投标人技术服务和质保期服务能力的评价等方面设置。</w:t>
            </w:r>
          </w:p>
        </w:tc>
        <w:tc>
          <w:tcPr>
            <w:tcW w:w="4857" w:type="dxa"/>
            <w:vAlign w:val="top"/>
          </w:tcPr>
          <w:p w14:paraId="40A614E6">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注：技术评分因素可综合考虑生产、包装、物流、销售、服务、回收和再利用等环节，从对投标材料整体评价、投标材料质量标准的响应程度、对投标人相关服务能力的评价等方面设置。</w:t>
            </w:r>
          </w:p>
        </w:tc>
      </w:tr>
      <w:tr w14:paraId="144A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4DA2085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1C96A57B">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第三章“评标办法”评标办法前附表的“注”</w:t>
            </w:r>
          </w:p>
        </w:tc>
        <w:tc>
          <w:tcPr>
            <w:tcW w:w="4200" w:type="dxa"/>
            <w:vAlign w:val="center"/>
          </w:tcPr>
          <w:p w14:paraId="15D410ED">
            <w:pPr>
              <w:spacing w:line="38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设定奖项年限为近3年的，个数不得超过1个，设定奖项年限为近5年及以上的，个数不得超过2个；评标办法中各类奖项加分总分值不得超过3分。</w:t>
            </w:r>
          </w:p>
        </w:tc>
        <w:tc>
          <w:tcPr>
            <w:tcW w:w="4857" w:type="dxa"/>
          </w:tcPr>
          <w:p w14:paraId="2D45450B">
            <w:pPr>
              <w:pStyle w:val="9"/>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设定奖项年限为近</w:t>
            </w:r>
            <w:r>
              <w:rPr>
                <w:rFonts w:hint="eastAsia" w:ascii="仿宋" w:hAnsi="仿宋" w:eastAsia="仿宋" w:cs="仿宋"/>
                <w:b/>
                <w:bCs/>
                <w:color w:val="auto"/>
                <w:sz w:val="24"/>
                <w:szCs w:val="24"/>
                <w:highlight w:val="none"/>
              </w:rPr>
              <w:t>3年</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或4年，或5年</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的，个数不得超过1个，设定奖项年限为近</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年</w:t>
            </w:r>
            <w:r>
              <w:rPr>
                <w:rFonts w:hint="eastAsia" w:ascii="仿宋" w:hAnsi="仿宋" w:eastAsia="仿宋" w:cs="仿宋"/>
                <w:color w:val="auto"/>
                <w:sz w:val="24"/>
                <w:szCs w:val="24"/>
                <w:highlight w:val="none"/>
              </w:rPr>
              <w:t>及以上的，个数不得超过2个；评标办法中各类奖项加分总分值不得超过3分。</w:t>
            </w:r>
          </w:p>
        </w:tc>
      </w:tr>
      <w:tr w14:paraId="5747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5BF4270F">
            <w:pPr>
              <w:pStyle w:val="9"/>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p>
          <w:p w14:paraId="572923D3">
            <w:pPr>
              <w:pStyle w:val="9"/>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p>
          <w:p w14:paraId="57BE1D4D">
            <w:pPr>
              <w:pStyle w:val="9"/>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p>
          <w:p w14:paraId="34F6257A">
            <w:pPr>
              <w:pStyle w:val="9"/>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p>
          <w:p w14:paraId="371B772A">
            <w:pPr>
              <w:pStyle w:val="9"/>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p>
          <w:p w14:paraId="19D32ADB">
            <w:pPr>
              <w:pStyle w:val="9"/>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勘察、设计、勘察设计、施工、设计施工总承包、监理、设备采购、材料采购</w:t>
            </w:r>
          </w:p>
        </w:tc>
        <w:tc>
          <w:tcPr>
            <w:tcW w:w="2268" w:type="dxa"/>
            <w:vAlign w:val="center"/>
          </w:tcPr>
          <w:p w14:paraId="1B0982F6">
            <w:pPr>
              <w:spacing w:line="240" w:lineRule="auto"/>
              <w:jc w:val="center"/>
              <w:rPr>
                <w:rFonts w:hint="eastAsia" w:ascii="仿宋" w:hAnsi="仿宋" w:eastAsia="仿宋" w:cs="仿宋"/>
                <w:color w:val="auto"/>
                <w:kern w:val="2"/>
                <w:sz w:val="24"/>
                <w:szCs w:val="24"/>
                <w:highlight w:val="none"/>
                <w:lang w:val="en-US" w:eastAsia="zh-CN" w:bidi="ar-SA"/>
              </w:rPr>
            </w:pPr>
          </w:p>
          <w:p w14:paraId="6D1B8D1F">
            <w:pPr>
              <w:spacing w:line="240" w:lineRule="auto"/>
              <w:jc w:val="center"/>
              <w:rPr>
                <w:rFonts w:hint="eastAsia" w:ascii="仿宋" w:hAnsi="仿宋" w:eastAsia="仿宋" w:cs="仿宋"/>
                <w:color w:val="auto"/>
                <w:kern w:val="2"/>
                <w:sz w:val="24"/>
                <w:szCs w:val="24"/>
                <w:highlight w:val="none"/>
                <w:lang w:val="en-US" w:eastAsia="zh-CN" w:bidi="ar-SA"/>
              </w:rPr>
            </w:pPr>
          </w:p>
          <w:p w14:paraId="1FD897E8">
            <w:pPr>
              <w:spacing w:line="240" w:lineRule="auto"/>
              <w:jc w:val="center"/>
              <w:rPr>
                <w:rFonts w:hint="eastAsia" w:ascii="仿宋" w:hAnsi="仿宋" w:eastAsia="仿宋" w:cs="仿宋"/>
                <w:color w:val="auto"/>
                <w:kern w:val="2"/>
                <w:sz w:val="24"/>
                <w:szCs w:val="24"/>
                <w:highlight w:val="none"/>
                <w:lang w:val="en-US" w:eastAsia="zh-CN" w:bidi="ar-SA"/>
              </w:rPr>
            </w:pPr>
          </w:p>
          <w:p w14:paraId="4B7AA482">
            <w:pPr>
              <w:spacing w:line="240" w:lineRule="auto"/>
              <w:jc w:val="center"/>
              <w:rPr>
                <w:rFonts w:hint="eastAsia" w:ascii="仿宋" w:hAnsi="仿宋" w:eastAsia="仿宋" w:cs="仿宋"/>
                <w:color w:val="auto"/>
                <w:kern w:val="2"/>
                <w:sz w:val="24"/>
                <w:szCs w:val="24"/>
                <w:highlight w:val="none"/>
                <w:lang w:val="en-US" w:eastAsia="zh-CN" w:bidi="ar-SA"/>
              </w:rPr>
            </w:pPr>
          </w:p>
          <w:p w14:paraId="0328F0D7">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评标办法（综合评估法）“注”</w:t>
            </w:r>
          </w:p>
        </w:tc>
        <w:tc>
          <w:tcPr>
            <w:tcW w:w="4200" w:type="dxa"/>
            <w:vAlign w:val="top"/>
          </w:tcPr>
          <w:p w14:paraId="08154BE3">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w:t>
            </w:r>
          </w:p>
        </w:tc>
        <w:tc>
          <w:tcPr>
            <w:tcW w:w="4857" w:type="dxa"/>
            <w:vAlign w:val="top"/>
          </w:tcPr>
          <w:p w14:paraId="78725572">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新增：（8）投标文件暗标部分均不得出现可能泄露投标人单位及个人信息的文字、图片、图表等有关表述或者任何标记，否则评标委员会按零分处理，并在评标报告中载明按零分处理的具体原因。</w:t>
            </w:r>
          </w:p>
          <w:p w14:paraId="23A29207">
            <w:pPr>
              <w:numPr>
                <w:ilvl w:val="0"/>
                <w:numId w:val="0"/>
              </w:numPr>
              <w:spacing w:line="24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若暗标部分在暗标评审过程中，需要向投标人发出澄清的，投标人的澄清回复内容不得签字和盖章，也不得出现可能泄露投标人单位及个人信息的文字、图片、图表等有关表述或者任何标记，否则评标委员会按零分处理，并在评标报告中载明按零分处理的具体原因。</w:t>
            </w:r>
          </w:p>
        </w:tc>
      </w:tr>
      <w:tr w14:paraId="4B9A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12516AEB">
            <w:pPr>
              <w:pStyle w:val="9"/>
              <w:widowControl/>
              <w:spacing w:beforeAutospacing="0" w:afterAutospacing="0"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勘察、设计、勘察设计、施工、设计施工总承包、监理、设备采购、材料采购</w:t>
            </w:r>
          </w:p>
        </w:tc>
        <w:tc>
          <w:tcPr>
            <w:tcW w:w="2268" w:type="dxa"/>
            <w:vAlign w:val="center"/>
          </w:tcPr>
          <w:p w14:paraId="7F7560B4">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评标办法（综合评估法）正文3.3投标文件的澄清/投标文件的澄清和补正</w:t>
            </w:r>
          </w:p>
          <w:p w14:paraId="2D9F37CC">
            <w:pPr>
              <w:spacing w:line="240" w:lineRule="auto"/>
              <w:rPr>
                <w:rFonts w:hint="eastAsia" w:ascii="仿宋" w:hAnsi="仿宋" w:eastAsia="仿宋" w:cs="仿宋"/>
                <w:color w:val="auto"/>
                <w:kern w:val="2"/>
                <w:sz w:val="24"/>
                <w:szCs w:val="24"/>
                <w:highlight w:val="none"/>
                <w:lang w:val="en-US" w:eastAsia="zh-CN" w:bidi="ar-SA"/>
              </w:rPr>
            </w:pPr>
          </w:p>
        </w:tc>
        <w:tc>
          <w:tcPr>
            <w:tcW w:w="4200" w:type="dxa"/>
            <w:vAlign w:val="top"/>
          </w:tcPr>
          <w:p w14:paraId="553488D2">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w:t>
            </w:r>
          </w:p>
        </w:tc>
        <w:tc>
          <w:tcPr>
            <w:tcW w:w="4857" w:type="dxa"/>
            <w:vAlign w:val="top"/>
          </w:tcPr>
          <w:p w14:paraId="3960D267">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新增：</w:t>
            </w:r>
          </w:p>
          <w:p w14:paraId="56A67BD9">
            <w:pPr>
              <w:numPr>
                <w:ilvl w:val="0"/>
                <w:numId w:val="0"/>
              </w:numPr>
              <w:spacing w:line="24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3.3.4若暗标部分在暗标评审过程中，需要向投标人发出澄清的，投标人的澄清回复内容不得签字和盖章，也不得出现可能泄露投标人单位及个人信息的文字、图片、图表等有关表述或者任何标记，否则评标委员会按零分处理，并在评标报告中载明按零分处理的具体原因。</w:t>
            </w:r>
          </w:p>
        </w:tc>
      </w:tr>
      <w:tr w14:paraId="59BA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15" w:type="dxa"/>
            <w:vAlign w:val="center"/>
          </w:tcPr>
          <w:p w14:paraId="56FF6B58">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设计施工总承包</w:t>
            </w:r>
          </w:p>
        </w:tc>
        <w:tc>
          <w:tcPr>
            <w:tcW w:w="2268" w:type="dxa"/>
            <w:vAlign w:val="center"/>
          </w:tcPr>
          <w:p w14:paraId="077C1F4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第七章“投标文件格式”价格清单</w:t>
            </w:r>
          </w:p>
        </w:tc>
        <w:tc>
          <w:tcPr>
            <w:tcW w:w="4200" w:type="dxa"/>
            <w:vAlign w:val="center"/>
          </w:tcPr>
          <w:p w14:paraId="66D2024E">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注：投标人应按照招标文件的要求和《四川省住房和城乡建设厅关于四川省房屋建筑和市政基础设施项目工程总承包合同计价的指导意见》的规定提交价格清单。</w:t>
            </w:r>
          </w:p>
        </w:tc>
        <w:tc>
          <w:tcPr>
            <w:tcW w:w="4857" w:type="dxa"/>
          </w:tcPr>
          <w:p w14:paraId="31634FEB">
            <w:pPr>
              <w:pStyle w:val="9"/>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注：投标人应按照招标文件的要求提交价格清单。</w:t>
            </w:r>
          </w:p>
        </w:tc>
      </w:tr>
      <w:tr w14:paraId="4BF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15" w:type="dxa"/>
            <w:vAlign w:val="center"/>
          </w:tcPr>
          <w:p w14:paraId="61B3F197">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2268" w:type="dxa"/>
            <w:vAlign w:val="center"/>
          </w:tcPr>
          <w:p w14:paraId="484AF0BD">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勘察、设计、勘察设计、监理、设备采购、材料采购：第六章“投标文件格式”近年财务状况表；</w:t>
            </w:r>
          </w:p>
          <w:p w14:paraId="0BC82FB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施工：第八章“投标文件格式”近年财务状况表；</w:t>
            </w:r>
          </w:p>
          <w:p w14:paraId="32F8D46B">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设计施工总承包：第七章“投标文件格式”近年财务状况表</w:t>
            </w:r>
          </w:p>
        </w:tc>
        <w:tc>
          <w:tcPr>
            <w:tcW w:w="4200" w:type="dxa"/>
            <w:vAlign w:val="center"/>
          </w:tcPr>
          <w:p w14:paraId="2C2F5836">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tc>
        <w:tc>
          <w:tcPr>
            <w:tcW w:w="4857" w:type="dxa"/>
            <w:vAlign w:val="top"/>
          </w:tcPr>
          <w:p w14:paraId="11B8B90C">
            <w:pPr>
              <w:pStyle w:val="9"/>
              <w:widowControl/>
              <w:spacing w:beforeAutospacing="0" w:afterAutospacing="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“近年财务状况表”分两种情况。例：招标文件开始下载的时间在</w:t>
            </w:r>
            <w:r>
              <w:rPr>
                <w:rFonts w:hint="eastAsia" w:ascii="仿宋" w:hAnsi="仿宋" w:eastAsia="仿宋" w:cs="仿宋"/>
                <w:b/>
                <w:bCs/>
                <w:color w:val="auto"/>
                <w:kern w:val="2"/>
                <w:sz w:val="24"/>
                <w:szCs w:val="24"/>
                <w:highlight w:val="none"/>
                <w:lang w:val="en-US" w:eastAsia="zh-CN" w:bidi="ar-SA"/>
              </w:rPr>
              <w:t>6月1日</w:t>
            </w:r>
            <w:r>
              <w:rPr>
                <w:rFonts w:hint="eastAsia" w:ascii="仿宋" w:hAnsi="仿宋" w:eastAsia="仿宋" w:cs="仿宋"/>
                <w:color w:val="auto"/>
                <w:kern w:val="2"/>
                <w:sz w:val="24"/>
                <w:szCs w:val="24"/>
                <w:highlight w:val="none"/>
                <w:lang w:val="en-US" w:eastAsia="zh-CN" w:bidi="ar-SA"/>
              </w:rPr>
              <w:t>以前的，若投标人须知前附表规定为“近3年”，“近3年”是指当年之前的3个年度或当年的上一年之前的3个年度。如某项目招标，招标文件开始下载的时间是2020年5 月1日，“近年财务状况表”是指 2017 年、2018 年、2019 年的财务状况，或 2016 年、2017 年、2018 年的财务状况，采用哪3个年度，由投标人选择；招标文件开始下载的时间在</w:t>
            </w:r>
            <w:r>
              <w:rPr>
                <w:rFonts w:hint="eastAsia" w:ascii="仿宋" w:hAnsi="仿宋" w:eastAsia="仿宋" w:cs="仿宋"/>
                <w:b/>
                <w:bCs/>
                <w:color w:val="auto"/>
                <w:kern w:val="2"/>
                <w:sz w:val="24"/>
                <w:szCs w:val="24"/>
                <w:highlight w:val="none"/>
                <w:lang w:val="en-US" w:eastAsia="zh-CN" w:bidi="ar-SA"/>
              </w:rPr>
              <w:t>6 月 1 日</w:t>
            </w:r>
            <w:r>
              <w:rPr>
                <w:rFonts w:hint="eastAsia" w:ascii="仿宋" w:hAnsi="仿宋" w:eastAsia="仿宋" w:cs="仿宋"/>
                <w:color w:val="auto"/>
                <w:kern w:val="2"/>
                <w:sz w:val="24"/>
                <w:szCs w:val="24"/>
                <w:highlight w:val="none"/>
                <w:lang w:val="en-US" w:eastAsia="zh-CN" w:bidi="ar-SA"/>
              </w:rPr>
              <w:t>以后</w:t>
            </w:r>
            <w:r>
              <w:rPr>
                <w:rFonts w:hint="eastAsia" w:ascii="仿宋" w:hAnsi="仿宋" w:eastAsia="仿宋" w:cs="仿宋"/>
                <w:b/>
                <w:bCs/>
                <w:color w:val="auto"/>
                <w:kern w:val="2"/>
                <w:sz w:val="24"/>
                <w:szCs w:val="24"/>
                <w:highlight w:val="none"/>
                <w:lang w:val="en-US" w:eastAsia="zh-CN" w:bidi="ar-SA"/>
              </w:rPr>
              <w:t>（含6月1日）</w:t>
            </w:r>
            <w:r>
              <w:rPr>
                <w:rFonts w:hint="eastAsia" w:ascii="仿宋" w:hAnsi="仿宋" w:eastAsia="仿宋" w:cs="仿宋"/>
                <w:color w:val="auto"/>
                <w:kern w:val="2"/>
                <w:sz w:val="24"/>
                <w:szCs w:val="24"/>
                <w:highlight w:val="none"/>
                <w:lang w:val="en-US" w:eastAsia="zh-CN" w:bidi="ar-SA"/>
              </w:rPr>
              <w:t xml:space="preserve">的，“近3 年”是指当年之前的3个年度，如某项目招标，招标文件开始下载的时间是 2020 年 </w:t>
            </w:r>
            <w:r>
              <w:rPr>
                <w:rFonts w:hint="eastAsia" w:ascii="仿宋" w:hAnsi="仿宋" w:eastAsia="仿宋" w:cs="仿宋"/>
                <w:b/>
                <w:bCs/>
                <w:color w:val="auto"/>
                <w:kern w:val="2"/>
                <w:sz w:val="24"/>
                <w:szCs w:val="24"/>
                <w:highlight w:val="none"/>
                <w:lang w:val="en-US" w:eastAsia="zh-CN" w:bidi="ar-SA"/>
              </w:rPr>
              <w:t>6月5日</w:t>
            </w:r>
            <w:r>
              <w:rPr>
                <w:rFonts w:hint="eastAsia" w:ascii="仿宋" w:hAnsi="仿宋" w:eastAsia="仿宋" w:cs="仿宋"/>
                <w:color w:val="auto"/>
                <w:kern w:val="2"/>
                <w:sz w:val="24"/>
                <w:szCs w:val="24"/>
                <w:highlight w:val="none"/>
                <w:lang w:val="en-US" w:eastAsia="zh-CN" w:bidi="ar-SA"/>
              </w:rPr>
              <w:t>，“近年财务状况表”是指 2017 年、2018 年、2019年的财务状况。投标人须知前附表规定的时间不足3年的，以此类推。</w:t>
            </w:r>
          </w:p>
        </w:tc>
      </w:tr>
      <w:tr w14:paraId="7F4E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15" w:type="dxa"/>
            <w:vAlign w:val="center"/>
          </w:tcPr>
          <w:p w14:paraId="6A27B895">
            <w:pPr>
              <w:pStyle w:val="9"/>
              <w:widowControl/>
              <w:spacing w:beforeAutospacing="0" w:afterAutospacing="0"/>
              <w:ind w:firstLine="720" w:firstLineChars="3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w:t>
            </w:r>
          </w:p>
        </w:tc>
        <w:tc>
          <w:tcPr>
            <w:tcW w:w="2268" w:type="dxa"/>
            <w:vAlign w:val="center"/>
          </w:tcPr>
          <w:p w14:paraId="20F51D7F">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第八章“投标文件格式”近年完成的类似项目情况表</w:t>
            </w:r>
          </w:p>
        </w:tc>
        <w:tc>
          <w:tcPr>
            <w:tcW w:w="4200" w:type="dxa"/>
            <w:vAlign w:val="center"/>
          </w:tcPr>
          <w:p w14:paraId="05A651AA">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类似项目业绩是指:详见资格条件及评标办法要求，证明材料为合同协议书、竣工验收证明材料（总承包工程是指竣工验收报告，专业承包工程是指专业工程竣工报告或专业工程验收表或发包人&lt;总承包人&gt;出具的证明文件等材料）。类似项目业绩时间以竣工验收证明材料上的竣工时间为准。</w:t>
            </w:r>
          </w:p>
          <w:p w14:paraId="71577237">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（3）类似项目业绩的合同协议书和除发包人（总承包人）出具的证明文件以外的竣工验收证明材料无法体现招标文件要求的建设规模或技术指标的，则投标人还需提供发包人（总承包人）出具的证明文件。</w:t>
            </w:r>
          </w:p>
        </w:tc>
        <w:tc>
          <w:tcPr>
            <w:tcW w:w="4857" w:type="dxa"/>
            <w:vAlign w:val="top"/>
          </w:tcPr>
          <w:p w14:paraId="5C55FD17">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类似项目业绩是指:详见资格条件及评标办法要求，证明材料为合同协议书、竣工验收证明材料（总承包工程是指竣工验收报告，专业承包工程是指专业工程竣工报告或专业工程验收表或发包人&lt;总承包人&gt;出具的证明文件等材料）</w:t>
            </w:r>
            <w:r>
              <w:rPr>
                <w:rFonts w:hint="eastAsia" w:ascii="仿宋" w:hAnsi="仿宋" w:eastAsia="仿宋" w:cs="仿宋"/>
                <w:color w:val="auto"/>
                <w:sz w:val="24"/>
                <w:szCs w:val="24"/>
                <w:highlight w:val="none"/>
                <w:lang w:val="en-US" w:eastAsia="zh-CN"/>
              </w:rPr>
              <w:t>。提供的业绩为</w:t>
            </w:r>
            <w:r>
              <w:rPr>
                <w:rFonts w:hint="eastAsia" w:ascii="仿宋" w:hAnsi="仿宋" w:eastAsia="仿宋" w:cs="仿宋"/>
                <w:color w:val="auto"/>
                <w:kern w:val="2"/>
                <w:sz w:val="24"/>
                <w:szCs w:val="24"/>
                <w:highlight w:val="none"/>
                <w:lang w:val="en-US" w:eastAsia="zh-CN" w:bidi="ar-SA"/>
              </w:rPr>
              <w:t>总承包工程的，还须提供全国建筑市场监管公共服务平台(四库一平台)或四川省建筑市场监管公共服务平台（以下简称</w:t>
            </w:r>
            <w:r>
              <w:rPr>
                <w:rFonts w:hint="eastAsia" w:ascii="仿宋" w:hAnsi="仿宋" w:eastAsia="仿宋" w:cs="仿宋"/>
                <w:b/>
                <w:bCs/>
                <w:color w:val="auto"/>
                <w:kern w:val="2"/>
                <w:sz w:val="24"/>
                <w:szCs w:val="24"/>
                <w:highlight w:val="none"/>
                <w:lang w:val="en-US" w:eastAsia="zh-CN" w:bidi="ar-SA"/>
              </w:rPr>
              <w:t>“两平台”</w:t>
            </w:r>
            <w:r>
              <w:rPr>
                <w:rFonts w:hint="eastAsia" w:ascii="仿宋" w:hAnsi="仿宋" w:eastAsia="仿宋" w:cs="仿宋"/>
                <w:color w:val="auto"/>
                <w:kern w:val="2"/>
                <w:sz w:val="24"/>
                <w:szCs w:val="24"/>
                <w:highlight w:val="none"/>
                <w:lang w:val="en-US" w:eastAsia="zh-CN" w:bidi="ar-SA"/>
              </w:rPr>
              <w:t>）业绩信息网页截图，截图内容需确保截图页面内容完整清晰，且体现网站名称、查询网址等关键要素，至少包括“工程基本信息”中的“详细信息”</w:t>
            </w:r>
            <w:r>
              <w:rPr>
                <w:rFonts w:hint="eastAsia" w:ascii="仿宋" w:hAnsi="仿宋" w:eastAsia="仿宋" w:cs="仿宋"/>
                <w:b/>
                <w:bCs/>
                <w:color w:val="auto"/>
                <w:kern w:val="2"/>
                <w:sz w:val="24"/>
                <w:szCs w:val="24"/>
                <w:highlight w:val="none"/>
                <w:lang w:val="en-US" w:eastAsia="zh-CN" w:bidi="ar-SA"/>
              </w:rPr>
              <w:t>（数据等级应为C级及以上），专业承包工程业绩无需提供“两平台”业绩信息网页截图。</w:t>
            </w:r>
            <w:r>
              <w:rPr>
                <w:rFonts w:hint="eastAsia" w:ascii="仿宋" w:hAnsi="仿宋" w:eastAsia="仿宋" w:cs="仿宋"/>
                <w:color w:val="auto"/>
                <w:sz w:val="24"/>
                <w:szCs w:val="24"/>
                <w:highlight w:val="none"/>
              </w:rPr>
              <w:t>类似项目业绩时间以竣工验收证明材料上的竣工时间为准。</w:t>
            </w:r>
          </w:p>
          <w:p w14:paraId="5026C29F">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招标文件要求的</w:t>
            </w:r>
            <w:r>
              <w:rPr>
                <w:rFonts w:hint="eastAsia" w:ascii="仿宋" w:hAnsi="仿宋" w:eastAsia="仿宋" w:cs="仿宋"/>
                <w:color w:val="auto"/>
                <w:sz w:val="24"/>
                <w:szCs w:val="24"/>
                <w:highlight w:val="none"/>
              </w:rPr>
              <w:t>类似项目业绩的</w:t>
            </w:r>
            <w:r>
              <w:rPr>
                <w:rFonts w:hint="eastAsia" w:ascii="仿宋" w:hAnsi="仿宋" w:eastAsia="仿宋" w:cs="仿宋"/>
                <w:color w:val="auto"/>
                <w:sz w:val="24"/>
                <w:szCs w:val="24"/>
                <w:highlight w:val="none"/>
                <w:lang w:val="en-US" w:eastAsia="zh-CN"/>
              </w:rPr>
              <w:t>建设规模或技术指标以</w:t>
            </w:r>
            <w:r>
              <w:rPr>
                <w:rFonts w:hint="eastAsia" w:ascii="仿宋" w:hAnsi="仿宋" w:eastAsia="仿宋" w:cs="仿宋"/>
                <w:color w:val="auto"/>
                <w:sz w:val="24"/>
                <w:szCs w:val="24"/>
                <w:highlight w:val="none"/>
              </w:rPr>
              <w:t>合同协议书和除发包人（总承包人）出具的证明文件以外的竣工验收证明材料</w:t>
            </w:r>
            <w:r>
              <w:rPr>
                <w:rFonts w:hint="eastAsia" w:ascii="仿宋" w:hAnsi="仿宋" w:eastAsia="仿宋" w:cs="仿宋"/>
                <w:color w:val="auto"/>
                <w:sz w:val="24"/>
                <w:szCs w:val="24"/>
                <w:highlight w:val="none"/>
                <w:lang w:val="en-US" w:eastAsia="zh-CN"/>
              </w:rPr>
              <w:t>为准，若</w:t>
            </w:r>
            <w:r>
              <w:rPr>
                <w:rFonts w:hint="eastAsia" w:ascii="仿宋" w:hAnsi="仿宋" w:eastAsia="仿宋" w:cs="仿宋"/>
                <w:color w:val="auto"/>
                <w:sz w:val="24"/>
                <w:szCs w:val="24"/>
                <w:highlight w:val="none"/>
              </w:rPr>
              <w:t>合同协议书和除发包人（总承包人）出具的证明文件以外的竣工验收证明材料无法体现招标文件要求的建设规模或技术指标的，则投标人还需提供发包人（总承包人）出具的证明文件。</w:t>
            </w:r>
          </w:p>
        </w:tc>
      </w:tr>
      <w:tr w14:paraId="12EC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15" w:type="dxa"/>
            <w:vAlign w:val="center"/>
          </w:tcPr>
          <w:p w14:paraId="74530950">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0F3176B1">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ECE2AA2">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14D221D9">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53C88FC">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6FDE6EB0">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7753A235">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B40C292">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1FEC5659">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02E545A5">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205F3244">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设计施工总承包</w:t>
            </w:r>
          </w:p>
        </w:tc>
        <w:tc>
          <w:tcPr>
            <w:tcW w:w="2268" w:type="dxa"/>
            <w:vAlign w:val="center"/>
          </w:tcPr>
          <w:p w14:paraId="1DEA1FBF">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2522911C">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391A5556">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67C39330">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6CFEBA15">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113F45FE">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2D02B95E">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DA4DF60">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324701B4">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322BAE0A">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第七章“投标文件格式”近年完成的类似项目情况表</w:t>
            </w:r>
          </w:p>
        </w:tc>
        <w:tc>
          <w:tcPr>
            <w:tcW w:w="4200" w:type="dxa"/>
            <w:vAlign w:val="center"/>
          </w:tcPr>
          <w:p w14:paraId="393AA461">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（2）类似项目业绩是指:详见资格条件及评标办法要求；</w:t>
            </w:r>
          </w:p>
          <w:p w14:paraId="12D43AF1">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“近年完成的类似工程设计项目”应附合同协议书、发包人出具的证明文件，类似项目业绩时间以发包人出具的证明文件中载明的设计成果文件提交时间为准；</w:t>
            </w:r>
          </w:p>
          <w:p w14:paraId="7C0083C4">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“近年完成的类似施工项目”应附合同协议书、工程竣工验收证明材料，类似项目业绩时间以竣工验收证明材料上的竣工时间为准；</w:t>
            </w:r>
          </w:p>
          <w:p w14:paraId="05594220">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工程总承包项目”应附合同协议书、工程竣工验收证明材料，类似项目业绩时间以竣工验收证明材料上的竣工时间为准。类似工程总承包项目是指设计施工总承包项目或设计采购施工总承包项目（含勘察一并发包的项目）。</w:t>
            </w:r>
          </w:p>
          <w:p w14:paraId="4CE3A1C3">
            <w:pPr>
              <w:numPr>
                <w:ilvl w:val="0"/>
                <w:numId w:val="3"/>
              </w:num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类似项目业绩的合同协议书或工程竣工验收证明材料无法体现招标文件要求的建设规模或技术指标的，则投标人还需在发包人出具的证明文件中予以明确。</w:t>
            </w:r>
          </w:p>
        </w:tc>
        <w:tc>
          <w:tcPr>
            <w:tcW w:w="4857" w:type="dxa"/>
            <w:vAlign w:val="top"/>
          </w:tcPr>
          <w:p w14:paraId="1B845D6E">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（2）类似项目业绩是指:详见资格条件及评标办法要求；</w:t>
            </w:r>
          </w:p>
          <w:p w14:paraId="6E412DB7">
            <w:pPr>
              <w:spacing w:line="38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“近年完成的类似工程设计项目”应附合同协议书、发包人出具的证明文件，类似项目业绩时间以发包人出具的证明文件中载明的设计成果文件提交时间为准</w:t>
            </w:r>
            <w:r>
              <w:rPr>
                <w:rFonts w:hint="eastAsia" w:ascii="仿宋" w:hAnsi="仿宋" w:eastAsia="仿宋" w:cs="仿宋"/>
                <w:color w:val="auto"/>
                <w:sz w:val="24"/>
                <w:szCs w:val="24"/>
                <w:highlight w:val="none"/>
                <w:lang w:eastAsia="zh-CN"/>
              </w:rPr>
              <w:t>；</w:t>
            </w:r>
          </w:p>
          <w:p w14:paraId="6E1E0DC7">
            <w:pPr>
              <w:spacing w:line="38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“近年完成的类似施工项目”</w:t>
            </w:r>
            <w:r>
              <w:rPr>
                <w:rFonts w:hint="eastAsia" w:ascii="仿宋" w:hAnsi="仿宋" w:eastAsia="仿宋" w:cs="仿宋"/>
                <w:color w:val="auto"/>
                <w:sz w:val="24"/>
                <w:szCs w:val="24"/>
                <w:highlight w:val="none"/>
                <w:lang w:val="en-US" w:eastAsia="zh-CN"/>
              </w:rPr>
              <w:t>应附合同协议书、竣工验收证明材料（总承包工程是指竣工验收报告，专业承包工程是指专业工程竣工报告或专业工程验收表或发包人&lt;总承包人&gt;出具的证明文件等材料）。提供的业绩为</w:t>
            </w:r>
            <w:r>
              <w:rPr>
                <w:rFonts w:hint="eastAsia" w:ascii="仿宋" w:hAnsi="仿宋" w:eastAsia="仿宋" w:cs="仿宋"/>
                <w:color w:val="auto"/>
                <w:kern w:val="2"/>
                <w:sz w:val="24"/>
                <w:szCs w:val="24"/>
                <w:highlight w:val="none"/>
                <w:lang w:val="en-US" w:eastAsia="zh-CN" w:bidi="ar-SA"/>
              </w:rPr>
              <w:t>总承包工程的，还须提供全国建筑市场监管公共服务平台(四库一平台)或四川省建筑市场监管公共服务平台（以下简称</w:t>
            </w:r>
            <w:r>
              <w:rPr>
                <w:rFonts w:hint="eastAsia" w:ascii="仿宋" w:hAnsi="仿宋" w:eastAsia="仿宋" w:cs="仿宋"/>
                <w:b/>
                <w:bCs/>
                <w:color w:val="auto"/>
                <w:kern w:val="2"/>
                <w:sz w:val="24"/>
                <w:szCs w:val="24"/>
                <w:highlight w:val="none"/>
                <w:lang w:val="en-US" w:eastAsia="zh-CN" w:bidi="ar-SA"/>
              </w:rPr>
              <w:t>“两平台”</w:t>
            </w:r>
            <w:r>
              <w:rPr>
                <w:rFonts w:hint="eastAsia" w:ascii="仿宋" w:hAnsi="仿宋" w:eastAsia="仿宋" w:cs="仿宋"/>
                <w:color w:val="auto"/>
                <w:kern w:val="2"/>
                <w:sz w:val="24"/>
                <w:szCs w:val="24"/>
                <w:highlight w:val="none"/>
                <w:lang w:val="en-US" w:eastAsia="zh-CN" w:bidi="ar-SA"/>
              </w:rPr>
              <w:t>）业绩信息网页截图，截图内容需确保截图页面内容完整清晰，且体现网站名称、查询网址等关键要素，至少包括“工程基本信息”中的“详细信息”</w:t>
            </w:r>
            <w:r>
              <w:rPr>
                <w:rFonts w:hint="eastAsia" w:ascii="仿宋" w:hAnsi="仿宋" w:eastAsia="仿宋" w:cs="仿宋"/>
                <w:b/>
                <w:bCs/>
                <w:color w:val="auto"/>
                <w:kern w:val="2"/>
                <w:sz w:val="24"/>
                <w:szCs w:val="24"/>
                <w:highlight w:val="none"/>
                <w:lang w:val="en-US" w:eastAsia="zh-CN" w:bidi="ar-SA"/>
              </w:rPr>
              <w:t>（数据等级应为C级及以上），专业承包工程业绩无需提供“两平台”业绩信息网页截图。</w:t>
            </w:r>
            <w:r>
              <w:rPr>
                <w:rFonts w:hint="eastAsia" w:ascii="仿宋" w:hAnsi="仿宋" w:eastAsia="仿宋" w:cs="仿宋"/>
                <w:color w:val="auto"/>
                <w:sz w:val="24"/>
                <w:szCs w:val="24"/>
                <w:highlight w:val="none"/>
                <w:lang w:val="en-US" w:eastAsia="zh-CN"/>
              </w:rPr>
              <w:t>类似项目业绩时间以竣工验收证明材料上的竣工时间为准；</w:t>
            </w:r>
          </w:p>
          <w:p w14:paraId="7F28C3EB">
            <w:pPr>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“近年完成的类似工程总承包项目”</w:t>
            </w:r>
            <w:r>
              <w:rPr>
                <w:rFonts w:hint="eastAsia" w:ascii="仿宋" w:hAnsi="仿宋" w:eastAsia="仿宋" w:cs="仿宋"/>
                <w:color w:val="auto"/>
                <w:sz w:val="24"/>
                <w:szCs w:val="24"/>
                <w:highlight w:val="none"/>
                <w:lang w:val="en-US" w:eastAsia="zh-CN"/>
              </w:rPr>
              <w:t>应附合同协议书、竣工验收证明材料（工程总承包是指竣工验收报告，</w:t>
            </w:r>
            <w:r>
              <w:rPr>
                <w:rFonts w:hint="eastAsia" w:ascii="仿宋" w:hAnsi="仿宋" w:eastAsia="仿宋" w:cs="仿宋"/>
                <w:b w:val="0"/>
                <w:bCs w:val="0"/>
                <w:color w:val="auto"/>
                <w:kern w:val="2"/>
                <w:sz w:val="24"/>
                <w:szCs w:val="24"/>
                <w:highlight w:val="none"/>
                <w:lang w:val="en-US" w:eastAsia="zh-CN" w:bidi="ar-SA"/>
              </w:rPr>
              <w:t>专业承包工程采用工程总承包方式的</w:t>
            </w:r>
            <w:r>
              <w:rPr>
                <w:rFonts w:hint="eastAsia" w:ascii="仿宋" w:hAnsi="仿宋" w:eastAsia="仿宋" w:cs="仿宋"/>
                <w:color w:val="auto"/>
                <w:sz w:val="24"/>
                <w:szCs w:val="24"/>
                <w:highlight w:val="none"/>
                <w:lang w:val="en-US" w:eastAsia="zh-CN"/>
              </w:rPr>
              <w:t>是指专业工程竣工报告或专业工程验收表或发包人&lt;总承包人&gt;出具的证明文件等材料）。提供的业绩为</w:t>
            </w:r>
            <w:r>
              <w:rPr>
                <w:rFonts w:hint="eastAsia" w:ascii="仿宋" w:hAnsi="仿宋" w:eastAsia="仿宋" w:cs="仿宋"/>
                <w:color w:val="auto"/>
                <w:kern w:val="2"/>
                <w:sz w:val="24"/>
                <w:szCs w:val="24"/>
                <w:highlight w:val="none"/>
                <w:lang w:val="en-US" w:eastAsia="zh-CN" w:bidi="ar-SA"/>
              </w:rPr>
              <w:t>工程总承包的，还须提供全国建筑市场监管公共服务平台(四库一平台)或四川省建筑市场监管公共服务平台业绩信息网页截图，截图内容需确保截图页面内容完整清晰，且体现网站名称、查询网址等关键要素，至少包括“工程基本信息”中的“详细信息”</w:t>
            </w:r>
            <w:r>
              <w:rPr>
                <w:rFonts w:hint="eastAsia" w:ascii="仿宋" w:hAnsi="仿宋" w:eastAsia="仿宋" w:cs="仿宋"/>
                <w:b/>
                <w:bCs/>
                <w:color w:val="auto"/>
                <w:kern w:val="2"/>
                <w:sz w:val="24"/>
                <w:szCs w:val="24"/>
                <w:highlight w:val="none"/>
                <w:lang w:val="en-US" w:eastAsia="zh-CN" w:bidi="ar-SA"/>
              </w:rPr>
              <w:t>（数据等级应为C级及以上），专业承包工程采用工程总承包方式的业绩无需提供“两平台”业绩信息网页截图。</w:t>
            </w:r>
            <w:r>
              <w:rPr>
                <w:rFonts w:hint="eastAsia" w:ascii="仿宋" w:hAnsi="仿宋" w:eastAsia="仿宋" w:cs="仿宋"/>
                <w:color w:val="auto"/>
                <w:sz w:val="24"/>
                <w:szCs w:val="24"/>
                <w:highlight w:val="none"/>
                <w:lang w:val="en-US" w:eastAsia="zh-CN"/>
              </w:rPr>
              <w:t>类似项目业绩时间以竣工验收证明材料上的竣工时间为准</w:t>
            </w:r>
            <w:r>
              <w:rPr>
                <w:rFonts w:hint="eastAsia" w:ascii="仿宋" w:hAnsi="仿宋" w:eastAsia="仿宋" w:cs="仿宋"/>
                <w:color w:val="auto"/>
                <w:sz w:val="24"/>
                <w:szCs w:val="24"/>
                <w:highlight w:val="none"/>
              </w:rPr>
              <w:t>。类似工程总承包项目是指设计施工总承包项目或设计采购施工总承包项目（含勘察一并发包的项目）。</w:t>
            </w:r>
          </w:p>
          <w:p w14:paraId="30273FA3">
            <w:pPr>
              <w:pStyle w:val="9"/>
              <w:widowControl/>
              <w:numPr>
                <w:ilvl w:val="0"/>
                <w:numId w:val="0"/>
              </w:numPr>
              <w:spacing w:beforeAutospacing="0" w:afterAutospacing="0"/>
              <w:ind w:left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（3）招标文件要求的</w:t>
            </w:r>
            <w:r>
              <w:rPr>
                <w:rFonts w:hint="eastAsia" w:ascii="仿宋" w:hAnsi="仿宋" w:eastAsia="仿宋" w:cs="仿宋"/>
                <w:color w:val="auto"/>
                <w:sz w:val="24"/>
                <w:szCs w:val="24"/>
                <w:highlight w:val="none"/>
              </w:rPr>
              <w:t>类似项目业绩的</w:t>
            </w:r>
            <w:r>
              <w:rPr>
                <w:rFonts w:hint="eastAsia" w:ascii="仿宋" w:hAnsi="仿宋" w:eastAsia="仿宋" w:cs="仿宋"/>
                <w:color w:val="auto"/>
                <w:sz w:val="24"/>
                <w:szCs w:val="24"/>
                <w:highlight w:val="none"/>
                <w:lang w:val="en-US" w:eastAsia="zh-CN"/>
              </w:rPr>
              <w:t>建设规模或技术指标以</w:t>
            </w:r>
            <w:r>
              <w:rPr>
                <w:rFonts w:hint="eastAsia" w:ascii="仿宋" w:hAnsi="仿宋" w:eastAsia="仿宋" w:cs="仿宋"/>
                <w:color w:val="auto"/>
                <w:sz w:val="24"/>
                <w:szCs w:val="24"/>
                <w:highlight w:val="none"/>
              </w:rPr>
              <w:t>合同协议书和除发包人（总承包人）出具的证明文件以外的竣工验收证明材料</w:t>
            </w:r>
            <w:r>
              <w:rPr>
                <w:rFonts w:hint="eastAsia" w:ascii="仿宋" w:hAnsi="仿宋" w:eastAsia="仿宋" w:cs="仿宋"/>
                <w:color w:val="auto"/>
                <w:sz w:val="24"/>
                <w:szCs w:val="24"/>
                <w:highlight w:val="none"/>
                <w:lang w:val="en-US" w:eastAsia="zh-CN"/>
              </w:rPr>
              <w:t>为准，若</w:t>
            </w:r>
            <w:r>
              <w:rPr>
                <w:rFonts w:hint="eastAsia" w:ascii="仿宋" w:hAnsi="仿宋" w:eastAsia="仿宋" w:cs="仿宋"/>
                <w:color w:val="auto"/>
                <w:sz w:val="24"/>
                <w:szCs w:val="24"/>
                <w:highlight w:val="none"/>
              </w:rPr>
              <w:t>合同协议书和除发包人（总承包人）出具的证明文件以外的竣工验收证明材料无法体现招标文件要求的建设规模或技术指标的，则投标人还需提供发包人（总承包人）出具的证明文件</w:t>
            </w:r>
            <w:r>
              <w:rPr>
                <w:rFonts w:hint="eastAsia" w:ascii="仿宋" w:hAnsi="仿宋" w:eastAsia="仿宋" w:cs="仿宋"/>
                <w:color w:val="auto"/>
                <w:kern w:val="2"/>
                <w:sz w:val="24"/>
                <w:szCs w:val="24"/>
                <w:highlight w:val="none"/>
                <w:lang w:val="en-US" w:eastAsia="zh-CN" w:bidi="ar-SA"/>
              </w:rPr>
              <w:t>。</w:t>
            </w:r>
          </w:p>
        </w:tc>
      </w:tr>
      <w:tr w14:paraId="72C5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115" w:type="dxa"/>
            <w:vAlign w:val="center"/>
          </w:tcPr>
          <w:p w14:paraId="11B6777E">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262E7BF1">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7323B776">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21C26C8E">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0AED856B">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0286D0C0">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156226BD">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44F8A209">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3FF032E4">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476441D9">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34EF8AC8">
            <w:pPr>
              <w:pStyle w:val="9"/>
              <w:widowControl/>
              <w:spacing w:beforeAutospacing="0" w:afterAutospacing="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施工</w:t>
            </w:r>
          </w:p>
        </w:tc>
        <w:tc>
          <w:tcPr>
            <w:tcW w:w="2268" w:type="dxa"/>
            <w:vAlign w:val="center"/>
          </w:tcPr>
          <w:p w14:paraId="5A2FD647">
            <w:pPr>
              <w:jc w:val="center"/>
              <w:rPr>
                <w:rFonts w:hint="eastAsia" w:ascii="仿宋" w:hAnsi="仿宋" w:eastAsia="仿宋" w:cs="仿宋"/>
                <w:color w:val="auto"/>
                <w:kern w:val="2"/>
                <w:sz w:val="24"/>
                <w:szCs w:val="24"/>
                <w:highlight w:val="none"/>
                <w:lang w:val="en-US" w:eastAsia="zh-CN" w:bidi="ar-SA"/>
              </w:rPr>
            </w:pPr>
          </w:p>
          <w:p w14:paraId="76DA161E">
            <w:pPr>
              <w:jc w:val="center"/>
              <w:rPr>
                <w:rFonts w:hint="eastAsia" w:ascii="仿宋" w:hAnsi="仿宋" w:eastAsia="仿宋" w:cs="仿宋"/>
                <w:color w:val="auto"/>
                <w:kern w:val="2"/>
                <w:sz w:val="24"/>
                <w:szCs w:val="24"/>
                <w:highlight w:val="none"/>
                <w:lang w:val="en-US" w:eastAsia="zh-CN" w:bidi="ar-SA"/>
              </w:rPr>
            </w:pPr>
          </w:p>
          <w:p w14:paraId="57AEBE56">
            <w:pPr>
              <w:jc w:val="center"/>
              <w:rPr>
                <w:rFonts w:hint="eastAsia" w:ascii="仿宋" w:hAnsi="仿宋" w:eastAsia="仿宋" w:cs="仿宋"/>
                <w:color w:val="auto"/>
                <w:kern w:val="2"/>
                <w:sz w:val="24"/>
                <w:szCs w:val="24"/>
                <w:highlight w:val="none"/>
                <w:lang w:val="en-US" w:eastAsia="zh-CN" w:bidi="ar-SA"/>
              </w:rPr>
            </w:pPr>
          </w:p>
          <w:p w14:paraId="544970C9">
            <w:pPr>
              <w:jc w:val="center"/>
              <w:rPr>
                <w:rFonts w:hint="eastAsia" w:ascii="仿宋" w:hAnsi="仿宋" w:eastAsia="仿宋" w:cs="仿宋"/>
                <w:color w:val="auto"/>
                <w:kern w:val="2"/>
                <w:sz w:val="24"/>
                <w:szCs w:val="24"/>
                <w:highlight w:val="none"/>
                <w:lang w:val="en-US" w:eastAsia="zh-CN" w:bidi="ar-SA"/>
              </w:rPr>
            </w:pPr>
          </w:p>
          <w:p w14:paraId="2B9EBDF5">
            <w:pPr>
              <w:jc w:val="center"/>
              <w:rPr>
                <w:rFonts w:hint="eastAsia" w:ascii="仿宋" w:hAnsi="仿宋" w:eastAsia="仿宋" w:cs="仿宋"/>
                <w:color w:val="auto"/>
                <w:kern w:val="2"/>
                <w:sz w:val="24"/>
                <w:szCs w:val="24"/>
                <w:highlight w:val="none"/>
                <w:lang w:val="en-US" w:eastAsia="zh-CN" w:bidi="ar-SA"/>
              </w:rPr>
            </w:pPr>
          </w:p>
          <w:p w14:paraId="7ADB23D8">
            <w:pPr>
              <w:jc w:val="center"/>
              <w:rPr>
                <w:rFonts w:hint="eastAsia" w:ascii="仿宋" w:hAnsi="仿宋" w:eastAsia="仿宋" w:cs="仿宋"/>
                <w:color w:val="auto"/>
                <w:kern w:val="2"/>
                <w:sz w:val="24"/>
                <w:szCs w:val="24"/>
                <w:highlight w:val="none"/>
                <w:lang w:val="en-US" w:eastAsia="zh-CN" w:bidi="ar-SA"/>
              </w:rPr>
            </w:pPr>
          </w:p>
          <w:p w14:paraId="1099CBE1">
            <w:pPr>
              <w:jc w:val="center"/>
              <w:rPr>
                <w:rFonts w:hint="eastAsia" w:ascii="仿宋" w:hAnsi="仿宋" w:eastAsia="仿宋" w:cs="仿宋"/>
                <w:color w:val="auto"/>
                <w:kern w:val="2"/>
                <w:sz w:val="24"/>
                <w:szCs w:val="24"/>
                <w:highlight w:val="none"/>
                <w:lang w:val="en-US" w:eastAsia="zh-CN" w:bidi="ar-SA"/>
              </w:rPr>
            </w:pPr>
          </w:p>
          <w:p w14:paraId="4F6796F8">
            <w:pPr>
              <w:jc w:val="center"/>
              <w:rPr>
                <w:rFonts w:hint="eastAsia" w:ascii="仿宋" w:hAnsi="仿宋" w:eastAsia="仿宋" w:cs="仿宋"/>
                <w:color w:val="auto"/>
                <w:kern w:val="2"/>
                <w:sz w:val="24"/>
                <w:szCs w:val="24"/>
                <w:highlight w:val="none"/>
                <w:lang w:val="en-US" w:eastAsia="zh-CN" w:bidi="ar-SA"/>
              </w:rPr>
            </w:pPr>
          </w:p>
          <w:p w14:paraId="6215CEEF">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1F6E60E8">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987439B">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第八章“投标文件格式”其他材料</w:t>
            </w:r>
          </w:p>
        </w:tc>
        <w:tc>
          <w:tcPr>
            <w:tcW w:w="4200" w:type="dxa"/>
            <w:vAlign w:val="center"/>
          </w:tcPr>
          <w:p w14:paraId="0EBE82D1">
            <w:pPr>
              <w:spacing w:line="380" w:lineRule="exact"/>
              <w:ind w:firstLine="1680" w:firstLineChars="700"/>
              <w:rPr>
                <w:rFonts w:hint="eastAsia" w:ascii="仿宋" w:hAnsi="仿宋" w:eastAsia="仿宋" w:cs="仿宋"/>
                <w:color w:val="auto"/>
                <w:sz w:val="24"/>
                <w:szCs w:val="24"/>
                <w:highlight w:val="none"/>
                <w:lang w:val="en-US" w:eastAsia="zh-CN"/>
              </w:rPr>
            </w:pPr>
          </w:p>
          <w:p w14:paraId="068CC3CB">
            <w:pPr>
              <w:spacing w:line="380" w:lineRule="exact"/>
              <w:ind w:firstLine="1680" w:firstLineChars="700"/>
              <w:rPr>
                <w:rFonts w:hint="eastAsia" w:ascii="仿宋" w:hAnsi="仿宋" w:eastAsia="仿宋" w:cs="仿宋"/>
                <w:color w:val="auto"/>
                <w:sz w:val="24"/>
                <w:szCs w:val="24"/>
                <w:highlight w:val="none"/>
                <w:lang w:val="en-US" w:eastAsia="zh-CN"/>
              </w:rPr>
            </w:pPr>
          </w:p>
          <w:p w14:paraId="7C1F02D4">
            <w:pPr>
              <w:spacing w:line="380" w:lineRule="exact"/>
              <w:ind w:firstLine="1680" w:firstLineChars="700"/>
              <w:rPr>
                <w:rFonts w:hint="eastAsia" w:ascii="仿宋" w:hAnsi="仿宋" w:eastAsia="仿宋" w:cs="仿宋"/>
                <w:color w:val="auto"/>
                <w:sz w:val="24"/>
                <w:szCs w:val="24"/>
                <w:highlight w:val="none"/>
                <w:lang w:val="en-US" w:eastAsia="zh-CN"/>
              </w:rPr>
            </w:pPr>
          </w:p>
          <w:p w14:paraId="1DB22D37">
            <w:pPr>
              <w:spacing w:line="380" w:lineRule="exact"/>
              <w:ind w:firstLine="1680" w:firstLineChars="700"/>
              <w:rPr>
                <w:rFonts w:hint="eastAsia" w:ascii="仿宋" w:hAnsi="仿宋" w:eastAsia="仿宋" w:cs="仿宋"/>
                <w:color w:val="auto"/>
                <w:sz w:val="24"/>
                <w:szCs w:val="24"/>
                <w:highlight w:val="none"/>
                <w:lang w:val="en-US" w:eastAsia="zh-CN"/>
              </w:rPr>
            </w:pPr>
          </w:p>
          <w:p w14:paraId="44FC12AC">
            <w:pPr>
              <w:spacing w:line="380" w:lineRule="exact"/>
              <w:ind w:firstLine="1680" w:firstLineChars="700"/>
              <w:rPr>
                <w:rFonts w:hint="eastAsia" w:ascii="仿宋" w:hAnsi="仿宋" w:eastAsia="仿宋" w:cs="仿宋"/>
                <w:color w:val="auto"/>
                <w:sz w:val="24"/>
                <w:szCs w:val="24"/>
                <w:highlight w:val="none"/>
                <w:lang w:val="en-US" w:eastAsia="zh-CN"/>
              </w:rPr>
            </w:pPr>
          </w:p>
          <w:p w14:paraId="0819B0B5">
            <w:pPr>
              <w:spacing w:line="380" w:lineRule="exact"/>
              <w:ind w:firstLine="1680" w:firstLineChars="700"/>
              <w:rPr>
                <w:rFonts w:hint="eastAsia" w:ascii="仿宋" w:hAnsi="仿宋" w:eastAsia="仿宋" w:cs="仿宋"/>
                <w:color w:val="auto"/>
                <w:sz w:val="24"/>
                <w:szCs w:val="24"/>
                <w:highlight w:val="none"/>
                <w:lang w:val="en-US" w:eastAsia="zh-CN"/>
              </w:rPr>
            </w:pPr>
          </w:p>
          <w:p w14:paraId="47566C51">
            <w:pPr>
              <w:spacing w:line="380" w:lineRule="exact"/>
              <w:ind w:firstLine="1680" w:firstLineChars="700"/>
              <w:rPr>
                <w:rFonts w:hint="eastAsia" w:ascii="仿宋" w:hAnsi="仿宋" w:eastAsia="仿宋" w:cs="仿宋"/>
                <w:color w:val="auto"/>
                <w:sz w:val="24"/>
                <w:szCs w:val="24"/>
                <w:highlight w:val="none"/>
                <w:lang w:val="en-US" w:eastAsia="zh-CN"/>
              </w:rPr>
            </w:pPr>
          </w:p>
          <w:p w14:paraId="1E0305CE">
            <w:pPr>
              <w:spacing w:line="380" w:lineRule="exact"/>
              <w:ind w:firstLine="1680" w:firstLineChars="700"/>
              <w:rPr>
                <w:rFonts w:hint="eastAsia" w:ascii="仿宋" w:hAnsi="仿宋" w:eastAsia="仿宋" w:cs="仿宋"/>
                <w:color w:val="auto"/>
                <w:sz w:val="24"/>
                <w:szCs w:val="24"/>
                <w:highlight w:val="none"/>
                <w:lang w:val="en-US" w:eastAsia="zh-CN"/>
              </w:rPr>
            </w:pPr>
          </w:p>
          <w:p w14:paraId="65D1997D">
            <w:pPr>
              <w:spacing w:line="380" w:lineRule="exact"/>
              <w:ind w:firstLine="1680" w:firstLineChars="700"/>
              <w:rPr>
                <w:rFonts w:hint="eastAsia" w:ascii="仿宋" w:hAnsi="仿宋" w:eastAsia="仿宋" w:cs="仿宋"/>
                <w:color w:val="auto"/>
                <w:sz w:val="24"/>
                <w:szCs w:val="24"/>
                <w:highlight w:val="none"/>
                <w:lang w:val="en-US" w:eastAsia="zh-CN"/>
              </w:rPr>
            </w:pPr>
          </w:p>
          <w:p w14:paraId="676EF2B5">
            <w:pPr>
              <w:spacing w:line="380" w:lineRule="exact"/>
              <w:ind w:firstLine="1680" w:firstLineChars="700"/>
              <w:rPr>
                <w:rFonts w:hint="eastAsia" w:ascii="仿宋" w:hAnsi="仿宋" w:eastAsia="仿宋" w:cs="仿宋"/>
                <w:color w:val="auto"/>
                <w:sz w:val="24"/>
                <w:szCs w:val="24"/>
                <w:highlight w:val="none"/>
                <w:lang w:val="en-US" w:eastAsia="zh-CN"/>
              </w:rPr>
            </w:pPr>
          </w:p>
          <w:p w14:paraId="4D421203">
            <w:pPr>
              <w:spacing w:line="380" w:lineRule="exact"/>
              <w:ind w:firstLine="1680" w:firstLineChars="700"/>
              <w:rPr>
                <w:rFonts w:hint="eastAsia" w:ascii="仿宋" w:hAnsi="仿宋" w:eastAsia="仿宋" w:cs="仿宋"/>
                <w:color w:val="auto"/>
                <w:sz w:val="24"/>
                <w:szCs w:val="24"/>
                <w:highlight w:val="none"/>
                <w:lang w:val="en-US" w:eastAsia="zh-CN"/>
              </w:rPr>
            </w:pPr>
          </w:p>
          <w:p w14:paraId="31A503DC">
            <w:pPr>
              <w:spacing w:line="380" w:lineRule="exact"/>
              <w:ind w:firstLine="1680" w:firstLineChars="700"/>
              <w:rPr>
                <w:rFonts w:hint="eastAsia" w:ascii="仿宋" w:hAnsi="仿宋" w:eastAsia="仿宋" w:cs="仿宋"/>
                <w:color w:val="auto"/>
                <w:sz w:val="24"/>
                <w:szCs w:val="24"/>
                <w:highlight w:val="none"/>
                <w:lang w:val="en-US" w:eastAsia="zh-CN"/>
              </w:rPr>
            </w:pPr>
          </w:p>
          <w:p w14:paraId="63DAE2E8">
            <w:pPr>
              <w:spacing w:line="380" w:lineRule="exact"/>
              <w:ind w:firstLine="1680" w:firstLineChars="7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4857" w:type="dxa"/>
            <w:vAlign w:val="top"/>
          </w:tcPr>
          <w:p w14:paraId="41BA88A9">
            <w:pPr>
              <w:pStyle w:val="9"/>
              <w:widowControl/>
              <w:spacing w:beforeAutospacing="0" w:afterAutospacing="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新增：</w:t>
            </w:r>
            <w:bookmarkStart w:id="5" w:name="OLE_LINK6"/>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bookmarkEnd w:id="5"/>
          </w:p>
          <w:p w14:paraId="2252B042">
            <w:pPr>
              <w:spacing w:before="116" w:line="225" w:lineRule="auto"/>
              <w:ind w:firstLine="1482" w:firstLineChars="600"/>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中小企业声明函</w:t>
            </w:r>
          </w:p>
          <w:p w14:paraId="08B8D897">
            <w:pPr>
              <w:pStyle w:val="6"/>
              <w:spacing w:before="100" w:line="307" w:lineRule="auto"/>
              <w:ind w:right="84"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本单位郑重声明，根据《四川省人民政府办公厅关于深化改革创新促进招标投标市场规范健康发展的意见》（川办规（2025）8号）的规定，本单位参加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lang w:val="en-US" w:eastAsia="zh-CN" w:bidi="ar-SA"/>
              </w:rPr>
              <w:t>（招标人名称）的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bidi="ar-SA"/>
              </w:rPr>
              <w:t>（项目名称、标段名称）招标活动，本单位的具体情况如下：</w:t>
            </w:r>
          </w:p>
          <w:p w14:paraId="1C5A79F2">
            <w:pPr>
              <w:pStyle w:val="6"/>
              <w:spacing w:before="3" w:line="272" w:lineRule="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lang w:val="en-US" w:eastAsia="zh-CN" w:bidi="ar-SA"/>
              </w:rPr>
              <w:t>（项目名称、标段名称）</w:t>
            </w:r>
            <w:r>
              <w:rPr>
                <w:rFonts w:hint="eastAsia" w:ascii="仿宋" w:hAnsi="仿宋" w:eastAsia="仿宋" w:cs="仿宋"/>
                <w:color w:val="auto"/>
                <w:spacing w:val="-11"/>
                <w:sz w:val="24"/>
                <w:szCs w:val="24"/>
                <w:highlight w:val="none"/>
              </w:rPr>
              <w:t>属于</w:t>
            </w:r>
            <w:r>
              <w:rPr>
                <w:rFonts w:hint="eastAsia" w:ascii="仿宋" w:hAnsi="仿宋" w:eastAsia="仿宋" w:cs="仿宋"/>
                <w:color w:val="auto"/>
                <w:kern w:val="2"/>
                <w:sz w:val="24"/>
                <w:szCs w:val="24"/>
                <w:highlight w:val="none"/>
                <w:lang w:val="en-US" w:eastAsia="zh-CN" w:bidi="ar-SA"/>
              </w:rPr>
              <w:t>建筑业；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承建（承接）企业为</w:t>
            </w:r>
            <w:r>
              <w:rPr>
                <w:rFonts w:hint="eastAsia" w:ascii="仿宋" w:hAnsi="仿宋" w:eastAsia="仿宋" w:cs="仿宋"/>
                <w:color w:val="auto"/>
                <w:kern w:val="2"/>
                <w:sz w:val="24"/>
                <w:szCs w:val="24"/>
                <w:highlight w:val="none"/>
                <w:u w:val="single"/>
                <w:lang w:val="en-US" w:eastAsia="zh-CN" w:bidi="ar-SA"/>
              </w:rPr>
              <w:t xml:space="preserve">  （单位名称）</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pacing w:val="7"/>
                <w:sz w:val="24"/>
                <w:szCs w:val="24"/>
                <w:highlight w:val="none"/>
              </w:rPr>
              <w:t>营业</w:t>
            </w:r>
            <w:r>
              <w:rPr>
                <w:rFonts w:hint="eastAsia" w:ascii="仿宋" w:hAnsi="仿宋" w:eastAsia="仿宋" w:cs="仿宋"/>
                <w:color w:val="auto"/>
                <w:spacing w:val="-5"/>
                <w:sz w:val="24"/>
                <w:szCs w:val="24"/>
                <w:highlight w:val="none"/>
              </w:rPr>
              <w:t>收入为</w:t>
            </w:r>
            <w:r>
              <w:rPr>
                <w:rFonts w:hint="eastAsia" w:ascii="仿宋" w:hAnsi="仿宋" w:eastAsia="仿宋" w:cs="仿宋"/>
                <w:color w:val="auto"/>
                <w:spacing w:val="-148"/>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1"/>
                <w:sz w:val="24"/>
                <w:szCs w:val="24"/>
                <w:highlight w:val="none"/>
              </w:rPr>
              <w:t xml:space="preserve"> </w:t>
            </w:r>
            <w:r>
              <w:rPr>
                <w:rFonts w:hint="eastAsia" w:ascii="仿宋" w:hAnsi="仿宋" w:eastAsia="仿宋" w:cs="仿宋"/>
                <w:color w:val="auto"/>
                <w:spacing w:val="-5"/>
                <w:sz w:val="24"/>
                <w:szCs w:val="24"/>
                <w:highlight w:val="none"/>
              </w:rPr>
              <w:t>万元，资产总额为</w:t>
            </w:r>
            <w:r>
              <w:rPr>
                <w:rFonts w:hint="eastAsia" w:ascii="仿宋" w:hAnsi="仿宋" w:eastAsia="仿宋" w:cs="仿宋"/>
                <w:color w:val="auto"/>
                <w:spacing w:val="-155"/>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0"/>
                <w:sz w:val="24"/>
                <w:szCs w:val="24"/>
                <w:highlight w:val="none"/>
              </w:rPr>
              <w:t xml:space="preserve"> </w:t>
            </w:r>
            <w:r>
              <w:rPr>
                <w:rFonts w:hint="eastAsia" w:ascii="仿宋" w:hAnsi="仿宋" w:eastAsia="仿宋" w:cs="仿宋"/>
                <w:color w:val="auto"/>
                <w:spacing w:val="-5"/>
                <w:sz w:val="24"/>
                <w:szCs w:val="24"/>
                <w:highlight w:val="none"/>
              </w:rPr>
              <w:t>万元，属于</w:t>
            </w:r>
            <w:r>
              <w:rPr>
                <w:rFonts w:hint="eastAsia" w:ascii="仿宋" w:hAnsi="仿宋" w:eastAsia="仿宋" w:cs="仿宋"/>
                <w:color w:val="auto"/>
                <w:kern w:val="2"/>
                <w:sz w:val="24"/>
                <w:szCs w:val="24"/>
                <w:highlight w:val="none"/>
                <w:u w:val="single"/>
                <w:lang w:val="en-US" w:eastAsia="zh-CN" w:bidi="ar-SA"/>
              </w:rPr>
              <w:t>（中型企业或小型企业或微型企业）；</w:t>
            </w:r>
          </w:p>
          <w:p w14:paraId="2D085A2C">
            <w:pPr>
              <w:pStyle w:val="6"/>
              <w:spacing w:before="13" w:line="310" w:lineRule="auto"/>
              <w:ind w:right="86" w:firstLine="508" w:firstLineChars="200"/>
              <w:rPr>
                <w:rFonts w:hint="eastAsia" w:ascii="仿宋" w:hAnsi="仿宋" w:eastAsia="仿宋" w:cs="仿宋"/>
                <w:color w:val="auto"/>
                <w:sz w:val="24"/>
                <w:szCs w:val="24"/>
                <w:highlight w:val="none"/>
              </w:rPr>
            </w:pPr>
            <w:r>
              <w:rPr>
                <w:rFonts w:hint="eastAsia" w:cs="仿宋"/>
                <w:color w:val="auto"/>
                <w:spacing w:val="7"/>
                <w:sz w:val="24"/>
                <w:szCs w:val="24"/>
                <w:highlight w:val="none"/>
                <w:lang w:val="en-US" w:eastAsia="zh-CN"/>
              </w:rPr>
              <w:t>本</w:t>
            </w:r>
            <w:r>
              <w:rPr>
                <w:rFonts w:hint="eastAsia" w:ascii="仿宋" w:hAnsi="仿宋" w:eastAsia="仿宋" w:cs="仿宋"/>
                <w:color w:val="auto"/>
                <w:spacing w:val="7"/>
                <w:sz w:val="24"/>
                <w:szCs w:val="24"/>
                <w:highlight w:val="none"/>
                <w:lang w:val="en-US" w:eastAsia="zh-CN"/>
              </w:rPr>
              <w:t>单位</w:t>
            </w:r>
            <w:r>
              <w:rPr>
                <w:rFonts w:hint="eastAsia" w:cs="仿宋"/>
                <w:color w:val="auto"/>
                <w:spacing w:val="7"/>
                <w:sz w:val="24"/>
                <w:szCs w:val="24"/>
                <w:highlight w:val="none"/>
                <w:lang w:val="en-US" w:eastAsia="zh-CN"/>
              </w:rPr>
              <w:t>声明</w:t>
            </w:r>
            <w:r>
              <w:rPr>
                <w:rFonts w:hint="eastAsia" w:ascii="仿宋" w:hAnsi="仿宋" w:eastAsia="仿宋" w:cs="仿宋"/>
                <w:color w:val="auto"/>
                <w:spacing w:val="7"/>
                <w:sz w:val="24"/>
                <w:szCs w:val="24"/>
                <w:highlight w:val="none"/>
              </w:rPr>
              <w:t>不属于大企业的分支机构，不存</w:t>
            </w:r>
            <w:r>
              <w:rPr>
                <w:rFonts w:hint="eastAsia" w:ascii="仿宋" w:hAnsi="仿宋" w:eastAsia="仿宋" w:cs="仿宋"/>
                <w:color w:val="auto"/>
                <w:spacing w:val="6"/>
                <w:sz w:val="24"/>
                <w:szCs w:val="24"/>
                <w:highlight w:val="none"/>
              </w:rPr>
              <w:t>在控股股东</w:t>
            </w:r>
            <w:r>
              <w:rPr>
                <w:rFonts w:hint="eastAsia" w:ascii="仿宋" w:hAnsi="仿宋" w:eastAsia="仿宋" w:cs="仿宋"/>
                <w:color w:val="auto"/>
                <w:spacing w:val="8"/>
                <w:sz w:val="24"/>
                <w:szCs w:val="24"/>
                <w:highlight w:val="none"/>
              </w:rPr>
              <w:t>为大企业的情形，也不存在与大企业的负责人为同一人的情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形。</w:t>
            </w:r>
          </w:p>
          <w:p w14:paraId="482F0287">
            <w:pPr>
              <w:pStyle w:val="6"/>
              <w:spacing w:before="1" w:line="310" w:lineRule="auto"/>
              <w:ind w:left="45" w:right="88" w:firstLine="63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w:t>
            </w:r>
            <w:r>
              <w:rPr>
                <w:rFonts w:hint="eastAsia" w:ascii="仿宋" w:hAnsi="仿宋" w:eastAsia="仿宋" w:cs="仿宋"/>
                <w:color w:val="auto"/>
                <w:spacing w:val="8"/>
                <w:sz w:val="24"/>
                <w:szCs w:val="24"/>
                <w:highlight w:val="none"/>
                <w:lang w:val="en-US" w:eastAsia="zh-CN"/>
              </w:rPr>
              <w:t>单位</w:t>
            </w:r>
            <w:r>
              <w:rPr>
                <w:rFonts w:hint="eastAsia" w:ascii="仿宋" w:hAnsi="仿宋" w:eastAsia="仿宋" w:cs="仿宋"/>
                <w:color w:val="auto"/>
                <w:spacing w:val="8"/>
                <w:sz w:val="24"/>
                <w:szCs w:val="24"/>
                <w:highlight w:val="none"/>
              </w:rPr>
              <w:t>对上述声明内容的真实性负责。如有虚假，将依</w:t>
            </w:r>
            <w:r>
              <w:rPr>
                <w:rFonts w:hint="eastAsia" w:ascii="仿宋" w:hAnsi="仿宋" w:eastAsia="仿宋" w:cs="仿宋"/>
                <w:color w:val="auto"/>
                <w:spacing w:val="4"/>
                <w:sz w:val="24"/>
                <w:szCs w:val="24"/>
                <w:highlight w:val="none"/>
              </w:rPr>
              <w:t>法承担相应责任。</w:t>
            </w:r>
          </w:p>
          <w:p w14:paraId="5220D174">
            <w:pPr>
              <w:pStyle w:val="6"/>
              <w:spacing w:before="31" w:line="226" w:lineRule="auto"/>
              <w:rPr>
                <w:rFonts w:hint="eastAsia" w:ascii="仿宋" w:hAnsi="仿宋" w:eastAsia="仿宋" w:cs="仿宋"/>
                <w:color w:val="auto"/>
                <w:spacing w:val="6"/>
                <w:sz w:val="24"/>
                <w:szCs w:val="24"/>
                <w:highlight w:val="none"/>
              </w:rPr>
            </w:pPr>
          </w:p>
          <w:p w14:paraId="4A37B081">
            <w:pPr>
              <w:pStyle w:val="6"/>
              <w:spacing w:before="1" w:line="310" w:lineRule="auto"/>
              <w:ind w:right="88" w:firstLine="508" w:firstLineChars="200"/>
              <w:rPr>
                <w:rFonts w:hint="eastAsia" w:ascii="仿宋" w:hAnsi="仿宋" w:eastAsia="仿宋" w:cs="仿宋"/>
                <w:color w:val="auto"/>
                <w:spacing w:val="8"/>
                <w:sz w:val="24"/>
                <w:szCs w:val="24"/>
                <w:highlight w:val="none"/>
                <w:lang w:eastAsia="zh-CN"/>
              </w:rPr>
            </w:pPr>
            <w:r>
              <w:rPr>
                <w:rFonts w:hint="eastAsia" w:cs="仿宋"/>
                <w:color w:val="auto"/>
                <w:spacing w:val="7"/>
                <w:sz w:val="24"/>
                <w:szCs w:val="24"/>
                <w:highlight w:val="none"/>
                <w:lang w:val="en-US" w:eastAsia="zh-CN"/>
              </w:rPr>
              <w:t>声明</w:t>
            </w:r>
            <w:r>
              <w:rPr>
                <w:rFonts w:hint="eastAsia" w:ascii="仿宋" w:hAnsi="仿宋" w:eastAsia="仿宋" w:cs="仿宋"/>
                <w:color w:val="auto"/>
                <w:spacing w:val="7"/>
                <w:sz w:val="24"/>
                <w:szCs w:val="24"/>
                <w:highlight w:val="none"/>
                <w:lang w:val="en-US" w:eastAsia="zh-CN"/>
              </w:rPr>
              <w:t>单位</w:t>
            </w:r>
            <w:r>
              <w:rPr>
                <w:rFonts w:hint="eastAsia" w:ascii="仿宋" w:hAnsi="仿宋" w:eastAsia="仿宋" w:cs="仿宋"/>
                <w:color w:val="auto"/>
                <w:spacing w:val="8"/>
                <w:sz w:val="24"/>
                <w:szCs w:val="24"/>
                <w:highlight w:val="none"/>
                <w:lang w:val="en-US" w:eastAsia="zh-CN"/>
              </w:rPr>
              <w:t>：</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lang w:val="en-US" w:eastAsia="zh-CN"/>
              </w:rPr>
              <w:t>盖单位章</w:t>
            </w:r>
            <w:r>
              <w:rPr>
                <w:rFonts w:hint="eastAsia" w:ascii="仿宋" w:hAnsi="仿宋" w:eastAsia="仿宋" w:cs="仿宋"/>
                <w:color w:val="auto"/>
                <w:spacing w:val="8"/>
                <w:sz w:val="24"/>
                <w:szCs w:val="24"/>
                <w:highlight w:val="none"/>
                <w:lang w:eastAsia="zh-CN"/>
              </w:rPr>
              <w:t>）</w:t>
            </w:r>
          </w:p>
          <w:p w14:paraId="0C1EDCD0">
            <w:pPr>
              <w:spacing w:line="303" w:lineRule="auto"/>
              <w:ind w:firstLine="1792" w:firstLineChars="700"/>
              <w:rPr>
                <w:rFonts w:hint="eastAsia" w:ascii="仿宋" w:hAnsi="仿宋" w:eastAsia="仿宋" w:cs="仿宋"/>
                <w:color w:val="auto"/>
                <w:spacing w:val="8"/>
                <w:kern w:val="2"/>
                <w:sz w:val="24"/>
                <w:szCs w:val="24"/>
                <w:highlight w:val="none"/>
                <w:lang w:val="en-US" w:eastAsia="en-US" w:bidi="ar-SA"/>
              </w:rPr>
            </w:pPr>
            <w:bookmarkStart w:id="6" w:name="bookmark2"/>
            <w:bookmarkEnd w:id="6"/>
            <w:r>
              <w:rPr>
                <w:rFonts w:hint="eastAsia" w:ascii="仿宋" w:hAnsi="仿宋" w:eastAsia="仿宋" w:cs="仿宋"/>
                <w:color w:val="auto"/>
                <w:spacing w:val="8"/>
                <w:kern w:val="2"/>
                <w:sz w:val="24"/>
                <w:szCs w:val="24"/>
                <w:highlight w:val="none"/>
                <w:lang w:val="en-US" w:eastAsia="en-US" w:bidi="ar-SA"/>
              </w:rPr>
              <w:t>____年____月____日</w:t>
            </w:r>
          </w:p>
          <w:p w14:paraId="6CA629B1">
            <w:pPr>
              <w:spacing w:line="303"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14:paraId="4677A2DD">
            <w:pPr>
              <w:spacing w:line="303"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1、投标人根据</w:t>
            </w:r>
            <w:bookmarkStart w:id="7" w:name="OLE_LINK1"/>
            <w:r>
              <w:rPr>
                <w:rFonts w:hint="eastAsia" w:ascii="仿宋" w:hAnsi="仿宋" w:eastAsia="仿宋" w:cs="仿宋"/>
                <w:color w:val="auto"/>
                <w:kern w:val="2"/>
                <w:sz w:val="24"/>
                <w:szCs w:val="24"/>
                <w:highlight w:val="none"/>
                <w:lang w:val="en-US" w:eastAsia="zh-CN" w:bidi="ar-SA"/>
              </w:rPr>
              <w:t>《工业和信息化部、国家统计局、国家发展和改革委员会、财政部关于印发中小企业划型标准规定的通知》</w:t>
            </w:r>
            <w:bookmarkEnd w:id="7"/>
            <w:r>
              <w:rPr>
                <w:rFonts w:hint="eastAsia" w:ascii="仿宋" w:hAnsi="仿宋" w:eastAsia="仿宋" w:cs="仿宋"/>
                <w:color w:val="auto"/>
                <w:kern w:val="2"/>
                <w:sz w:val="24"/>
                <w:szCs w:val="24"/>
                <w:highlight w:val="none"/>
                <w:lang w:val="en-US" w:eastAsia="zh-CN" w:bidi="ar-SA"/>
              </w:rPr>
              <w:t>(工信部联企业(2011)300号)规定，结合自身实际，确定对应的中小企业划型。</w:t>
            </w:r>
          </w:p>
          <w:p w14:paraId="01A99EAA">
            <w:pPr>
              <w:spacing w:line="303"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营业收入、资产总额填报上一年度数据，无上一年度数据的新成立企业从业人员、营业收入、资产总额填0或不填，根据提交投标文件时的实际情况填写企业类型。“上一年度”时间认定分两种情况。例：招标文件开始下载的时间在</w:t>
            </w:r>
            <w:r>
              <w:rPr>
                <w:rFonts w:hint="eastAsia" w:ascii="仿宋" w:hAnsi="仿宋" w:eastAsia="仿宋" w:cs="仿宋"/>
                <w:b/>
                <w:bCs/>
                <w:color w:val="auto"/>
                <w:kern w:val="2"/>
                <w:sz w:val="24"/>
                <w:szCs w:val="24"/>
                <w:highlight w:val="none"/>
                <w:lang w:val="en-US" w:eastAsia="zh-CN" w:bidi="ar-SA"/>
              </w:rPr>
              <w:t>6月1日</w:t>
            </w:r>
            <w:r>
              <w:rPr>
                <w:rFonts w:hint="eastAsia" w:ascii="仿宋" w:hAnsi="仿宋" w:eastAsia="仿宋" w:cs="仿宋"/>
                <w:color w:val="auto"/>
                <w:kern w:val="2"/>
                <w:sz w:val="24"/>
                <w:szCs w:val="24"/>
                <w:highlight w:val="none"/>
                <w:lang w:val="en-US" w:eastAsia="zh-CN" w:bidi="ar-SA"/>
              </w:rPr>
              <w:t>以前的，上一年度是指当年之前的1个年度或当年的上一年之前的1个年度。如某项目招标，招标文件开始下载的时间是2020年5 月1日，“上一年度”是指2019 年度或2018 年度，采用哪个年度，由投标人选择；招标文件开始下载的时间在</w:t>
            </w:r>
            <w:r>
              <w:rPr>
                <w:rFonts w:hint="eastAsia" w:ascii="仿宋" w:hAnsi="仿宋" w:eastAsia="仿宋" w:cs="仿宋"/>
                <w:b/>
                <w:bCs/>
                <w:color w:val="auto"/>
                <w:kern w:val="2"/>
                <w:sz w:val="24"/>
                <w:szCs w:val="24"/>
                <w:highlight w:val="none"/>
                <w:lang w:val="en-US" w:eastAsia="zh-CN" w:bidi="ar-SA"/>
              </w:rPr>
              <w:t>6 月 1 日</w:t>
            </w:r>
            <w:r>
              <w:rPr>
                <w:rFonts w:hint="eastAsia" w:ascii="仿宋" w:hAnsi="仿宋" w:eastAsia="仿宋" w:cs="仿宋"/>
                <w:color w:val="auto"/>
                <w:kern w:val="2"/>
                <w:sz w:val="24"/>
                <w:szCs w:val="24"/>
                <w:highlight w:val="none"/>
                <w:lang w:val="en-US" w:eastAsia="zh-CN" w:bidi="ar-SA"/>
              </w:rPr>
              <w:t>以后</w:t>
            </w:r>
            <w:r>
              <w:rPr>
                <w:rFonts w:hint="eastAsia" w:ascii="仿宋" w:hAnsi="仿宋" w:eastAsia="仿宋" w:cs="仿宋"/>
                <w:b/>
                <w:bCs/>
                <w:color w:val="auto"/>
                <w:kern w:val="2"/>
                <w:sz w:val="24"/>
                <w:szCs w:val="24"/>
                <w:highlight w:val="none"/>
                <w:lang w:val="en-US" w:eastAsia="zh-CN" w:bidi="ar-SA"/>
              </w:rPr>
              <w:t>（含6月1日）</w:t>
            </w:r>
            <w:r>
              <w:rPr>
                <w:rFonts w:hint="eastAsia" w:ascii="仿宋" w:hAnsi="仿宋" w:eastAsia="仿宋" w:cs="仿宋"/>
                <w:color w:val="auto"/>
                <w:kern w:val="2"/>
                <w:sz w:val="24"/>
                <w:szCs w:val="24"/>
                <w:highlight w:val="none"/>
                <w:lang w:val="en-US" w:eastAsia="zh-CN" w:bidi="ar-SA"/>
              </w:rPr>
              <w:t xml:space="preserve">的，“上一年度”是指当年之前的1个年度，如某项目招标，招标文件开始下载的时间是 2020 年 </w:t>
            </w:r>
            <w:r>
              <w:rPr>
                <w:rFonts w:hint="eastAsia" w:ascii="仿宋" w:hAnsi="仿宋" w:eastAsia="仿宋" w:cs="仿宋"/>
                <w:b/>
                <w:bCs/>
                <w:color w:val="auto"/>
                <w:kern w:val="2"/>
                <w:sz w:val="24"/>
                <w:szCs w:val="24"/>
                <w:highlight w:val="none"/>
                <w:lang w:val="en-US" w:eastAsia="zh-CN" w:bidi="ar-SA"/>
              </w:rPr>
              <w:t>6月5日</w:t>
            </w:r>
            <w:r>
              <w:rPr>
                <w:rFonts w:hint="eastAsia" w:ascii="仿宋" w:hAnsi="仿宋" w:eastAsia="仿宋" w:cs="仿宋"/>
                <w:color w:val="auto"/>
                <w:kern w:val="2"/>
                <w:sz w:val="24"/>
                <w:szCs w:val="24"/>
                <w:highlight w:val="none"/>
                <w:lang w:val="en-US" w:eastAsia="zh-CN" w:bidi="ar-SA"/>
              </w:rPr>
              <w:t>，“上一年度”是指2019年度。</w:t>
            </w:r>
          </w:p>
          <w:p w14:paraId="6702E8A3">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3、若为联合体投标的，联合体所有单位均应属于中小企业，并应分别填写此表。</w:t>
            </w:r>
          </w:p>
        </w:tc>
      </w:tr>
      <w:tr w14:paraId="607D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15" w:type="dxa"/>
            <w:vAlign w:val="center"/>
          </w:tcPr>
          <w:p w14:paraId="5EFB2B5B">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5BD7FDF2">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02E01C7A">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707D80AB">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5E89B90F">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07E7F4BE">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4827D2E2">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2C991B46">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171674C4">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699A2F72">
            <w:pPr>
              <w:pStyle w:val="9"/>
              <w:widowControl/>
              <w:spacing w:beforeAutospacing="0" w:afterAutospacing="0"/>
              <w:jc w:val="both"/>
              <w:rPr>
                <w:rFonts w:hint="eastAsia" w:ascii="仿宋" w:hAnsi="仿宋" w:eastAsia="仿宋" w:cs="仿宋"/>
                <w:color w:val="auto"/>
                <w:kern w:val="2"/>
                <w:sz w:val="24"/>
                <w:szCs w:val="24"/>
                <w:highlight w:val="none"/>
                <w:lang w:val="en-US" w:eastAsia="zh-CN"/>
              </w:rPr>
            </w:pPr>
          </w:p>
          <w:p w14:paraId="5E955A1E">
            <w:pPr>
              <w:pStyle w:val="9"/>
              <w:widowControl/>
              <w:spacing w:beforeAutospacing="0" w:afterAutospacing="0"/>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设计施工总承包</w:t>
            </w:r>
          </w:p>
        </w:tc>
        <w:tc>
          <w:tcPr>
            <w:tcW w:w="2268" w:type="dxa"/>
            <w:vAlign w:val="center"/>
          </w:tcPr>
          <w:p w14:paraId="3DE73CCE">
            <w:pPr>
              <w:jc w:val="center"/>
              <w:rPr>
                <w:rFonts w:hint="eastAsia" w:ascii="仿宋" w:hAnsi="仿宋" w:eastAsia="仿宋" w:cs="仿宋"/>
                <w:color w:val="auto"/>
                <w:kern w:val="2"/>
                <w:sz w:val="24"/>
                <w:szCs w:val="24"/>
                <w:highlight w:val="none"/>
                <w:lang w:val="en-US" w:eastAsia="zh-CN" w:bidi="ar-SA"/>
              </w:rPr>
            </w:pPr>
          </w:p>
          <w:p w14:paraId="730DBD18">
            <w:pPr>
              <w:jc w:val="center"/>
              <w:rPr>
                <w:rFonts w:hint="eastAsia" w:ascii="仿宋" w:hAnsi="仿宋" w:eastAsia="仿宋" w:cs="仿宋"/>
                <w:color w:val="auto"/>
                <w:kern w:val="2"/>
                <w:sz w:val="24"/>
                <w:szCs w:val="24"/>
                <w:highlight w:val="none"/>
                <w:lang w:val="en-US" w:eastAsia="zh-CN" w:bidi="ar-SA"/>
              </w:rPr>
            </w:pPr>
          </w:p>
          <w:p w14:paraId="367C6563">
            <w:pPr>
              <w:jc w:val="center"/>
              <w:rPr>
                <w:rFonts w:hint="eastAsia" w:ascii="仿宋" w:hAnsi="仿宋" w:eastAsia="仿宋" w:cs="仿宋"/>
                <w:color w:val="auto"/>
                <w:kern w:val="2"/>
                <w:sz w:val="24"/>
                <w:szCs w:val="24"/>
                <w:highlight w:val="none"/>
                <w:lang w:val="en-US" w:eastAsia="zh-CN" w:bidi="ar-SA"/>
              </w:rPr>
            </w:pPr>
          </w:p>
          <w:p w14:paraId="6A812831">
            <w:pPr>
              <w:jc w:val="center"/>
              <w:rPr>
                <w:rFonts w:hint="eastAsia" w:ascii="仿宋" w:hAnsi="仿宋" w:eastAsia="仿宋" w:cs="仿宋"/>
                <w:color w:val="auto"/>
                <w:kern w:val="2"/>
                <w:sz w:val="24"/>
                <w:szCs w:val="24"/>
                <w:highlight w:val="none"/>
                <w:lang w:val="en-US" w:eastAsia="zh-CN" w:bidi="ar-SA"/>
              </w:rPr>
            </w:pPr>
          </w:p>
          <w:p w14:paraId="4DBED9E6">
            <w:pPr>
              <w:jc w:val="center"/>
              <w:rPr>
                <w:rFonts w:hint="eastAsia" w:ascii="仿宋" w:hAnsi="仿宋" w:eastAsia="仿宋" w:cs="仿宋"/>
                <w:color w:val="auto"/>
                <w:kern w:val="2"/>
                <w:sz w:val="24"/>
                <w:szCs w:val="24"/>
                <w:highlight w:val="none"/>
                <w:lang w:val="en-US" w:eastAsia="zh-CN" w:bidi="ar-SA"/>
              </w:rPr>
            </w:pPr>
          </w:p>
          <w:p w14:paraId="2DD35438">
            <w:pPr>
              <w:jc w:val="center"/>
              <w:rPr>
                <w:rFonts w:hint="eastAsia" w:ascii="仿宋" w:hAnsi="仿宋" w:eastAsia="仿宋" w:cs="仿宋"/>
                <w:color w:val="auto"/>
                <w:kern w:val="2"/>
                <w:sz w:val="24"/>
                <w:szCs w:val="24"/>
                <w:highlight w:val="none"/>
                <w:lang w:val="en-US" w:eastAsia="zh-CN" w:bidi="ar-SA"/>
              </w:rPr>
            </w:pPr>
          </w:p>
          <w:p w14:paraId="0176D7C9">
            <w:pPr>
              <w:jc w:val="center"/>
              <w:rPr>
                <w:rFonts w:hint="eastAsia" w:ascii="仿宋" w:hAnsi="仿宋" w:eastAsia="仿宋" w:cs="仿宋"/>
                <w:color w:val="auto"/>
                <w:kern w:val="2"/>
                <w:sz w:val="24"/>
                <w:szCs w:val="24"/>
                <w:highlight w:val="none"/>
                <w:lang w:val="en-US" w:eastAsia="zh-CN" w:bidi="ar-SA"/>
              </w:rPr>
            </w:pPr>
          </w:p>
          <w:p w14:paraId="16DD5992">
            <w:pPr>
              <w:jc w:val="center"/>
              <w:rPr>
                <w:rFonts w:hint="eastAsia" w:ascii="仿宋" w:hAnsi="仿宋" w:eastAsia="仿宋" w:cs="仿宋"/>
                <w:color w:val="auto"/>
                <w:kern w:val="2"/>
                <w:sz w:val="24"/>
                <w:szCs w:val="24"/>
                <w:highlight w:val="none"/>
                <w:lang w:val="en-US" w:eastAsia="zh-CN" w:bidi="ar-SA"/>
              </w:rPr>
            </w:pPr>
          </w:p>
          <w:p w14:paraId="3A16035C">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6916715B">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p>
          <w:p w14:paraId="5BCCBA32">
            <w:pPr>
              <w:pStyle w:val="9"/>
              <w:widowControl/>
              <w:spacing w:beforeAutospacing="0" w:afterAutospacing="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第七章“投标文件格式”其他材料</w:t>
            </w:r>
          </w:p>
        </w:tc>
        <w:tc>
          <w:tcPr>
            <w:tcW w:w="4200" w:type="dxa"/>
            <w:vAlign w:val="center"/>
          </w:tcPr>
          <w:p w14:paraId="7B2974C9">
            <w:pPr>
              <w:spacing w:line="380" w:lineRule="exact"/>
              <w:ind w:firstLine="1680" w:firstLineChars="700"/>
              <w:rPr>
                <w:rFonts w:hint="eastAsia" w:ascii="仿宋" w:hAnsi="仿宋" w:eastAsia="仿宋" w:cs="仿宋"/>
                <w:color w:val="auto"/>
                <w:sz w:val="24"/>
                <w:szCs w:val="24"/>
                <w:highlight w:val="none"/>
                <w:lang w:val="en-US" w:eastAsia="zh-CN"/>
              </w:rPr>
            </w:pPr>
          </w:p>
          <w:p w14:paraId="7E2988CF">
            <w:pPr>
              <w:spacing w:line="380" w:lineRule="exact"/>
              <w:ind w:firstLine="1680" w:firstLineChars="700"/>
              <w:rPr>
                <w:rFonts w:hint="eastAsia" w:ascii="仿宋" w:hAnsi="仿宋" w:eastAsia="仿宋" w:cs="仿宋"/>
                <w:color w:val="auto"/>
                <w:sz w:val="24"/>
                <w:szCs w:val="24"/>
                <w:highlight w:val="none"/>
                <w:lang w:val="en-US" w:eastAsia="zh-CN"/>
              </w:rPr>
            </w:pPr>
          </w:p>
          <w:p w14:paraId="6B5D67FB">
            <w:pPr>
              <w:spacing w:line="380" w:lineRule="exact"/>
              <w:ind w:firstLine="1680" w:firstLineChars="700"/>
              <w:rPr>
                <w:rFonts w:hint="eastAsia" w:ascii="仿宋" w:hAnsi="仿宋" w:eastAsia="仿宋" w:cs="仿宋"/>
                <w:color w:val="auto"/>
                <w:sz w:val="24"/>
                <w:szCs w:val="24"/>
                <w:highlight w:val="none"/>
                <w:lang w:val="en-US" w:eastAsia="zh-CN"/>
              </w:rPr>
            </w:pPr>
          </w:p>
          <w:p w14:paraId="1F81EA2C">
            <w:pPr>
              <w:spacing w:line="380" w:lineRule="exact"/>
              <w:ind w:firstLine="1680" w:firstLineChars="700"/>
              <w:rPr>
                <w:rFonts w:hint="eastAsia" w:ascii="仿宋" w:hAnsi="仿宋" w:eastAsia="仿宋" w:cs="仿宋"/>
                <w:color w:val="auto"/>
                <w:sz w:val="24"/>
                <w:szCs w:val="24"/>
                <w:highlight w:val="none"/>
                <w:lang w:val="en-US" w:eastAsia="zh-CN"/>
              </w:rPr>
            </w:pPr>
          </w:p>
          <w:p w14:paraId="794C88E5">
            <w:pPr>
              <w:spacing w:line="380" w:lineRule="exact"/>
              <w:ind w:firstLine="1680" w:firstLineChars="700"/>
              <w:rPr>
                <w:rFonts w:hint="eastAsia" w:ascii="仿宋" w:hAnsi="仿宋" w:eastAsia="仿宋" w:cs="仿宋"/>
                <w:color w:val="auto"/>
                <w:sz w:val="24"/>
                <w:szCs w:val="24"/>
                <w:highlight w:val="none"/>
                <w:lang w:val="en-US" w:eastAsia="zh-CN"/>
              </w:rPr>
            </w:pPr>
          </w:p>
          <w:p w14:paraId="7843586A">
            <w:pPr>
              <w:spacing w:line="380" w:lineRule="exact"/>
              <w:ind w:firstLine="1680" w:firstLineChars="700"/>
              <w:rPr>
                <w:rFonts w:hint="eastAsia" w:ascii="仿宋" w:hAnsi="仿宋" w:eastAsia="仿宋" w:cs="仿宋"/>
                <w:color w:val="auto"/>
                <w:sz w:val="24"/>
                <w:szCs w:val="24"/>
                <w:highlight w:val="none"/>
                <w:lang w:val="en-US" w:eastAsia="zh-CN"/>
              </w:rPr>
            </w:pPr>
          </w:p>
          <w:p w14:paraId="387BC3D6">
            <w:pPr>
              <w:spacing w:line="380" w:lineRule="exact"/>
              <w:ind w:firstLine="1680" w:firstLineChars="700"/>
              <w:rPr>
                <w:rFonts w:hint="eastAsia" w:ascii="仿宋" w:hAnsi="仿宋" w:eastAsia="仿宋" w:cs="仿宋"/>
                <w:color w:val="auto"/>
                <w:sz w:val="24"/>
                <w:szCs w:val="24"/>
                <w:highlight w:val="none"/>
                <w:lang w:val="en-US" w:eastAsia="zh-CN"/>
              </w:rPr>
            </w:pPr>
          </w:p>
          <w:p w14:paraId="621345C5">
            <w:pPr>
              <w:spacing w:line="380" w:lineRule="exact"/>
              <w:ind w:firstLine="1680" w:firstLineChars="700"/>
              <w:rPr>
                <w:rFonts w:hint="eastAsia" w:ascii="仿宋" w:hAnsi="仿宋" w:eastAsia="仿宋" w:cs="仿宋"/>
                <w:color w:val="auto"/>
                <w:sz w:val="24"/>
                <w:szCs w:val="24"/>
                <w:highlight w:val="none"/>
                <w:lang w:val="en-US" w:eastAsia="zh-CN"/>
              </w:rPr>
            </w:pPr>
          </w:p>
          <w:p w14:paraId="337DD029">
            <w:pPr>
              <w:spacing w:line="380" w:lineRule="exact"/>
              <w:ind w:firstLine="1680" w:firstLineChars="700"/>
              <w:rPr>
                <w:rFonts w:hint="eastAsia" w:ascii="仿宋" w:hAnsi="仿宋" w:eastAsia="仿宋" w:cs="仿宋"/>
                <w:color w:val="auto"/>
                <w:sz w:val="24"/>
                <w:szCs w:val="24"/>
                <w:highlight w:val="none"/>
                <w:lang w:val="en-US" w:eastAsia="zh-CN"/>
              </w:rPr>
            </w:pPr>
          </w:p>
          <w:p w14:paraId="740956CA">
            <w:pPr>
              <w:spacing w:line="380" w:lineRule="exact"/>
              <w:ind w:firstLine="1680" w:firstLineChars="700"/>
              <w:rPr>
                <w:rFonts w:hint="eastAsia" w:ascii="仿宋" w:hAnsi="仿宋" w:eastAsia="仿宋" w:cs="仿宋"/>
                <w:color w:val="auto"/>
                <w:sz w:val="24"/>
                <w:szCs w:val="24"/>
                <w:highlight w:val="none"/>
                <w:lang w:val="en-US" w:eastAsia="zh-CN"/>
              </w:rPr>
            </w:pPr>
          </w:p>
          <w:p w14:paraId="3788AA7D">
            <w:pPr>
              <w:spacing w:line="380" w:lineRule="exact"/>
              <w:ind w:firstLine="1680" w:firstLineChars="700"/>
              <w:rPr>
                <w:rFonts w:hint="eastAsia" w:ascii="仿宋" w:hAnsi="仿宋" w:eastAsia="仿宋" w:cs="仿宋"/>
                <w:color w:val="auto"/>
                <w:sz w:val="24"/>
                <w:szCs w:val="24"/>
                <w:highlight w:val="none"/>
                <w:lang w:val="en-US" w:eastAsia="zh-CN"/>
              </w:rPr>
            </w:pPr>
          </w:p>
          <w:p w14:paraId="3B2DDF4C">
            <w:pPr>
              <w:spacing w:line="380" w:lineRule="exact"/>
              <w:ind w:firstLine="1680" w:firstLineChars="700"/>
              <w:rPr>
                <w:rFonts w:hint="eastAsia" w:ascii="仿宋" w:hAnsi="仿宋" w:eastAsia="仿宋" w:cs="仿宋"/>
                <w:color w:val="auto"/>
                <w:sz w:val="24"/>
                <w:szCs w:val="24"/>
                <w:highlight w:val="none"/>
                <w:lang w:val="en-US" w:eastAsia="zh-CN"/>
              </w:rPr>
            </w:pPr>
          </w:p>
          <w:p w14:paraId="13B2B071">
            <w:pPr>
              <w:spacing w:line="380" w:lineRule="exact"/>
              <w:ind w:firstLine="1680" w:firstLineChars="7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4857" w:type="dxa"/>
            <w:vAlign w:val="top"/>
          </w:tcPr>
          <w:p w14:paraId="522ACAB2">
            <w:pPr>
              <w:pStyle w:val="9"/>
              <w:widowControl/>
              <w:spacing w:beforeAutospacing="0" w:afterAutospacing="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新增：</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p>
          <w:p w14:paraId="56F3C79B">
            <w:pPr>
              <w:spacing w:before="116" w:line="225" w:lineRule="auto"/>
              <w:ind w:firstLine="1482" w:firstLineChars="600"/>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中小企业声明函</w:t>
            </w:r>
          </w:p>
          <w:p w14:paraId="62DE12E9">
            <w:pPr>
              <w:pStyle w:val="6"/>
              <w:spacing w:before="3" w:line="272" w:lineRule="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本单位郑重声明，根据《四川省人民政府办公厅关于深化改革创新促进招标投标市场规范健康发展的意见》（川办规（2025）8号）的规定，本单位参加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lang w:val="en-US" w:eastAsia="zh-CN" w:bidi="ar-SA"/>
              </w:rPr>
              <w:t>（招标人名称）的</w:t>
            </w:r>
            <w:r>
              <w:rPr>
                <w:rFonts w:hint="eastAsia" w:ascii="仿宋" w:hAnsi="仿宋" w:eastAsia="仿宋" w:cs="仿宋"/>
                <w:color w:val="auto"/>
                <w:sz w:val="24"/>
                <w:szCs w:val="24"/>
                <w:highlight w:val="none"/>
                <w:u w:val="single"/>
              </w:rPr>
              <w:t xml:space="preserve">     </w:t>
            </w:r>
            <w:r>
              <w:rPr>
                <w:rFonts w:hint="eastAsia"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lang w:val="en-US" w:eastAsia="zh-CN" w:bidi="ar-SA"/>
              </w:rPr>
              <w:t>（项目名称、标段名称）招标活动，本单位的具体情况如下：</w:t>
            </w:r>
            <w:r>
              <w:rPr>
                <w:rFonts w:hint="eastAsia" w:ascii="仿宋" w:hAnsi="仿宋" w:eastAsia="仿宋" w:cs="仿宋"/>
                <w:color w:val="auto"/>
                <w:sz w:val="24"/>
                <w:szCs w:val="24"/>
                <w:highlight w:val="none"/>
                <w:u w:val="single"/>
              </w:rPr>
              <w:t xml:space="preserve">    </w:t>
            </w:r>
            <w:r>
              <w:rPr>
                <w:rFonts w:hint="eastAsia"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2"/>
                <w:sz w:val="24"/>
                <w:szCs w:val="24"/>
                <w:highlight w:val="none"/>
                <w:lang w:val="en-US" w:eastAsia="zh-CN" w:bidi="ar-SA"/>
              </w:rPr>
              <w:t>（项目名称、标段名称）</w:t>
            </w:r>
            <w:r>
              <w:rPr>
                <w:rFonts w:hint="eastAsia" w:ascii="仿宋" w:hAnsi="仿宋" w:eastAsia="仿宋" w:cs="仿宋"/>
                <w:color w:val="auto"/>
                <w:spacing w:val="-11"/>
                <w:sz w:val="24"/>
                <w:szCs w:val="24"/>
                <w:highlight w:val="none"/>
              </w:rPr>
              <w:t>属于</w:t>
            </w:r>
            <w:r>
              <w:rPr>
                <w:rFonts w:hint="eastAsia" w:ascii="仿宋" w:hAnsi="仿宋" w:eastAsia="仿宋" w:cs="仿宋"/>
                <w:color w:val="auto"/>
                <w:kern w:val="2"/>
                <w:sz w:val="24"/>
                <w:szCs w:val="24"/>
                <w:highlight w:val="none"/>
                <w:lang w:val="en-US" w:eastAsia="zh-CN" w:bidi="ar-SA"/>
              </w:rPr>
              <w:t>建筑业；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承建（承接）企业为</w:t>
            </w:r>
            <w:r>
              <w:rPr>
                <w:rFonts w:hint="eastAsia" w:ascii="仿宋" w:hAnsi="仿宋" w:eastAsia="仿宋" w:cs="仿宋"/>
                <w:color w:val="auto"/>
                <w:kern w:val="2"/>
                <w:sz w:val="24"/>
                <w:szCs w:val="24"/>
                <w:highlight w:val="none"/>
                <w:u w:val="single"/>
                <w:lang w:val="en-US" w:eastAsia="zh-CN" w:bidi="ar-SA"/>
              </w:rPr>
              <w:t xml:space="preserve"> </w:t>
            </w:r>
            <w:r>
              <w:rPr>
                <w:rFonts w:hint="eastAsia"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single"/>
                <w:lang w:val="en-US" w:eastAsia="zh-CN" w:bidi="ar-SA"/>
              </w:rPr>
              <w:t xml:space="preserve"> （单位名称）</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pacing w:val="7"/>
                <w:sz w:val="24"/>
                <w:szCs w:val="24"/>
                <w:highlight w:val="none"/>
              </w:rPr>
              <w:t>营业</w:t>
            </w:r>
            <w:r>
              <w:rPr>
                <w:rFonts w:hint="eastAsia" w:ascii="仿宋" w:hAnsi="仿宋" w:eastAsia="仿宋" w:cs="仿宋"/>
                <w:color w:val="auto"/>
                <w:spacing w:val="-5"/>
                <w:sz w:val="24"/>
                <w:szCs w:val="24"/>
                <w:highlight w:val="none"/>
              </w:rPr>
              <w:t>收入为</w:t>
            </w:r>
            <w:r>
              <w:rPr>
                <w:rFonts w:hint="eastAsia" w:ascii="仿宋" w:hAnsi="仿宋" w:eastAsia="仿宋" w:cs="仿宋"/>
                <w:color w:val="auto"/>
                <w:spacing w:val="-148"/>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1"/>
                <w:sz w:val="24"/>
                <w:szCs w:val="24"/>
                <w:highlight w:val="none"/>
              </w:rPr>
              <w:t xml:space="preserve"> </w:t>
            </w:r>
            <w:r>
              <w:rPr>
                <w:rFonts w:hint="eastAsia" w:ascii="仿宋" w:hAnsi="仿宋" w:eastAsia="仿宋" w:cs="仿宋"/>
                <w:color w:val="auto"/>
                <w:spacing w:val="-5"/>
                <w:sz w:val="24"/>
                <w:szCs w:val="24"/>
                <w:highlight w:val="none"/>
              </w:rPr>
              <w:t>万元，资产总额为</w:t>
            </w:r>
            <w:r>
              <w:rPr>
                <w:rFonts w:hint="eastAsia" w:ascii="仿宋" w:hAnsi="仿宋" w:eastAsia="仿宋" w:cs="仿宋"/>
                <w:color w:val="auto"/>
                <w:spacing w:val="-155"/>
                <w:sz w:val="24"/>
                <w:szCs w:val="24"/>
                <w:highlight w:val="none"/>
              </w:rPr>
              <w:t xml:space="preserve">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30"/>
                <w:sz w:val="24"/>
                <w:szCs w:val="24"/>
                <w:highlight w:val="none"/>
              </w:rPr>
              <w:t xml:space="preserve"> </w:t>
            </w:r>
            <w:r>
              <w:rPr>
                <w:rFonts w:hint="eastAsia" w:ascii="仿宋" w:hAnsi="仿宋" w:eastAsia="仿宋" w:cs="仿宋"/>
                <w:color w:val="auto"/>
                <w:spacing w:val="-5"/>
                <w:sz w:val="24"/>
                <w:szCs w:val="24"/>
                <w:highlight w:val="none"/>
              </w:rPr>
              <w:t>万元，属于</w:t>
            </w:r>
            <w:r>
              <w:rPr>
                <w:rFonts w:hint="eastAsia" w:ascii="仿宋" w:hAnsi="仿宋" w:eastAsia="仿宋" w:cs="仿宋"/>
                <w:color w:val="auto"/>
                <w:kern w:val="2"/>
                <w:sz w:val="24"/>
                <w:szCs w:val="24"/>
                <w:highlight w:val="none"/>
                <w:u w:val="single"/>
                <w:lang w:val="en-US" w:eastAsia="zh-CN" w:bidi="ar-SA"/>
              </w:rPr>
              <w:t>（中型企业或小型企业或微型企业）；</w:t>
            </w:r>
          </w:p>
          <w:p w14:paraId="48A18B54">
            <w:pPr>
              <w:pStyle w:val="6"/>
              <w:spacing w:before="13" w:line="310" w:lineRule="auto"/>
              <w:ind w:left="35" w:right="86" w:firstLine="678"/>
              <w:rPr>
                <w:rFonts w:hint="eastAsia" w:ascii="仿宋" w:hAnsi="仿宋" w:eastAsia="仿宋" w:cs="仿宋"/>
                <w:color w:val="auto"/>
                <w:sz w:val="24"/>
                <w:szCs w:val="24"/>
                <w:highlight w:val="none"/>
              </w:rPr>
            </w:pPr>
            <w:r>
              <w:rPr>
                <w:rFonts w:hint="eastAsia" w:cs="仿宋"/>
                <w:color w:val="auto"/>
                <w:spacing w:val="7"/>
                <w:sz w:val="24"/>
                <w:szCs w:val="24"/>
                <w:highlight w:val="none"/>
                <w:lang w:val="en-US" w:eastAsia="zh-CN"/>
              </w:rPr>
              <w:t>本</w:t>
            </w:r>
            <w:r>
              <w:rPr>
                <w:rFonts w:hint="eastAsia" w:ascii="仿宋" w:hAnsi="仿宋" w:eastAsia="仿宋" w:cs="仿宋"/>
                <w:color w:val="auto"/>
                <w:spacing w:val="7"/>
                <w:sz w:val="24"/>
                <w:szCs w:val="24"/>
                <w:highlight w:val="none"/>
                <w:lang w:val="en-US" w:eastAsia="zh-CN"/>
              </w:rPr>
              <w:t>单位</w:t>
            </w:r>
            <w:r>
              <w:rPr>
                <w:rFonts w:hint="eastAsia" w:cs="仿宋"/>
                <w:color w:val="auto"/>
                <w:spacing w:val="7"/>
                <w:sz w:val="24"/>
                <w:szCs w:val="24"/>
                <w:highlight w:val="none"/>
                <w:lang w:val="en-US" w:eastAsia="zh-CN"/>
              </w:rPr>
              <w:t>声明</w:t>
            </w:r>
            <w:r>
              <w:rPr>
                <w:rFonts w:hint="eastAsia" w:ascii="仿宋" w:hAnsi="仿宋" w:eastAsia="仿宋" w:cs="仿宋"/>
                <w:color w:val="auto"/>
                <w:spacing w:val="7"/>
                <w:sz w:val="24"/>
                <w:szCs w:val="24"/>
                <w:highlight w:val="none"/>
              </w:rPr>
              <w:t>不属于大企业的分支机构，不存</w:t>
            </w:r>
            <w:r>
              <w:rPr>
                <w:rFonts w:hint="eastAsia" w:ascii="仿宋" w:hAnsi="仿宋" w:eastAsia="仿宋" w:cs="仿宋"/>
                <w:color w:val="auto"/>
                <w:spacing w:val="6"/>
                <w:sz w:val="24"/>
                <w:szCs w:val="24"/>
                <w:highlight w:val="none"/>
              </w:rPr>
              <w:t>在控股股东</w:t>
            </w:r>
            <w:r>
              <w:rPr>
                <w:rFonts w:hint="eastAsia" w:ascii="仿宋" w:hAnsi="仿宋" w:eastAsia="仿宋" w:cs="仿宋"/>
                <w:color w:val="auto"/>
                <w:spacing w:val="8"/>
                <w:sz w:val="24"/>
                <w:szCs w:val="24"/>
                <w:highlight w:val="none"/>
              </w:rPr>
              <w:t>为大企业的情形，也不存在与大企业的负责人为同一人的情</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7"/>
                <w:sz w:val="24"/>
                <w:szCs w:val="24"/>
                <w:highlight w:val="none"/>
              </w:rPr>
              <w:t>形。</w:t>
            </w:r>
          </w:p>
          <w:p w14:paraId="680E281A">
            <w:pPr>
              <w:pStyle w:val="6"/>
              <w:spacing w:before="1" w:line="310" w:lineRule="auto"/>
              <w:ind w:left="45" w:right="88" w:firstLine="631"/>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w:t>
            </w:r>
            <w:r>
              <w:rPr>
                <w:rFonts w:hint="eastAsia" w:ascii="仿宋" w:hAnsi="仿宋" w:eastAsia="仿宋" w:cs="仿宋"/>
                <w:color w:val="auto"/>
                <w:spacing w:val="8"/>
                <w:sz w:val="24"/>
                <w:szCs w:val="24"/>
                <w:highlight w:val="none"/>
                <w:lang w:val="en-US" w:eastAsia="zh-CN"/>
              </w:rPr>
              <w:t>单位</w:t>
            </w:r>
            <w:r>
              <w:rPr>
                <w:rFonts w:hint="eastAsia" w:ascii="仿宋" w:hAnsi="仿宋" w:eastAsia="仿宋" w:cs="仿宋"/>
                <w:color w:val="auto"/>
                <w:spacing w:val="8"/>
                <w:sz w:val="24"/>
                <w:szCs w:val="24"/>
                <w:highlight w:val="none"/>
              </w:rPr>
              <w:t>对上述声明内容的真实性负责。如有虚假，将依</w:t>
            </w:r>
            <w:r>
              <w:rPr>
                <w:rFonts w:hint="eastAsia" w:ascii="仿宋" w:hAnsi="仿宋" w:eastAsia="仿宋" w:cs="仿宋"/>
                <w:color w:val="auto"/>
                <w:spacing w:val="4"/>
                <w:sz w:val="24"/>
                <w:szCs w:val="24"/>
                <w:highlight w:val="none"/>
              </w:rPr>
              <w:t>法承担相应责任。</w:t>
            </w:r>
          </w:p>
          <w:p w14:paraId="7C83FD57">
            <w:pPr>
              <w:pStyle w:val="6"/>
              <w:spacing w:before="31" w:line="226" w:lineRule="auto"/>
              <w:rPr>
                <w:rFonts w:hint="eastAsia" w:ascii="仿宋" w:hAnsi="仿宋" w:eastAsia="仿宋" w:cs="仿宋"/>
                <w:color w:val="auto"/>
                <w:spacing w:val="6"/>
                <w:sz w:val="24"/>
                <w:szCs w:val="24"/>
                <w:highlight w:val="none"/>
              </w:rPr>
            </w:pPr>
          </w:p>
          <w:p w14:paraId="41C413D1">
            <w:pPr>
              <w:pStyle w:val="6"/>
              <w:spacing w:before="1" w:line="310" w:lineRule="auto"/>
              <w:ind w:right="88" w:firstLine="508" w:firstLineChars="200"/>
              <w:rPr>
                <w:rFonts w:hint="eastAsia" w:ascii="仿宋" w:hAnsi="仿宋" w:eastAsia="仿宋" w:cs="仿宋"/>
                <w:color w:val="auto"/>
                <w:spacing w:val="8"/>
                <w:sz w:val="24"/>
                <w:szCs w:val="24"/>
                <w:highlight w:val="none"/>
                <w:lang w:eastAsia="zh-CN"/>
              </w:rPr>
            </w:pPr>
            <w:r>
              <w:rPr>
                <w:rFonts w:hint="eastAsia" w:cs="仿宋"/>
                <w:color w:val="auto"/>
                <w:spacing w:val="7"/>
                <w:sz w:val="24"/>
                <w:szCs w:val="24"/>
                <w:highlight w:val="none"/>
                <w:lang w:val="en-US" w:eastAsia="zh-CN"/>
              </w:rPr>
              <w:t>声明</w:t>
            </w:r>
            <w:r>
              <w:rPr>
                <w:rFonts w:hint="eastAsia" w:ascii="仿宋" w:hAnsi="仿宋" w:eastAsia="仿宋" w:cs="仿宋"/>
                <w:color w:val="auto"/>
                <w:spacing w:val="7"/>
                <w:sz w:val="24"/>
                <w:szCs w:val="24"/>
                <w:highlight w:val="none"/>
                <w:lang w:val="en-US" w:eastAsia="zh-CN"/>
              </w:rPr>
              <w:t>单位</w:t>
            </w:r>
            <w:r>
              <w:rPr>
                <w:rFonts w:hint="eastAsia" w:ascii="仿宋" w:hAnsi="仿宋" w:eastAsia="仿宋" w:cs="仿宋"/>
                <w:color w:val="auto"/>
                <w:spacing w:val="8"/>
                <w:sz w:val="24"/>
                <w:szCs w:val="24"/>
                <w:highlight w:val="none"/>
                <w:lang w:val="en-US" w:eastAsia="zh-CN"/>
              </w:rPr>
              <w:t>：</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lang w:val="en-US" w:eastAsia="zh-CN"/>
              </w:rPr>
              <w:t>盖单位章</w:t>
            </w:r>
            <w:r>
              <w:rPr>
                <w:rFonts w:hint="eastAsia" w:ascii="仿宋" w:hAnsi="仿宋" w:eastAsia="仿宋" w:cs="仿宋"/>
                <w:color w:val="auto"/>
                <w:spacing w:val="8"/>
                <w:sz w:val="24"/>
                <w:szCs w:val="24"/>
                <w:highlight w:val="none"/>
                <w:lang w:eastAsia="zh-CN"/>
              </w:rPr>
              <w:t>）</w:t>
            </w:r>
          </w:p>
          <w:p w14:paraId="33A6720C">
            <w:pPr>
              <w:spacing w:line="303" w:lineRule="auto"/>
              <w:ind w:firstLine="1792" w:firstLineChars="700"/>
              <w:rPr>
                <w:rFonts w:hint="eastAsia" w:ascii="仿宋" w:hAnsi="仿宋" w:eastAsia="仿宋" w:cs="仿宋"/>
                <w:color w:val="auto"/>
                <w:spacing w:val="8"/>
                <w:kern w:val="2"/>
                <w:sz w:val="24"/>
                <w:szCs w:val="24"/>
                <w:highlight w:val="none"/>
                <w:lang w:val="en-US" w:eastAsia="en-US" w:bidi="ar-SA"/>
              </w:rPr>
            </w:pPr>
            <w:r>
              <w:rPr>
                <w:rFonts w:hint="eastAsia" w:ascii="仿宋" w:hAnsi="仿宋" w:eastAsia="仿宋" w:cs="仿宋"/>
                <w:color w:val="auto"/>
                <w:spacing w:val="8"/>
                <w:kern w:val="2"/>
                <w:sz w:val="24"/>
                <w:szCs w:val="24"/>
                <w:highlight w:val="none"/>
                <w:lang w:val="en-US" w:eastAsia="en-US" w:bidi="ar-SA"/>
              </w:rPr>
              <w:t>____年____月____日</w:t>
            </w:r>
          </w:p>
          <w:p w14:paraId="3E950C26">
            <w:pPr>
              <w:spacing w:line="303"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14:paraId="37082D73">
            <w:pPr>
              <w:spacing w:line="303"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1、投标人根据《工业和信息化部、国家统计局、国家发展和改革委员会、财政部关于印发中小企业划型标准规定的通知》(工信部联企业(2011)300号)规定，结合自身实际，确定对应的中小企业划型。</w:t>
            </w:r>
          </w:p>
          <w:p w14:paraId="456F8AAF">
            <w:pPr>
              <w:spacing w:line="303"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营业收入、资产总额填报上一年度数据，无上一年度数据的新成立企业从业人员、营业收入、资产总额填0或不填，根据提交投标文件时的实际情况填写企业类型。“上一年度”时间认定分两种情况。例：招标文件开始下载的时间在</w:t>
            </w:r>
            <w:r>
              <w:rPr>
                <w:rFonts w:hint="eastAsia" w:ascii="仿宋" w:hAnsi="仿宋" w:eastAsia="仿宋" w:cs="仿宋"/>
                <w:b/>
                <w:bCs/>
                <w:color w:val="auto"/>
                <w:kern w:val="2"/>
                <w:sz w:val="24"/>
                <w:szCs w:val="24"/>
                <w:highlight w:val="none"/>
                <w:lang w:val="en-US" w:eastAsia="zh-CN" w:bidi="ar-SA"/>
              </w:rPr>
              <w:t>6月1日</w:t>
            </w:r>
            <w:r>
              <w:rPr>
                <w:rFonts w:hint="eastAsia" w:ascii="仿宋" w:hAnsi="仿宋" w:eastAsia="仿宋" w:cs="仿宋"/>
                <w:color w:val="auto"/>
                <w:kern w:val="2"/>
                <w:sz w:val="24"/>
                <w:szCs w:val="24"/>
                <w:highlight w:val="none"/>
                <w:lang w:val="en-US" w:eastAsia="zh-CN" w:bidi="ar-SA"/>
              </w:rPr>
              <w:t>以前的，上一年度是指当年之前的1个年度或当年的上一年之前的1个年度。如某项目招标，招标文件开始下载的时间是2020年5 月1日，“上一年度”是指2019 年度或2018 年度，采用哪个年度，由投标人选择；招标文件开始下载的时间在</w:t>
            </w:r>
            <w:r>
              <w:rPr>
                <w:rFonts w:hint="eastAsia" w:ascii="仿宋" w:hAnsi="仿宋" w:eastAsia="仿宋" w:cs="仿宋"/>
                <w:b/>
                <w:bCs/>
                <w:color w:val="auto"/>
                <w:kern w:val="2"/>
                <w:sz w:val="24"/>
                <w:szCs w:val="24"/>
                <w:highlight w:val="none"/>
                <w:lang w:val="en-US" w:eastAsia="zh-CN" w:bidi="ar-SA"/>
              </w:rPr>
              <w:t>6 月 1 日</w:t>
            </w:r>
            <w:r>
              <w:rPr>
                <w:rFonts w:hint="eastAsia" w:ascii="仿宋" w:hAnsi="仿宋" w:eastAsia="仿宋" w:cs="仿宋"/>
                <w:color w:val="auto"/>
                <w:kern w:val="2"/>
                <w:sz w:val="24"/>
                <w:szCs w:val="24"/>
                <w:highlight w:val="none"/>
                <w:lang w:val="en-US" w:eastAsia="zh-CN" w:bidi="ar-SA"/>
              </w:rPr>
              <w:t>以后</w:t>
            </w:r>
            <w:r>
              <w:rPr>
                <w:rFonts w:hint="eastAsia" w:ascii="仿宋" w:hAnsi="仿宋" w:eastAsia="仿宋" w:cs="仿宋"/>
                <w:b/>
                <w:bCs/>
                <w:color w:val="auto"/>
                <w:kern w:val="2"/>
                <w:sz w:val="24"/>
                <w:szCs w:val="24"/>
                <w:highlight w:val="none"/>
                <w:lang w:val="en-US" w:eastAsia="zh-CN" w:bidi="ar-SA"/>
              </w:rPr>
              <w:t>（含6月1日）</w:t>
            </w:r>
            <w:r>
              <w:rPr>
                <w:rFonts w:hint="eastAsia" w:ascii="仿宋" w:hAnsi="仿宋" w:eastAsia="仿宋" w:cs="仿宋"/>
                <w:color w:val="auto"/>
                <w:kern w:val="2"/>
                <w:sz w:val="24"/>
                <w:szCs w:val="24"/>
                <w:highlight w:val="none"/>
                <w:lang w:val="en-US" w:eastAsia="zh-CN" w:bidi="ar-SA"/>
              </w:rPr>
              <w:t xml:space="preserve">的，“上一年度”是指当年之前的1个年度，如某项目招标，招标文件开始下载的时间是 2020 年 </w:t>
            </w:r>
            <w:r>
              <w:rPr>
                <w:rFonts w:hint="eastAsia" w:ascii="仿宋" w:hAnsi="仿宋" w:eastAsia="仿宋" w:cs="仿宋"/>
                <w:b/>
                <w:bCs/>
                <w:color w:val="auto"/>
                <w:kern w:val="2"/>
                <w:sz w:val="24"/>
                <w:szCs w:val="24"/>
                <w:highlight w:val="none"/>
                <w:lang w:val="en-US" w:eastAsia="zh-CN" w:bidi="ar-SA"/>
              </w:rPr>
              <w:t>6月5日</w:t>
            </w:r>
            <w:r>
              <w:rPr>
                <w:rFonts w:hint="eastAsia" w:ascii="仿宋" w:hAnsi="仿宋" w:eastAsia="仿宋" w:cs="仿宋"/>
                <w:color w:val="auto"/>
                <w:kern w:val="2"/>
                <w:sz w:val="24"/>
                <w:szCs w:val="24"/>
                <w:highlight w:val="none"/>
                <w:lang w:val="en-US" w:eastAsia="zh-CN" w:bidi="ar-SA"/>
              </w:rPr>
              <w:t>，“上一年度”是指2019年度。</w:t>
            </w:r>
          </w:p>
          <w:p w14:paraId="01C22EE2">
            <w:pPr>
              <w:spacing w:line="303"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3、若为联合体投标的，本项目联合体协议书中职责分工为承揽施工工作的所有单位均应属于中小企业，并应分别填写此表。</w:t>
            </w:r>
          </w:p>
        </w:tc>
      </w:tr>
    </w:tbl>
    <w:p w14:paraId="7DC6FFE2">
      <w:pPr>
        <w:jc w:val="left"/>
        <w:rPr>
          <w:rFonts w:hint="eastAsia" w:ascii="Times New Roman" w:hAnsi="Times New Roman" w:eastAsia="方正小标宋简体" w:cs="Times New Roman"/>
          <w:sz w:val="36"/>
          <w:szCs w:val="36"/>
          <w:lang w:val="en-US" w:eastAsia="zh-CN"/>
        </w:rPr>
      </w:pPr>
    </w:p>
    <w:p w14:paraId="143C8E57">
      <w:pPr>
        <w:numPr>
          <w:ilvl w:val="0"/>
          <w:numId w:val="4"/>
        </w:numPr>
        <w:jc w:val="left"/>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评定分离部分</w:t>
      </w:r>
    </w:p>
    <w:tbl>
      <w:tblPr>
        <w:tblStyle w:val="11"/>
        <w:tblpPr w:leftFromText="180" w:rightFromText="180" w:vertAnchor="text" w:horzAnchor="page" w:tblpX="1560" w:tblpY="437"/>
        <w:tblOverlap w:val="never"/>
        <w:tblW w:w="13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4584"/>
        <w:gridCol w:w="6192"/>
      </w:tblGrid>
      <w:tr w14:paraId="52A6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vAlign w:val="center"/>
          </w:tcPr>
          <w:p w14:paraId="346A5978">
            <w:pPr>
              <w:pStyle w:val="9"/>
              <w:widowControl/>
              <w:spacing w:beforeAutospacing="0" w:afterAutospacing="0"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招标文件类型</w:t>
            </w:r>
          </w:p>
        </w:tc>
        <w:tc>
          <w:tcPr>
            <w:tcW w:w="1336" w:type="dxa"/>
            <w:vAlign w:val="center"/>
          </w:tcPr>
          <w:p w14:paraId="6BAE3853">
            <w:pPr>
              <w:pStyle w:val="9"/>
              <w:widowControl/>
              <w:spacing w:beforeAutospacing="0" w:afterAutospacing="0"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4584" w:type="dxa"/>
          </w:tcPr>
          <w:p w14:paraId="4C68B2F1">
            <w:pPr>
              <w:pStyle w:val="9"/>
              <w:widowControl/>
              <w:spacing w:beforeAutospacing="0" w:afterAutospacing="0"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原内容</w:t>
            </w:r>
          </w:p>
        </w:tc>
        <w:tc>
          <w:tcPr>
            <w:tcW w:w="6192" w:type="dxa"/>
          </w:tcPr>
          <w:p w14:paraId="08BD79DD">
            <w:pPr>
              <w:pStyle w:val="9"/>
              <w:widowControl/>
              <w:spacing w:beforeAutospacing="0" w:afterAutospacing="0"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修改后内容</w:t>
            </w:r>
          </w:p>
        </w:tc>
      </w:tr>
      <w:tr w14:paraId="61A1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336" w:type="dxa"/>
            <w:vAlign w:val="center"/>
          </w:tcPr>
          <w:p w14:paraId="3D7C2CEF">
            <w:pPr>
              <w:pStyle w:val="9"/>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勘察、设计、勘察设计、监理、设备采购、材料采购</w:t>
            </w:r>
          </w:p>
        </w:tc>
        <w:tc>
          <w:tcPr>
            <w:tcW w:w="1336" w:type="dxa"/>
            <w:vAlign w:val="center"/>
          </w:tcPr>
          <w:p w14:paraId="3ECC19B9">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第二章“投标人须知”前附表“6.3.2评标委员会推荐中标候选人的人数”</w:t>
            </w:r>
          </w:p>
          <w:p w14:paraId="03CAA0CF">
            <w:pPr>
              <w:spacing w:line="240" w:lineRule="auto"/>
              <w:jc w:val="center"/>
              <w:rPr>
                <w:rFonts w:hint="eastAsia" w:ascii="仿宋" w:hAnsi="仿宋" w:eastAsia="仿宋" w:cs="仿宋"/>
                <w:color w:val="auto"/>
                <w:sz w:val="24"/>
                <w:szCs w:val="24"/>
                <w:highlight w:val="none"/>
                <w:lang w:val="en-US" w:eastAsia="zh-CN"/>
              </w:rPr>
            </w:pPr>
          </w:p>
        </w:tc>
        <w:tc>
          <w:tcPr>
            <w:tcW w:w="4584" w:type="dxa"/>
          </w:tcPr>
          <w:p w14:paraId="7DF2BCE6">
            <w:pPr>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1 至 3 个，推荐的中标候选人数：3人，当符合要求的投标人少于需推荐的人数，评标委员会推荐的人数可少于需推荐的人数。</w:t>
            </w:r>
          </w:p>
        </w:tc>
        <w:tc>
          <w:tcPr>
            <w:tcW w:w="6192" w:type="dxa"/>
          </w:tcPr>
          <w:p w14:paraId="2128B2E3">
            <w:pPr>
              <w:spacing w:line="240" w:lineRule="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勘察、设计、勘察设计、监理：</w:t>
            </w:r>
          </w:p>
          <w:p w14:paraId="7230BCA4">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本项目采用中标候选人评定分离机制，</w:t>
            </w:r>
            <w:r>
              <w:rPr>
                <w:rFonts w:hint="eastAsia" w:ascii="仿宋" w:hAnsi="仿宋" w:eastAsia="仿宋" w:cs="仿宋"/>
                <w:b w:val="0"/>
                <w:bCs w:val="0"/>
                <w:i w:val="0"/>
                <w:iCs w:val="0"/>
                <w:color w:val="auto"/>
                <w:sz w:val="24"/>
                <w:szCs w:val="24"/>
                <w:highlight w:val="none"/>
                <w:lang w:val="en-US" w:eastAsia="zh-CN"/>
              </w:rPr>
              <w:t>推荐的中标候选人数为2至3人。有效投标不足2个时，评标委员会应否决所有投标。</w:t>
            </w:r>
          </w:p>
          <w:p w14:paraId="3450E786">
            <w:pPr>
              <w:pStyle w:val="18"/>
              <w:spacing w:line="240" w:lineRule="auto"/>
              <w:rPr>
                <w:rFonts w:hint="eastAsia" w:ascii="仿宋" w:hAnsi="仿宋" w:eastAsia="仿宋" w:cs="仿宋"/>
                <w:b w:val="0"/>
                <w:bCs w:val="0"/>
                <w:color w:val="auto"/>
                <w:sz w:val="24"/>
                <w:szCs w:val="24"/>
                <w:highlight w:val="none"/>
                <w:lang w:val="en-US" w:eastAsia="zh-CN"/>
              </w:rPr>
            </w:pPr>
          </w:p>
          <w:p w14:paraId="25E0E4FA">
            <w:pPr>
              <w:spacing w:line="240" w:lineRule="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设备采购、材料采购：</w:t>
            </w:r>
          </w:p>
          <w:p w14:paraId="53C888E0">
            <w:pPr>
              <w:pStyle w:val="18"/>
              <w:spacing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本项目采用中标候选人评定分离机制，</w:t>
            </w:r>
            <w:r>
              <w:rPr>
                <w:rFonts w:hint="eastAsia" w:ascii="仿宋" w:hAnsi="仿宋" w:eastAsia="仿宋" w:cs="仿宋"/>
                <w:b w:val="0"/>
                <w:bCs w:val="0"/>
                <w:i w:val="0"/>
                <w:iCs w:val="0"/>
                <w:color w:val="auto"/>
                <w:sz w:val="24"/>
                <w:szCs w:val="24"/>
                <w:highlight w:val="none"/>
                <w:lang w:val="en-US" w:eastAsia="zh-CN"/>
              </w:rPr>
              <w:t>推荐的中标候选人数为2至3人。有效投标不足2个时，评标委员会应否决所有投标。</w:t>
            </w:r>
          </w:p>
          <w:p w14:paraId="4C0220B5">
            <w:pPr>
              <w:spacing w:line="24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i w:val="0"/>
                <w:iCs w:val="0"/>
                <w:color w:val="auto"/>
                <w:sz w:val="24"/>
                <w:szCs w:val="24"/>
                <w:highlight w:val="none"/>
                <w:lang w:val="en-US" w:eastAsia="zh-CN"/>
              </w:rPr>
              <w:t>采用经评审的最低投标价法时，按照经评审的投标价由低到高的顺序推荐中标候选人，经评审的投标价相等时，投标报价低的优先。当第一优先推荐顺序的投标人为2人时，（□继续推荐第二优先推荐顺序的投标人 □不再推荐第二优先推荐顺序的投标人）；当第一优先和第二优先推荐顺序的投标人合计为2人时，（□继续推荐第三优先推荐顺序的投标人 □不再推荐第三优先推荐顺序的投标人）。处于同一优先推荐顺序的投标人全部纳入中标候选人。</w:t>
            </w:r>
          </w:p>
        </w:tc>
      </w:tr>
      <w:tr w14:paraId="7096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336" w:type="dxa"/>
            <w:vAlign w:val="center"/>
          </w:tcPr>
          <w:p w14:paraId="3611D11F">
            <w:pPr>
              <w:pStyle w:val="9"/>
              <w:widowControl/>
              <w:spacing w:beforeAutospacing="0" w:afterAutospacing="0" w:line="24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施工、设计施工总承包</w:t>
            </w:r>
          </w:p>
        </w:tc>
        <w:tc>
          <w:tcPr>
            <w:tcW w:w="1336" w:type="dxa"/>
            <w:vAlign w:val="center"/>
          </w:tcPr>
          <w:p w14:paraId="2EC1E448">
            <w:pPr>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第二章“投标人须知”前附表“7.1是否授权评标委员会确定中标人”</w:t>
            </w:r>
          </w:p>
        </w:tc>
        <w:tc>
          <w:tcPr>
            <w:tcW w:w="4584" w:type="dxa"/>
            <w:vAlign w:val="top"/>
          </w:tcPr>
          <w:p w14:paraId="4015713F">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p w14:paraId="0CD5FE26">
            <w:pPr>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□否，推荐的中标候选人数：3人，当符合要求的投标人少于需推荐的人数，评标委员会推荐的人数可少于需推荐的人数。</w:t>
            </w:r>
          </w:p>
        </w:tc>
        <w:tc>
          <w:tcPr>
            <w:tcW w:w="6192" w:type="dxa"/>
            <w:vAlign w:val="top"/>
          </w:tcPr>
          <w:p w14:paraId="1498E527">
            <w:pPr>
              <w:spacing w:line="240" w:lineRule="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设计施工总承包：</w:t>
            </w:r>
          </w:p>
          <w:p w14:paraId="2D6DE06C">
            <w:pPr>
              <w:spacing w:line="240" w:lineRule="auto"/>
              <w:ind w:firstLine="480" w:firstLineChars="200"/>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color w:val="auto"/>
                <w:sz w:val="24"/>
                <w:szCs w:val="24"/>
                <w:highlight w:val="none"/>
              </w:rPr>
              <w:t>否，</w:t>
            </w:r>
            <w:r>
              <w:rPr>
                <w:rFonts w:hint="eastAsia" w:ascii="仿宋" w:hAnsi="仿宋" w:eastAsia="仿宋" w:cs="仿宋"/>
                <w:b w:val="0"/>
                <w:bCs w:val="0"/>
                <w:color w:val="auto"/>
                <w:sz w:val="24"/>
                <w:szCs w:val="24"/>
                <w:highlight w:val="none"/>
                <w:lang w:val="en-US" w:eastAsia="zh-CN"/>
              </w:rPr>
              <w:t>本项目采用中标候选人评定分离机制，</w:t>
            </w:r>
            <w:r>
              <w:rPr>
                <w:rFonts w:hint="eastAsia" w:ascii="仿宋" w:hAnsi="仿宋" w:eastAsia="仿宋" w:cs="仿宋"/>
                <w:b w:val="0"/>
                <w:bCs w:val="0"/>
                <w:i w:val="0"/>
                <w:iCs w:val="0"/>
                <w:color w:val="auto"/>
                <w:sz w:val="24"/>
                <w:szCs w:val="24"/>
                <w:highlight w:val="none"/>
                <w:lang w:val="en-US" w:eastAsia="zh-CN"/>
              </w:rPr>
              <w:t>推荐的中标候选人数为2至3人。有效投标不足2个时，评标委员会应否决所有投标。</w:t>
            </w:r>
          </w:p>
          <w:p w14:paraId="7D590F64">
            <w:pPr>
              <w:pStyle w:val="18"/>
              <w:rPr>
                <w:rFonts w:hint="eastAsia" w:ascii="仿宋" w:hAnsi="仿宋" w:eastAsia="仿宋" w:cs="仿宋"/>
                <w:color w:val="auto"/>
                <w:sz w:val="24"/>
                <w:szCs w:val="24"/>
                <w:highlight w:val="none"/>
                <w:lang w:val="en-US" w:eastAsia="zh-CN"/>
              </w:rPr>
            </w:pPr>
          </w:p>
          <w:p w14:paraId="735C4091">
            <w:pPr>
              <w:spacing w:line="240" w:lineRule="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施工：</w:t>
            </w:r>
          </w:p>
          <w:p w14:paraId="3716D013">
            <w:pPr>
              <w:spacing w:line="240" w:lineRule="auto"/>
              <w:ind w:firstLine="480" w:firstLineChars="200"/>
              <w:rPr>
                <w:rFonts w:hint="eastAsia" w:ascii="仿宋" w:hAnsi="仿宋" w:eastAsia="仿宋" w:cs="仿宋"/>
                <w:color w:val="auto"/>
                <w:kern w:val="2"/>
                <w:sz w:val="24"/>
                <w:szCs w:val="24"/>
                <w:highlight w:val="none"/>
                <w:lang w:val="en-US" w:eastAsia="zh-CN"/>
              </w:rPr>
            </w:pPr>
            <w:r>
              <w:rPr>
                <w:rFonts w:hint="eastAsia" w:ascii="仿宋" w:hAnsi="仿宋" w:eastAsia="仿宋" w:cs="仿宋"/>
                <w:b w:val="0"/>
                <w:bCs w:val="0"/>
                <w:color w:val="auto"/>
                <w:sz w:val="24"/>
                <w:szCs w:val="24"/>
                <w:highlight w:val="none"/>
              </w:rPr>
              <w:t>否，</w:t>
            </w:r>
            <w:r>
              <w:rPr>
                <w:rFonts w:hint="eastAsia" w:ascii="仿宋" w:hAnsi="仿宋" w:eastAsia="仿宋" w:cs="仿宋"/>
                <w:b w:val="0"/>
                <w:bCs w:val="0"/>
                <w:color w:val="auto"/>
                <w:sz w:val="24"/>
                <w:szCs w:val="24"/>
                <w:highlight w:val="none"/>
                <w:lang w:val="en-US" w:eastAsia="zh-CN"/>
              </w:rPr>
              <w:t>本项目采用中标候选人评定分离机制，</w:t>
            </w:r>
            <w:r>
              <w:rPr>
                <w:rFonts w:hint="eastAsia" w:ascii="仿宋" w:hAnsi="仿宋" w:eastAsia="仿宋" w:cs="仿宋"/>
                <w:b w:val="0"/>
                <w:bCs w:val="0"/>
                <w:i w:val="0"/>
                <w:iCs w:val="0"/>
                <w:color w:val="auto"/>
                <w:sz w:val="24"/>
                <w:szCs w:val="24"/>
                <w:highlight w:val="none"/>
                <w:lang w:val="en-US" w:eastAsia="zh-CN"/>
              </w:rPr>
              <w:t>推荐的中标候选人数为2至3人。有效投标不足2个时，评标委员会应否决所有投标。</w:t>
            </w:r>
          </w:p>
          <w:p w14:paraId="10BF6DE2">
            <w:pPr>
              <w:spacing w:line="240" w:lineRule="auto"/>
              <w:ind w:firstLine="480" w:firstLineChars="200"/>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采用经评审的最低投标价法时，按照经评审的投标价（即评标价）由低到高的顺序推荐中标候选人，经评审的投标价（即评标价）相等时，投标报价低的优先。当第一优先推荐顺序的投标人为2人时，（□继续推荐第二优先推荐顺序的投标人 □不再推荐第二优先推荐顺序的投标人）；当第一优先和第二优先推荐顺序的投标人合计为2人时，（□继续推荐第三优先推荐顺序的投标人 □不再推荐第三优先推荐顺序的投标人）。处于同一优先推荐顺序的投标人全部纳入中标候选人。</w:t>
            </w:r>
          </w:p>
        </w:tc>
      </w:tr>
      <w:tr w14:paraId="175D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36" w:type="dxa"/>
            <w:vAlign w:val="center"/>
          </w:tcPr>
          <w:p w14:paraId="706EA0C5">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勘察、设计、勘察设计、施工、设计施工总承包、设备采购、材料采购</w:t>
            </w:r>
          </w:p>
        </w:tc>
        <w:tc>
          <w:tcPr>
            <w:tcW w:w="1336" w:type="dxa"/>
            <w:vAlign w:val="center"/>
          </w:tcPr>
          <w:p w14:paraId="158CDC83">
            <w:p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第二章“投标人须知”前附表</w:t>
            </w:r>
            <w:r>
              <w:rPr>
                <w:rFonts w:hint="eastAsia" w:ascii="仿宋" w:hAnsi="仿宋" w:eastAsia="仿宋" w:cs="仿宋"/>
                <w:color w:val="auto"/>
                <w:sz w:val="24"/>
                <w:szCs w:val="24"/>
                <w:highlight w:val="none"/>
                <w:lang w:eastAsia="zh-CN"/>
              </w:rPr>
              <w:t>“10.6确定中标人”</w:t>
            </w:r>
          </w:p>
        </w:tc>
        <w:tc>
          <w:tcPr>
            <w:tcW w:w="4584" w:type="dxa"/>
          </w:tcPr>
          <w:p w14:paraId="18EC66E8">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A76E01E">
            <w:pPr>
              <w:spacing w:line="24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根据《工程建设项目勘察设计招标投标办法》（八部委2号令）第四十条</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《工程建设项目施工招标投标办法》（七部委30号令）第五十八条</w:t>
            </w:r>
            <w:r>
              <w:rPr>
                <w:rFonts w:hint="eastAsia" w:ascii="仿宋" w:hAnsi="仿宋" w:eastAsia="仿宋" w:cs="仿宋"/>
                <w:color w:val="auto"/>
                <w:sz w:val="24"/>
                <w:szCs w:val="24"/>
                <w:highlight w:val="none"/>
                <w:lang w:val="en-US" w:eastAsia="zh-CN"/>
              </w:rPr>
              <w:t>/《工程建设项目货物招标投标办法》（七部委27号令）第四十八条</w:t>
            </w:r>
            <w:r>
              <w:rPr>
                <w:rFonts w:hint="eastAsia" w:ascii="仿宋" w:hAnsi="仿宋" w:eastAsia="仿宋" w:cs="仿宋"/>
                <w:color w:val="auto"/>
                <w:sz w:val="24"/>
                <w:szCs w:val="24"/>
                <w:highlight w:val="none"/>
              </w:rPr>
              <w:t>，国有资金占控股或者主导地位的依法必须进行招标的项目，招标人应当确定排名第一的中标候选人为中标人。排名第一的中标候选人放弃中标、因不可抗力提出不能履行合同、不按照招标文件的要</w:t>
            </w:r>
            <w:r>
              <w:rPr>
                <w:rFonts w:hint="eastAsia" w:ascii="仿宋" w:hAnsi="仿宋" w:eastAsia="仿宋" w:cs="仿宋"/>
                <w:color w:val="auto"/>
                <w:kern w:val="2"/>
                <w:sz w:val="24"/>
                <w:szCs w:val="24"/>
                <w:highlight w:val="none"/>
                <w:lang w:val="en-US" w:eastAsia="zh-CN" w:bidi="ar-SA"/>
              </w:rPr>
              <w:t>第二章“投标人须知”前附表</w:t>
            </w:r>
            <w:r>
              <w:rPr>
                <w:rFonts w:hint="eastAsia" w:ascii="仿宋" w:hAnsi="仿宋" w:eastAsia="仿宋" w:cs="仿宋"/>
                <w:color w:val="auto"/>
                <w:sz w:val="24"/>
                <w:szCs w:val="24"/>
                <w:highlight w:val="none"/>
                <w:lang w:eastAsia="zh-CN"/>
              </w:rPr>
              <w:t>“10.6确定中标人”</w:t>
            </w:r>
            <w:r>
              <w:rPr>
                <w:rFonts w:hint="eastAsia" w:ascii="仿宋" w:hAnsi="仿宋" w:eastAsia="仿宋" w:cs="仿宋"/>
                <w:color w:val="auto"/>
                <w:sz w:val="24"/>
                <w:szCs w:val="24"/>
                <w:highlight w:val="none"/>
              </w:rPr>
              <w:t>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c>
          <w:tcPr>
            <w:tcW w:w="6192" w:type="dxa"/>
          </w:tcPr>
          <w:p w14:paraId="5BD2381E">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根据《四川省发展和改革委员会等部门关于扩面推广工程建设项目招标投标中标候选人评定分离机制的通知》，我省依法必须招标的国家投资工程建设项目，原则上应当使用中标候选人评定分离机制确定中标人。招标人按照定标方案从评标委员会推荐的中标候选人范围内确定中标人。中标人有放弃中标、因不可抗力不能履行合同、不按照招标文件要求提交履约保证金，或者被查实存在影响中标结果的违法行为等情形，不符合中标条件的，可在其余中标候选人中另行确定中标人或重新招标。所有中标人都被取消资格的，重新招标。</w:t>
            </w:r>
          </w:p>
        </w:tc>
      </w:tr>
      <w:tr w14:paraId="1044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36" w:type="dxa"/>
            <w:vAlign w:val="center"/>
          </w:tcPr>
          <w:p w14:paraId="7D1546FA">
            <w:pPr>
              <w:spacing w:line="240" w:lineRule="auto"/>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监理</w:t>
            </w:r>
          </w:p>
        </w:tc>
        <w:tc>
          <w:tcPr>
            <w:tcW w:w="1336" w:type="dxa"/>
            <w:vAlign w:val="center"/>
          </w:tcPr>
          <w:p w14:paraId="0F576975">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第二章“投标人须知”前附表</w:t>
            </w:r>
            <w:r>
              <w:rPr>
                <w:rFonts w:hint="eastAsia" w:ascii="仿宋" w:hAnsi="仿宋" w:eastAsia="仿宋" w:cs="仿宋"/>
                <w:color w:val="auto"/>
                <w:sz w:val="24"/>
                <w:szCs w:val="24"/>
                <w:highlight w:val="none"/>
                <w:lang w:eastAsia="zh-CN"/>
              </w:rPr>
              <w:t>“10.6确定中标人”</w:t>
            </w:r>
          </w:p>
        </w:tc>
        <w:tc>
          <w:tcPr>
            <w:tcW w:w="4584" w:type="dxa"/>
          </w:tcPr>
          <w:p w14:paraId="07F94CE4">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c>
          <w:tcPr>
            <w:tcW w:w="6192" w:type="dxa"/>
          </w:tcPr>
          <w:p w14:paraId="2684DCC5">
            <w:pPr>
              <w:numPr>
                <w:ilvl w:val="0"/>
                <w:numId w:val="0"/>
              </w:numPr>
              <w:spacing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四川省发展和改革委员会等部门关于扩面推广工程建设项目招标投标中标候选人评定分离机制的通知》，我省依法必须招标的国家投资工程建设项目，原则上应当使用中标候选人评定分离机制确定中标人。招标人按照定标方案从评标委员会推荐的中标候选人范围内确定中标人。中标人有放弃中标、因不可抗力不能履行合同、不按照招标文件要求提交履约保证金，或者被查实存在影响中标结果的违法行为等情形，不符合中标条件的，可在其余中标候选人中另行确定中标人或重新招标。所有中标人都被取消资格的，重新招标。</w:t>
            </w:r>
          </w:p>
        </w:tc>
      </w:tr>
      <w:tr w14:paraId="6E11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36" w:type="dxa"/>
            <w:vAlign w:val="center"/>
          </w:tcPr>
          <w:p w14:paraId="7475528B">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勘察、设计、勘察设计、施工、设计施工总承包、监理、设备采购、材料采购</w:t>
            </w:r>
          </w:p>
        </w:tc>
        <w:tc>
          <w:tcPr>
            <w:tcW w:w="1336" w:type="dxa"/>
            <w:vAlign w:val="center"/>
          </w:tcPr>
          <w:p w14:paraId="49CAAB38">
            <w:pPr>
              <w:spacing w:line="240" w:lineRule="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第二章“投标人须知”前附表</w:t>
            </w:r>
          </w:p>
        </w:tc>
        <w:tc>
          <w:tcPr>
            <w:tcW w:w="4584" w:type="dxa"/>
          </w:tcPr>
          <w:p w14:paraId="156F6AF8">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中标候选人公示媒介及期限</w:t>
            </w:r>
          </w:p>
          <w:p w14:paraId="45B2EBAE">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公示媒介：同招标公告发布媒介</w:t>
            </w:r>
          </w:p>
          <w:p w14:paraId="68E992CE">
            <w:pPr>
              <w:spacing w:line="24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公示期限：5个工作日</w:t>
            </w:r>
          </w:p>
        </w:tc>
        <w:tc>
          <w:tcPr>
            <w:tcW w:w="6192" w:type="dxa"/>
          </w:tcPr>
          <w:p w14:paraId="663959D9">
            <w:pPr>
              <w:adjustRightInd w:val="0"/>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勘察、设计、勘察设计、监理、设备采购、材料采购：7.1</w:t>
            </w:r>
          </w:p>
          <w:p w14:paraId="515A89E9">
            <w:pPr>
              <w:adjustRightInd w:val="0"/>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施工：10.13</w:t>
            </w:r>
          </w:p>
          <w:p w14:paraId="14139C95">
            <w:pPr>
              <w:adjustRightInd w:val="0"/>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设计施工总承包：7.2</w:t>
            </w:r>
          </w:p>
          <w:p w14:paraId="25F8B1ED">
            <w:pPr>
              <w:adjustRightInd w:val="0"/>
              <w:snapToGrid w:val="0"/>
              <w:spacing w:line="360" w:lineRule="auto"/>
              <w:rPr>
                <w:rFonts w:hint="eastAsia" w:ascii="仿宋" w:hAnsi="仿宋" w:eastAsia="仿宋" w:cs="仿宋"/>
                <w:b/>
                <w:bCs/>
                <w:color w:val="auto"/>
                <w:sz w:val="24"/>
                <w:szCs w:val="24"/>
                <w:highlight w:val="none"/>
                <w:lang w:val="en-US" w:eastAsia="zh-CN"/>
              </w:rPr>
            </w:pPr>
          </w:p>
          <w:p w14:paraId="408C0618">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中标候选人公示</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定标结果公示</w:t>
            </w:r>
            <w:r>
              <w:rPr>
                <w:rFonts w:hint="eastAsia" w:ascii="仿宋" w:hAnsi="仿宋" w:eastAsia="仿宋" w:cs="仿宋"/>
                <w:color w:val="auto"/>
                <w:sz w:val="24"/>
                <w:szCs w:val="24"/>
                <w:highlight w:val="none"/>
              </w:rPr>
              <w:t>媒介及期限</w:t>
            </w:r>
          </w:p>
          <w:p w14:paraId="65B88607">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公示媒介：同招标公告发布媒介</w:t>
            </w:r>
          </w:p>
          <w:p w14:paraId="48169739">
            <w:pPr>
              <w:numPr>
                <w:ilvl w:val="0"/>
                <w:numId w:val="0"/>
              </w:num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中标候选人公示期限：5个工作日</w:t>
            </w:r>
          </w:p>
          <w:p w14:paraId="34AED92D">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定标结果公示</w:t>
            </w:r>
            <w:r>
              <w:rPr>
                <w:rFonts w:hint="eastAsia" w:ascii="仿宋" w:hAnsi="仿宋" w:eastAsia="仿宋" w:cs="仿宋"/>
                <w:b/>
                <w:bCs/>
                <w:color w:val="auto"/>
                <w:sz w:val="24"/>
                <w:szCs w:val="24"/>
                <w:highlight w:val="none"/>
              </w:rPr>
              <w:t>期限</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定标结束后，招标人应在3日内将定标结果通过四川省公共资源交易信息网等指定媒介进行公示，公示期不少于3日。</w:t>
            </w:r>
          </w:p>
        </w:tc>
      </w:tr>
      <w:tr w14:paraId="6AD8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36" w:type="dxa"/>
            <w:vAlign w:val="center"/>
          </w:tcPr>
          <w:p w14:paraId="601E715C">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勘察、设计、勘察设计、施工、设计施工总承包、监理、设备采购、材料采购</w:t>
            </w:r>
          </w:p>
        </w:tc>
        <w:tc>
          <w:tcPr>
            <w:tcW w:w="1336" w:type="dxa"/>
            <w:vAlign w:val="center"/>
          </w:tcPr>
          <w:p w14:paraId="2935057E">
            <w:pPr>
              <w:pStyle w:val="3"/>
              <w:spacing w:line="24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第三章 “评标办法（综合评估法）”评标办法正文</w:t>
            </w:r>
            <w:r>
              <w:rPr>
                <w:rFonts w:hint="eastAsia" w:ascii="仿宋" w:hAnsi="仿宋" w:eastAsia="仿宋" w:cs="仿宋"/>
                <w:b w:val="0"/>
                <w:bCs w:val="0"/>
                <w:color w:val="auto"/>
                <w:sz w:val="24"/>
                <w:szCs w:val="24"/>
                <w:highlight w:val="none"/>
              </w:rPr>
              <w:t>1.评标方法</w:t>
            </w:r>
          </w:p>
          <w:p w14:paraId="326139AE">
            <w:pPr>
              <w:spacing w:line="240" w:lineRule="auto"/>
              <w:rPr>
                <w:rFonts w:hint="eastAsia" w:ascii="仿宋" w:hAnsi="仿宋" w:eastAsia="仿宋" w:cs="仿宋"/>
                <w:color w:val="auto"/>
                <w:kern w:val="2"/>
                <w:sz w:val="24"/>
                <w:szCs w:val="24"/>
                <w:highlight w:val="none"/>
                <w:lang w:val="en-US" w:eastAsia="zh-CN" w:bidi="ar-SA"/>
              </w:rPr>
            </w:pPr>
          </w:p>
        </w:tc>
        <w:tc>
          <w:tcPr>
            <w:tcW w:w="4584" w:type="dxa"/>
          </w:tcPr>
          <w:p w14:paraId="4897898E">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color w:val="auto"/>
                <w:highlight w:val="none"/>
                <w:lang w:val="en-US" w:eastAsia="zh-CN"/>
              </w:rPr>
              <w:t xml:space="preserve"> </w:t>
            </w:r>
            <w:r>
              <w:rPr>
                <w:rFonts w:hint="eastAsia" w:ascii="仿宋" w:hAnsi="仿宋" w:eastAsia="仿宋" w:cs="仿宋"/>
                <w:b w:val="0"/>
                <w:bCs w:val="0"/>
                <w:color w:val="auto"/>
                <w:kern w:val="2"/>
                <w:sz w:val="24"/>
                <w:szCs w:val="24"/>
                <w:highlight w:val="none"/>
                <w:lang w:val="en-US" w:eastAsia="zh-CN" w:bidi="ar-S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p>
          <w:p w14:paraId="365B23BC">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勘察：综合评分相等时，以投标报价低的优先；投标报价也相等的，以勘察纲要得分高的优先；如果勘察纲要得分也相等，按照评标办法前附表的规定确定中标候选人顺序。</w:t>
            </w:r>
          </w:p>
          <w:p w14:paraId="0CCCAD4A">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设计：综合评分相等时，以投标报价低的优先；投标报价也相等的，以设计方案（设计大纲）得分高的优先；如果设计方案（设计大纲）得分也相等，按照评标办法前附表的规定确定中标候选人顺序。</w:t>
            </w:r>
          </w:p>
          <w:p w14:paraId="684C84C3">
            <w:pPr>
              <w:pStyle w:val="18"/>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勘察设计：综合评分相等时，以设计投标报价低的优先；投标报价也相等的，以勘察纲要、设计大纲得分高的优先；如果勘察纲要、设计大纲得分也相等，按照评标办法前附表的规定确定中标候选人顺序。</w:t>
            </w:r>
          </w:p>
          <w:p w14:paraId="6F30D97B">
            <w:pPr>
              <w:pStyle w:val="18"/>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施工：综合评分相等时，以投标报价低的优先；投标报价也相等的，由招标人自行确定。</w:t>
            </w:r>
          </w:p>
          <w:p w14:paraId="2CFD3685">
            <w:pPr>
              <w:pStyle w:val="18"/>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设计施工总承包：综合评分相等时，以投标报价低的优先；投标报价也相等的，由招标人或者经招标人授权评标委员会自行确定。</w:t>
            </w:r>
          </w:p>
          <w:p w14:paraId="53DCAA9B">
            <w:pPr>
              <w:pStyle w:val="18"/>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监理：综合评分相等时，以投标报价低的优先；投标报价也相等的，以监理大纲得分高的优先；如果监理大纲得分也相等，按照评标办法前附表的规定确定中标候选人顺序。</w:t>
            </w:r>
          </w:p>
          <w:p w14:paraId="60E37F47">
            <w:pPr>
              <w:pStyle w:val="18"/>
              <w:ind w:left="0" w:leftChars="0" w:firstLine="0" w:firstLineChars="0"/>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设备采购、材料采购：综合评分相等时，以投标报价低的优先；投标报价也相等的，以技术得分高的优先；如果技术得分也相等，按照评标办法前附表的规定确定中标候选人顺序。</w:t>
            </w:r>
          </w:p>
        </w:tc>
        <w:tc>
          <w:tcPr>
            <w:tcW w:w="6192" w:type="dxa"/>
          </w:tcPr>
          <w:p w14:paraId="2563188F">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本次评标采用综合评估法。评标委员会对满足招标文件实质性要求的投标文件，按照本章第2.2款规定的评分标准进行打分</w:t>
            </w:r>
            <w:r>
              <w:rPr>
                <w:rFonts w:hint="eastAsia" w:ascii="仿宋" w:hAnsi="仿宋" w:eastAsia="仿宋" w:cs="仿宋"/>
                <w:b/>
                <w:bCs/>
                <w:color w:val="auto"/>
                <w:kern w:val="2"/>
                <w:sz w:val="24"/>
                <w:szCs w:val="24"/>
                <w:highlight w:val="none"/>
                <w:lang w:val="en-US" w:eastAsia="zh-CN" w:bidi="ar-SA"/>
              </w:rPr>
              <w:t>，并按得分由高到低顺序推荐2-3人中标候选人，</w:t>
            </w:r>
            <w:r>
              <w:rPr>
                <w:rFonts w:hint="eastAsia" w:ascii="仿宋" w:hAnsi="仿宋" w:eastAsia="仿宋" w:cs="仿宋"/>
                <w:color w:val="auto"/>
                <w:kern w:val="2"/>
                <w:sz w:val="24"/>
                <w:szCs w:val="24"/>
                <w:highlight w:val="none"/>
                <w:lang w:val="en-US" w:eastAsia="zh-CN" w:bidi="ar-SA"/>
              </w:rPr>
              <w:t>但投标报价低于其成本的除外。</w:t>
            </w:r>
            <w:r>
              <w:rPr>
                <w:rFonts w:hint="eastAsia" w:ascii="仿宋" w:hAnsi="仿宋" w:eastAsia="仿宋" w:cs="仿宋"/>
                <w:b/>
                <w:bCs/>
                <w:color w:val="auto"/>
                <w:kern w:val="2"/>
                <w:sz w:val="24"/>
                <w:szCs w:val="24"/>
                <w:highlight w:val="none"/>
                <w:lang w:val="en-US" w:eastAsia="zh-CN" w:bidi="ar-SA"/>
              </w:rPr>
              <w:t>有效投标不足2个时，评标委员会应否决所有投标。</w:t>
            </w:r>
          </w:p>
          <w:p w14:paraId="10D0B489">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勘察：综合评分相等时，以投标报价低的优先；投标报价也相等的，以勘察纲要得分高的优先；如果勘察纲要得分也相等，按照评标办法前附表的规定确定中标候选人顺序。</w:t>
            </w:r>
          </w:p>
          <w:p w14:paraId="51D386B8">
            <w:pPr>
              <w:numPr>
                <w:ilvl w:val="0"/>
                <w:numId w:val="0"/>
              </w:numPr>
              <w:spacing w:line="24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设计：综合评分相等时，以投标报价低的优先；投标报价也相等的，以设计方案（设计大纲）得分高的优先；如果设计方案（设计大纲）得分也相等，按照评标办法前附表的规定确定中标候选人顺序。</w:t>
            </w:r>
          </w:p>
          <w:p w14:paraId="08E5CAA6">
            <w:pPr>
              <w:pStyle w:val="18"/>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勘察设计：综合评分相等时，以设计投标报价低的优先；投标报价也相等的，以勘察纲要、设计大纲得分高的优先；如果勘察纲要、设计大纲得分也相等，按照评标办法前附表的规定确定中标候选人顺序。</w:t>
            </w:r>
          </w:p>
          <w:p w14:paraId="08BDB7E2">
            <w:pPr>
              <w:pStyle w:val="18"/>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施工：综合评分相等时，以投标报价低的优先；投标报价也相等的，</w:t>
            </w:r>
            <w:r>
              <w:rPr>
                <w:rFonts w:hint="eastAsia" w:ascii="仿宋" w:hAnsi="仿宋" w:eastAsia="仿宋" w:cs="仿宋"/>
                <w:b/>
                <w:bCs/>
                <w:color w:val="auto"/>
                <w:kern w:val="2"/>
                <w:sz w:val="24"/>
                <w:szCs w:val="24"/>
                <w:highlight w:val="none"/>
                <w:lang w:val="en-US" w:eastAsia="zh-CN" w:bidi="ar-SA"/>
              </w:rPr>
              <w:t>由评标委员会自行</w:t>
            </w:r>
            <w:r>
              <w:rPr>
                <w:rFonts w:hint="eastAsia" w:ascii="仿宋" w:hAnsi="仿宋" w:eastAsia="仿宋" w:cs="仿宋"/>
                <w:b w:val="0"/>
                <w:bCs w:val="0"/>
                <w:color w:val="auto"/>
                <w:kern w:val="2"/>
                <w:sz w:val="24"/>
                <w:szCs w:val="24"/>
                <w:highlight w:val="none"/>
                <w:lang w:val="en-US" w:eastAsia="zh-CN" w:bidi="ar-SA"/>
              </w:rPr>
              <w:t>确定。</w:t>
            </w:r>
          </w:p>
          <w:p w14:paraId="69956F05">
            <w:pPr>
              <w:pStyle w:val="18"/>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设计施工总承包：综合评分相等时，以投标报价低的优先；投标报价也相等的，</w:t>
            </w:r>
            <w:r>
              <w:rPr>
                <w:rFonts w:hint="eastAsia" w:ascii="仿宋" w:hAnsi="仿宋" w:eastAsia="仿宋" w:cs="仿宋"/>
                <w:b/>
                <w:bCs/>
                <w:color w:val="auto"/>
                <w:kern w:val="2"/>
                <w:sz w:val="24"/>
                <w:szCs w:val="24"/>
                <w:highlight w:val="none"/>
                <w:lang w:val="en-US" w:eastAsia="zh-CN" w:bidi="ar-SA"/>
              </w:rPr>
              <w:t>由评标委员会自行</w:t>
            </w:r>
            <w:r>
              <w:rPr>
                <w:rFonts w:hint="eastAsia" w:ascii="仿宋" w:hAnsi="仿宋" w:eastAsia="仿宋" w:cs="仿宋"/>
                <w:b w:val="0"/>
                <w:bCs w:val="0"/>
                <w:color w:val="auto"/>
                <w:kern w:val="2"/>
                <w:sz w:val="24"/>
                <w:szCs w:val="24"/>
                <w:highlight w:val="none"/>
                <w:lang w:val="en-US" w:eastAsia="zh-CN" w:bidi="ar-SA"/>
              </w:rPr>
              <w:t>确定。</w:t>
            </w:r>
          </w:p>
          <w:p w14:paraId="24F5F016">
            <w:pPr>
              <w:pStyle w:val="18"/>
              <w:ind w:left="0" w:leftChars="0"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监理：综合评分相等时，以投标报价低的优先；投标报价也相等的，以监理大纲得分高的优先；如果监理大纲得分也相等，按照评标办法前附表的规定确定中标候选人顺序。</w:t>
            </w:r>
          </w:p>
          <w:p w14:paraId="3D7AE3F8">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设备采购、材料采购：综合评分相等时，以投标报价低的优先；投标报价也相等的，以技术得分高的优先；如果技术得分也相等，按照评标办法前附表的规定确定中标候选人顺序。</w:t>
            </w:r>
            <w:r>
              <w:rPr>
                <w:rFonts w:hint="eastAsia" w:ascii="仿宋" w:hAnsi="仿宋" w:eastAsia="仿宋" w:cs="仿宋"/>
                <w:color w:val="auto"/>
                <w:kern w:val="2"/>
                <w:sz w:val="24"/>
                <w:szCs w:val="24"/>
                <w:highlight w:val="none"/>
                <w:lang w:val="en-US" w:eastAsia="zh-CN" w:bidi="ar-SA"/>
              </w:rPr>
              <w:t xml:space="preserve">         </w:t>
            </w:r>
          </w:p>
          <w:p w14:paraId="438E6D2A">
            <w:pPr>
              <w:numPr>
                <w:ilvl w:val="0"/>
                <w:numId w:val="0"/>
              </w:numPr>
              <w:spacing w:line="240" w:lineRule="auto"/>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推荐的中标候选人不排序。评标委员会须对中标候选人逐一出具评审意见，相关评审意见应针对性阐述中标候选人投标文件的优点、不足、可能存在的风险等，不得泛泛而谈。</w:t>
            </w:r>
          </w:p>
        </w:tc>
      </w:tr>
      <w:tr w14:paraId="34C5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atLeast"/>
        </w:trPr>
        <w:tc>
          <w:tcPr>
            <w:tcW w:w="1336" w:type="dxa"/>
            <w:vAlign w:val="center"/>
          </w:tcPr>
          <w:p w14:paraId="2B8E75A9">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1336" w:type="dxa"/>
            <w:vAlign w:val="center"/>
          </w:tcPr>
          <w:p w14:paraId="359F323A">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“评标办法（综合评估法）”评标办法正文3.4评标结果</w:t>
            </w:r>
          </w:p>
          <w:p w14:paraId="5E937AA0">
            <w:pPr>
              <w:spacing w:line="240" w:lineRule="auto"/>
              <w:rPr>
                <w:rFonts w:hint="eastAsia" w:ascii="仿宋" w:hAnsi="仿宋" w:eastAsia="仿宋" w:cs="仿宋"/>
                <w:color w:val="auto"/>
                <w:kern w:val="2"/>
                <w:sz w:val="24"/>
                <w:szCs w:val="24"/>
                <w:highlight w:val="none"/>
                <w:lang w:val="en-US" w:eastAsia="zh-CN" w:bidi="ar-SA"/>
              </w:rPr>
            </w:pPr>
          </w:p>
        </w:tc>
        <w:tc>
          <w:tcPr>
            <w:tcW w:w="4584" w:type="dxa"/>
          </w:tcPr>
          <w:p w14:paraId="113BF053">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勘察、设计、勘察设计、监理、设备采购、材料采购：  </w:t>
            </w:r>
          </w:p>
          <w:p w14:paraId="0666A8A5">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3.4.1除第二章“投标人须知”前附表授权直接确定中标人外，评标委员会按照得分由高到低的顺序推荐中标候选人，并标明排序。</w:t>
            </w:r>
          </w:p>
          <w:p w14:paraId="442749C9">
            <w:pPr>
              <w:pStyle w:val="18"/>
              <w:spacing w:line="240" w:lineRule="auto"/>
              <w:ind w:left="0" w:leftChars="0" w:firstLine="0" w:firstLineChars="0"/>
              <w:rPr>
                <w:rFonts w:hint="eastAsia"/>
                <w:color w:val="auto"/>
                <w:sz w:val="24"/>
                <w:szCs w:val="24"/>
                <w:highlight w:val="none"/>
                <w:lang w:val="en-US" w:eastAsia="zh-CN"/>
              </w:rPr>
            </w:pPr>
          </w:p>
          <w:p w14:paraId="56FD399F">
            <w:pPr>
              <w:pStyle w:val="18"/>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施工、设计施工总承包：3.4.1除第二章“投标人须知”前附表授权直接确定中标人外，评标委员会按照得分由高到低的顺序推荐中标候选人。</w:t>
            </w:r>
          </w:p>
        </w:tc>
        <w:tc>
          <w:tcPr>
            <w:tcW w:w="6192" w:type="dxa"/>
          </w:tcPr>
          <w:p w14:paraId="221CBE57">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2"/>
                <w:sz w:val="24"/>
                <w:szCs w:val="24"/>
                <w:highlight w:val="none"/>
                <w:lang w:val="en-US" w:eastAsia="zh-CN" w:bidi="ar-SA"/>
              </w:rPr>
              <w:t>3.4.1评标委员会</w:t>
            </w:r>
            <w:r>
              <w:rPr>
                <w:rFonts w:hint="eastAsia" w:ascii="仿宋" w:hAnsi="仿宋" w:eastAsia="仿宋" w:cs="仿宋"/>
                <w:b/>
                <w:bCs/>
                <w:color w:val="auto"/>
                <w:kern w:val="2"/>
                <w:sz w:val="24"/>
                <w:szCs w:val="24"/>
                <w:highlight w:val="none"/>
                <w:lang w:val="en-US" w:eastAsia="zh-CN" w:bidi="ar-SA"/>
              </w:rPr>
              <w:t>按得分由高到低顺序推荐2-3人中标候选人</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en-US" w:eastAsia="zh-CN" w:bidi="ar-SA"/>
              </w:rPr>
              <w:t>推荐的中标候选人不排序</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en-US" w:eastAsia="zh-CN" w:bidi="ar-SA"/>
              </w:rPr>
              <w:t>评标委员会须对中标候选人逐一出具评审意见，相关评审意见应针对性阐述中标候选人投标文件的优点、不足、可能存在的风险等，不得泛泛而谈。</w:t>
            </w:r>
          </w:p>
        </w:tc>
      </w:tr>
      <w:tr w14:paraId="186A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36" w:type="dxa"/>
            <w:vAlign w:val="center"/>
          </w:tcPr>
          <w:p w14:paraId="4B1FCD34">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施工、设备采购、材料采购</w:t>
            </w:r>
          </w:p>
        </w:tc>
        <w:tc>
          <w:tcPr>
            <w:tcW w:w="1336" w:type="dxa"/>
            <w:vAlign w:val="center"/>
          </w:tcPr>
          <w:p w14:paraId="515956A8">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“评标办法（经评审的最低投标价法）”评标办法正文1.评标方法</w:t>
            </w:r>
          </w:p>
          <w:p w14:paraId="016A60B2">
            <w:pPr>
              <w:spacing w:line="240" w:lineRule="auto"/>
              <w:rPr>
                <w:rFonts w:hint="eastAsia" w:ascii="仿宋" w:hAnsi="仿宋" w:eastAsia="仿宋" w:cs="仿宋"/>
                <w:color w:val="auto"/>
                <w:kern w:val="2"/>
                <w:sz w:val="24"/>
                <w:szCs w:val="24"/>
                <w:highlight w:val="none"/>
                <w:lang w:val="en-US" w:eastAsia="zh-CN" w:bidi="ar-SA"/>
              </w:rPr>
            </w:pPr>
          </w:p>
        </w:tc>
        <w:tc>
          <w:tcPr>
            <w:tcW w:w="4584" w:type="dxa"/>
          </w:tcPr>
          <w:p w14:paraId="720F04AE">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本次评标采用经评审的最低投标价法。评标委员会对满足招标文件实质要求的投标文件，根据本章第2.2款规定的量化因素及量化标准进行价格折算，按照经评审的投标价（即评标价）由低到高的顺序推荐中标候选人，或根据招标人授权直接确定中标人，但投标报价低于其成本的除外。经评审的投标价（即评标价）相等时，投标报价低的优先；投标报价也相等的，由招标人自行确定。</w:t>
            </w:r>
          </w:p>
          <w:p w14:paraId="380DF164">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采购、材料采购：本次评标采用经评审的最低投标价法。评标委员会对满足招标文件实质性要求的投标文件，根据本章第2.2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14:paraId="0A426E3F">
            <w:pPr>
              <w:adjustRightInd w:val="0"/>
              <w:snapToGrid w:val="0"/>
              <w:spacing w:line="240" w:lineRule="auto"/>
              <w:rPr>
                <w:rFonts w:hint="eastAsia" w:ascii="仿宋" w:hAnsi="仿宋" w:eastAsia="仿宋" w:cs="仿宋"/>
                <w:color w:val="auto"/>
                <w:sz w:val="24"/>
                <w:szCs w:val="24"/>
                <w:highlight w:val="none"/>
              </w:rPr>
            </w:pPr>
          </w:p>
        </w:tc>
        <w:tc>
          <w:tcPr>
            <w:tcW w:w="6192" w:type="dxa"/>
          </w:tcPr>
          <w:p w14:paraId="427253AD">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施工：本次评标采用经评审的最低投标价法。评标委员会对满足招标文件实质要求的投标文件，根据本章第2.2款规定的量化因素及量化标准进行价格折算，按照经评审的投标价（即评标价）由低到高的</w:t>
            </w:r>
            <w:r>
              <w:rPr>
                <w:rFonts w:hint="eastAsia" w:ascii="仿宋" w:hAnsi="仿宋" w:eastAsia="仿宋" w:cs="仿宋"/>
                <w:b/>
                <w:bCs/>
                <w:color w:val="auto"/>
                <w:kern w:val="2"/>
                <w:sz w:val="24"/>
                <w:szCs w:val="24"/>
                <w:highlight w:val="none"/>
                <w:lang w:val="en-US" w:eastAsia="zh-CN" w:bidi="ar-SA"/>
              </w:rPr>
              <w:t>顺序推荐2-3人中标候选人</w:t>
            </w:r>
            <w:r>
              <w:rPr>
                <w:rFonts w:hint="eastAsia" w:ascii="仿宋" w:hAnsi="仿宋" w:eastAsia="仿宋" w:cs="仿宋"/>
                <w:color w:val="auto"/>
                <w:kern w:val="2"/>
                <w:sz w:val="24"/>
                <w:szCs w:val="24"/>
                <w:highlight w:val="none"/>
                <w:lang w:val="en-US" w:eastAsia="zh-CN" w:bidi="ar-SA"/>
              </w:rPr>
              <w:t>，但投标报价低于其成本的除外。</w:t>
            </w:r>
            <w:r>
              <w:rPr>
                <w:rFonts w:hint="eastAsia" w:ascii="仿宋" w:hAnsi="仿宋" w:eastAsia="仿宋" w:cs="仿宋"/>
                <w:b/>
                <w:bCs/>
                <w:color w:val="auto"/>
                <w:kern w:val="2"/>
                <w:sz w:val="24"/>
                <w:szCs w:val="24"/>
                <w:highlight w:val="none"/>
                <w:lang w:val="en-US" w:eastAsia="zh-CN" w:bidi="ar-SA"/>
              </w:rPr>
              <w:t>有效投标不足2个时，评标委员会应否决所有投标。</w:t>
            </w:r>
            <w:r>
              <w:rPr>
                <w:rFonts w:hint="eastAsia" w:ascii="仿宋" w:hAnsi="仿宋" w:eastAsia="仿宋" w:cs="仿宋"/>
                <w:color w:val="auto"/>
                <w:kern w:val="2"/>
                <w:sz w:val="24"/>
                <w:szCs w:val="24"/>
                <w:highlight w:val="none"/>
                <w:lang w:val="en-US" w:eastAsia="zh-CN" w:bidi="ar-SA"/>
              </w:rPr>
              <w:t>经评审的投标价（即评标价）相等时，投标报价低的优先；投标报价也相等的，由评标委员会自行确定。</w:t>
            </w:r>
          </w:p>
          <w:p w14:paraId="48BD2F11">
            <w:pPr>
              <w:adjustRightInd w:val="0"/>
              <w:snapToGrid w:val="0"/>
              <w:spacing w:line="240" w:lineRule="auto"/>
              <w:rPr>
                <w:rFonts w:hint="eastAsia"/>
                <w:color w:val="auto"/>
                <w:highlight w:val="none"/>
                <w:lang w:val="en-US" w:eastAsia="zh-CN"/>
              </w:rPr>
            </w:pPr>
            <w:r>
              <w:rPr>
                <w:rFonts w:hint="eastAsia" w:ascii="仿宋" w:hAnsi="仿宋" w:eastAsia="仿宋" w:cs="仿宋"/>
                <w:color w:val="auto"/>
                <w:kern w:val="2"/>
                <w:sz w:val="24"/>
                <w:szCs w:val="24"/>
                <w:highlight w:val="none"/>
                <w:lang w:val="en-US" w:eastAsia="zh-CN" w:bidi="ar-SA"/>
              </w:rPr>
              <w:t>设备采购、材料采购：本次评标采用经评审的最低投标价法。评标委员会对满足招标文件实质性要求的投标文件，根据本章第2.2款规定的评标价格调整方法进行必要的价格调整，并按照经评审的投标价由低到高的</w:t>
            </w:r>
            <w:r>
              <w:rPr>
                <w:rFonts w:hint="eastAsia" w:ascii="仿宋" w:hAnsi="仿宋" w:eastAsia="仿宋" w:cs="仿宋"/>
                <w:b/>
                <w:bCs/>
                <w:color w:val="auto"/>
                <w:kern w:val="2"/>
                <w:sz w:val="24"/>
                <w:szCs w:val="24"/>
                <w:highlight w:val="none"/>
                <w:lang w:val="en-US" w:eastAsia="zh-CN" w:bidi="ar-SA"/>
              </w:rPr>
              <w:t>顺序推荐2-3人中标候选人</w:t>
            </w:r>
            <w:r>
              <w:rPr>
                <w:rFonts w:hint="eastAsia" w:ascii="仿宋" w:hAnsi="仿宋" w:eastAsia="仿宋" w:cs="仿宋"/>
                <w:color w:val="auto"/>
                <w:kern w:val="2"/>
                <w:sz w:val="24"/>
                <w:szCs w:val="24"/>
                <w:highlight w:val="none"/>
                <w:lang w:val="en-US" w:eastAsia="zh-CN" w:bidi="ar-SA"/>
              </w:rPr>
              <w:t>，但投标报价低于其成本的除外。</w:t>
            </w:r>
            <w:r>
              <w:rPr>
                <w:rFonts w:hint="eastAsia" w:ascii="仿宋" w:hAnsi="仿宋" w:eastAsia="仿宋" w:cs="仿宋"/>
                <w:b/>
                <w:bCs/>
                <w:color w:val="auto"/>
                <w:kern w:val="2"/>
                <w:sz w:val="24"/>
                <w:szCs w:val="24"/>
                <w:highlight w:val="none"/>
                <w:lang w:val="en-US" w:eastAsia="zh-CN" w:bidi="ar-SA"/>
              </w:rPr>
              <w:t>有效投标不足2个时，评标委员会应否决所有投标。</w:t>
            </w:r>
            <w:r>
              <w:rPr>
                <w:rFonts w:hint="eastAsia" w:ascii="仿宋" w:hAnsi="仿宋" w:eastAsia="仿宋" w:cs="仿宋"/>
                <w:color w:val="auto"/>
                <w:kern w:val="2"/>
                <w:sz w:val="24"/>
                <w:szCs w:val="24"/>
                <w:highlight w:val="none"/>
                <w:lang w:val="en-US" w:eastAsia="zh-CN" w:bidi="ar-SA"/>
              </w:rPr>
              <w:t>经评审的投标价相等时，投标报价低的优先；投标报价也相等的，按照评标办法前附表中的规定确定中标候选人顺序。</w:t>
            </w:r>
          </w:p>
          <w:p w14:paraId="531856DB">
            <w:pPr>
              <w:adjustRightInd w:val="0"/>
              <w:snapToGrid w:val="0"/>
              <w:spacing w:line="240" w:lineRule="auto"/>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i w:val="0"/>
                <w:iCs w:val="0"/>
                <w:color w:val="auto"/>
                <w:sz w:val="24"/>
                <w:szCs w:val="24"/>
                <w:highlight w:val="none"/>
                <w:lang w:val="en-US" w:eastAsia="zh-CN"/>
              </w:rPr>
              <w:t>当第一优先推荐顺序的投标人为2人时，（□继续推荐第二优先推荐顺序的投标人 □不再推荐第二优先推荐顺序的投标人）；当第一优先和第二优先推荐顺序的投标人合计为2人时，（□继续推荐第三优先推荐顺序的投标人 □不再推荐第三优先推荐顺序的投标人）。处于同一优先推荐顺序的投标人全部纳入中标候选人。</w:t>
            </w:r>
          </w:p>
          <w:p w14:paraId="40E73F5F">
            <w:pPr>
              <w:adjustRightInd w:val="0"/>
              <w:snapToGrid w:val="0"/>
              <w:spacing w:line="240" w:lineRule="auto"/>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推荐的中标候选人不排序。评标委员会须对中标候选人逐一出具评审意见，相关评审意见应针对性阐述中标候选人投标文件的优点、不足、可能存在的风险等，不得泛泛而谈。评标委员会应按照实际中标候选人人数推荐中标候选人。</w:t>
            </w:r>
          </w:p>
        </w:tc>
      </w:tr>
      <w:tr w14:paraId="6D31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36" w:type="dxa"/>
            <w:vAlign w:val="center"/>
          </w:tcPr>
          <w:p w14:paraId="246EF8EF">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施工、设备采购、材料采购</w:t>
            </w:r>
          </w:p>
        </w:tc>
        <w:tc>
          <w:tcPr>
            <w:tcW w:w="1336" w:type="dxa"/>
            <w:vAlign w:val="center"/>
          </w:tcPr>
          <w:p w14:paraId="15AE5466">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第三章 “评标办法（经评审的最低投标价法）”评标办法正文3.4评标结果</w:t>
            </w:r>
          </w:p>
          <w:p w14:paraId="712D3CFA">
            <w:pPr>
              <w:spacing w:line="240" w:lineRule="auto"/>
              <w:rPr>
                <w:rFonts w:hint="eastAsia" w:ascii="仿宋" w:hAnsi="仿宋" w:eastAsia="仿宋" w:cs="仿宋"/>
                <w:color w:val="auto"/>
                <w:kern w:val="2"/>
                <w:sz w:val="24"/>
                <w:szCs w:val="24"/>
                <w:highlight w:val="none"/>
                <w:lang w:val="en-US" w:eastAsia="zh-CN" w:bidi="ar-SA"/>
              </w:rPr>
            </w:pPr>
          </w:p>
        </w:tc>
        <w:tc>
          <w:tcPr>
            <w:tcW w:w="4584" w:type="dxa"/>
          </w:tcPr>
          <w:p w14:paraId="1DDF41E6">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w:t>
            </w:r>
          </w:p>
          <w:p w14:paraId="0108FBED">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3.4.1除第二章“投标人须知”前附表授权直接确定中标人外，评标委员会按照经评审的价格由低到高的顺序推荐中标候选人。</w:t>
            </w:r>
          </w:p>
          <w:p w14:paraId="3CD43CAA">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492898FD">
            <w:pPr>
              <w:adjustRightInd w:val="0"/>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设备采购、材料采购：3.4.1除第二章“投标人须知”前附表授权直接确定中标人外，评标委员会按照经评审的价格由低到高的顺序推荐中标候选人，并标明排序。</w:t>
            </w:r>
          </w:p>
        </w:tc>
        <w:tc>
          <w:tcPr>
            <w:tcW w:w="6192" w:type="dxa"/>
          </w:tcPr>
          <w:p w14:paraId="58083976">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3.4.1评标委员会按照经评审的价格由低到高的</w:t>
            </w:r>
            <w:r>
              <w:rPr>
                <w:rFonts w:hint="eastAsia" w:ascii="仿宋" w:hAnsi="仿宋" w:eastAsia="仿宋" w:cs="仿宋"/>
                <w:b/>
                <w:bCs/>
                <w:color w:val="auto"/>
                <w:kern w:val="2"/>
                <w:sz w:val="24"/>
                <w:szCs w:val="24"/>
                <w:highlight w:val="none"/>
                <w:lang w:val="en-US" w:eastAsia="zh-CN" w:bidi="ar-SA"/>
              </w:rPr>
              <w:t>顺序推荐2-3人中标候选人</w:t>
            </w:r>
            <w:r>
              <w:rPr>
                <w:rFonts w:hint="eastAsia" w:ascii="仿宋" w:hAnsi="仿宋" w:eastAsia="仿宋" w:cs="仿宋"/>
                <w:color w:val="auto"/>
                <w:kern w:val="2"/>
                <w:sz w:val="24"/>
                <w:szCs w:val="24"/>
                <w:highlight w:val="none"/>
                <w:lang w:val="en-US" w:eastAsia="zh-CN" w:bidi="ar-SA"/>
              </w:rPr>
              <w:t>，但投标报价低于其成本的除外。</w:t>
            </w:r>
            <w:r>
              <w:rPr>
                <w:rFonts w:hint="eastAsia" w:ascii="仿宋" w:hAnsi="仿宋" w:eastAsia="仿宋" w:cs="仿宋"/>
                <w:b/>
                <w:bCs/>
                <w:color w:val="auto"/>
                <w:kern w:val="2"/>
                <w:sz w:val="24"/>
                <w:szCs w:val="24"/>
                <w:highlight w:val="none"/>
                <w:lang w:val="en-US" w:eastAsia="zh-CN" w:bidi="ar-SA"/>
              </w:rPr>
              <w:t>有效投标不足2个时，评标委员会应否决所有投标。</w:t>
            </w:r>
            <w:r>
              <w:rPr>
                <w:rFonts w:hint="eastAsia" w:ascii="仿宋" w:hAnsi="仿宋" w:eastAsia="仿宋" w:cs="仿宋"/>
                <w:color w:val="auto"/>
                <w:kern w:val="2"/>
                <w:sz w:val="24"/>
                <w:szCs w:val="24"/>
                <w:highlight w:val="none"/>
                <w:lang w:val="en-US" w:eastAsia="zh-CN" w:bidi="ar-SA"/>
              </w:rPr>
              <w:t>经评审的价格相等时，投标报价低的优先；投标报价也相等的，由评标委员会自行确定。</w:t>
            </w:r>
          </w:p>
          <w:p w14:paraId="1C962989">
            <w:pPr>
              <w:adjustRightInd w:val="0"/>
              <w:snapToGrid w:val="0"/>
              <w:spacing w:line="240" w:lineRule="auto"/>
              <w:ind w:firstLine="482"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i w:val="0"/>
                <w:iCs w:val="0"/>
                <w:color w:val="auto"/>
                <w:sz w:val="24"/>
                <w:szCs w:val="24"/>
                <w:highlight w:val="none"/>
                <w:lang w:val="en-US" w:eastAsia="zh-CN"/>
              </w:rPr>
              <w:t>当第一优先推荐顺序的投标人为2人时，（□继续推荐第二优先推荐顺序的投标人 □不再推荐第二优先推荐顺序的投标人）；当第一优先和第二优先推荐顺序的投标人合计为2人时，（□继续推荐第三优先推荐顺序的投标人 □不再推荐第三优先推荐顺序的投标人）。处于同一优先推荐顺序的投标人全部纳入中标候选人。</w:t>
            </w:r>
          </w:p>
          <w:p w14:paraId="6E47902C">
            <w:pPr>
              <w:pStyle w:val="18"/>
              <w:spacing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推荐的中标候选人不排序。评标委员会须对中标候选人逐一出具评审意见，相关评审意见应针对性阐述中标候选人投标文件的优点、不足、可能存在的风险等，不得泛泛而谈。评标委员会应按照实际中标候选人人数推荐中标候选人。</w:t>
            </w:r>
          </w:p>
        </w:tc>
      </w:tr>
      <w:tr w14:paraId="67BF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336" w:type="dxa"/>
            <w:vAlign w:val="center"/>
          </w:tcPr>
          <w:p w14:paraId="76086D9B">
            <w:p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勘察、设计、勘察设计、施工、设计施工总承包、监理、设备采购、材料采购</w:t>
            </w:r>
          </w:p>
        </w:tc>
        <w:tc>
          <w:tcPr>
            <w:tcW w:w="1336" w:type="dxa"/>
            <w:vAlign w:val="center"/>
          </w:tcPr>
          <w:p w14:paraId="1CE3EF72">
            <w:pPr>
              <w:spacing w:line="24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c>
          <w:tcPr>
            <w:tcW w:w="4584" w:type="dxa"/>
          </w:tcPr>
          <w:p w14:paraId="5995D172">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645D66CC">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6E6B44DF">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4F375F5C">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19BC09EA">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1C40FA3D">
            <w:pPr>
              <w:adjustRightInd w:val="0"/>
              <w:snapToGrid w:val="0"/>
              <w:spacing w:line="240" w:lineRule="auto"/>
              <w:rPr>
                <w:rFonts w:hint="eastAsia" w:ascii="仿宋" w:hAnsi="仿宋" w:eastAsia="仿宋" w:cs="仿宋"/>
                <w:color w:val="auto"/>
                <w:kern w:val="2"/>
                <w:sz w:val="24"/>
                <w:szCs w:val="24"/>
                <w:highlight w:val="none"/>
                <w:lang w:val="en-US" w:eastAsia="zh-CN" w:bidi="ar-SA"/>
              </w:rPr>
            </w:pPr>
          </w:p>
          <w:p w14:paraId="6C1A3553">
            <w:pPr>
              <w:adjustRightInd w:val="0"/>
              <w:snapToGrid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c>
          <w:tcPr>
            <w:tcW w:w="6192" w:type="dxa"/>
          </w:tcPr>
          <w:p w14:paraId="6B5E0E19">
            <w:pPr>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最后一章“投标文件格式”后新增：</w:t>
            </w:r>
          </w:p>
          <w:p w14:paraId="3EA4D0C0">
            <w:pPr>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p>
          <w:p w14:paraId="216E59E1">
            <w:pPr>
              <w:pStyle w:val="18"/>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勘察、设计、勘察设计、监理、设备采购、材料采购：“第七章 定标方案”</w:t>
            </w:r>
          </w:p>
          <w:p w14:paraId="1B19423B">
            <w:pPr>
              <w:pStyle w:val="18"/>
              <w:ind w:left="0" w:leftChars="0" w:firstLine="0" w:firstLineChars="0"/>
              <w:rPr>
                <w:rFonts w:hint="eastAsia"/>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设计施工总承包：“第八章 定标方案”</w:t>
            </w:r>
          </w:p>
          <w:p w14:paraId="44336CD3">
            <w:pPr>
              <w:numPr>
                <w:ilvl w:val="0"/>
                <w:numId w:val="0"/>
              </w:numPr>
              <w:spacing w:line="240" w:lineRule="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施工：“第九章 定标方案” </w:t>
            </w:r>
          </w:p>
          <w:p w14:paraId="7F5E8E26">
            <w:pPr>
              <w:numPr>
                <w:ilvl w:val="0"/>
                <w:numId w:val="0"/>
              </w:numPr>
              <w:spacing w:line="240" w:lineRule="auto"/>
              <w:rPr>
                <w:rFonts w:hint="eastAsia" w:ascii="仿宋" w:hAnsi="仿宋" w:eastAsia="仿宋" w:cs="仿宋"/>
                <w:color w:val="auto"/>
                <w:kern w:val="2"/>
                <w:sz w:val="24"/>
                <w:szCs w:val="24"/>
                <w:highlight w:val="none"/>
                <w:lang w:val="en-US" w:eastAsia="zh-CN" w:bidi="ar-SA"/>
              </w:rPr>
            </w:pPr>
          </w:p>
          <w:p w14:paraId="64053441">
            <w:pPr>
              <w:numPr>
                <w:ilvl w:val="0"/>
                <w:numId w:val="0"/>
              </w:numPr>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增加“定标方案”一章见文末。</w:t>
            </w:r>
          </w:p>
        </w:tc>
      </w:tr>
    </w:tbl>
    <w:p w14:paraId="03D37D01">
      <w:pPr>
        <w:jc w:val="center"/>
        <w:rPr>
          <w:rFonts w:hint="eastAsia"/>
          <w:b/>
          <w:bCs/>
          <w:sz w:val="28"/>
          <w:szCs w:val="36"/>
        </w:rPr>
      </w:pPr>
    </w:p>
    <w:p w14:paraId="7081F3A7">
      <w:pPr>
        <w:jc w:val="center"/>
        <w:rPr>
          <w:rFonts w:hint="eastAsia"/>
          <w:b/>
          <w:bCs/>
          <w:sz w:val="28"/>
          <w:szCs w:val="36"/>
        </w:rPr>
      </w:pPr>
    </w:p>
    <w:p w14:paraId="102DC7A5">
      <w:pPr>
        <w:jc w:val="both"/>
        <w:rPr>
          <w:rFonts w:hint="eastAsia"/>
          <w:b/>
          <w:bCs/>
          <w:sz w:val="28"/>
          <w:szCs w:val="36"/>
        </w:rPr>
      </w:pPr>
    </w:p>
    <w:p w14:paraId="41C2D98C">
      <w:pPr>
        <w:ind w:firstLine="1124" w:firstLineChars="400"/>
        <w:jc w:val="both"/>
        <w:rPr>
          <w:rFonts w:hint="eastAsia"/>
          <w:b/>
          <w:bCs/>
          <w:sz w:val="28"/>
          <w:szCs w:val="36"/>
          <w:lang w:val="en-US" w:eastAsia="zh-CN"/>
        </w:rPr>
      </w:pPr>
    </w:p>
    <w:p w14:paraId="59CFCFAB">
      <w:pPr>
        <w:ind w:firstLine="1405" w:firstLineChars="500"/>
        <w:jc w:val="both"/>
        <w:rPr>
          <w:rFonts w:hint="eastAsia"/>
          <w:b/>
          <w:bCs/>
          <w:sz w:val="28"/>
          <w:szCs w:val="36"/>
        </w:rPr>
      </w:pPr>
      <w:r>
        <w:rPr>
          <w:rFonts w:hint="eastAsia"/>
          <w:b/>
          <w:bCs/>
          <w:sz w:val="28"/>
          <w:szCs w:val="36"/>
          <w:lang w:val="en-US" w:eastAsia="zh-CN"/>
        </w:rPr>
        <w:t>勘察、设计、勘察设计、监理、设备采购、材料采购：</w:t>
      </w:r>
      <w:r>
        <w:rPr>
          <w:rFonts w:hint="eastAsia"/>
          <w:b/>
          <w:bCs/>
          <w:sz w:val="28"/>
          <w:szCs w:val="36"/>
        </w:rPr>
        <w:t>第</w:t>
      </w:r>
      <w:r>
        <w:rPr>
          <w:rFonts w:hint="eastAsia"/>
          <w:b/>
          <w:bCs/>
          <w:sz w:val="28"/>
          <w:szCs w:val="36"/>
          <w:lang w:val="en-US" w:eastAsia="zh-CN"/>
        </w:rPr>
        <w:t>七</w:t>
      </w:r>
      <w:r>
        <w:rPr>
          <w:rFonts w:hint="eastAsia"/>
          <w:b/>
          <w:bCs/>
          <w:sz w:val="28"/>
          <w:szCs w:val="36"/>
        </w:rPr>
        <w:t>章 定标方案</w:t>
      </w:r>
    </w:p>
    <w:p w14:paraId="63C33986">
      <w:pPr>
        <w:pStyle w:val="18"/>
        <w:ind w:firstLine="4216" w:firstLineChars="1500"/>
        <w:jc w:val="left"/>
        <w:rPr>
          <w:rFonts w:hint="eastAsia" w:asciiTheme="minorHAnsi" w:hAnsiTheme="minorHAnsi" w:eastAsiaTheme="minorEastAsia" w:cstheme="minorBidi"/>
          <w:b/>
          <w:bCs/>
          <w:kern w:val="2"/>
          <w:sz w:val="28"/>
          <w:szCs w:val="36"/>
          <w:lang w:val="en-US" w:eastAsia="zh-CN" w:bidi="ar-SA"/>
        </w:rPr>
      </w:pPr>
      <w:r>
        <w:rPr>
          <w:rFonts w:hint="eastAsia" w:asciiTheme="minorHAnsi" w:hAnsiTheme="minorHAnsi" w:eastAsiaTheme="minorEastAsia" w:cstheme="minorBidi"/>
          <w:b/>
          <w:bCs/>
          <w:kern w:val="2"/>
          <w:sz w:val="28"/>
          <w:szCs w:val="36"/>
          <w:lang w:val="en-US" w:eastAsia="zh-CN" w:bidi="ar-SA"/>
        </w:rPr>
        <w:t>施工：第九章  定标方案</w:t>
      </w:r>
    </w:p>
    <w:p w14:paraId="11C40B83">
      <w:pPr>
        <w:pStyle w:val="18"/>
        <w:ind w:firstLine="3373" w:firstLineChars="1200"/>
        <w:jc w:val="left"/>
        <w:rPr>
          <w:rFonts w:hint="eastAsia" w:asciiTheme="minorHAnsi" w:hAnsiTheme="minorHAnsi" w:eastAsiaTheme="minorEastAsia" w:cstheme="minorBidi"/>
          <w:b/>
          <w:bCs/>
          <w:kern w:val="2"/>
          <w:sz w:val="28"/>
          <w:szCs w:val="36"/>
          <w:lang w:val="en-US" w:eastAsia="zh-CN" w:bidi="ar-SA"/>
        </w:rPr>
      </w:pPr>
      <w:r>
        <w:rPr>
          <w:rFonts w:hint="eastAsia" w:asciiTheme="minorHAnsi" w:hAnsiTheme="minorHAnsi" w:eastAsiaTheme="minorEastAsia" w:cstheme="minorBidi"/>
          <w:b/>
          <w:bCs/>
          <w:kern w:val="2"/>
          <w:sz w:val="28"/>
          <w:szCs w:val="36"/>
          <w:lang w:val="en-US" w:eastAsia="zh-CN" w:bidi="ar-SA"/>
        </w:rPr>
        <w:t>设计施工总承包：第八章  定标方案</w:t>
      </w:r>
    </w:p>
    <w:p w14:paraId="1F5E3A3C">
      <w:pPr>
        <w:pStyle w:val="18"/>
        <w:rPr>
          <w:rFonts w:hint="default"/>
          <w:b/>
          <w:bCs/>
          <w:sz w:val="28"/>
          <w:szCs w:val="36"/>
          <w:lang w:val="en-US" w:eastAsia="zh-CN"/>
        </w:rPr>
      </w:pPr>
    </w:p>
    <w:tbl>
      <w:tblPr>
        <w:tblStyle w:val="11"/>
        <w:tblW w:w="1345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807"/>
        <w:gridCol w:w="10721"/>
      </w:tblGrid>
      <w:tr w14:paraId="7083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2834AA28">
            <w:pPr>
              <w:jc w:val="center"/>
              <w:rPr>
                <w:rFonts w:hint="default"/>
                <w:sz w:val="24"/>
                <w:szCs w:val="21"/>
                <w:u w:val="none"/>
                <w:vertAlign w:val="baseline"/>
                <w:lang w:val="en-US" w:eastAsia="zh-CN"/>
              </w:rPr>
            </w:pPr>
            <w:r>
              <w:rPr>
                <w:rFonts w:hint="eastAsia"/>
                <w:sz w:val="24"/>
                <w:szCs w:val="21"/>
                <w:u w:val="none"/>
                <w:vertAlign w:val="baseline"/>
                <w:lang w:val="en-US" w:eastAsia="zh-CN"/>
              </w:rPr>
              <w:t>序号</w:t>
            </w:r>
          </w:p>
        </w:tc>
        <w:tc>
          <w:tcPr>
            <w:tcW w:w="1807" w:type="dxa"/>
          </w:tcPr>
          <w:p w14:paraId="2C33D541">
            <w:pPr>
              <w:jc w:val="center"/>
              <w:rPr>
                <w:rFonts w:hint="default"/>
                <w:sz w:val="24"/>
                <w:szCs w:val="21"/>
                <w:u w:val="none"/>
                <w:vertAlign w:val="baseline"/>
                <w:lang w:val="en-US" w:eastAsia="zh-CN"/>
              </w:rPr>
            </w:pPr>
            <w:r>
              <w:rPr>
                <w:rFonts w:hint="eastAsia"/>
                <w:sz w:val="24"/>
                <w:szCs w:val="21"/>
                <w:u w:val="none"/>
                <w:vertAlign w:val="baseline"/>
                <w:lang w:val="en-US" w:eastAsia="zh-CN"/>
              </w:rPr>
              <w:t>条款名称</w:t>
            </w:r>
          </w:p>
        </w:tc>
        <w:tc>
          <w:tcPr>
            <w:tcW w:w="10721" w:type="dxa"/>
          </w:tcPr>
          <w:p w14:paraId="71AFB67F">
            <w:pPr>
              <w:jc w:val="center"/>
              <w:rPr>
                <w:rFonts w:hint="default"/>
                <w:sz w:val="24"/>
                <w:szCs w:val="21"/>
                <w:u w:val="none"/>
                <w:vertAlign w:val="baseline"/>
                <w:lang w:val="en-US" w:eastAsia="zh-CN"/>
              </w:rPr>
            </w:pPr>
            <w:r>
              <w:rPr>
                <w:rFonts w:hint="eastAsia"/>
                <w:sz w:val="24"/>
                <w:szCs w:val="21"/>
                <w:u w:val="none"/>
                <w:vertAlign w:val="baseline"/>
                <w:lang w:val="en-US" w:eastAsia="zh-CN"/>
              </w:rPr>
              <w:t>内容</w:t>
            </w:r>
          </w:p>
        </w:tc>
      </w:tr>
      <w:tr w14:paraId="0341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14:paraId="10692A8F">
            <w:pPr>
              <w:jc w:val="center"/>
              <w:rPr>
                <w:rFonts w:hint="default"/>
                <w:sz w:val="24"/>
                <w:szCs w:val="21"/>
                <w:u w:val="none"/>
                <w:vertAlign w:val="baseline"/>
                <w:lang w:val="en-US" w:eastAsia="zh-CN"/>
              </w:rPr>
            </w:pPr>
            <w:r>
              <w:rPr>
                <w:rFonts w:hint="eastAsia"/>
                <w:sz w:val="24"/>
                <w:szCs w:val="21"/>
                <w:u w:val="none"/>
                <w:vertAlign w:val="baseline"/>
                <w:lang w:val="en-US" w:eastAsia="zh-CN"/>
              </w:rPr>
              <w:t>1</w:t>
            </w:r>
          </w:p>
        </w:tc>
        <w:tc>
          <w:tcPr>
            <w:tcW w:w="1807" w:type="dxa"/>
          </w:tcPr>
          <w:p w14:paraId="1EAB04D1">
            <w:pPr>
              <w:ind w:firstLine="240" w:firstLineChars="100"/>
              <w:jc w:val="left"/>
              <w:rPr>
                <w:rFonts w:hint="eastAsia"/>
                <w:sz w:val="24"/>
                <w:szCs w:val="21"/>
                <w:u w:val="none"/>
                <w:vertAlign w:val="baseline"/>
                <w:lang w:val="en-US" w:eastAsia="zh-CN"/>
              </w:rPr>
            </w:pPr>
            <w:r>
              <w:rPr>
                <w:rFonts w:hint="eastAsia"/>
                <w:sz w:val="24"/>
                <w:szCs w:val="21"/>
                <w:u w:val="none"/>
                <w:vertAlign w:val="baseline"/>
                <w:lang w:val="en-US" w:eastAsia="zh-CN"/>
              </w:rPr>
              <w:t>定</w:t>
            </w:r>
            <w:r>
              <w:rPr>
                <w:rFonts w:hint="default"/>
                <w:sz w:val="24"/>
                <w:szCs w:val="21"/>
                <w:u w:val="none"/>
                <w:vertAlign w:val="baseline"/>
                <w:lang w:val="en-US" w:eastAsia="zh-CN"/>
              </w:rPr>
              <w:t>标</w:t>
            </w:r>
            <w:r>
              <w:rPr>
                <w:rFonts w:hint="eastAsia"/>
                <w:sz w:val="24"/>
                <w:szCs w:val="21"/>
                <w:u w:val="none"/>
                <w:vertAlign w:val="baseline"/>
                <w:lang w:val="en-US" w:eastAsia="zh-CN"/>
              </w:rPr>
              <w:t>时限</w:t>
            </w:r>
          </w:p>
        </w:tc>
        <w:tc>
          <w:tcPr>
            <w:tcW w:w="10721" w:type="dxa"/>
          </w:tcPr>
          <w:p w14:paraId="3B86BB8A">
            <w:pPr>
              <w:jc w:val="left"/>
              <w:rPr>
                <w:rFonts w:hint="eastAsia"/>
                <w:sz w:val="24"/>
                <w:szCs w:val="21"/>
                <w:u w:val="none"/>
                <w:vertAlign w:val="baseline"/>
                <w:lang w:val="en-US" w:eastAsia="zh-CN"/>
              </w:rPr>
            </w:pPr>
            <w:r>
              <w:rPr>
                <w:rFonts w:hint="eastAsia"/>
                <w:sz w:val="24"/>
                <w:szCs w:val="21"/>
                <w:u w:val="none"/>
                <w:vertAlign w:val="baseline"/>
                <w:lang w:val="en-US" w:eastAsia="zh-CN"/>
              </w:rPr>
              <w:t>定</w:t>
            </w:r>
            <w:r>
              <w:rPr>
                <w:rFonts w:hint="default"/>
                <w:sz w:val="24"/>
                <w:szCs w:val="21"/>
                <w:u w:val="none"/>
                <w:vertAlign w:val="baseline"/>
                <w:lang w:val="en-US" w:eastAsia="zh-CN"/>
              </w:rPr>
              <w:t>标</w:t>
            </w:r>
            <w:r>
              <w:rPr>
                <w:rFonts w:hint="eastAsia"/>
                <w:sz w:val="24"/>
                <w:szCs w:val="21"/>
                <w:u w:val="none"/>
                <w:vertAlign w:val="baseline"/>
                <w:lang w:val="en-US" w:eastAsia="zh-CN"/>
              </w:rPr>
              <w:t>时限：</w:t>
            </w:r>
            <w:r>
              <w:rPr>
                <w:rFonts w:hint="eastAsia"/>
                <w:sz w:val="24"/>
                <w:szCs w:val="21"/>
                <w:u w:val="single"/>
                <w:vertAlign w:val="baseline"/>
                <w:lang w:val="en-US" w:eastAsia="zh-CN"/>
              </w:rPr>
              <w:t xml:space="preserve">      </w:t>
            </w:r>
            <w:r>
              <w:rPr>
                <w:rFonts w:hint="eastAsia"/>
                <w:sz w:val="24"/>
                <w:szCs w:val="21"/>
                <w:u w:val="none"/>
                <w:vertAlign w:val="baseline"/>
                <w:lang w:val="en-US" w:eastAsia="zh-CN"/>
              </w:rPr>
              <w:t xml:space="preserve">     </w:t>
            </w:r>
          </w:p>
          <w:p w14:paraId="1A43B7AF">
            <w:pPr>
              <w:jc w:val="left"/>
              <w:rPr>
                <w:rFonts w:hint="default"/>
                <w:u w:val="single"/>
                <w:lang w:val="en-US" w:eastAsia="zh-CN"/>
              </w:rPr>
            </w:pPr>
            <w:r>
              <w:rPr>
                <w:rFonts w:hint="eastAsia"/>
                <w:sz w:val="24"/>
                <w:szCs w:val="21"/>
                <w:u w:val="none"/>
                <w:vertAlign w:val="baseline"/>
                <w:lang w:val="en-US" w:eastAsia="zh-CN"/>
              </w:rPr>
              <w:t xml:space="preserve">注：定标一般应在中标候选人公示期结束之日起20日内完成。     </w:t>
            </w:r>
          </w:p>
        </w:tc>
      </w:tr>
      <w:tr w14:paraId="7B34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14:paraId="13B227AB">
            <w:pPr>
              <w:jc w:val="center"/>
              <w:rPr>
                <w:rFonts w:hint="eastAsia"/>
                <w:sz w:val="24"/>
                <w:szCs w:val="21"/>
                <w:u w:val="none"/>
                <w:vertAlign w:val="baseline"/>
                <w:lang w:val="en-US" w:eastAsia="zh-CN"/>
              </w:rPr>
            </w:pPr>
          </w:p>
          <w:p w14:paraId="23F1EC5D">
            <w:pPr>
              <w:jc w:val="center"/>
              <w:rPr>
                <w:rFonts w:hint="default"/>
                <w:sz w:val="24"/>
                <w:szCs w:val="21"/>
                <w:u w:val="none"/>
                <w:vertAlign w:val="baseline"/>
                <w:lang w:val="en-US" w:eastAsia="zh-CN"/>
              </w:rPr>
            </w:pPr>
            <w:r>
              <w:rPr>
                <w:rFonts w:hint="eastAsia"/>
                <w:sz w:val="24"/>
                <w:szCs w:val="21"/>
                <w:u w:val="none"/>
                <w:vertAlign w:val="baseline"/>
                <w:lang w:val="en-US" w:eastAsia="zh-CN"/>
              </w:rPr>
              <w:t>2</w:t>
            </w:r>
          </w:p>
        </w:tc>
        <w:tc>
          <w:tcPr>
            <w:tcW w:w="1807" w:type="dxa"/>
          </w:tcPr>
          <w:p w14:paraId="019A2F54">
            <w:pPr>
              <w:pStyle w:val="18"/>
              <w:ind w:left="0" w:leftChars="0" w:firstLine="0" w:firstLineChars="0"/>
              <w:rPr>
                <w:rFonts w:hint="eastAsia" w:asciiTheme="minorHAnsi" w:hAnsiTheme="minorHAnsi" w:eastAsiaTheme="minorEastAsia" w:cstheme="minorBidi"/>
                <w:b w:val="0"/>
                <w:bCs/>
                <w:kern w:val="2"/>
                <w:sz w:val="24"/>
                <w:szCs w:val="21"/>
                <w:u w:val="none"/>
                <w:vertAlign w:val="baseline"/>
                <w:lang w:val="en-US" w:eastAsia="zh-CN" w:bidi="ar-SA"/>
              </w:rPr>
            </w:pPr>
          </w:p>
          <w:p w14:paraId="372E9360">
            <w:pPr>
              <w:pStyle w:val="18"/>
              <w:ind w:left="0" w:leftChars="0" w:firstLine="0" w:firstLineChars="0"/>
              <w:rPr>
                <w:rFonts w:hint="default" w:cstheme="minorBidi"/>
                <w:b w:val="0"/>
                <w:bCs/>
                <w:kern w:val="2"/>
                <w:sz w:val="24"/>
                <w:szCs w:val="21"/>
                <w:u w:val="none"/>
                <w:vertAlign w:val="baseline"/>
                <w:lang w:val="en-US" w:eastAsia="zh-CN" w:bidi="ar-SA"/>
              </w:rPr>
            </w:pPr>
            <w:r>
              <w:rPr>
                <w:rFonts w:hint="eastAsia" w:asciiTheme="minorHAnsi" w:hAnsiTheme="minorHAnsi" w:eastAsiaTheme="minorEastAsia" w:cstheme="minorBidi"/>
                <w:b w:val="0"/>
                <w:bCs/>
                <w:kern w:val="2"/>
                <w:sz w:val="24"/>
                <w:szCs w:val="21"/>
                <w:u w:val="none"/>
                <w:vertAlign w:val="baseline"/>
                <w:lang w:val="en-US" w:eastAsia="zh-CN" w:bidi="ar-SA"/>
              </w:rPr>
              <w:t>是否</w:t>
            </w:r>
            <w:r>
              <w:rPr>
                <w:rFonts w:hint="default" w:asciiTheme="minorHAnsi" w:hAnsiTheme="minorHAnsi" w:eastAsiaTheme="minorEastAsia" w:cstheme="minorBidi"/>
                <w:b w:val="0"/>
                <w:bCs/>
                <w:kern w:val="2"/>
                <w:sz w:val="24"/>
                <w:szCs w:val="21"/>
                <w:u w:val="none"/>
                <w:vertAlign w:val="baseline"/>
                <w:lang w:val="en-US" w:eastAsia="zh-CN" w:bidi="ar-SA"/>
              </w:rPr>
              <w:t>进行</w:t>
            </w:r>
            <w:r>
              <w:rPr>
                <w:rFonts w:hint="eastAsia" w:asciiTheme="minorHAnsi" w:hAnsiTheme="minorHAnsi" w:eastAsiaTheme="minorEastAsia" w:cstheme="minorBidi"/>
                <w:b w:val="0"/>
                <w:bCs/>
                <w:kern w:val="2"/>
                <w:sz w:val="24"/>
                <w:szCs w:val="21"/>
                <w:u w:val="none"/>
                <w:vertAlign w:val="baseline"/>
                <w:lang w:val="en-US" w:eastAsia="zh-CN" w:bidi="ar-SA"/>
              </w:rPr>
              <w:t>中标候选人核查</w:t>
            </w:r>
          </w:p>
        </w:tc>
        <w:tc>
          <w:tcPr>
            <w:tcW w:w="10721" w:type="dxa"/>
          </w:tcPr>
          <w:p w14:paraId="7BE7A3A5">
            <w:pPr>
              <w:jc w:val="left"/>
              <w:rPr>
                <w:rFonts w:hint="eastAsia"/>
                <w:sz w:val="24"/>
                <w:szCs w:val="21"/>
                <w:u w:val="none"/>
                <w:vertAlign w:val="baseline"/>
                <w:lang w:val="en-US" w:eastAsia="zh-CN"/>
              </w:rPr>
            </w:pPr>
            <w:r>
              <w:rPr>
                <w:rFonts w:hint="default"/>
                <w:sz w:val="24"/>
                <w:szCs w:val="21"/>
                <w:u w:val="none"/>
                <w:vertAlign w:val="baseline"/>
                <w:lang w:val="en-US" w:eastAsia="zh-CN"/>
              </w:rPr>
              <w:t>口</w:t>
            </w:r>
            <w:r>
              <w:rPr>
                <w:rFonts w:hint="eastAsia"/>
                <w:sz w:val="24"/>
                <w:szCs w:val="21"/>
                <w:u w:val="none"/>
                <w:vertAlign w:val="baseline"/>
                <w:lang w:val="en-US" w:eastAsia="zh-CN"/>
              </w:rPr>
              <w:t>不</w:t>
            </w:r>
            <w:r>
              <w:rPr>
                <w:rFonts w:hint="default"/>
                <w:sz w:val="24"/>
                <w:szCs w:val="21"/>
                <w:u w:val="none"/>
                <w:vertAlign w:val="baseline"/>
                <w:lang w:val="en-US" w:eastAsia="zh-CN"/>
              </w:rPr>
              <w:t>进行</w:t>
            </w:r>
            <w:r>
              <w:rPr>
                <w:rFonts w:hint="eastAsia"/>
                <w:sz w:val="24"/>
                <w:szCs w:val="21"/>
                <w:u w:val="none"/>
                <w:vertAlign w:val="baseline"/>
                <w:lang w:val="en-US" w:eastAsia="zh-CN"/>
              </w:rPr>
              <w:t xml:space="preserve">  </w:t>
            </w:r>
          </w:p>
          <w:p w14:paraId="60E306FC">
            <w:pPr>
              <w:jc w:val="left"/>
              <w:rPr>
                <w:rFonts w:hint="eastAsia" w:cstheme="minorBidi"/>
                <w:b w:val="0"/>
                <w:bCs/>
                <w:kern w:val="2"/>
                <w:sz w:val="24"/>
                <w:szCs w:val="21"/>
                <w:u w:val="single"/>
                <w:vertAlign w:val="baseline"/>
                <w:lang w:val="en-US" w:eastAsia="zh-CN" w:bidi="ar-SA"/>
              </w:rPr>
            </w:pPr>
            <w:r>
              <w:rPr>
                <w:rFonts w:hint="default"/>
                <w:sz w:val="24"/>
                <w:szCs w:val="21"/>
                <w:u w:val="none"/>
                <w:vertAlign w:val="baseline"/>
                <w:lang w:val="en-US" w:eastAsia="zh-CN"/>
              </w:rPr>
              <w:t>口进行</w:t>
            </w:r>
            <w:r>
              <w:rPr>
                <w:rFonts w:hint="eastAsia" w:cstheme="minorBidi"/>
                <w:b w:val="0"/>
                <w:bCs/>
                <w:kern w:val="2"/>
                <w:sz w:val="24"/>
                <w:szCs w:val="21"/>
                <w:u w:val="none"/>
                <w:vertAlign w:val="baseline"/>
                <w:lang w:val="en-US" w:eastAsia="zh-CN" w:bidi="ar-SA"/>
              </w:rPr>
              <w:t xml:space="preserve">   核查的内容：</w:t>
            </w:r>
            <w:r>
              <w:rPr>
                <w:rFonts w:hint="eastAsia" w:cstheme="minorBidi"/>
                <w:b w:val="0"/>
                <w:bCs/>
                <w:kern w:val="2"/>
                <w:sz w:val="24"/>
                <w:szCs w:val="21"/>
                <w:u w:val="single"/>
                <w:vertAlign w:val="baseline"/>
                <w:lang w:val="en-US" w:eastAsia="zh-CN" w:bidi="ar-SA"/>
              </w:rPr>
              <w:t xml:space="preserve">                      </w:t>
            </w:r>
          </w:p>
          <w:p w14:paraId="6527302E">
            <w:pPr>
              <w:pStyle w:val="18"/>
              <w:ind w:left="0" w:leftChars="0" w:firstLine="480" w:firstLineChars="200"/>
              <w:rPr>
                <w:rFonts w:hint="default"/>
                <w:lang w:val="en-US" w:eastAsia="zh-CN"/>
              </w:rPr>
            </w:pPr>
            <w:r>
              <w:rPr>
                <w:rFonts w:hint="eastAsia" w:cstheme="minorBidi"/>
                <w:b w:val="0"/>
                <w:bCs/>
                <w:kern w:val="2"/>
                <w:sz w:val="24"/>
                <w:szCs w:val="21"/>
                <w:u w:val="none"/>
                <w:vertAlign w:val="baseline"/>
                <w:lang w:val="en-US" w:eastAsia="zh-CN" w:bidi="ar-SA"/>
              </w:rPr>
              <w:t>注：核查可包括信用状况、履约能力、是否受到可能影响履约的行政处罚、是否被标注“资质异常”、是否被安全生产许可预警标注等内容，以及招标人认为需要核查的其他内容。</w:t>
            </w:r>
          </w:p>
        </w:tc>
      </w:tr>
      <w:tr w14:paraId="5C69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924" w:type="dxa"/>
            <w:vAlign w:val="top"/>
          </w:tcPr>
          <w:p w14:paraId="38736049">
            <w:pPr>
              <w:jc w:val="center"/>
              <w:rPr>
                <w:rFonts w:hint="eastAsia"/>
                <w:sz w:val="24"/>
                <w:szCs w:val="21"/>
                <w:u w:val="none"/>
                <w:vertAlign w:val="baseline"/>
                <w:lang w:val="en-US" w:eastAsia="zh-CN"/>
              </w:rPr>
            </w:pPr>
          </w:p>
          <w:p w14:paraId="549FBDE0">
            <w:pPr>
              <w:jc w:val="center"/>
              <w:rPr>
                <w:rFonts w:hint="eastAsia"/>
                <w:sz w:val="24"/>
                <w:szCs w:val="21"/>
                <w:u w:val="none"/>
                <w:vertAlign w:val="baseline"/>
                <w:lang w:val="en-US" w:eastAsia="zh-CN"/>
              </w:rPr>
            </w:pPr>
          </w:p>
          <w:p w14:paraId="0A5F59B1">
            <w:pPr>
              <w:jc w:val="center"/>
              <w:rPr>
                <w:rFonts w:hint="default"/>
                <w:sz w:val="24"/>
                <w:szCs w:val="21"/>
                <w:u w:val="none"/>
                <w:vertAlign w:val="baseline"/>
                <w:lang w:val="en-US" w:eastAsia="zh-CN"/>
              </w:rPr>
            </w:pPr>
            <w:r>
              <w:rPr>
                <w:rFonts w:hint="eastAsia"/>
                <w:sz w:val="24"/>
                <w:szCs w:val="21"/>
                <w:u w:val="none"/>
                <w:vertAlign w:val="baseline"/>
                <w:lang w:val="en-US" w:eastAsia="zh-CN"/>
              </w:rPr>
              <w:t>3</w:t>
            </w:r>
          </w:p>
        </w:tc>
        <w:tc>
          <w:tcPr>
            <w:tcW w:w="1807" w:type="dxa"/>
          </w:tcPr>
          <w:p w14:paraId="6AC2ECB5">
            <w:pPr>
              <w:jc w:val="left"/>
              <w:rPr>
                <w:rFonts w:hint="eastAsia"/>
                <w:sz w:val="24"/>
                <w:szCs w:val="21"/>
                <w:u w:val="none"/>
                <w:vertAlign w:val="baseline"/>
                <w:lang w:val="en-US" w:eastAsia="zh-CN"/>
              </w:rPr>
            </w:pPr>
          </w:p>
          <w:p w14:paraId="6A260257">
            <w:pPr>
              <w:jc w:val="left"/>
              <w:rPr>
                <w:rFonts w:hint="eastAsia"/>
                <w:sz w:val="24"/>
                <w:szCs w:val="21"/>
                <w:u w:val="none"/>
                <w:vertAlign w:val="baseline"/>
                <w:lang w:val="en-US" w:eastAsia="zh-CN"/>
              </w:rPr>
            </w:pPr>
          </w:p>
          <w:p w14:paraId="46C6B589">
            <w:pPr>
              <w:jc w:val="left"/>
              <w:rPr>
                <w:rFonts w:hint="default"/>
                <w:sz w:val="24"/>
                <w:szCs w:val="21"/>
                <w:u w:val="none"/>
                <w:vertAlign w:val="baseline"/>
                <w:lang w:val="en-US" w:eastAsia="zh-CN"/>
              </w:rPr>
            </w:pPr>
            <w:r>
              <w:rPr>
                <w:rFonts w:hint="eastAsia"/>
                <w:sz w:val="24"/>
                <w:szCs w:val="21"/>
                <w:u w:val="none"/>
                <w:vertAlign w:val="baseline"/>
                <w:lang w:val="en-US" w:eastAsia="zh-CN"/>
              </w:rPr>
              <w:t>是否</w:t>
            </w:r>
            <w:r>
              <w:rPr>
                <w:rFonts w:hint="default"/>
                <w:sz w:val="24"/>
                <w:szCs w:val="21"/>
                <w:u w:val="none"/>
                <w:vertAlign w:val="baseline"/>
                <w:lang w:val="en-US" w:eastAsia="zh-CN"/>
              </w:rPr>
              <w:t>进行现场考察</w:t>
            </w:r>
          </w:p>
        </w:tc>
        <w:tc>
          <w:tcPr>
            <w:tcW w:w="10721" w:type="dxa"/>
          </w:tcPr>
          <w:p w14:paraId="5E09BD1A">
            <w:pPr>
              <w:jc w:val="left"/>
              <w:rPr>
                <w:rFonts w:hint="eastAsia" w:cstheme="minorBidi"/>
                <w:b w:val="0"/>
                <w:bCs/>
                <w:kern w:val="2"/>
                <w:sz w:val="24"/>
                <w:szCs w:val="21"/>
                <w:u w:val="none"/>
                <w:vertAlign w:val="baseline"/>
                <w:lang w:val="en-US" w:eastAsia="zh-CN" w:bidi="ar-SA"/>
              </w:rPr>
            </w:pPr>
            <w:r>
              <w:rPr>
                <w:rFonts w:hint="default" w:cstheme="minorBidi"/>
                <w:b w:val="0"/>
                <w:bCs/>
                <w:kern w:val="2"/>
                <w:sz w:val="24"/>
                <w:szCs w:val="21"/>
                <w:u w:val="none"/>
                <w:vertAlign w:val="baseline"/>
                <w:lang w:val="en-US" w:eastAsia="zh-CN" w:bidi="ar-SA"/>
              </w:rPr>
              <w:t>口</w:t>
            </w:r>
            <w:r>
              <w:rPr>
                <w:rFonts w:hint="eastAsia" w:cstheme="minorBidi"/>
                <w:b w:val="0"/>
                <w:bCs/>
                <w:kern w:val="2"/>
                <w:sz w:val="24"/>
                <w:szCs w:val="21"/>
                <w:u w:val="none"/>
                <w:vertAlign w:val="baseline"/>
                <w:lang w:val="en-US" w:eastAsia="zh-CN" w:bidi="ar-SA"/>
              </w:rPr>
              <w:t>不</w:t>
            </w:r>
            <w:r>
              <w:rPr>
                <w:rFonts w:hint="default" w:cstheme="minorBidi"/>
                <w:b w:val="0"/>
                <w:bCs/>
                <w:kern w:val="2"/>
                <w:sz w:val="24"/>
                <w:szCs w:val="21"/>
                <w:u w:val="none"/>
                <w:vertAlign w:val="baseline"/>
                <w:lang w:val="en-US" w:eastAsia="zh-CN" w:bidi="ar-SA"/>
              </w:rPr>
              <w:t>进行</w:t>
            </w:r>
            <w:r>
              <w:rPr>
                <w:rFonts w:hint="eastAsia" w:cstheme="minorBidi"/>
                <w:b w:val="0"/>
                <w:bCs/>
                <w:kern w:val="2"/>
                <w:sz w:val="24"/>
                <w:szCs w:val="21"/>
                <w:u w:val="none"/>
                <w:vertAlign w:val="baseline"/>
                <w:lang w:val="en-US" w:eastAsia="zh-CN" w:bidi="ar-SA"/>
              </w:rPr>
              <w:t xml:space="preserve">  </w:t>
            </w:r>
          </w:p>
          <w:p w14:paraId="4FA99404">
            <w:pPr>
              <w:jc w:val="left"/>
              <w:rPr>
                <w:rFonts w:hint="eastAsia"/>
                <w:u w:val="single"/>
                <w:lang w:val="en-US" w:eastAsia="zh-CN"/>
              </w:rPr>
            </w:pPr>
            <w:r>
              <w:rPr>
                <w:rFonts w:hint="default" w:cstheme="minorBidi"/>
                <w:b w:val="0"/>
                <w:bCs/>
                <w:kern w:val="2"/>
                <w:sz w:val="24"/>
                <w:szCs w:val="21"/>
                <w:u w:val="none"/>
                <w:vertAlign w:val="baseline"/>
                <w:lang w:val="en-US" w:eastAsia="zh-CN" w:bidi="ar-SA"/>
              </w:rPr>
              <w:t>口进行</w:t>
            </w:r>
            <w:r>
              <w:rPr>
                <w:rFonts w:hint="eastAsia" w:cstheme="minorBidi"/>
                <w:b w:val="0"/>
                <w:bCs/>
                <w:kern w:val="2"/>
                <w:sz w:val="24"/>
                <w:szCs w:val="21"/>
                <w:u w:val="none"/>
                <w:vertAlign w:val="baseline"/>
                <w:lang w:val="en-US" w:eastAsia="zh-CN" w:bidi="ar-SA"/>
              </w:rPr>
              <w:t xml:space="preserve">    </w:t>
            </w:r>
            <w:r>
              <w:rPr>
                <w:rFonts w:hint="default" w:cstheme="minorBidi"/>
                <w:b w:val="0"/>
                <w:bCs/>
                <w:kern w:val="2"/>
                <w:sz w:val="24"/>
                <w:szCs w:val="21"/>
                <w:u w:val="none"/>
                <w:vertAlign w:val="baseline"/>
                <w:lang w:val="en-US" w:eastAsia="zh-CN" w:bidi="ar-SA"/>
              </w:rPr>
              <w:t>考察</w:t>
            </w:r>
            <w:r>
              <w:rPr>
                <w:rFonts w:hint="eastAsia" w:cstheme="minorBidi"/>
                <w:b w:val="0"/>
                <w:bCs/>
                <w:kern w:val="2"/>
                <w:sz w:val="24"/>
                <w:szCs w:val="21"/>
                <w:u w:val="none"/>
                <w:vertAlign w:val="baseline"/>
                <w:lang w:val="en-US" w:eastAsia="zh-CN" w:bidi="ar-SA"/>
              </w:rPr>
              <w:t>的内容：</w:t>
            </w:r>
            <w:r>
              <w:rPr>
                <w:rFonts w:hint="eastAsia" w:cstheme="minorBidi"/>
                <w:b w:val="0"/>
                <w:bCs/>
                <w:kern w:val="2"/>
                <w:sz w:val="24"/>
                <w:szCs w:val="21"/>
                <w:u w:val="single"/>
                <w:vertAlign w:val="baseline"/>
                <w:lang w:val="en-US" w:eastAsia="zh-CN" w:bidi="ar-SA"/>
              </w:rPr>
              <w:t xml:space="preserve">            </w:t>
            </w:r>
          </w:p>
          <w:p w14:paraId="018FD758">
            <w:pPr>
              <w:pStyle w:val="18"/>
              <w:rPr>
                <w:rFonts w:hint="default"/>
                <w:b w:val="0"/>
                <w:bCs/>
                <w:lang w:val="en-US" w:eastAsia="zh-CN"/>
              </w:rPr>
            </w:pPr>
            <w:r>
              <w:rPr>
                <w:rFonts w:hint="eastAsia" w:cstheme="minorBidi"/>
                <w:b w:val="0"/>
                <w:bCs/>
                <w:kern w:val="2"/>
                <w:sz w:val="24"/>
                <w:szCs w:val="21"/>
                <w:u w:val="none"/>
                <w:vertAlign w:val="baseline"/>
                <w:lang w:val="en-US" w:eastAsia="zh-CN" w:bidi="ar-SA"/>
              </w:rPr>
              <w:t>注：开展考察的，应当基于公平原则涵盖所有中标候选人，不得区别对待。考察期间，不得与中标候选人就中标条件、合同实质性内容进行谈判。考察活动应当全过程录音、录像并纳入招标档案统一存档备查。考察应在定标前完成并将相关考察结果作为定标资料提交定标会议。</w:t>
            </w:r>
          </w:p>
        </w:tc>
      </w:tr>
      <w:tr w14:paraId="1323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14:paraId="7FD852AF">
            <w:pPr>
              <w:jc w:val="center"/>
              <w:rPr>
                <w:rFonts w:hint="eastAsia"/>
                <w:sz w:val="24"/>
                <w:szCs w:val="21"/>
                <w:u w:val="none"/>
                <w:vertAlign w:val="baseline"/>
                <w:lang w:val="en-US" w:eastAsia="zh-CN"/>
              </w:rPr>
            </w:pPr>
          </w:p>
          <w:p w14:paraId="1B46D59F">
            <w:pPr>
              <w:jc w:val="center"/>
              <w:rPr>
                <w:rFonts w:hint="eastAsia"/>
                <w:sz w:val="24"/>
                <w:szCs w:val="21"/>
                <w:u w:val="none"/>
                <w:vertAlign w:val="baseline"/>
                <w:lang w:val="en-US" w:eastAsia="zh-CN"/>
              </w:rPr>
            </w:pPr>
          </w:p>
          <w:p w14:paraId="2FB54D9C">
            <w:pPr>
              <w:jc w:val="center"/>
              <w:rPr>
                <w:rFonts w:hint="default"/>
                <w:sz w:val="24"/>
                <w:szCs w:val="21"/>
                <w:u w:val="none"/>
                <w:vertAlign w:val="baseline"/>
                <w:lang w:val="en-US" w:eastAsia="zh-CN"/>
              </w:rPr>
            </w:pPr>
            <w:r>
              <w:rPr>
                <w:rFonts w:hint="eastAsia"/>
                <w:sz w:val="24"/>
                <w:szCs w:val="21"/>
                <w:u w:val="none"/>
                <w:vertAlign w:val="baseline"/>
                <w:lang w:val="en-US" w:eastAsia="zh-CN"/>
              </w:rPr>
              <w:t>4</w:t>
            </w:r>
          </w:p>
        </w:tc>
        <w:tc>
          <w:tcPr>
            <w:tcW w:w="1807" w:type="dxa"/>
          </w:tcPr>
          <w:p w14:paraId="4C4F34E4">
            <w:pPr>
              <w:jc w:val="left"/>
              <w:rPr>
                <w:rFonts w:hint="eastAsia"/>
                <w:sz w:val="24"/>
                <w:szCs w:val="21"/>
                <w:u w:val="none"/>
                <w:vertAlign w:val="baseline"/>
                <w:lang w:val="en-US" w:eastAsia="zh-CN"/>
              </w:rPr>
            </w:pPr>
          </w:p>
          <w:p w14:paraId="79B179A6">
            <w:pPr>
              <w:jc w:val="left"/>
              <w:rPr>
                <w:rFonts w:hint="eastAsia"/>
                <w:sz w:val="24"/>
                <w:szCs w:val="21"/>
                <w:u w:val="none"/>
                <w:vertAlign w:val="baseline"/>
                <w:lang w:val="en-US" w:eastAsia="zh-CN"/>
              </w:rPr>
            </w:pPr>
          </w:p>
          <w:p w14:paraId="67568D7F">
            <w:pPr>
              <w:jc w:val="left"/>
              <w:rPr>
                <w:rFonts w:hint="eastAsia"/>
                <w:b w:val="0"/>
                <w:bCs w:val="0"/>
                <w:sz w:val="24"/>
                <w:szCs w:val="21"/>
                <w:u w:val="none"/>
                <w:vertAlign w:val="baseline"/>
                <w:lang w:val="en-US" w:eastAsia="zh-CN"/>
              </w:rPr>
            </w:pPr>
            <w:r>
              <w:rPr>
                <w:rFonts w:hint="eastAsia"/>
                <w:sz w:val="24"/>
                <w:szCs w:val="21"/>
                <w:u w:val="none"/>
                <w:vertAlign w:val="baseline"/>
                <w:lang w:val="en-US" w:eastAsia="zh-CN"/>
              </w:rPr>
              <w:t>是否</w:t>
            </w:r>
            <w:r>
              <w:rPr>
                <w:rFonts w:hint="default"/>
                <w:sz w:val="24"/>
                <w:szCs w:val="21"/>
                <w:u w:val="none"/>
                <w:vertAlign w:val="baseline"/>
                <w:lang w:val="en-US" w:eastAsia="zh-CN"/>
              </w:rPr>
              <w:t>进行</w:t>
            </w:r>
            <w:r>
              <w:rPr>
                <w:rFonts w:hint="eastAsia"/>
                <w:b w:val="0"/>
                <w:bCs w:val="0"/>
                <w:sz w:val="24"/>
                <w:szCs w:val="21"/>
                <w:u w:val="none"/>
                <w:vertAlign w:val="baseline"/>
                <w:lang w:val="en-US" w:eastAsia="zh-CN"/>
              </w:rPr>
              <w:t>拟派项目团队现场答辩</w:t>
            </w:r>
          </w:p>
        </w:tc>
        <w:tc>
          <w:tcPr>
            <w:tcW w:w="10721" w:type="dxa"/>
          </w:tcPr>
          <w:p w14:paraId="1F3D15E2">
            <w:pPr>
              <w:jc w:val="left"/>
              <w:rPr>
                <w:rFonts w:hint="eastAsia"/>
                <w:sz w:val="24"/>
                <w:szCs w:val="21"/>
                <w:u w:val="none"/>
                <w:vertAlign w:val="baseline"/>
                <w:lang w:val="en-US" w:eastAsia="zh-CN"/>
              </w:rPr>
            </w:pPr>
            <w:r>
              <w:rPr>
                <w:rFonts w:hint="default"/>
                <w:sz w:val="24"/>
                <w:szCs w:val="21"/>
                <w:u w:val="none"/>
                <w:vertAlign w:val="baseline"/>
                <w:lang w:val="en-US" w:eastAsia="zh-CN"/>
              </w:rPr>
              <w:t>口</w:t>
            </w:r>
            <w:r>
              <w:rPr>
                <w:rFonts w:hint="eastAsia"/>
                <w:sz w:val="24"/>
                <w:szCs w:val="21"/>
                <w:u w:val="none"/>
                <w:vertAlign w:val="baseline"/>
                <w:lang w:val="en-US" w:eastAsia="zh-CN"/>
              </w:rPr>
              <w:t>不</w:t>
            </w:r>
            <w:r>
              <w:rPr>
                <w:rFonts w:hint="default"/>
                <w:sz w:val="24"/>
                <w:szCs w:val="21"/>
                <w:u w:val="none"/>
                <w:vertAlign w:val="baseline"/>
                <w:lang w:val="en-US" w:eastAsia="zh-CN"/>
              </w:rPr>
              <w:t>进行</w:t>
            </w:r>
            <w:r>
              <w:rPr>
                <w:rFonts w:hint="eastAsia"/>
                <w:sz w:val="24"/>
                <w:szCs w:val="21"/>
                <w:u w:val="none"/>
                <w:vertAlign w:val="baseline"/>
                <w:lang w:val="en-US" w:eastAsia="zh-CN"/>
              </w:rPr>
              <w:t xml:space="preserve">    </w:t>
            </w:r>
          </w:p>
          <w:p w14:paraId="021EF6D2">
            <w:pPr>
              <w:jc w:val="left"/>
              <w:rPr>
                <w:rFonts w:hint="eastAsia"/>
                <w:sz w:val="24"/>
                <w:szCs w:val="21"/>
                <w:u w:val="single"/>
                <w:vertAlign w:val="baseline"/>
                <w:lang w:val="en-US" w:eastAsia="zh-CN"/>
              </w:rPr>
            </w:pPr>
            <w:r>
              <w:rPr>
                <w:rFonts w:hint="default"/>
                <w:sz w:val="24"/>
                <w:szCs w:val="21"/>
                <w:u w:val="none"/>
                <w:vertAlign w:val="baseline"/>
                <w:lang w:val="en-US" w:eastAsia="zh-CN"/>
              </w:rPr>
              <w:t>口进行</w:t>
            </w:r>
            <w:r>
              <w:rPr>
                <w:rFonts w:hint="eastAsia"/>
                <w:sz w:val="24"/>
                <w:szCs w:val="21"/>
                <w:u w:val="none"/>
                <w:vertAlign w:val="baseline"/>
                <w:lang w:val="en-US" w:eastAsia="zh-CN"/>
              </w:rPr>
              <w:t xml:space="preserve">    </w:t>
            </w:r>
            <w:r>
              <w:rPr>
                <w:rFonts w:hint="default"/>
                <w:sz w:val="24"/>
                <w:szCs w:val="21"/>
                <w:u w:val="none"/>
                <w:vertAlign w:val="baseline"/>
                <w:lang w:val="en-US" w:eastAsia="zh-CN"/>
              </w:rPr>
              <w:t>答辩内容</w:t>
            </w:r>
            <w:r>
              <w:rPr>
                <w:rFonts w:hint="eastAsia"/>
                <w:sz w:val="24"/>
                <w:szCs w:val="21"/>
                <w:u w:val="none"/>
                <w:vertAlign w:val="baseline"/>
                <w:lang w:val="en-US" w:eastAsia="zh-CN"/>
              </w:rPr>
              <w:t>与要求</w:t>
            </w:r>
            <w:r>
              <w:rPr>
                <w:rFonts w:hint="default"/>
                <w:sz w:val="24"/>
                <w:szCs w:val="21"/>
                <w:u w:val="none"/>
                <w:vertAlign w:val="baseline"/>
                <w:lang w:val="en-US" w:eastAsia="zh-CN"/>
              </w:rPr>
              <w:t>:</w:t>
            </w:r>
            <w:r>
              <w:rPr>
                <w:rFonts w:hint="eastAsia"/>
                <w:sz w:val="24"/>
                <w:szCs w:val="21"/>
                <w:u w:val="single"/>
                <w:vertAlign w:val="baseline"/>
                <w:lang w:val="en-US" w:eastAsia="zh-CN"/>
              </w:rPr>
              <w:t xml:space="preserve">         </w:t>
            </w:r>
          </w:p>
          <w:p w14:paraId="749C1529">
            <w:pPr>
              <w:pStyle w:val="18"/>
              <w:rPr>
                <w:rFonts w:hint="default"/>
                <w:lang w:val="en-US" w:eastAsia="zh-CN"/>
              </w:rPr>
            </w:pPr>
            <w:r>
              <w:rPr>
                <w:rFonts w:hint="eastAsia" w:cstheme="minorBidi"/>
                <w:b w:val="0"/>
                <w:bCs/>
                <w:kern w:val="2"/>
                <w:sz w:val="24"/>
                <w:szCs w:val="21"/>
                <w:u w:val="none"/>
                <w:vertAlign w:val="baseline"/>
                <w:lang w:val="en-US" w:eastAsia="zh-CN" w:bidi="ar-SA"/>
              </w:rPr>
              <w:t>注：开展答辩的，应当基于公平原则涵盖所有中标候选人，不得区别对待。答辩期间，不得与中标候选人就中标条件、合同实质性内容进行谈判。答辩活动应当全过程录音、录像并纳入招标档案统一存档备查。答辩应在定标前完成并将相关答辩结果作为定标资料提交定标会议。</w:t>
            </w:r>
          </w:p>
        </w:tc>
      </w:tr>
      <w:tr w14:paraId="30DB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shd w:val="clear" w:color="auto" w:fill="auto"/>
            <w:vAlign w:val="top"/>
          </w:tcPr>
          <w:p w14:paraId="0CA3AA41">
            <w:pPr>
              <w:jc w:val="center"/>
              <w:rPr>
                <w:rFonts w:hint="eastAsia"/>
                <w:sz w:val="24"/>
                <w:szCs w:val="21"/>
                <w:u w:val="none"/>
                <w:vertAlign w:val="baseline"/>
                <w:lang w:val="en-US" w:eastAsia="zh-CN"/>
              </w:rPr>
            </w:pPr>
          </w:p>
          <w:p w14:paraId="06633A2F">
            <w:pPr>
              <w:jc w:val="center"/>
              <w:rPr>
                <w:rFonts w:hint="eastAsia"/>
                <w:sz w:val="24"/>
                <w:szCs w:val="21"/>
                <w:u w:val="none"/>
                <w:vertAlign w:val="baseline"/>
                <w:lang w:val="en-US" w:eastAsia="zh-CN"/>
              </w:rPr>
            </w:pPr>
          </w:p>
          <w:p w14:paraId="3EEBA91E">
            <w:pPr>
              <w:jc w:val="center"/>
              <w:rPr>
                <w:rFonts w:hint="eastAsia"/>
                <w:sz w:val="24"/>
                <w:szCs w:val="21"/>
                <w:u w:val="none"/>
                <w:vertAlign w:val="baseline"/>
                <w:lang w:val="en-US" w:eastAsia="zh-CN"/>
              </w:rPr>
            </w:pPr>
          </w:p>
          <w:p w14:paraId="7358A276">
            <w:pPr>
              <w:jc w:val="center"/>
              <w:rPr>
                <w:rFonts w:hint="eastAsia"/>
                <w:sz w:val="24"/>
                <w:szCs w:val="21"/>
                <w:u w:val="none"/>
                <w:vertAlign w:val="baseline"/>
                <w:lang w:val="en-US" w:eastAsia="zh-CN"/>
              </w:rPr>
            </w:pPr>
          </w:p>
          <w:p w14:paraId="1B82799C">
            <w:pPr>
              <w:jc w:val="center"/>
              <w:rPr>
                <w:rFonts w:hint="eastAsia" w:asciiTheme="minorHAnsi" w:hAnsiTheme="minorHAnsi" w:eastAsiaTheme="minorEastAsia" w:cstheme="minorBidi"/>
                <w:kern w:val="2"/>
                <w:sz w:val="24"/>
                <w:szCs w:val="21"/>
                <w:u w:val="none"/>
                <w:vertAlign w:val="baseline"/>
                <w:lang w:val="en-US" w:eastAsia="zh-CN" w:bidi="ar-SA"/>
              </w:rPr>
            </w:pPr>
            <w:r>
              <w:rPr>
                <w:rFonts w:hint="eastAsia"/>
                <w:sz w:val="24"/>
                <w:szCs w:val="21"/>
                <w:u w:val="none"/>
                <w:vertAlign w:val="baseline"/>
                <w:lang w:val="en-US" w:eastAsia="zh-CN"/>
              </w:rPr>
              <w:t>5</w:t>
            </w:r>
          </w:p>
        </w:tc>
        <w:tc>
          <w:tcPr>
            <w:tcW w:w="1807" w:type="dxa"/>
            <w:shd w:val="clear" w:color="auto" w:fill="auto"/>
            <w:vAlign w:val="top"/>
          </w:tcPr>
          <w:p w14:paraId="40011F03">
            <w:pPr>
              <w:ind w:firstLine="480" w:firstLineChars="200"/>
              <w:jc w:val="left"/>
              <w:rPr>
                <w:rFonts w:hint="default"/>
                <w:sz w:val="24"/>
                <w:szCs w:val="21"/>
                <w:highlight w:val="none"/>
                <w:u w:val="none"/>
                <w:vertAlign w:val="baseline"/>
                <w:lang w:val="en-US" w:eastAsia="zh-CN"/>
              </w:rPr>
            </w:pPr>
          </w:p>
          <w:p w14:paraId="43E7A2BE">
            <w:pPr>
              <w:ind w:firstLine="480" w:firstLineChars="200"/>
              <w:jc w:val="left"/>
              <w:rPr>
                <w:rFonts w:hint="default"/>
                <w:sz w:val="24"/>
                <w:szCs w:val="21"/>
                <w:highlight w:val="none"/>
                <w:u w:val="none"/>
                <w:vertAlign w:val="baseline"/>
                <w:lang w:val="en-US" w:eastAsia="zh-CN"/>
              </w:rPr>
            </w:pPr>
          </w:p>
          <w:p w14:paraId="341DA61C">
            <w:pPr>
              <w:ind w:firstLine="480" w:firstLineChars="200"/>
              <w:jc w:val="left"/>
              <w:rPr>
                <w:rFonts w:hint="default"/>
                <w:sz w:val="24"/>
                <w:szCs w:val="21"/>
                <w:highlight w:val="none"/>
                <w:u w:val="none"/>
                <w:vertAlign w:val="baseline"/>
                <w:lang w:val="en-US" w:eastAsia="zh-CN"/>
              </w:rPr>
            </w:pPr>
          </w:p>
          <w:p w14:paraId="243125F5">
            <w:pPr>
              <w:ind w:firstLine="480" w:firstLineChars="200"/>
              <w:jc w:val="left"/>
              <w:rPr>
                <w:rFonts w:hint="default"/>
                <w:sz w:val="24"/>
                <w:szCs w:val="21"/>
                <w:highlight w:val="none"/>
                <w:u w:val="none"/>
                <w:vertAlign w:val="baseline"/>
                <w:lang w:val="en-US" w:eastAsia="zh-CN"/>
              </w:rPr>
            </w:pPr>
          </w:p>
          <w:p w14:paraId="59C68D26">
            <w:pPr>
              <w:ind w:firstLine="480" w:firstLineChars="200"/>
              <w:jc w:val="left"/>
              <w:rPr>
                <w:rFonts w:hint="eastAsia" w:asciiTheme="minorHAnsi" w:hAnsiTheme="minorHAnsi" w:eastAsiaTheme="minorEastAsia" w:cstheme="minorBidi"/>
                <w:kern w:val="2"/>
                <w:sz w:val="24"/>
                <w:szCs w:val="21"/>
                <w:u w:val="none"/>
                <w:vertAlign w:val="baseline"/>
                <w:lang w:val="en-US" w:eastAsia="zh-CN" w:bidi="ar-SA"/>
              </w:rPr>
            </w:pPr>
            <w:r>
              <w:rPr>
                <w:rFonts w:hint="default"/>
                <w:sz w:val="24"/>
                <w:szCs w:val="21"/>
                <w:highlight w:val="none"/>
                <w:u w:val="none"/>
                <w:vertAlign w:val="baseline"/>
                <w:lang w:val="en-US" w:eastAsia="zh-CN"/>
              </w:rPr>
              <w:t>定标因素</w:t>
            </w:r>
          </w:p>
        </w:tc>
        <w:tc>
          <w:tcPr>
            <w:tcW w:w="10721" w:type="dxa"/>
            <w:shd w:val="clear" w:color="auto" w:fill="auto"/>
            <w:vAlign w:val="top"/>
          </w:tcPr>
          <w:p w14:paraId="7A98CBC3">
            <w:pPr>
              <w:jc w:val="left"/>
              <w:rPr>
                <w:rFonts w:hint="default"/>
                <w:sz w:val="24"/>
                <w:szCs w:val="21"/>
                <w:u w:val="single"/>
                <w:vertAlign w:val="baseline"/>
                <w:lang w:val="en-US" w:eastAsia="zh-CN"/>
              </w:rPr>
            </w:pPr>
            <w:r>
              <w:rPr>
                <w:rFonts w:hint="default"/>
                <w:sz w:val="24"/>
                <w:szCs w:val="21"/>
                <w:highlight w:val="none"/>
                <w:u w:val="none"/>
                <w:vertAlign w:val="baseline"/>
                <w:lang w:val="en-US" w:eastAsia="zh-CN"/>
              </w:rPr>
              <w:t>定标因素:</w:t>
            </w:r>
            <w:r>
              <w:rPr>
                <w:rFonts w:hint="eastAsia"/>
                <w:sz w:val="24"/>
                <w:szCs w:val="21"/>
                <w:highlight w:val="none"/>
                <w:u w:val="single"/>
                <w:vertAlign w:val="baseline"/>
                <w:lang w:val="en-US" w:eastAsia="zh-CN"/>
              </w:rPr>
              <w:t xml:space="preserve">  </w:t>
            </w:r>
            <w:r>
              <w:rPr>
                <w:rFonts w:hint="eastAsia"/>
                <w:sz w:val="24"/>
                <w:szCs w:val="21"/>
                <w:u w:val="single"/>
                <w:vertAlign w:val="baseline"/>
                <w:lang w:val="en-US" w:eastAsia="zh-CN"/>
              </w:rPr>
              <w:t xml:space="preserve">                   </w:t>
            </w:r>
          </w:p>
          <w:p w14:paraId="7952B08D">
            <w:pPr>
              <w:ind w:firstLine="480" w:firstLineChars="200"/>
              <w:jc w:val="left"/>
              <w:rPr>
                <w:rFonts w:hint="eastAsia"/>
                <w:sz w:val="24"/>
                <w:szCs w:val="21"/>
                <w:u w:val="none"/>
                <w:vertAlign w:val="baseline"/>
                <w:lang w:val="en-US" w:eastAsia="zh-CN"/>
              </w:rPr>
            </w:pPr>
          </w:p>
          <w:p w14:paraId="02D76AE0">
            <w:pPr>
              <w:ind w:firstLine="480" w:firstLineChars="200"/>
              <w:jc w:val="left"/>
              <w:rPr>
                <w:rFonts w:hint="default" w:asciiTheme="minorHAnsi" w:hAnsiTheme="minorHAnsi" w:eastAsiaTheme="minorEastAsia" w:cstheme="minorBidi"/>
                <w:kern w:val="2"/>
                <w:sz w:val="24"/>
                <w:szCs w:val="21"/>
                <w:u w:val="none"/>
                <w:vertAlign w:val="baseline"/>
                <w:lang w:val="en-US" w:eastAsia="zh-CN" w:bidi="ar-SA"/>
              </w:rPr>
            </w:pPr>
            <w:r>
              <w:rPr>
                <w:rFonts w:hint="eastAsia" w:ascii="Calibri" w:hAnsi="Calibri" w:eastAsia="仿宋_GB2312" w:cstheme="minorBidi"/>
                <w:b w:val="0"/>
                <w:bCs/>
                <w:kern w:val="2"/>
                <w:sz w:val="24"/>
                <w:szCs w:val="21"/>
                <w:u w:val="none"/>
                <w:vertAlign w:val="baseline"/>
                <w:lang w:val="en-US" w:eastAsia="zh-CN" w:bidi="ar-SA"/>
              </w:rPr>
              <w:t>注：</w:t>
            </w:r>
            <w:r>
              <w:rPr>
                <w:rFonts w:hint="default" w:ascii="Calibri" w:hAnsi="Calibri" w:eastAsia="仿宋_GB2312" w:cstheme="minorBidi"/>
                <w:b w:val="0"/>
                <w:bCs/>
                <w:kern w:val="2"/>
                <w:sz w:val="24"/>
                <w:szCs w:val="21"/>
                <w:u w:val="none"/>
                <w:vertAlign w:val="baseline"/>
                <w:lang w:val="en-US" w:eastAsia="zh-CN" w:bidi="ar-SA"/>
              </w:rPr>
              <w:t>招标人应根据项目具体情况选择定标因素，不宜将投标文件编写水平优劣、评标专家评价高低、报价高低作为唯一依据，还应结合项目特征、规模、技术难度等，重点考察企业实力、信用状况、拟派团队管理技术实力等直接关系到履约能力和水平的因素</w:t>
            </w:r>
            <w:r>
              <w:rPr>
                <w:rFonts w:hint="eastAsia" w:ascii="Calibri" w:hAnsi="Calibri" w:eastAsia="仿宋_GB2312" w:cstheme="minorBidi"/>
                <w:b w:val="0"/>
                <w:bCs/>
                <w:kern w:val="2"/>
                <w:sz w:val="24"/>
                <w:szCs w:val="21"/>
                <w:u w:val="none"/>
                <w:vertAlign w:val="baseline"/>
                <w:lang w:val="en-US" w:eastAsia="zh-CN" w:bidi="ar-SA"/>
              </w:rPr>
              <w:t>。定标可参考以下要素：</w:t>
            </w:r>
            <w:r>
              <w:rPr>
                <w:rFonts w:hint="default" w:ascii="Calibri" w:hAnsi="Calibri" w:eastAsia="仿宋_GB2312" w:cstheme="minorBidi"/>
                <w:b w:val="0"/>
                <w:bCs/>
                <w:kern w:val="2"/>
                <w:sz w:val="24"/>
                <w:szCs w:val="21"/>
                <w:u w:val="none"/>
                <w:vertAlign w:val="baseline"/>
                <w:lang w:val="en-US" w:eastAsia="zh-CN" w:bidi="ar-SA"/>
              </w:rPr>
              <w:t>价格因素</w:t>
            </w:r>
            <w:r>
              <w:rPr>
                <w:rFonts w:hint="eastAsia" w:ascii="Calibri" w:hAnsi="Calibri" w:eastAsia="仿宋_GB2312" w:cstheme="minorBidi"/>
                <w:b w:val="0"/>
                <w:bCs/>
                <w:kern w:val="2"/>
                <w:sz w:val="24"/>
                <w:szCs w:val="21"/>
                <w:u w:val="none"/>
                <w:vertAlign w:val="baseline"/>
                <w:lang w:val="en-US" w:eastAsia="zh-CN" w:bidi="ar-SA"/>
              </w:rPr>
              <w:t>、</w:t>
            </w:r>
            <w:r>
              <w:rPr>
                <w:rFonts w:hint="default" w:ascii="Calibri" w:hAnsi="Calibri" w:eastAsia="仿宋_GB2312" w:cstheme="minorBidi"/>
                <w:b w:val="0"/>
                <w:bCs/>
                <w:kern w:val="2"/>
                <w:sz w:val="24"/>
                <w:szCs w:val="21"/>
                <w:u w:val="none"/>
                <w:vertAlign w:val="baseline"/>
                <w:lang w:val="en-US" w:eastAsia="zh-CN" w:bidi="ar-SA"/>
              </w:rPr>
              <w:t>企业实力</w:t>
            </w:r>
            <w:r>
              <w:rPr>
                <w:rFonts w:hint="eastAsia" w:ascii="Calibri" w:hAnsi="Calibri" w:eastAsia="仿宋_GB2312" w:cstheme="minorBidi"/>
                <w:b w:val="0"/>
                <w:bCs/>
                <w:kern w:val="2"/>
                <w:sz w:val="24"/>
                <w:szCs w:val="21"/>
                <w:u w:val="none"/>
                <w:vertAlign w:val="baseline"/>
                <w:lang w:val="en-US" w:eastAsia="zh-CN" w:bidi="ar-SA"/>
              </w:rPr>
              <w:t>、</w:t>
            </w:r>
            <w:r>
              <w:rPr>
                <w:rFonts w:hint="default" w:ascii="Calibri" w:hAnsi="Calibri" w:eastAsia="仿宋_GB2312" w:cstheme="minorBidi"/>
                <w:b w:val="0"/>
                <w:bCs/>
                <w:kern w:val="2"/>
                <w:sz w:val="24"/>
                <w:szCs w:val="21"/>
                <w:u w:val="none"/>
                <w:vertAlign w:val="baseline"/>
                <w:lang w:val="en-US" w:eastAsia="zh-CN" w:bidi="ar-SA"/>
              </w:rPr>
              <w:t>企业信誉</w:t>
            </w:r>
            <w:r>
              <w:rPr>
                <w:rFonts w:hint="eastAsia" w:ascii="Calibri" w:hAnsi="Calibri" w:eastAsia="仿宋_GB2312" w:cstheme="minorBidi"/>
                <w:b w:val="0"/>
                <w:bCs/>
                <w:kern w:val="2"/>
                <w:sz w:val="24"/>
                <w:szCs w:val="21"/>
                <w:u w:val="none"/>
                <w:vertAlign w:val="baseline"/>
                <w:lang w:val="en-US" w:eastAsia="zh-CN" w:bidi="ar-SA"/>
              </w:rPr>
              <w:t>、</w:t>
            </w:r>
            <w:r>
              <w:rPr>
                <w:rFonts w:hint="default" w:ascii="Calibri" w:hAnsi="Calibri" w:eastAsia="仿宋_GB2312" w:cstheme="minorBidi"/>
                <w:b w:val="0"/>
                <w:bCs/>
                <w:kern w:val="2"/>
                <w:sz w:val="24"/>
                <w:szCs w:val="21"/>
                <w:u w:val="none"/>
                <w:vertAlign w:val="baseline"/>
                <w:lang w:val="en-US" w:eastAsia="zh-CN" w:bidi="ar-SA"/>
              </w:rPr>
              <w:t>投标方案</w:t>
            </w:r>
            <w:r>
              <w:rPr>
                <w:rFonts w:hint="eastAsia" w:ascii="Calibri" w:hAnsi="Calibri" w:eastAsia="仿宋_GB2312" w:cstheme="minorBidi"/>
                <w:b w:val="0"/>
                <w:bCs/>
                <w:kern w:val="2"/>
                <w:sz w:val="24"/>
                <w:szCs w:val="21"/>
                <w:u w:val="none"/>
                <w:vertAlign w:val="baseline"/>
                <w:lang w:val="en-US" w:eastAsia="zh-CN" w:bidi="ar-SA"/>
              </w:rPr>
              <w:t>、</w:t>
            </w:r>
            <w:r>
              <w:rPr>
                <w:rFonts w:hint="default" w:ascii="Calibri" w:hAnsi="Calibri" w:eastAsia="仿宋_GB2312" w:cstheme="minorBidi"/>
                <w:b w:val="0"/>
                <w:bCs/>
                <w:kern w:val="2"/>
                <w:sz w:val="24"/>
                <w:szCs w:val="21"/>
                <w:u w:val="none"/>
                <w:vertAlign w:val="baseline"/>
                <w:lang w:val="en-US" w:eastAsia="zh-CN" w:bidi="ar-SA"/>
              </w:rPr>
              <w:t>拟派团队能力与水平</w:t>
            </w:r>
            <w:r>
              <w:rPr>
                <w:rFonts w:hint="eastAsia" w:ascii="Calibri" w:hAnsi="Calibri" w:eastAsia="仿宋_GB2312" w:cstheme="minorBidi"/>
                <w:b w:val="0"/>
                <w:bCs/>
                <w:kern w:val="2"/>
                <w:sz w:val="24"/>
                <w:szCs w:val="21"/>
                <w:u w:val="none"/>
                <w:vertAlign w:val="baseline"/>
                <w:lang w:val="en-US" w:eastAsia="zh-CN" w:bidi="ar-SA"/>
              </w:rPr>
              <w:t>、</w:t>
            </w:r>
            <w:r>
              <w:rPr>
                <w:rFonts w:hint="default" w:ascii="Calibri" w:hAnsi="Calibri" w:eastAsia="仿宋_GB2312" w:cstheme="minorBidi"/>
                <w:b w:val="0"/>
                <w:bCs/>
                <w:kern w:val="2"/>
                <w:sz w:val="24"/>
                <w:szCs w:val="21"/>
                <w:u w:val="none"/>
                <w:vertAlign w:val="baseline"/>
                <w:lang w:val="en-US" w:eastAsia="zh-CN" w:bidi="ar-SA"/>
              </w:rPr>
              <w:t>提供产品服务质量</w:t>
            </w:r>
            <w:r>
              <w:rPr>
                <w:rFonts w:hint="eastAsia" w:ascii="Calibri" w:hAnsi="Calibri" w:eastAsia="仿宋_GB2312" w:cstheme="minorBidi"/>
                <w:b w:val="0"/>
                <w:bCs/>
                <w:kern w:val="2"/>
                <w:sz w:val="24"/>
                <w:szCs w:val="21"/>
                <w:u w:val="none"/>
                <w:vertAlign w:val="baseline"/>
                <w:lang w:val="en-US" w:eastAsia="zh-CN" w:bidi="ar-SA"/>
              </w:rPr>
              <w:t>、</w:t>
            </w:r>
            <w:r>
              <w:rPr>
                <w:rFonts w:hint="default" w:ascii="Calibri" w:hAnsi="Calibri" w:eastAsia="仿宋_GB2312" w:cstheme="minorBidi"/>
                <w:b w:val="0"/>
                <w:bCs/>
                <w:kern w:val="2"/>
                <w:sz w:val="24"/>
                <w:szCs w:val="21"/>
                <w:u w:val="none"/>
                <w:vertAlign w:val="baseline"/>
                <w:lang w:val="en-US" w:eastAsia="zh-CN" w:bidi="ar-SA"/>
              </w:rPr>
              <w:t>招标人认为需要考量的其他合理因素</w:t>
            </w:r>
            <w:r>
              <w:rPr>
                <w:rFonts w:hint="eastAsia" w:ascii="Calibri" w:hAnsi="Calibri" w:eastAsia="仿宋_GB2312" w:cstheme="minorBidi"/>
                <w:b w:val="0"/>
                <w:bCs/>
                <w:kern w:val="2"/>
                <w:sz w:val="24"/>
                <w:szCs w:val="21"/>
                <w:u w:val="none"/>
                <w:vertAlign w:val="baseline"/>
                <w:lang w:val="en-US" w:eastAsia="zh-CN" w:bidi="ar-SA"/>
              </w:rPr>
              <w:t>。</w:t>
            </w:r>
          </w:p>
        </w:tc>
      </w:tr>
      <w:tr w14:paraId="3916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14:paraId="1844FB2A">
            <w:pPr>
              <w:jc w:val="center"/>
              <w:rPr>
                <w:rFonts w:hint="eastAsia"/>
                <w:sz w:val="24"/>
                <w:szCs w:val="21"/>
                <w:u w:val="none"/>
                <w:vertAlign w:val="baseline"/>
                <w:lang w:val="en-US" w:eastAsia="zh-CN"/>
              </w:rPr>
            </w:pPr>
          </w:p>
          <w:p w14:paraId="226B0D8F">
            <w:pPr>
              <w:jc w:val="center"/>
              <w:rPr>
                <w:rFonts w:hint="eastAsia"/>
                <w:sz w:val="24"/>
                <w:szCs w:val="21"/>
                <w:u w:val="none"/>
                <w:vertAlign w:val="baseline"/>
                <w:lang w:val="en-US" w:eastAsia="zh-CN"/>
              </w:rPr>
            </w:pPr>
          </w:p>
          <w:p w14:paraId="1B0C0768">
            <w:pPr>
              <w:jc w:val="center"/>
              <w:rPr>
                <w:rFonts w:hint="eastAsia"/>
                <w:sz w:val="24"/>
                <w:szCs w:val="21"/>
                <w:u w:val="none"/>
                <w:vertAlign w:val="baseline"/>
                <w:lang w:val="en-US" w:eastAsia="zh-CN"/>
              </w:rPr>
            </w:pPr>
          </w:p>
          <w:p w14:paraId="01CBE57D">
            <w:pPr>
              <w:jc w:val="center"/>
              <w:rPr>
                <w:rFonts w:hint="eastAsia"/>
                <w:sz w:val="24"/>
                <w:szCs w:val="21"/>
                <w:u w:val="none"/>
                <w:vertAlign w:val="baseline"/>
                <w:lang w:val="en-US" w:eastAsia="zh-CN"/>
              </w:rPr>
            </w:pPr>
          </w:p>
          <w:p w14:paraId="7C9E18CB">
            <w:pPr>
              <w:jc w:val="center"/>
              <w:rPr>
                <w:rFonts w:hint="eastAsia"/>
                <w:sz w:val="24"/>
                <w:szCs w:val="21"/>
                <w:u w:val="none"/>
                <w:vertAlign w:val="baseline"/>
                <w:lang w:val="en-US" w:eastAsia="zh-CN"/>
              </w:rPr>
            </w:pPr>
          </w:p>
          <w:p w14:paraId="6C7E5366">
            <w:pPr>
              <w:jc w:val="center"/>
              <w:rPr>
                <w:rFonts w:hint="default"/>
                <w:sz w:val="24"/>
                <w:szCs w:val="21"/>
                <w:u w:val="none"/>
                <w:vertAlign w:val="baseline"/>
                <w:lang w:val="en-US" w:eastAsia="zh-CN"/>
              </w:rPr>
            </w:pPr>
            <w:r>
              <w:rPr>
                <w:rFonts w:hint="eastAsia"/>
                <w:sz w:val="24"/>
                <w:szCs w:val="21"/>
                <w:u w:val="none"/>
                <w:vertAlign w:val="baseline"/>
                <w:lang w:val="en-US" w:eastAsia="zh-CN"/>
              </w:rPr>
              <w:t>6</w:t>
            </w:r>
          </w:p>
        </w:tc>
        <w:tc>
          <w:tcPr>
            <w:tcW w:w="1807" w:type="dxa"/>
          </w:tcPr>
          <w:p w14:paraId="4BDFEDCB">
            <w:pPr>
              <w:jc w:val="left"/>
              <w:rPr>
                <w:rFonts w:hint="default"/>
                <w:color w:val="auto"/>
                <w:sz w:val="24"/>
                <w:szCs w:val="21"/>
                <w:highlight w:val="none"/>
                <w:u w:val="none"/>
                <w:vertAlign w:val="baseline"/>
                <w:lang w:val="en-US" w:eastAsia="zh-CN"/>
              </w:rPr>
            </w:pPr>
          </w:p>
          <w:p w14:paraId="792C682C">
            <w:pPr>
              <w:jc w:val="left"/>
              <w:rPr>
                <w:rFonts w:hint="default"/>
                <w:color w:val="auto"/>
                <w:sz w:val="24"/>
                <w:szCs w:val="21"/>
                <w:highlight w:val="none"/>
                <w:u w:val="none"/>
                <w:vertAlign w:val="baseline"/>
                <w:lang w:val="en-US" w:eastAsia="zh-CN"/>
              </w:rPr>
            </w:pPr>
          </w:p>
          <w:p w14:paraId="7E103FA1">
            <w:pPr>
              <w:jc w:val="left"/>
              <w:rPr>
                <w:rFonts w:hint="default"/>
                <w:color w:val="auto"/>
                <w:sz w:val="24"/>
                <w:szCs w:val="21"/>
                <w:highlight w:val="none"/>
                <w:u w:val="none"/>
                <w:vertAlign w:val="baseline"/>
                <w:lang w:val="en-US" w:eastAsia="zh-CN"/>
              </w:rPr>
            </w:pPr>
          </w:p>
          <w:p w14:paraId="5B7F2C4C">
            <w:pPr>
              <w:jc w:val="left"/>
              <w:rPr>
                <w:rFonts w:hint="default"/>
                <w:color w:val="auto"/>
                <w:sz w:val="24"/>
                <w:szCs w:val="21"/>
                <w:highlight w:val="none"/>
                <w:u w:val="none"/>
                <w:vertAlign w:val="baseline"/>
                <w:lang w:val="en-US" w:eastAsia="zh-CN"/>
              </w:rPr>
            </w:pPr>
          </w:p>
          <w:p w14:paraId="51139CBB">
            <w:pPr>
              <w:jc w:val="left"/>
              <w:rPr>
                <w:rFonts w:hint="default"/>
                <w:color w:val="auto"/>
                <w:sz w:val="24"/>
                <w:szCs w:val="21"/>
                <w:highlight w:val="none"/>
                <w:u w:val="none"/>
                <w:vertAlign w:val="baseline"/>
                <w:lang w:val="en-US" w:eastAsia="zh-CN"/>
              </w:rPr>
            </w:pPr>
          </w:p>
          <w:p w14:paraId="09A9E776">
            <w:pPr>
              <w:ind w:firstLine="480" w:firstLineChars="200"/>
              <w:jc w:val="left"/>
              <w:rPr>
                <w:rFonts w:hint="default"/>
                <w:color w:val="auto"/>
                <w:sz w:val="24"/>
                <w:szCs w:val="21"/>
                <w:highlight w:val="none"/>
                <w:u w:val="none"/>
                <w:vertAlign w:val="baseline"/>
                <w:lang w:val="en-US" w:eastAsia="zh-CN"/>
              </w:rPr>
            </w:pPr>
            <w:r>
              <w:rPr>
                <w:rFonts w:hint="default"/>
                <w:color w:val="auto"/>
                <w:sz w:val="24"/>
                <w:szCs w:val="21"/>
                <w:highlight w:val="none"/>
                <w:u w:val="none"/>
                <w:vertAlign w:val="baseline"/>
                <w:lang w:val="en-US" w:eastAsia="zh-CN"/>
              </w:rPr>
              <w:t>定标</w:t>
            </w:r>
            <w:r>
              <w:rPr>
                <w:rFonts w:hint="eastAsia"/>
                <w:color w:val="auto"/>
                <w:sz w:val="24"/>
                <w:szCs w:val="21"/>
                <w:highlight w:val="none"/>
                <w:u w:val="none"/>
                <w:vertAlign w:val="baseline"/>
                <w:lang w:val="en-US" w:eastAsia="zh-CN"/>
              </w:rPr>
              <w:t>方式</w:t>
            </w:r>
          </w:p>
          <w:p w14:paraId="0DC3F88D">
            <w:pPr>
              <w:pStyle w:val="18"/>
            </w:pPr>
          </w:p>
        </w:tc>
        <w:tc>
          <w:tcPr>
            <w:tcW w:w="10721" w:type="dxa"/>
          </w:tcPr>
          <w:p w14:paraId="719CFD37">
            <w:pPr>
              <w:numPr>
                <w:ilvl w:val="0"/>
                <w:numId w:val="0"/>
              </w:numPr>
              <w:jc w:val="left"/>
              <w:rPr>
                <w:rFonts w:hint="default"/>
                <w:sz w:val="24"/>
                <w:szCs w:val="21"/>
                <w:u w:val="none"/>
                <w:vertAlign w:val="baseline"/>
                <w:lang w:val="en-US" w:eastAsia="zh-CN"/>
              </w:rPr>
            </w:pPr>
            <w:r>
              <w:rPr>
                <w:rFonts w:hint="default"/>
                <w:sz w:val="24"/>
                <w:szCs w:val="21"/>
                <w:u w:val="none"/>
                <w:vertAlign w:val="baseline"/>
                <w:lang w:val="en-US" w:eastAsia="zh-CN"/>
              </w:rPr>
              <w:t>口</w:t>
            </w:r>
            <w:r>
              <w:rPr>
                <w:rFonts w:hint="eastAsia"/>
                <w:sz w:val="24"/>
                <w:szCs w:val="21"/>
                <w:u w:val="none"/>
                <w:vertAlign w:val="baseline"/>
                <w:lang w:val="en-US" w:eastAsia="zh-CN"/>
              </w:rPr>
              <w:t>招标人领导班子（党政机关、事业单位、团体组织的党委、党组，国有及国有控股企业相应“三重一大”决策层级）集体决策</w:t>
            </w:r>
          </w:p>
          <w:p w14:paraId="5F7DB1C7">
            <w:pPr>
              <w:numPr>
                <w:ilvl w:val="0"/>
                <w:numId w:val="0"/>
              </w:numPr>
              <w:jc w:val="left"/>
              <w:rPr>
                <w:rFonts w:hint="default"/>
                <w:sz w:val="24"/>
                <w:szCs w:val="21"/>
                <w:u w:val="single"/>
                <w:vertAlign w:val="baseline"/>
                <w:lang w:val="en-US" w:eastAsia="zh-CN"/>
              </w:rPr>
            </w:pPr>
            <w:r>
              <w:rPr>
                <w:rFonts w:hint="eastAsia"/>
                <w:sz w:val="24"/>
                <w:szCs w:val="21"/>
                <w:u w:val="single"/>
                <w:vertAlign w:val="baseline"/>
                <w:lang w:val="en-US" w:eastAsia="zh-CN"/>
              </w:rPr>
              <w:t xml:space="preserve">               （具体规则）  </w:t>
            </w:r>
          </w:p>
          <w:p w14:paraId="3025885A">
            <w:pPr>
              <w:jc w:val="left"/>
              <w:rPr>
                <w:rFonts w:hint="default"/>
                <w:sz w:val="24"/>
                <w:szCs w:val="21"/>
                <w:u w:val="none"/>
                <w:vertAlign w:val="baseline"/>
                <w:lang w:val="en-US" w:eastAsia="zh-CN"/>
              </w:rPr>
            </w:pPr>
            <w:r>
              <w:rPr>
                <w:rFonts w:hint="default"/>
                <w:sz w:val="24"/>
                <w:szCs w:val="21"/>
                <w:u w:val="none"/>
                <w:vertAlign w:val="baseline"/>
                <w:lang w:val="en-US" w:eastAsia="zh-CN"/>
              </w:rPr>
              <w:t>口</w:t>
            </w:r>
            <w:r>
              <w:rPr>
                <w:rFonts w:hint="eastAsia"/>
                <w:sz w:val="24"/>
                <w:szCs w:val="21"/>
                <w:u w:val="none"/>
                <w:vertAlign w:val="baseline"/>
                <w:lang w:val="en-US" w:eastAsia="zh-CN"/>
              </w:rPr>
              <w:t>组建定标委员会确定（</w:t>
            </w:r>
            <w:r>
              <w:rPr>
                <w:rFonts w:hint="default"/>
                <w:sz w:val="24"/>
                <w:szCs w:val="21"/>
                <w:u w:val="none"/>
                <w:vertAlign w:val="baseline"/>
                <w:lang w:val="en-US" w:eastAsia="zh-CN"/>
              </w:rPr>
              <w:t>口直接票决制</w:t>
            </w:r>
            <w:r>
              <w:rPr>
                <w:rFonts w:hint="eastAsia"/>
                <w:sz w:val="24"/>
                <w:szCs w:val="21"/>
                <w:u w:val="none"/>
                <w:vertAlign w:val="baseline"/>
                <w:lang w:val="en-US" w:eastAsia="zh-CN"/>
              </w:rPr>
              <w:t xml:space="preserve">  </w:t>
            </w:r>
            <w:r>
              <w:rPr>
                <w:rFonts w:hint="default"/>
                <w:sz w:val="24"/>
                <w:szCs w:val="21"/>
                <w:u w:val="none"/>
                <w:vertAlign w:val="baseline"/>
                <w:lang w:val="en-US" w:eastAsia="zh-CN"/>
              </w:rPr>
              <w:t>口逐轮票决制</w:t>
            </w:r>
            <w:r>
              <w:rPr>
                <w:rFonts w:hint="eastAsia"/>
                <w:sz w:val="24"/>
                <w:szCs w:val="21"/>
                <w:u w:val="none"/>
                <w:vertAlign w:val="baseline"/>
                <w:lang w:val="en-US" w:eastAsia="zh-CN"/>
              </w:rPr>
              <w:t xml:space="preserve"> </w:t>
            </w:r>
            <w:r>
              <w:rPr>
                <w:rFonts w:hint="default"/>
                <w:sz w:val="24"/>
                <w:szCs w:val="21"/>
                <w:u w:val="none"/>
                <w:vertAlign w:val="baseline"/>
                <w:lang w:val="en-US" w:eastAsia="zh-CN"/>
              </w:rPr>
              <w:t>口</w:t>
            </w:r>
            <w:r>
              <w:rPr>
                <w:rFonts w:hint="eastAsia"/>
                <w:sz w:val="24"/>
                <w:szCs w:val="21"/>
                <w:u w:val="none"/>
                <w:vertAlign w:val="baseline"/>
                <w:lang w:val="en-US" w:eastAsia="zh-CN"/>
              </w:rPr>
              <w:t>其他）</w:t>
            </w:r>
          </w:p>
          <w:p w14:paraId="52BDC434">
            <w:pPr>
              <w:numPr>
                <w:ilvl w:val="0"/>
                <w:numId w:val="0"/>
              </w:numPr>
              <w:jc w:val="left"/>
              <w:rPr>
                <w:rFonts w:hint="default"/>
                <w:sz w:val="24"/>
                <w:szCs w:val="21"/>
                <w:u w:val="single"/>
                <w:vertAlign w:val="baseline"/>
                <w:lang w:val="en-US" w:eastAsia="zh-CN"/>
              </w:rPr>
            </w:pPr>
            <w:r>
              <w:rPr>
                <w:rFonts w:hint="eastAsia"/>
                <w:sz w:val="24"/>
                <w:szCs w:val="21"/>
                <w:u w:val="single"/>
                <w:vertAlign w:val="baseline"/>
                <w:lang w:val="en-US" w:eastAsia="zh-CN"/>
              </w:rPr>
              <w:t xml:space="preserve">               （具体规则）  </w:t>
            </w:r>
          </w:p>
          <w:p w14:paraId="61DCDDF8">
            <w:pPr>
              <w:jc w:val="left"/>
              <w:rPr>
                <w:rFonts w:hint="default"/>
                <w:sz w:val="24"/>
                <w:szCs w:val="21"/>
                <w:u w:val="single"/>
                <w:vertAlign w:val="baseline"/>
                <w:lang w:val="en-US" w:eastAsia="zh-CN"/>
              </w:rPr>
            </w:pPr>
            <w:r>
              <w:rPr>
                <w:rFonts w:hint="eastAsia"/>
                <w:sz w:val="24"/>
                <w:szCs w:val="21"/>
                <w:u w:val="none"/>
                <w:vertAlign w:val="baseline"/>
                <w:lang w:val="en-US" w:eastAsia="zh-CN"/>
              </w:rPr>
              <w:t>定</w:t>
            </w:r>
            <w:r>
              <w:rPr>
                <w:rFonts w:hint="default"/>
                <w:sz w:val="24"/>
                <w:szCs w:val="21"/>
                <w:u w:val="none"/>
                <w:vertAlign w:val="baseline"/>
                <w:lang w:val="en-US" w:eastAsia="zh-CN"/>
              </w:rPr>
              <w:t>标委员会组成:</w:t>
            </w:r>
            <w:r>
              <w:rPr>
                <w:rFonts w:hint="eastAsia"/>
                <w:sz w:val="24"/>
                <w:szCs w:val="21"/>
                <w:u w:val="single"/>
                <w:vertAlign w:val="baseline"/>
                <w:lang w:val="en-US" w:eastAsia="zh-CN"/>
              </w:rPr>
              <w:t xml:space="preserve">                 </w:t>
            </w:r>
          </w:p>
          <w:p w14:paraId="16E20304">
            <w:pPr>
              <w:jc w:val="left"/>
              <w:rPr>
                <w:rFonts w:hint="eastAsia"/>
                <w:sz w:val="24"/>
                <w:szCs w:val="21"/>
                <w:u w:val="single"/>
                <w:vertAlign w:val="baseline"/>
                <w:lang w:val="en-US" w:eastAsia="zh-CN"/>
              </w:rPr>
            </w:pPr>
            <w:r>
              <w:rPr>
                <w:rFonts w:hint="default"/>
                <w:sz w:val="24"/>
                <w:szCs w:val="21"/>
                <w:u w:val="none"/>
                <w:vertAlign w:val="baseline"/>
                <w:lang w:val="en-US" w:eastAsia="zh-CN"/>
              </w:rPr>
              <w:t>数量:</w:t>
            </w:r>
            <w:r>
              <w:rPr>
                <w:rFonts w:hint="eastAsia"/>
                <w:sz w:val="24"/>
                <w:szCs w:val="21"/>
                <w:u w:val="single"/>
                <w:vertAlign w:val="baseline"/>
                <w:lang w:val="en-US" w:eastAsia="zh-CN"/>
              </w:rPr>
              <w:t xml:space="preserve">       </w:t>
            </w:r>
          </w:p>
          <w:p w14:paraId="1DD91EC9">
            <w:pPr>
              <w:jc w:val="left"/>
              <w:rPr>
                <w:rFonts w:hint="eastAsia"/>
                <w:sz w:val="24"/>
                <w:szCs w:val="21"/>
                <w:u w:val="single"/>
                <w:vertAlign w:val="baseline"/>
                <w:lang w:val="en-US" w:eastAsia="zh-CN"/>
              </w:rPr>
            </w:pPr>
            <w:r>
              <w:rPr>
                <w:rFonts w:hint="eastAsia"/>
                <w:sz w:val="24"/>
                <w:szCs w:val="21"/>
                <w:u w:val="none"/>
                <w:vertAlign w:val="baseline"/>
                <w:lang w:val="en-US" w:eastAsia="zh-CN"/>
              </w:rPr>
              <w:t>定标委员会成员应当回避的具体情形：</w:t>
            </w:r>
            <w:r>
              <w:rPr>
                <w:rFonts w:hint="eastAsia"/>
                <w:sz w:val="24"/>
                <w:szCs w:val="21"/>
                <w:u w:val="single"/>
                <w:vertAlign w:val="baseline"/>
                <w:lang w:val="en-US" w:eastAsia="zh-CN"/>
              </w:rPr>
              <w:t xml:space="preserve">        </w:t>
            </w:r>
          </w:p>
          <w:p w14:paraId="54056E96">
            <w:pPr>
              <w:pStyle w:val="18"/>
              <w:ind w:left="0" w:leftChars="0" w:firstLine="0" w:firstLineChars="0"/>
              <w:rPr>
                <w:rFonts w:hint="default" w:cstheme="minorBidi"/>
                <w:b w:val="0"/>
                <w:bCs/>
                <w:kern w:val="2"/>
                <w:sz w:val="24"/>
                <w:szCs w:val="21"/>
                <w:u w:val="none"/>
                <w:vertAlign w:val="baseline"/>
                <w:lang w:val="en-US" w:eastAsia="zh-CN" w:bidi="ar-SA"/>
              </w:rPr>
            </w:pPr>
            <w:r>
              <w:rPr>
                <w:rFonts w:hint="eastAsia" w:cstheme="minorBidi"/>
                <w:b w:val="0"/>
                <w:bCs/>
                <w:kern w:val="2"/>
                <w:sz w:val="24"/>
                <w:szCs w:val="21"/>
                <w:u w:val="none"/>
                <w:vertAlign w:val="baseline"/>
                <w:lang w:val="en-US" w:eastAsia="zh-CN" w:bidi="ar-SA"/>
              </w:rPr>
              <w:t>注：（1）招标控制价在3000万元以下，使用通用技术、性能标准，或者招标人对技术、性能没有特殊要求的施工项目，宜通过招标人议事决策机制直接定标。项目规模较大、技术较为复杂的项目，招标人可以组建定标委员会负责定标事宜。</w:t>
            </w:r>
          </w:p>
          <w:p w14:paraId="6DCD9C22">
            <w:pPr>
              <w:pStyle w:val="18"/>
              <w:rPr>
                <w:rFonts w:hint="default" w:eastAsia="仿宋_GB2312"/>
                <w:lang w:val="en-US" w:eastAsia="zh-CN"/>
              </w:rPr>
            </w:pPr>
            <w:r>
              <w:rPr>
                <w:rFonts w:hint="eastAsia" w:cstheme="minorBidi"/>
                <w:b w:val="0"/>
                <w:bCs/>
                <w:kern w:val="2"/>
                <w:sz w:val="24"/>
                <w:szCs w:val="21"/>
                <w:u w:val="none"/>
                <w:vertAlign w:val="baseline"/>
                <w:lang w:val="en-US" w:eastAsia="zh-CN" w:bidi="ar-SA"/>
              </w:rPr>
              <w:t>（2）我省依法必须招标的国家投资工程，</w:t>
            </w:r>
            <w:r>
              <w:rPr>
                <w:rFonts w:hint="default" w:cstheme="minorBidi"/>
                <w:b w:val="0"/>
                <w:bCs/>
                <w:kern w:val="2"/>
                <w:sz w:val="24"/>
                <w:szCs w:val="21"/>
                <w:u w:val="none"/>
                <w:vertAlign w:val="baseline"/>
                <w:lang w:val="en-US" w:eastAsia="zh-CN" w:bidi="ar-SA"/>
              </w:rPr>
              <w:t>招标控制价在</w:t>
            </w:r>
            <w:r>
              <w:rPr>
                <w:rFonts w:hint="eastAsia" w:cstheme="minorBidi"/>
                <w:b w:val="0"/>
                <w:bCs/>
                <w:kern w:val="2"/>
                <w:sz w:val="24"/>
                <w:szCs w:val="21"/>
                <w:u w:val="none"/>
                <w:vertAlign w:val="baseline"/>
                <w:lang w:val="en-US" w:eastAsia="zh-CN" w:bidi="ar-SA"/>
              </w:rPr>
              <w:t>3000</w:t>
            </w:r>
            <w:r>
              <w:rPr>
                <w:rFonts w:hint="default" w:cstheme="minorBidi"/>
                <w:b w:val="0"/>
                <w:bCs/>
                <w:kern w:val="2"/>
                <w:sz w:val="24"/>
                <w:szCs w:val="21"/>
                <w:u w:val="none"/>
                <w:vertAlign w:val="baseline"/>
                <w:lang w:val="en-US" w:eastAsia="zh-CN" w:bidi="ar-SA"/>
              </w:rPr>
              <w:t>万元以下的施工项目</w:t>
            </w:r>
            <w:r>
              <w:rPr>
                <w:rFonts w:hint="eastAsia" w:cstheme="minorBidi"/>
                <w:b w:val="0"/>
                <w:bCs/>
                <w:kern w:val="2"/>
                <w:sz w:val="24"/>
                <w:szCs w:val="21"/>
                <w:u w:val="none"/>
                <w:vertAlign w:val="baseline"/>
                <w:lang w:val="en-US" w:eastAsia="zh-CN" w:bidi="ar-SA"/>
              </w:rPr>
              <w:t>（</w:t>
            </w:r>
            <w:r>
              <w:rPr>
                <w:rFonts w:hint="default" w:cstheme="minorBidi"/>
                <w:b w:val="0"/>
                <w:bCs/>
                <w:kern w:val="2"/>
                <w:sz w:val="24"/>
                <w:szCs w:val="21"/>
                <w:u w:val="none"/>
                <w:vertAlign w:val="baseline"/>
                <w:lang w:val="en-US" w:eastAsia="zh-CN" w:bidi="ar-SA"/>
              </w:rPr>
              <w:t>标段</w:t>
            </w:r>
            <w:r>
              <w:rPr>
                <w:rFonts w:hint="eastAsia" w:cstheme="minorBidi"/>
                <w:b w:val="0"/>
                <w:bCs/>
                <w:kern w:val="2"/>
                <w:sz w:val="24"/>
                <w:szCs w:val="21"/>
                <w:u w:val="none"/>
                <w:vertAlign w:val="baseline"/>
                <w:lang w:val="en-US" w:eastAsia="zh-CN" w:bidi="ar-SA"/>
              </w:rPr>
              <w:t>），</w:t>
            </w:r>
            <w:r>
              <w:rPr>
                <w:rFonts w:hint="default" w:cstheme="minorBidi"/>
                <w:b w:val="0"/>
                <w:bCs/>
                <w:kern w:val="2"/>
                <w:sz w:val="24"/>
                <w:szCs w:val="21"/>
                <w:u w:val="none"/>
                <w:vertAlign w:val="baseline"/>
                <w:lang w:val="en-US" w:eastAsia="zh-CN" w:bidi="ar-SA"/>
              </w:rPr>
              <w:t>原则上优先发包给小微建筑企业</w:t>
            </w:r>
            <w:r>
              <w:rPr>
                <w:rFonts w:hint="eastAsia" w:cstheme="minorBidi"/>
                <w:b w:val="0"/>
                <w:bCs/>
                <w:kern w:val="2"/>
                <w:sz w:val="24"/>
                <w:szCs w:val="21"/>
                <w:u w:val="none"/>
                <w:vertAlign w:val="baseline"/>
                <w:lang w:val="en-US" w:eastAsia="zh-CN" w:bidi="ar-SA"/>
              </w:rPr>
              <w:t>。</w:t>
            </w:r>
            <w:r>
              <w:rPr>
                <w:rFonts w:hint="default" w:cstheme="minorBidi"/>
                <w:b w:val="0"/>
                <w:bCs/>
                <w:kern w:val="2"/>
                <w:sz w:val="24"/>
                <w:szCs w:val="21"/>
                <w:u w:val="none"/>
                <w:vertAlign w:val="baseline"/>
                <w:lang w:val="en-US" w:eastAsia="zh-CN" w:bidi="ar-SA"/>
              </w:rPr>
              <w:t>招标控制价在</w:t>
            </w:r>
            <w:r>
              <w:rPr>
                <w:rFonts w:hint="eastAsia" w:cstheme="minorBidi"/>
                <w:b w:val="0"/>
                <w:bCs/>
                <w:kern w:val="2"/>
                <w:sz w:val="24"/>
                <w:szCs w:val="21"/>
                <w:highlight w:val="none"/>
                <w:u w:val="none"/>
                <w:vertAlign w:val="baseline"/>
                <w:lang w:val="en-US" w:eastAsia="zh-CN" w:bidi="ar-SA"/>
              </w:rPr>
              <w:t>3000</w:t>
            </w:r>
            <w:r>
              <w:rPr>
                <w:rFonts w:hint="default" w:cstheme="minorBidi"/>
                <w:b w:val="0"/>
                <w:bCs/>
                <w:kern w:val="2"/>
                <w:sz w:val="24"/>
                <w:szCs w:val="21"/>
                <w:highlight w:val="none"/>
                <w:u w:val="none"/>
                <w:vertAlign w:val="baseline"/>
                <w:lang w:val="en-US" w:eastAsia="zh-CN" w:bidi="ar-SA"/>
              </w:rPr>
              <w:t>万元以</w:t>
            </w:r>
            <w:r>
              <w:rPr>
                <w:rFonts w:hint="eastAsia" w:cstheme="minorBidi"/>
                <w:b w:val="0"/>
                <w:bCs/>
                <w:kern w:val="2"/>
                <w:sz w:val="24"/>
                <w:szCs w:val="21"/>
                <w:highlight w:val="none"/>
                <w:u w:val="none"/>
                <w:vertAlign w:val="baseline"/>
                <w:lang w:val="en-US" w:eastAsia="zh-CN" w:bidi="ar-SA"/>
              </w:rPr>
              <w:t>上</w:t>
            </w:r>
            <w:r>
              <w:rPr>
                <w:rFonts w:hint="default" w:cstheme="minorBidi"/>
                <w:b w:val="0"/>
                <w:bCs/>
                <w:kern w:val="2"/>
                <w:sz w:val="24"/>
                <w:szCs w:val="21"/>
                <w:highlight w:val="none"/>
                <w:u w:val="none"/>
                <w:vertAlign w:val="baseline"/>
                <w:lang w:val="en-US" w:eastAsia="zh-CN" w:bidi="ar-SA"/>
              </w:rPr>
              <w:t>的</w:t>
            </w:r>
            <w:r>
              <w:rPr>
                <w:rFonts w:hint="default" w:cstheme="minorBidi"/>
                <w:b w:val="0"/>
                <w:bCs/>
                <w:kern w:val="2"/>
                <w:sz w:val="24"/>
                <w:szCs w:val="21"/>
                <w:u w:val="none"/>
                <w:vertAlign w:val="baseline"/>
                <w:lang w:val="en-US" w:eastAsia="zh-CN" w:bidi="ar-SA"/>
              </w:rPr>
              <w:t>施工项目</w:t>
            </w:r>
            <w:r>
              <w:rPr>
                <w:rFonts w:hint="eastAsia" w:cstheme="minorBidi"/>
                <w:b w:val="0"/>
                <w:bCs/>
                <w:kern w:val="2"/>
                <w:sz w:val="24"/>
                <w:szCs w:val="21"/>
                <w:u w:val="none"/>
                <w:vertAlign w:val="baseline"/>
                <w:lang w:val="en-US" w:eastAsia="zh-CN" w:bidi="ar-SA"/>
              </w:rPr>
              <w:t>（</w:t>
            </w:r>
            <w:r>
              <w:rPr>
                <w:rFonts w:hint="default" w:cstheme="minorBidi"/>
                <w:b w:val="0"/>
                <w:bCs/>
                <w:kern w:val="2"/>
                <w:sz w:val="24"/>
                <w:szCs w:val="21"/>
                <w:u w:val="none"/>
                <w:vertAlign w:val="baseline"/>
                <w:lang w:val="en-US" w:eastAsia="zh-CN" w:bidi="ar-SA"/>
              </w:rPr>
              <w:t>标段</w:t>
            </w:r>
            <w:r>
              <w:rPr>
                <w:rFonts w:hint="eastAsia" w:cstheme="minorBidi"/>
                <w:b w:val="0"/>
                <w:bCs/>
                <w:kern w:val="2"/>
                <w:sz w:val="24"/>
                <w:szCs w:val="21"/>
                <w:u w:val="none"/>
                <w:vertAlign w:val="baseline"/>
                <w:lang w:val="en-US" w:eastAsia="zh-CN" w:bidi="ar-SA"/>
              </w:rPr>
              <w:t>），</w:t>
            </w:r>
            <w:r>
              <w:rPr>
                <w:rFonts w:hint="default" w:cstheme="minorBidi"/>
                <w:b w:val="0"/>
                <w:bCs/>
                <w:kern w:val="2"/>
                <w:sz w:val="24"/>
                <w:szCs w:val="21"/>
                <w:u w:val="none"/>
                <w:vertAlign w:val="baseline"/>
                <w:lang w:val="en-US" w:eastAsia="zh-CN" w:bidi="ar-SA"/>
              </w:rPr>
              <w:t>鼓励优先确定大型企业和中小企业组成的联合体为中标人</w:t>
            </w:r>
            <w:r>
              <w:rPr>
                <w:rFonts w:hint="eastAsia" w:cstheme="minorBidi"/>
                <w:b w:val="0"/>
                <w:bCs/>
                <w:kern w:val="2"/>
                <w:sz w:val="24"/>
                <w:szCs w:val="21"/>
                <w:u w:val="none"/>
                <w:vertAlign w:val="baseline"/>
                <w:lang w:val="en-US" w:eastAsia="zh-CN" w:bidi="ar-SA"/>
              </w:rPr>
              <w:t>。</w:t>
            </w:r>
          </w:p>
        </w:tc>
      </w:tr>
    </w:tbl>
    <w:p w14:paraId="074966A3">
      <w:pPr>
        <w:pStyle w:val="18"/>
        <w:ind w:left="0" w:leftChars="0" w:firstLine="0" w:firstLineChars="0"/>
        <w:rPr>
          <w:rFonts w:hint="eastAsia" w:cstheme="minorBidi"/>
          <w:b w:val="0"/>
          <w:bCs/>
          <w:kern w:val="2"/>
          <w:sz w:val="24"/>
          <w:szCs w:val="21"/>
          <w:u w:val="none"/>
          <w:vertAlign w:val="baseline"/>
          <w:lang w:val="en-US" w:eastAsia="zh-CN" w:bidi="ar-SA"/>
        </w:rPr>
      </w:pPr>
      <w:r>
        <w:rPr>
          <w:rFonts w:hint="eastAsia" w:cstheme="minorBidi"/>
          <w:b w:val="0"/>
          <w:bCs/>
          <w:kern w:val="2"/>
          <w:sz w:val="24"/>
          <w:szCs w:val="21"/>
          <w:u w:val="none"/>
          <w:vertAlign w:val="baseline"/>
          <w:lang w:val="en-US" w:eastAsia="zh-CN" w:bidi="ar-SA"/>
        </w:rPr>
        <w:t>注：招标人应结合项目实际编制定标方案，具体要求详见《四川省发展和改革委员会等部门关于扩面推广工程建设项目</w:t>
      </w:r>
    </w:p>
    <w:p w14:paraId="1600C43D">
      <w:pPr>
        <w:pStyle w:val="18"/>
        <w:ind w:left="0" w:leftChars="0" w:firstLine="0" w:firstLineChars="0"/>
        <w:rPr>
          <w:rFonts w:hint="eastAsia" w:cstheme="minorBidi"/>
          <w:b w:val="0"/>
          <w:bCs/>
          <w:kern w:val="2"/>
          <w:sz w:val="24"/>
          <w:szCs w:val="21"/>
          <w:u w:val="none"/>
          <w:vertAlign w:val="baseline"/>
          <w:lang w:val="en-US" w:eastAsia="zh-CN" w:bidi="ar-SA"/>
        </w:rPr>
      </w:pPr>
      <w:r>
        <w:rPr>
          <w:rFonts w:hint="eastAsia" w:cstheme="minorBidi"/>
          <w:b w:val="0"/>
          <w:bCs/>
          <w:kern w:val="2"/>
          <w:sz w:val="24"/>
          <w:szCs w:val="21"/>
          <w:u w:val="none"/>
          <w:vertAlign w:val="baseline"/>
          <w:lang w:val="en-US" w:eastAsia="zh-CN" w:bidi="ar-SA"/>
        </w:rPr>
        <w:t>招标投标中标候选人评定分离机制的通知》。</w:t>
      </w:r>
    </w:p>
    <w:p w14:paraId="16C3A611">
      <w:pPr>
        <w:rPr>
          <w:rFonts w:hint="eastAsia" w:ascii="Times New Roman" w:hAnsi="Times New Roman" w:eastAsia="仿宋" w:cs="Times New Roman"/>
          <w:sz w:val="28"/>
          <w:szCs w:val="28"/>
          <w:lang w:val="en-US" w:eastAsia="zh-CN"/>
        </w:rPr>
      </w:pPr>
    </w:p>
    <w:p w14:paraId="731C5E8A">
      <w:pPr>
        <w:numPr>
          <w:ilvl w:val="0"/>
          <w:numId w:val="0"/>
        </w:numPr>
        <w:jc w:val="left"/>
        <w:rPr>
          <w:rFonts w:hint="default" w:ascii="Times New Roman" w:hAnsi="Times New Roman" w:eastAsia="方正小标宋简体" w:cs="Times New Roman"/>
          <w:sz w:val="36"/>
          <w:szCs w:val="36"/>
          <w:lang w:val="en-US" w:eastAsia="zh-CN"/>
        </w:rPr>
      </w:pPr>
    </w:p>
    <w:p w14:paraId="0B801BF3">
      <w:pPr>
        <w:rPr>
          <w:rFonts w:ascii="Times New Roman" w:hAnsi="Times New Roman" w:eastAsia="仿宋" w:cs="Times New Roman"/>
          <w:sz w:val="28"/>
          <w:szCs w:val="28"/>
        </w:rPr>
      </w:pPr>
    </w:p>
    <w:sectPr>
      <w:footerReference r:id="rId3" w:type="default"/>
      <w:pgSz w:w="16838" w:h="11906" w:orient="landscape"/>
      <w:pgMar w:top="1587" w:right="2098" w:bottom="1474" w:left="1984" w:header="851" w:footer="1417" w:gutter="0"/>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9FD4F">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w="6350">
                        <a:noFill/>
                      </a:ln>
                    </wps:spPr>
                    <wps:txbx>
                      <w:txbxContent>
                        <w:p w14:paraId="59E1BBBE">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9hI7DSAAAAAwEAAA8AAAAAAAAAAQAgAAAAIgAAAGRycy9kb3ducmV2LnhtbFBLAQIUABQA&#10;AAAIAIdO4kCRDrg9LwIAAFMEAAAOAAAAAAAAAAEAIAAAACEBAABkcnMvZTJvRG9jLnhtbFBLBQYA&#10;AAAABgAGAFkBAADCBQAAAAA=&#10;">
              <v:fill on="f" focussize="0,0"/>
              <v:stroke on="f" weight="0.5pt"/>
              <v:imagedata o:title=""/>
              <o:lock v:ext="edit" aspectratio="f"/>
              <v:textbox inset="0mm,0mm,0mm,0mm" style="mso-fit-shape-to-text:t;">
                <w:txbxContent>
                  <w:p w14:paraId="59E1BBBE">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394D4"/>
    <w:multiLevelType w:val="singleLevel"/>
    <w:tmpl w:val="BBF394D4"/>
    <w:lvl w:ilvl="0" w:tentative="0">
      <w:start w:val="3"/>
      <w:numFmt w:val="decimal"/>
      <w:suff w:val="nothing"/>
      <w:lvlText w:val="（%1）"/>
      <w:lvlJc w:val="left"/>
    </w:lvl>
  </w:abstractNum>
  <w:abstractNum w:abstractNumId="1">
    <w:nsid w:val="E063D41B"/>
    <w:multiLevelType w:val="singleLevel"/>
    <w:tmpl w:val="E063D41B"/>
    <w:lvl w:ilvl="0" w:tentative="0">
      <w:start w:val="2"/>
      <w:numFmt w:val="chineseCounting"/>
      <w:suff w:val="nothing"/>
      <w:lvlText w:val="%1、"/>
      <w:lvlJc w:val="left"/>
      <w:rPr>
        <w:rFonts w:hint="eastAsia"/>
      </w:rPr>
    </w:lvl>
  </w:abstractNum>
  <w:abstractNum w:abstractNumId="2">
    <w:nsid w:val="F31F916E"/>
    <w:multiLevelType w:val="singleLevel"/>
    <w:tmpl w:val="F31F916E"/>
    <w:lvl w:ilvl="0" w:tentative="0">
      <w:start w:val="3"/>
      <w:numFmt w:val="decimal"/>
      <w:suff w:val="nothing"/>
      <w:lvlText w:val="（%1）"/>
      <w:lvlJc w:val="left"/>
    </w:lvl>
  </w:abstractNum>
  <w:abstractNum w:abstractNumId="3">
    <w:nsid w:val="0C9D0A62"/>
    <w:multiLevelType w:val="singleLevel"/>
    <w:tmpl w:val="0C9D0A62"/>
    <w:lvl w:ilvl="0" w:tentative="0">
      <w:start w:val="7"/>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3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ODU4NDQzNGM1ODY0NjE2OTI2MmIwYzljYjg1MTMifQ=="/>
  </w:docVars>
  <w:rsids>
    <w:rsidRoot w:val="6C8925D7"/>
    <w:rsid w:val="00100B60"/>
    <w:rsid w:val="00115BD1"/>
    <w:rsid w:val="00185320"/>
    <w:rsid w:val="00244AFB"/>
    <w:rsid w:val="00267438"/>
    <w:rsid w:val="00315931"/>
    <w:rsid w:val="00331FE2"/>
    <w:rsid w:val="003507D3"/>
    <w:rsid w:val="003B3224"/>
    <w:rsid w:val="004A5981"/>
    <w:rsid w:val="005822C5"/>
    <w:rsid w:val="0071020B"/>
    <w:rsid w:val="007500D8"/>
    <w:rsid w:val="00954B3E"/>
    <w:rsid w:val="009B6056"/>
    <w:rsid w:val="00A13FC4"/>
    <w:rsid w:val="00BE79F4"/>
    <w:rsid w:val="00BF417A"/>
    <w:rsid w:val="00BF4A97"/>
    <w:rsid w:val="00C81931"/>
    <w:rsid w:val="00D315B9"/>
    <w:rsid w:val="00D74590"/>
    <w:rsid w:val="00DD58DF"/>
    <w:rsid w:val="00F12ECE"/>
    <w:rsid w:val="00F9564B"/>
    <w:rsid w:val="013712F7"/>
    <w:rsid w:val="01541E76"/>
    <w:rsid w:val="016334B5"/>
    <w:rsid w:val="019A1034"/>
    <w:rsid w:val="01B30C5D"/>
    <w:rsid w:val="01DE3F57"/>
    <w:rsid w:val="02FF4631"/>
    <w:rsid w:val="032402BD"/>
    <w:rsid w:val="035E51FD"/>
    <w:rsid w:val="03684C8C"/>
    <w:rsid w:val="039529B1"/>
    <w:rsid w:val="03A558DB"/>
    <w:rsid w:val="03B15391"/>
    <w:rsid w:val="03C40ABE"/>
    <w:rsid w:val="03D46282"/>
    <w:rsid w:val="04731C32"/>
    <w:rsid w:val="047B4E6A"/>
    <w:rsid w:val="04DA05CB"/>
    <w:rsid w:val="04DD7C40"/>
    <w:rsid w:val="0514315A"/>
    <w:rsid w:val="051D13D1"/>
    <w:rsid w:val="05331AAE"/>
    <w:rsid w:val="055406CA"/>
    <w:rsid w:val="059229D0"/>
    <w:rsid w:val="05CD0D22"/>
    <w:rsid w:val="061D3DE2"/>
    <w:rsid w:val="062D0B67"/>
    <w:rsid w:val="06B40E0F"/>
    <w:rsid w:val="06BB7496"/>
    <w:rsid w:val="06C63C36"/>
    <w:rsid w:val="06E73FDD"/>
    <w:rsid w:val="06E97B28"/>
    <w:rsid w:val="06EA5336"/>
    <w:rsid w:val="06FB525B"/>
    <w:rsid w:val="06FE334E"/>
    <w:rsid w:val="072D5EC8"/>
    <w:rsid w:val="077C5CB6"/>
    <w:rsid w:val="079511EF"/>
    <w:rsid w:val="07AF3996"/>
    <w:rsid w:val="07DB478B"/>
    <w:rsid w:val="087878CC"/>
    <w:rsid w:val="089332B7"/>
    <w:rsid w:val="089840FE"/>
    <w:rsid w:val="08B8700D"/>
    <w:rsid w:val="08D31906"/>
    <w:rsid w:val="090B7262"/>
    <w:rsid w:val="090D3DE9"/>
    <w:rsid w:val="091078E8"/>
    <w:rsid w:val="092726C0"/>
    <w:rsid w:val="093D6B16"/>
    <w:rsid w:val="09423D98"/>
    <w:rsid w:val="09570789"/>
    <w:rsid w:val="09630EDC"/>
    <w:rsid w:val="0979056C"/>
    <w:rsid w:val="09A02008"/>
    <w:rsid w:val="09D55D54"/>
    <w:rsid w:val="09F42FF1"/>
    <w:rsid w:val="0A067E4B"/>
    <w:rsid w:val="0A177D17"/>
    <w:rsid w:val="0A193611"/>
    <w:rsid w:val="0A741E46"/>
    <w:rsid w:val="0AF432E1"/>
    <w:rsid w:val="0AF52007"/>
    <w:rsid w:val="0B03050E"/>
    <w:rsid w:val="0B172C52"/>
    <w:rsid w:val="0B4418C6"/>
    <w:rsid w:val="0B456830"/>
    <w:rsid w:val="0B521208"/>
    <w:rsid w:val="0BB87E0C"/>
    <w:rsid w:val="0BD73104"/>
    <w:rsid w:val="0C083FBC"/>
    <w:rsid w:val="0C1B18BB"/>
    <w:rsid w:val="0C221946"/>
    <w:rsid w:val="0C4E5FEB"/>
    <w:rsid w:val="0C94653A"/>
    <w:rsid w:val="0CB96E0C"/>
    <w:rsid w:val="0CD85350"/>
    <w:rsid w:val="0CDC510D"/>
    <w:rsid w:val="0CE90800"/>
    <w:rsid w:val="0D114FE2"/>
    <w:rsid w:val="0D4A5F0F"/>
    <w:rsid w:val="0D8E04F1"/>
    <w:rsid w:val="0DF922C4"/>
    <w:rsid w:val="0E083E00"/>
    <w:rsid w:val="0E3966AF"/>
    <w:rsid w:val="0E690310"/>
    <w:rsid w:val="0EAC48C8"/>
    <w:rsid w:val="0F010778"/>
    <w:rsid w:val="0F113C62"/>
    <w:rsid w:val="0F225AB1"/>
    <w:rsid w:val="0F4E2211"/>
    <w:rsid w:val="0F6A2898"/>
    <w:rsid w:val="0FF07241"/>
    <w:rsid w:val="0FF567E1"/>
    <w:rsid w:val="0FFB6E6D"/>
    <w:rsid w:val="10181CD7"/>
    <w:rsid w:val="102F0EE2"/>
    <w:rsid w:val="105C086F"/>
    <w:rsid w:val="106F3AA7"/>
    <w:rsid w:val="109B7D6A"/>
    <w:rsid w:val="10BD3592"/>
    <w:rsid w:val="10CA7BE3"/>
    <w:rsid w:val="112670B2"/>
    <w:rsid w:val="11A42091"/>
    <w:rsid w:val="11C6371B"/>
    <w:rsid w:val="11C742FB"/>
    <w:rsid w:val="124E105C"/>
    <w:rsid w:val="127D7E23"/>
    <w:rsid w:val="13231550"/>
    <w:rsid w:val="13373C65"/>
    <w:rsid w:val="135875D7"/>
    <w:rsid w:val="13671B64"/>
    <w:rsid w:val="13A4281C"/>
    <w:rsid w:val="13CE3B89"/>
    <w:rsid w:val="14144048"/>
    <w:rsid w:val="142A6200"/>
    <w:rsid w:val="143C0CA7"/>
    <w:rsid w:val="145836BB"/>
    <w:rsid w:val="14AC4341"/>
    <w:rsid w:val="15373F88"/>
    <w:rsid w:val="1577745B"/>
    <w:rsid w:val="16144BD3"/>
    <w:rsid w:val="16450589"/>
    <w:rsid w:val="164F76AA"/>
    <w:rsid w:val="168D73A1"/>
    <w:rsid w:val="16A8487E"/>
    <w:rsid w:val="16BF2709"/>
    <w:rsid w:val="16D95418"/>
    <w:rsid w:val="16EB65E1"/>
    <w:rsid w:val="16F7691B"/>
    <w:rsid w:val="171001C9"/>
    <w:rsid w:val="171243E5"/>
    <w:rsid w:val="178F7340"/>
    <w:rsid w:val="17CD483B"/>
    <w:rsid w:val="17EA0A1A"/>
    <w:rsid w:val="183439D8"/>
    <w:rsid w:val="18354B4A"/>
    <w:rsid w:val="18631593"/>
    <w:rsid w:val="1869193F"/>
    <w:rsid w:val="18B4563D"/>
    <w:rsid w:val="18B779B2"/>
    <w:rsid w:val="18B828C6"/>
    <w:rsid w:val="18E86D07"/>
    <w:rsid w:val="190D734E"/>
    <w:rsid w:val="193261D5"/>
    <w:rsid w:val="196D2E5D"/>
    <w:rsid w:val="198C77D4"/>
    <w:rsid w:val="1A3D12D5"/>
    <w:rsid w:val="1A493C92"/>
    <w:rsid w:val="1A6B5E42"/>
    <w:rsid w:val="1B122762"/>
    <w:rsid w:val="1B233349"/>
    <w:rsid w:val="1BAB7DCB"/>
    <w:rsid w:val="1C675D42"/>
    <w:rsid w:val="1CB15636"/>
    <w:rsid w:val="1CB960B1"/>
    <w:rsid w:val="1D0507C8"/>
    <w:rsid w:val="1D540F53"/>
    <w:rsid w:val="1DCB3BE4"/>
    <w:rsid w:val="1DE51534"/>
    <w:rsid w:val="1E1B16C6"/>
    <w:rsid w:val="1E3036B6"/>
    <w:rsid w:val="1E32442C"/>
    <w:rsid w:val="1E393507"/>
    <w:rsid w:val="1E4E3E8A"/>
    <w:rsid w:val="1E546BED"/>
    <w:rsid w:val="1E7B38F4"/>
    <w:rsid w:val="1E814829"/>
    <w:rsid w:val="1E943D2D"/>
    <w:rsid w:val="1EBD6C2C"/>
    <w:rsid w:val="1EE0095E"/>
    <w:rsid w:val="1EF503D0"/>
    <w:rsid w:val="1F19736A"/>
    <w:rsid w:val="1F5170FC"/>
    <w:rsid w:val="1F6E3CDF"/>
    <w:rsid w:val="1FA86243"/>
    <w:rsid w:val="1FB5190D"/>
    <w:rsid w:val="1FD01430"/>
    <w:rsid w:val="20242A52"/>
    <w:rsid w:val="2029194D"/>
    <w:rsid w:val="202F7138"/>
    <w:rsid w:val="204213F3"/>
    <w:rsid w:val="20452C91"/>
    <w:rsid w:val="20496B8E"/>
    <w:rsid w:val="204D7173"/>
    <w:rsid w:val="205D4CC9"/>
    <w:rsid w:val="206A26F8"/>
    <w:rsid w:val="20A116D4"/>
    <w:rsid w:val="20AC20E7"/>
    <w:rsid w:val="20F03D4A"/>
    <w:rsid w:val="20F052F3"/>
    <w:rsid w:val="20FD5B68"/>
    <w:rsid w:val="21454636"/>
    <w:rsid w:val="21674E89"/>
    <w:rsid w:val="21937BF3"/>
    <w:rsid w:val="21B07A73"/>
    <w:rsid w:val="21B537B5"/>
    <w:rsid w:val="21E5103F"/>
    <w:rsid w:val="21E93992"/>
    <w:rsid w:val="22010E3A"/>
    <w:rsid w:val="221763DE"/>
    <w:rsid w:val="222B5EB7"/>
    <w:rsid w:val="22B34018"/>
    <w:rsid w:val="22B8599C"/>
    <w:rsid w:val="22F52135"/>
    <w:rsid w:val="23026A05"/>
    <w:rsid w:val="231B23CF"/>
    <w:rsid w:val="236D28BE"/>
    <w:rsid w:val="242332EA"/>
    <w:rsid w:val="24442431"/>
    <w:rsid w:val="24A13104"/>
    <w:rsid w:val="24B36707"/>
    <w:rsid w:val="24E74DC5"/>
    <w:rsid w:val="2552205A"/>
    <w:rsid w:val="255647A2"/>
    <w:rsid w:val="258204E4"/>
    <w:rsid w:val="2585333F"/>
    <w:rsid w:val="258536A8"/>
    <w:rsid w:val="26536B72"/>
    <w:rsid w:val="265B61AC"/>
    <w:rsid w:val="26E74DEB"/>
    <w:rsid w:val="271F18EF"/>
    <w:rsid w:val="272F01F7"/>
    <w:rsid w:val="27363334"/>
    <w:rsid w:val="27391891"/>
    <w:rsid w:val="277F1F34"/>
    <w:rsid w:val="27E2484F"/>
    <w:rsid w:val="281F11F4"/>
    <w:rsid w:val="28276B84"/>
    <w:rsid w:val="284245BF"/>
    <w:rsid w:val="28516C68"/>
    <w:rsid w:val="28694B8B"/>
    <w:rsid w:val="288F4EDF"/>
    <w:rsid w:val="28F35173"/>
    <w:rsid w:val="293F0DF9"/>
    <w:rsid w:val="294D3862"/>
    <w:rsid w:val="294E7892"/>
    <w:rsid w:val="297D5557"/>
    <w:rsid w:val="29F63BC6"/>
    <w:rsid w:val="2A231490"/>
    <w:rsid w:val="2A366D6C"/>
    <w:rsid w:val="2A3E7E3C"/>
    <w:rsid w:val="2A5228CF"/>
    <w:rsid w:val="2A5A1A2F"/>
    <w:rsid w:val="2A7506C5"/>
    <w:rsid w:val="2A802641"/>
    <w:rsid w:val="2ABB0720"/>
    <w:rsid w:val="2AC1385C"/>
    <w:rsid w:val="2B1F1376"/>
    <w:rsid w:val="2B3A5A5E"/>
    <w:rsid w:val="2BAD6A22"/>
    <w:rsid w:val="2BCD626B"/>
    <w:rsid w:val="2BEE68D3"/>
    <w:rsid w:val="2C0E0A8D"/>
    <w:rsid w:val="2CE738E0"/>
    <w:rsid w:val="2D1744E2"/>
    <w:rsid w:val="2D2A0007"/>
    <w:rsid w:val="2DAE3B43"/>
    <w:rsid w:val="2E0E2DA9"/>
    <w:rsid w:val="2E2D6345"/>
    <w:rsid w:val="2E684664"/>
    <w:rsid w:val="2F2B28F9"/>
    <w:rsid w:val="2F6C7FD3"/>
    <w:rsid w:val="2F7075FF"/>
    <w:rsid w:val="2F7B0D37"/>
    <w:rsid w:val="2FB7649A"/>
    <w:rsid w:val="2FCE19AA"/>
    <w:rsid w:val="30025B7B"/>
    <w:rsid w:val="306462C6"/>
    <w:rsid w:val="30A565FF"/>
    <w:rsid w:val="30C16BB4"/>
    <w:rsid w:val="30F54B30"/>
    <w:rsid w:val="310D3357"/>
    <w:rsid w:val="315E5968"/>
    <w:rsid w:val="319059EB"/>
    <w:rsid w:val="31F91B2E"/>
    <w:rsid w:val="322E1C52"/>
    <w:rsid w:val="32612F8A"/>
    <w:rsid w:val="328F6795"/>
    <w:rsid w:val="32A86EAC"/>
    <w:rsid w:val="32AB353E"/>
    <w:rsid w:val="337838EE"/>
    <w:rsid w:val="33A21F81"/>
    <w:rsid w:val="33D6095B"/>
    <w:rsid w:val="33D8657F"/>
    <w:rsid w:val="34071D27"/>
    <w:rsid w:val="34472B1C"/>
    <w:rsid w:val="344733D5"/>
    <w:rsid w:val="349F1530"/>
    <w:rsid w:val="34E51827"/>
    <w:rsid w:val="34F815D5"/>
    <w:rsid w:val="35DC59EE"/>
    <w:rsid w:val="365404BF"/>
    <w:rsid w:val="367E66FF"/>
    <w:rsid w:val="369B5DC3"/>
    <w:rsid w:val="36AE7AAF"/>
    <w:rsid w:val="36BE6EA2"/>
    <w:rsid w:val="37054AD1"/>
    <w:rsid w:val="374E329F"/>
    <w:rsid w:val="37B835EC"/>
    <w:rsid w:val="37D430DA"/>
    <w:rsid w:val="37F75897"/>
    <w:rsid w:val="38064FA4"/>
    <w:rsid w:val="386D0BF2"/>
    <w:rsid w:val="388F6FE2"/>
    <w:rsid w:val="38BB5817"/>
    <w:rsid w:val="38E11BAB"/>
    <w:rsid w:val="39206F39"/>
    <w:rsid w:val="3951500B"/>
    <w:rsid w:val="39612EC3"/>
    <w:rsid w:val="397A17A6"/>
    <w:rsid w:val="39AA68D4"/>
    <w:rsid w:val="39DA74F4"/>
    <w:rsid w:val="3A0F4236"/>
    <w:rsid w:val="3A451DB4"/>
    <w:rsid w:val="3A5E5615"/>
    <w:rsid w:val="3A7B361A"/>
    <w:rsid w:val="3A7C6CAA"/>
    <w:rsid w:val="3A7F5A8B"/>
    <w:rsid w:val="3A8D4DC0"/>
    <w:rsid w:val="3AB63EB9"/>
    <w:rsid w:val="3AFB5612"/>
    <w:rsid w:val="3B2E70C2"/>
    <w:rsid w:val="3B9462CA"/>
    <w:rsid w:val="3BD87F04"/>
    <w:rsid w:val="3BE55167"/>
    <w:rsid w:val="3C0B1FAB"/>
    <w:rsid w:val="3C2964B8"/>
    <w:rsid w:val="3C343181"/>
    <w:rsid w:val="3C3510D2"/>
    <w:rsid w:val="3C3D6ABB"/>
    <w:rsid w:val="3C5C2D42"/>
    <w:rsid w:val="3D984735"/>
    <w:rsid w:val="3D9D2C7A"/>
    <w:rsid w:val="3DB36563"/>
    <w:rsid w:val="3DBC2256"/>
    <w:rsid w:val="3DEB40CF"/>
    <w:rsid w:val="3E344619"/>
    <w:rsid w:val="3E71615E"/>
    <w:rsid w:val="3EF35B91"/>
    <w:rsid w:val="3F2F4DE1"/>
    <w:rsid w:val="3F4A39C9"/>
    <w:rsid w:val="3F5B7984"/>
    <w:rsid w:val="3F68377D"/>
    <w:rsid w:val="3F6F65C9"/>
    <w:rsid w:val="3F9F0716"/>
    <w:rsid w:val="3FA70150"/>
    <w:rsid w:val="3FA70E1B"/>
    <w:rsid w:val="3FBE4112"/>
    <w:rsid w:val="3FE007B3"/>
    <w:rsid w:val="3FE742EB"/>
    <w:rsid w:val="3FE941C9"/>
    <w:rsid w:val="40F24318"/>
    <w:rsid w:val="410E6A6A"/>
    <w:rsid w:val="4129103A"/>
    <w:rsid w:val="41432AAF"/>
    <w:rsid w:val="41EB0AA0"/>
    <w:rsid w:val="42A00AA0"/>
    <w:rsid w:val="42A32E3D"/>
    <w:rsid w:val="42A715CF"/>
    <w:rsid w:val="42C254EB"/>
    <w:rsid w:val="43024EA8"/>
    <w:rsid w:val="433867EA"/>
    <w:rsid w:val="433D588C"/>
    <w:rsid w:val="434F5A51"/>
    <w:rsid w:val="4357479E"/>
    <w:rsid w:val="43831A53"/>
    <w:rsid w:val="43B43004"/>
    <w:rsid w:val="43BB2C0A"/>
    <w:rsid w:val="440B321F"/>
    <w:rsid w:val="442C5680"/>
    <w:rsid w:val="44485BE4"/>
    <w:rsid w:val="449C74DB"/>
    <w:rsid w:val="44E328F5"/>
    <w:rsid w:val="45083B0B"/>
    <w:rsid w:val="45633960"/>
    <w:rsid w:val="4569464D"/>
    <w:rsid w:val="456D6663"/>
    <w:rsid w:val="45E15EEC"/>
    <w:rsid w:val="45E44199"/>
    <w:rsid w:val="460B2D1F"/>
    <w:rsid w:val="46160AA8"/>
    <w:rsid w:val="46671304"/>
    <w:rsid w:val="46F0008C"/>
    <w:rsid w:val="47037BF6"/>
    <w:rsid w:val="47042015"/>
    <w:rsid w:val="474C14AD"/>
    <w:rsid w:val="476623E1"/>
    <w:rsid w:val="478575F1"/>
    <w:rsid w:val="47917071"/>
    <w:rsid w:val="47C278E0"/>
    <w:rsid w:val="47F70466"/>
    <w:rsid w:val="486B7FF3"/>
    <w:rsid w:val="48B52693"/>
    <w:rsid w:val="492B4235"/>
    <w:rsid w:val="49317010"/>
    <w:rsid w:val="49A93373"/>
    <w:rsid w:val="49F66C27"/>
    <w:rsid w:val="49FF70A9"/>
    <w:rsid w:val="4A7A05F7"/>
    <w:rsid w:val="4ABF2A29"/>
    <w:rsid w:val="4B1C090F"/>
    <w:rsid w:val="4B82100C"/>
    <w:rsid w:val="4BBB2204"/>
    <w:rsid w:val="4C0E7510"/>
    <w:rsid w:val="4C372A28"/>
    <w:rsid w:val="4C684B84"/>
    <w:rsid w:val="4CD105C5"/>
    <w:rsid w:val="4D663C93"/>
    <w:rsid w:val="4D844ED0"/>
    <w:rsid w:val="4DDA6F61"/>
    <w:rsid w:val="4DF61E89"/>
    <w:rsid w:val="4E3D209F"/>
    <w:rsid w:val="4E801610"/>
    <w:rsid w:val="4EAB6EC6"/>
    <w:rsid w:val="4F18319B"/>
    <w:rsid w:val="4F2305B2"/>
    <w:rsid w:val="4F493C9D"/>
    <w:rsid w:val="4F971D37"/>
    <w:rsid w:val="4FE2740B"/>
    <w:rsid w:val="505F3BEE"/>
    <w:rsid w:val="5099655E"/>
    <w:rsid w:val="50A83EC7"/>
    <w:rsid w:val="50B213CE"/>
    <w:rsid w:val="50EE68AA"/>
    <w:rsid w:val="515656DE"/>
    <w:rsid w:val="51F8392E"/>
    <w:rsid w:val="51F85D02"/>
    <w:rsid w:val="52153C95"/>
    <w:rsid w:val="52155F7B"/>
    <w:rsid w:val="522F54B0"/>
    <w:rsid w:val="524C3659"/>
    <w:rsid w:val="526D1A50"/>
    <w:rsid w:val="529C40E3"/>
    <w:rsid w:val="52FA7614"/>
    <w:rsid w:val="53330F95"/>
    <w:rsid w:val="53552E9E"/>
    <w:rsid w:val="53693ABA"/>
    <w:rsid w:val="53826C3E"/>
    <w:rsid w:val="53A70F92"/>
    <w:rsid w:val="53B32385"/>
    <w:rsid w:val="53D10525"/>
    <w:rsid w:val="54085ED4"/>
    <w:rsid w:val="54357A1D"/>
    <w:rsid w:val="54AA7BED"/>
    <w:rsid w:val="54B158BA"/>
    <w:rsid w:val="54C618EB"/>
    <w:rsid w:val="54DF5979"/>
    <w:rsid w:val="55CD4D2F"/>
    <w:rsid w:val="55F73686"/>
    <w:rsid w:val="560206B5"/>
    <w:rsid w:val="56895AF4"/>
    <w:rsid w:val="56BA1588"/>
    <w:rsid w:val="56BE6D1E"/>
    <w:rsid w:val="56CB3E0A"/>
    <w:rsid w:val="56F5775D"/>
    <w:rsid w:val="57451E63"/>
    <w:rsid w:val="58472D43"/>
    <w:rsid w:val="5864760A"/>
    <w:rsid w:val="58674036"/>
    <w:rsid w:val="58A31BC6"/>
    <w:rsid w:val="58AD5051"/>
    <w:rsid w:val="58DD5EF2"/>
    <w:rsid w:val="59A0005E"/>
    <w:rsid w:val="59A34C4A"/>
    <w:rsid w:val="59B81BCF"/>
    <w:rsid w:val="5A1455A6"/>
    <w:rsid w:val="5AAE0477"/>
    <w:rsid w:val="5AD36EF7"/>
    <w:rsid w:val="5B0647F0"/>
    <w:rsid w:val="5B0F0CA8"/>
    <w:rsid w:val="5B286E8C"/>
    <w:rsid w:val="5B357C65"/>
    <w:rsid w:val="5B484E08"/>
    <w:rsid w:val="5B522C11"/>
    <w:rsid w:val="5B667984"/>
    <w:rsid w:val="5B994CF3"/>
    <w:rsid w:val="5BB64468"/>
    <w:rsid w:val="5BD63047"/>
    <w:rsid w:val="5BDF7881"/>
    <w:rsid w:val="5BE2700B"/>
    <w:rsid w:val="5BF32668"/>
    <w:rsid w:val="5C2B3167"/>
    <w:rsid w:val="5C3D6937"/>
    <w:rsid w:val="5C8A3F3C"/>
    <w:rsid w:val="5CF55C43"/>
    <w:rsid w:val="5D2C0502"/>
    <w:rsid w:val="5DDA0A5F"/>
    <w:rsid w:val="5E361890"/>
    <w:rsid w:val="5E725839"/>
    <w:rsid w:val="5E77058B"/>
    <w:rsid w:val="5EE131BD"/>
    <w:rsid w:val="5F090D52"/>
    <w:rsid w:val="5FB32A6C"/>
    <w:rsid w:val="604A1623"/>
    <w:rsid w:val="60703BE2"/>
    <w:rsid w:val="60892723"/>
    <w:rsid w:val="60BE721D"/>
    <w:rsid w:val="60ED6C7F"/>
    <w:rsid w:val="613919E9"/>
    <w:rsid w:val="61B11D3F"/>
    <w:rsid w:val="61EB117A"/>
    <w:rsid w:val="62540291"/>
    <w:rsid w:val="62581CE5"/>
    <w:rsid w:val="625A54A6"/>
    <w:rsid w:val="62785599"/>
    <w:rsid w:val="62B15989"/>
    <w:rsid w:val="632048BD"/>
    <w:rsid w:val="6330389F"/>
    <w:rsid w:val="635F3272"/>
    <w:rsid w:val="636C7073"/>
    <w:rsid w:val="63797DF5"/>
    <w:rsid w:val="63BE035D"/>
    <w:rsid w:val="644C05D5"/>
    <w:rsid w:val="64675359"/>
    <w:rsid w:val="647C1FC7"/>
    <w:rsid w:val="64947BB9"/>
    <w:rsid w:val="64B97877"/>
    <w:rsid w:val="64C37408"/>
    <w:rsid w:val="64E55381"/>
    <w:rsid w:val="65037813"/>
    <w:rsid w:val="65562F49"/>
    <w:rsid w:val="65E9368C"/>
    <w:rsid w:val="660D178C"/>
    <w:rsid w:val="66291CDA"/>
    <w:rsid w:val="665F2D90"/>
    <w:rsid w:val="66BE5C0F"/>
    <w:rsid w:val="66D975B6"/>
    <w:rsid w:val="66F67111"/>
    <w:rsid w:val="67183796"/>
    <w:rsid w:val="673318B8"/>
    <w:rsid w:val="67B57CBA"/>
    <w:rsid w:val="67C24194"/>
    <w:rsid w:val="67E616C4"/>
    <w:rsid w:val="68101F15"/>
    <w:rsid w:val="6842062E"/>
    <w:rsid w:val="684F3C7A"/>
    <w:rsid w:val="6860411E"/>
    <w:rsid w:val="68AD08CA"/>
    <w:rsid w:val="68B236CC"/>
    <w:rsid w:val="68B63CF9"/>
    <w:rsid w:val="691D5B26"/>
    <w:rsid w:val="69273227"/>
    <w:rsid w:val="69333A6F"/>
    <w:rsid w:val="69365725"/>
    <w:rsid w:val="69782D5D"/>
    <w:rsid w:val="69787200"/>
    <w:rsid w:val="6A0B3EEE"/>
    <w:rsid w:val="6A3C6480"/>
    <w:rsid w:val="6AA555CB"/>
    <w:rsid w:val="6B4146D7"/>
    <w:rsid w:val="6B5A1FA5"/>
    <w:rsid w:val="6B7D2032"/>
    <w:rsid w:val="6B932D6B"/>
    <w:rsid w:val="6C3C6105"/>
    <w:rsid w:val="6C8925D7"/>
    <w:rsid w:val="6CD1762A"/>
    <w:rsid w:val="6CFC1496"/>
    <w:rsid w:val="6D4F0278"/>
    <w:rsid w:val="6DA73BE9"/>
    <w:rsid w:val="6DE210EC"/>
    <w:rsid w:val="6DEA7FA1"/>
    <w:rsid w:val="6E2A1B9A"/>
    <w:rsid w:val="6E2A6C25"/>
    <w:rsid w:val="6E3F40E2"/>
    <w:rsid w:val="6EA13DB5"/>
    <w:rsid w:val="6F0E3AE6"/>
    <w:rsid w:val="6F2553DD"/>
    <w:rsid w:val="6F332627"/>
    <w:rsid w:val="6F774D70"/>
    <w:rsid w:val="6FD6730E"/>
    <w:rsid w:val="70123AE3"/>
    <w:rsid w:val="70D04C8C"/>
    <w:rsid w:val="711765D4"/>
    <w:rsid w:val="713E2ADE"/>
    <w:rsid w:val="7156731A"/>
    <w:rsid w:val="715F3ECE"/>
    <w:rsid w:val="71DA10B3"/>
    <w:rsid w:val="71F03700"/>
    <w:rsid w:val="72031631"/>
    <w:rsid w:val="724D63F1"/>
    <w:rsid w:val="72DF4F8A"/>
    <w:rsid w:val="732E2EA4"/>
    <w:rsid w:val="73750927"/>
    <w:rsid w:val="737D2D44"/>
    <w:rsid w:val="739A1DDB"/>
    <w:rsid w:val="73C34218"/>
    <w:rsid w:val="73D421A0"/>
    <w:rsid w:val="73E43920"/>
    <w:rsid w:val="73F54301"/>
    <w:rsid w:val="747F397D"/>
    <w:rsid w:val="7490218A"/>
    <w:rsid w:val="74D35955"/>
    <w:rsid w:val="74DC555A"/>
    <w:rsid w:val="75613E06"/>
    <w:rsid w:val="75680B47"/>
    <w:rsid w:val="7572039A"/>
    <w:rsid w:val="758A5266"/>
    <w:rsid w:val="75C15B22"/>
    <w:rsid w:val="7677728B"/>
    <w:rsid w:val="767E427E"/>
    <w:rsid w:val="76810588"/>
    <w:rsid w:val="776A45F4"/>
    <w:rsid w:val="779C444B"/>
    <w:rsid w:val="77B749A8"/>
    <w:rsid w:val="77C03D8C"/>
    <w:rsid w:val="77D9494A"/>
    <w:rsid w:val="77EB5041"/>
    <w:rsid w:val="78022F67"/>
    <w:rsid w:val="78027F16"/>
    <w:rsid w:val="7843706D"/>
    <w:rsid w:val="78577EB4"/>
    <w:rsid w:val="7861252B"/>
    <w:rsid w:val="786D6F71"/>
    <w:rsid w:val="787666EB"/>
    <w:rsid w:val="7885646F"/>
    <w:rsid w:val="78CD17E0"/>
    <w:rsid w:val="78F9553C"/>
    <w:rsid w:val="79383716"/>
    <w:rsid w:val="79DF200B"/>
    <w:rsid w:val="79ED4F3B"/>
    <w:rsid w:val="7A292CF7"/>
    <w:rsid w:val="7A2A00A3"/>
    <w:rsid w:val="7A48071F"/>
    <w:rsid w:val="7A6D6B37"/>
    <w:rsid w:val="7AC407D7"/>
    <w:rsid w:val="7B277E0F"/>
    <w:rsid w:val="7BAB5214"/>
    <w:rsid w:val="7BDD1B24"/>
    <w:rsid w:val="7C077354"/>
    <w:rsid w:val="7C5C7D42"/>
    <w:rsid w:val="7C901442"/>
    <w:rsid w:val="7CDE6F23"/>
    <w:rsid w:val="7D0D79DF"/>
    <w:rsid w:val="7D3D48D7"/>
    <w:rsid w:val="7D7D2FB2"/>
    <w:rsid w:val="7D9B4E14"/>
    <w:rsid w:val="7DB63B92"/>
    <w:rsid w:val="7E3D1E9A"/>
    <w:rsid w:val="7E5105FF"/>
    <w:rsid w:val="7E903F0F"/>
    <w:rsid w:val="7F103165"/>
    <w:rsid w:val="7F3B48A0"/>
    <w:rsid w:val="7F4811D4"/>
    <w:rsid w:val="7FD34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4"/>
    <w:next w:val="4"/>
    <w:qFormat/>
    <w:uiPriority w:val="0"/>
    <w:pPr>
      <w:keepNext/>
      <w:keepLines/>
      <w:spacing w:before="260" w:after="260" w:line="415" w:lineRule="auto"/>
      <w:ind w:firstLine="137" w:firstLineChars="49"/>
      <w:outlineLvl w:val="2"/>
    </w:pPr>
    <w:rPr>
      <w:rFonts w:ascii="黑体" w:hAnsi="宋体" w:eastAsia="黑体"/>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4">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5">
    <w:name w:val="annotation text"/>
    <w:basedOn w:val="1"/>
    <w:qFormat/>
    <w:uiPriority w:val="0"/>
    <w:pPr>
      <w:widowControl/>
      <w:jc w:val="left"/>
    </w:pPr>
    <w:rPr>
      <w:rFonts w:ascii="Calibri" w:hAnsi="Calibri" w:eastAsia="Calibri" w:cs="Times New Roman"/>
      <w:kern w:val="0"/>
      <w:sz w:val="20"/>
      <w:szCs w:val="20"/>
    </w:r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800080"/>
      <w:u w:val="none"/>
    </w:rPr>
  </w:style>
  <w:style w:type="character" w:styleId="15">
    <w:name w:val="Hyperlink"/>
    <w:basedOn w:val="12"/>
    <w:qFormat/>
    <w:uiPriority w:val="0"/>
    <w:rPr>
      <w:color w:val="0000FF"/>
      <w:u w:val="none"/>
    </w:rPr>
  </w:style>
  <w:style w:type="character" w:customStyle="1" w:styleId="16">
    <w:name w:val="span_juli"/>
    <w:basedOn w:val="12"/>
    <w:qFormat/>
    <w:uiPriority w:val="0"/>
  </w:style>
  <w:style w:type="paragraph" w:styleId="17">
    <w:name w:val="List Paragraph"/>
    <w:basedOn w:val="1"/>
    <w:qFormat/>
    <w:uiPriority w:val="99"/>
    <w:pPr>
      <w:ind w:firstLine="420" w:firstLineChars="200"/>
    </w:pPr>
  </w:style>
  <w:style w:type="paragraph" w:customStyle="1" w:styleId="18">
    <w:name w:val="Body Text First Indent 21"/>
    <w:basedOn w:val="19"/>
    <w:qFormat/>
    <w:uiPriority w:val="0"/>
    <w:pPr>
      <w:ind w:firstLine="420" w:firstLineChars="200"/>
    </w:pPr>
  </w:style>
  <w:style w:type="paragraph" w:customStyle="1" w:styleId="19">
    <w:name w:val="Body Text Indent1"/>
    <w:basedOn w:val="20"/>
    <w:qFormat/>
    <w:uiPriority w:val="0"/>
    <w:pPr>
      <w:ind w:firstLine="624"/>
    </w:pPr>
    <w:rPr>
      <w:rFonts w:ascii="Calibri" w:hAnsi="Calibri" w:eastAsia="仿宋_GB2312"/>
      <w:b/>
      <w:sz w:val="36"/>
      <w:szCs w:val="22"/>
    </w:rPr>
  </w:style>
  <w:style w:type="paragraph" w:customStyle="1" w:styleId="20">
    <w:name w:val="正文 New New"/>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Heading 1_0"/>
    <w:basedOn w:val="4"/>
    <w:next w:val="4"/>
    <w:qFormat/>
    <w:uiPriority w:val="9"/>
    <w:pPr>
      <w:keepNext/>
      <w:keepLines/>
      <w:spacing w:line="360" w:lineRule="auto"/>
      <w:outlineLvl w:val="0"/>
    </w:pPr>
    <w:rPr>
      <w:b/>
      <w:bCs/>
      <w:kern w:val="44"/>
      <w:sz w:val="36"/>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36</Pages>
  <Words>13912</Words>
  <Characters>14271</Characters>
  <Lines>37</Lines>
  <Paragraphs>10</Paragraphs>
  <TotalTime>3</TotalTime>
  <ScaleCrop>false</ScaleCrop>
  <LinksUpToDate>false</LinksUpToDate>
  <CharactersWithSpaces>14691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2023-03-07T04:23:00Z</dcterms:created>
  <dc:creator>周星星同学</dc:creator>
  <cp:lastModifiedBy>⌒寻⌒</cp:lastModifiedBy>
  <cp:lastPrinted>2023-03-06T07:22:00Z</cp:lastPrinted>
  <dcterms:modified xsi:type="dcterms:W3CDTF">2025-09-05T08:19:59Z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5220ED384F004460A06886D009C8F2AE_13</vt:lpwstr>
  </property>
  <property fmtid="{D5CDD505-2E9C-101B-9397-08002B2CF9AE}" pid="4" name="KSOTemplateDocerSaveRecord">
    <vt:lpwstr>eyJoZGlkIjoiNWRiODU4NDQzNGM1ODY0NjE2OTI2MmIwYzljYjg1MTMiLCJ1c2VySWQiOiI3MDEyODE4ODQifQ==</vt:lpwstr>
  </property>
</Properties>
</file>