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4FC3B">
      <w:pPr>
        <w:jc w:val="center"/>
        <w:rPr>
          <w:rFonts w:hint="eastAsia" w:ascii="宋体" w:hAnsi="宋体" w:eastAsia="宋体" w:cs="宋体"/>
          <w:b/>
          <w:bCs/>
          <w:color w:val="auto"/>
          <w:sz w:val="44"/>
          <w:szCs w:val="44"/>
          <w:lang w:val="en-US" w:eastAsia="zh-CN"/>
        </w:rPr>
      </w:pPr>
      <w:bookmarkStart w:id="0" w:name="_GoBack"/>
      <w:bookmarkEnd w:id="0"/>
      <w:r>
        <w:rPr>
          <w:rFonts w:hint="eastAsia" w:ascii="宋体" w:hAnsi="宋体" w:eastAsia="宋体" w:cs="宋体"/>
          <w:b/>
          <w:bCs/>
          <w:color w:val="auto"/>
          <w:sz w:val="44"/>
          <w:szCs w:val="44"/>
          <w:lang w:val="en-US" w:eastAsia="zh-CN"/>
        </w:rPr>
        <w:t>四川省住房和城乡建设厅</w:t>
      </w:r>
    </w:p>
    <w:p w14:paraId="7A100768">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关于进一步加强房屋建筑和市政工程</w:t>
      </w:r>
    </w:p>
    <w:p w14:paraId="4BA1E3F6">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招标投标活动监督管理的通知</w:t>
      </w:r>
    </w:p>
    <w:p w14:paraId="12626A4C">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（征求意见稿）</w:t>
      </w:r>
    </w:p>
    <w:p w14:paraId="4A2BF289">
      <w:pPr>
        <w:rPr>
          <w:rFonts w:hint="eastAsia" w:ascii="仿宋" w:hAnsi="仿宋" w:eastAsia="仿宋" w:cs="仿宋"/>
          <w:color w:val="auto"/>
          <w:sz w:val="32"/>
          <w:szCs w:val="32"/>
          <w:lang w:val="en-US" w:eastAsia="zh-CN"/>
        </w:rPr>
      </w:pPr>
    </w:p>
    <w:p w14:paraId="22BB35DE">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各市（州）住房城乡建设行政主管部门，各有关单位：</w:t>
      </w:r>
    </w:p>
    <w:p w14:paraId="4DBB194B">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为贯彻落实党中央、国务院关于加快建设全国统一大市场的决策部署和《</w:t>
      </w:r>
      <w:r>
        <w:rPr>
          <w:rFonts w:hint="eastAsia" w:ascii="仿宋" w:hAnsi="仿宋" w:eastAsia="仿宋" w:cs="仿宋"/>
          <w:i w:val="0"/>
          <w:iCs w:val="0"/>
          <w:caps w:val="0"/>
          <w:color w:val="auto"/>
          <w:spacing w:val="0"/>
          <w:sz w:val="32"/>
          <w:szCs w:val="32"/>
          <w:shd w:val="clear" w:fill="FFFFFF"/>
        </w:rPr>
        <w:t>国务院办公厅关于创新完善体制机制推动招标投标市场规范健康发展的意见</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auto"/>
          <w:spacing w:val="0"/>
          <w:sz w:val="32"/>
          <w:szCs w:val="32"/>
          <w:shd w:val="clear" w:fill="FFFFFF"/>
        </w:rPr>
        <w:t>国办发〔2024〕21号</w:t>
      </w:r>
      <w:r>
        <w:rPr>
          <w:rFonts w:hint="eastAsia" w:ascii="仿宋" w:hAnsi="仿宋" w:eastAsia="仿宋" w:cs="仿宋"/>
          <w:color w:val="auto"/>
          <w:sz w:val="32"/>
          <w:szCs w:val="32"/>
          <w:lang w:val="en-US" w:eastAsia="zh-CN"/>
        </w:rPr>
        <w:t>），深化工程建设项目招标投标领域突出问题系统整治，持续优化营商环境，按照《四川省人民政府办公厅关于深化改革创新促进招标投标市场规范健康发展的意见》（川办规〔2025〕8号）要求，现就进一步加强房屋建筑和市政工程招标投标活动监督管理通知如下。</w:t>
      </w:r>
    </w:p>
    <w:p w14:paraId="2CE38E7F">
      <w:pPr>
        <w:ind w:firstLine="640" w:firstLineChars="200"/>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一、落实招标人主体责任</w:t>
      </w:r>
    </w:p>
    <w:p w14:paraId="728CE1D9">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依法保障招标人在选择招标代理机构、编制招标文件（含资格预审文件，下同）、在公共资源交易平台体系内选择电子交易系统和交易场所、组建评标委员会、委派代表参加评标、确定中标人、签订合同等方面的自主权，同时严格落实招标人组织招标、处理异议、督促履约、信息公开等方面的主体责任。招标人应当按照有关规定履行招标项目的固定资产投资项目审批、核准或者备案手续，并保证具备相应的招标条件。</w:t>
      </w:r>
    </w:p>
    <w:p w14:paraId="644D3A70">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招标代理机构应当在招标人委托的范围内办理招标事宜，并遵守法律、法规等关于招标人的规定。鼓励招标人和招标代理机构将《四川省工程建设项目招标代理操作规程》作为履约规范载入招标代理委托合同。</w:t>
      </w:r>
    </w:p>
    <w:p w14:paraId="5221A08A">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全面推行评定分离，评标委员会根据招标文件规定的评标方法和标准对投标文件进行评审，推荐2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sz w:val="32"/>
          <w:szCs w:val="32"/>
          <w:lang w:val="en-US" w:eastAsia="zh-CN"/>
        </w:rPr>
        <w:t>3名不排序的中标候选人，定标委员会根据招标文件规定的定标方案，自主择优确定中标人。招标人可将中标候选人是否存在被标注“资质异常”和安全生产许可预警标注等情况纳入定标核查因素。</w:t>
      </w:r>
    </w:p>
    <w:p w14:paraId="602CB59C">
      <w:pPr>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二、规范招标文件编制</w:t>
      </w:r>
    </w:p>
    <w:p w14:paraId="7C2DE45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招标人依法编制、发布招标文件并对其合法性和完整性负责。</w:t>
      </w:r>
      <w:r>
        <w:rPr>
          <w:rFonts w:hint="eastAsia" w:ascii="仿宋" w:hAnsi="仿宋" w:eastAsia="仿宋" w:cs="仿宋"/>
          <w:sz w:val="32"/>
          <w:szCs w:val="32"/>
          <w:lang w:val="en-US" w:eastAsia="zh-CN"/>
        </w:rPr>
        <w:t>依法必须进行招标的项目，除涉及国家安全、国家秘密和招标项目有特殊要求等原因外，应当采用电子招标投标，执行《四川省房屋建筑和市政工程标准招标文件》。全过程工程咨询等暂未制定标准招标文件的，应参照招标范围相近的</w:t>
      </w:r>
      <w:r>
        <w:rPr>
          <w:rFonts w:hint="eastAsia" w:ascii="仿宋" w:hAnsi="仿宋" w:eastAsia="仿宋" w:cs="仿宋"/>
          <w:sz w:val="32"/>
          <w:szCs w:val="32"/>
        </w:rPr>
        <w:t>标准招标文件</w:t>
      </w:r>
      <w:r>
        <w:rPr>
          <w:rFonts w:hint="eastAsia" w:ascii="仿宋" w:hAnsi="仿宋" w:eastAsia="仿宋" w:cs="仿宋"/>
          <w:sz w:val="32"/>
          <w:szCs w:val="32"/>
          <w:lang w:val="en-US" w:eastAsia="zh-CN"/>
        </w:rPr>
        <w:t>编制。</w:t>
      </w:r>
    </w:p>
    <w:p w14:paraId="2F8C40F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标文件应当平等对待不同地区、所有制形式的经营主体，不得以不合理的条件直接或者变相限制、排斥潜在投标人。编制招标文件时应当严格落实《四川省工程建设项目招标文件编制负面清单》，参照《招标投标领域公平竞争审查规则》并结合限制、排斥潜在投标人典型事例，自行开展对招标文件的公平竞争审查。推行招标计划提前发布，发布时间为招标公告发布之日前至少30日，鼓励在发布招标计划时或者其他合理时间提前公示招标文件。</w:t>
      </w:r>
    </w:p>
    <w:p w14:paraId="30C3DCE6">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招标文件中不得要求省外企业投标时提供入川信息，省外企业中标后按照《四川省建筑管理条例》第十一条的规定进行报送。为实现投标</w:t>
      </w:r>
      <w:r>
        <w:rPr>
          <w:rFonts w:hint="eastAsia" w:ascii="仿宋" w:hAnsi="仿宋" w:eastAsia="仿宋" w:cs="仿宋"/>
          <w:color w:val="000000" w:themeColor="text1"/>
          <w:sz w:val="32"/>
          <w:szCs w:val="32"/>
          <w14:textFill>
            <w14:solidFill>
              <w14:schemeClr w14:val="tx1"/>
            </w14:solidFill>
          </w14:textFill>
        </w:rPr>
        <w:t>业绩信息的可追溯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lang w:val="en-US" w:eastAsia="zh-CN"/>
        </w:rPr>
        <w:t>逐步推行在类似项目业绩证明材料中增加要求</w:t>
      </w:r>
      <w:r>
        <w:rPr>
          <w:rFonts w:hint="eastAsia" w:ascii="仿宋" w:hAnsi="仿宋" w:eastAsia="仿宋" w:cs="仿宋"/>
          <w:color w:val="000000" w:themeColor="text1"/>
          <w:sz w:val="32"/>
          <w:szCs w:val="32"/>
          <w14:textFill>
            <w14:solidFill>
              <w14:schemeClr w14:val="tx1"/>
            </w14:solidFill>
          </w14:textFill>
        </w:rPr>
        <w:t>全国建筑市场监管公共服务平台</w:t>
      </w:r>
      <w:r>
        <w:rPr>
          <w:rFonts w:hint="eastAsia" w:ascii="仿宋" w:hAnsi="仿宋" w:eastAsia="仿宋" w:cs="仿宋"/>
          <w:color w:val="000000" w:themeColor="text1"/>
          <w:sz w:val="32"/>
          <w:szCs w:val="32"/>
          <w:lang w:val="en-US" w:eastAsia="zh-CN"/>
          <w14:textFill>
            <w14:solidFill>
              <w14:schemeClr w14:val="tx1"/>
            </w14:solidFill>
          </w14:textFill>
        </w:rPr>
        <w:t>或者四川省</w:t>
      </w:r>
      <w:r>
        <w:rPr>
          <w:rFonts w:hint="eastAsia" w:ascii="仿宋" w:hAnsi="仿宋" w:eastAsia="仿宋" w:cs="仿宋"/>
          <w:color w:val="000000" w:themeColor="text1"/>
          <w:sz w:val="32"/>
          <w:szCs w:val="32"/>
          <w14:textFill>
            <w14:solidFill>
              <w14:schemeClr w14:val="tx1"/>
            </w14:solidFill>
          </w14:textFill>
        </w:rPr>
        <w:t>建筑市场监管公共服务平台</w:t>
      </w:r>
      <w:r>
        <w:rPr>
          <w:rFonts w:hint="eastAsia" w:ascii="仿宋" w:hAnsi="仿宋" w:eastAsia="仿宋" w:cs="仿宋"/>
          <w:color w:val="000000" w:themeColor="text1"/>
          <w:sz w:val="32"/>
          <w:szCs w:val="32"/>
          <w:lang w:val="en-US" w:eastAsia="zh-CN"/>
          <w14:textFill>
            <w14:solidFill>
              <w14:schemeClr w14:val="tx1"/>
            </w14:solidFill>
          </w14:textFill>
        </w:rPr>
        <w:t>的C级及以上业绩信息截图。</w:t>
      </w:r>
    </w:p>
    <w:p w14:paraId="1F96F1C0">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鼓励相关行业协会通过市场调研和大数据分析，制定发布勘察、设计和监理服务的价格信息，供招标人设定最高投标限价时参考。</w:t>
      </w:r>
    </w:p>
    <w:p w14:paraId="65D0E3FE">
      <w:pPr>
        <w:ind w:firstLine="640" w:firstLineChars="200"/>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三、优化评标标准设定</w:t>
      </w:r>
    </w:p>
    <w:p w14:paraId="172647E9">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招标人应当科学合理地设定评标办法，以保证足够的竞争性。设定奖项评分的，应为全国评比达标表彰工作协调小组办公室按照《评比达标表彰活动管理办法》公布的目录以内的奖项，且招标项目的技术指标应达到相应奖项申报条件，设定奖项年限为近3—5年的，个数不得超过1个，设定奖项年限为近6年及以上的，个数不得超过2个，且各类奖项加分总分值不得超过3分。设定投标人类似项目业绩评分的，每类别个数不得超过3个（含资格条件个数）；设定人员类似项目业绩评分的，个数不得超过1个（若资格条件中已有要求则不再设定）；</w:t>
      </w:r>
      <w:r>
        <w:rPr>
          <w:rFonts w:hint="eastAsia" w:ascii="仿宋" w:hAnsi="仿宋" w:eastAsia="仿宋" w:cs="仿宋"/>
          <w:sz w:val="32"/>
          <w:szCs w:val="32"/>
          <w:lang w:eastAsia="zh-CN"/>
        </w:rPr>
        <w:t>投标人可以同一业绩适用企业业绩和人员业绩要求或者多个类别业绩要求，招标文件不得设定“业绩不重复</w:t>
      </w:r>
      <w:r>
        <w:rPr>
          <w:rFonts w:hint="eastAsia" w:ascii="仿宋" w:hAnsi="仿宋" w:eastAsia="仿宋" w:cs="仿宋"/>
          <w:sz w:val="32"/>
          <w:szCs w:val="32"/>
          <w:lang w:val="en-US" w:eastAsia="zh-CN"/>
        </w:rPr>
        <w:t>认定</w:t>
      </w:r>
      <w:r>
        <w:rPr>
          <w:rFonts w:hint="eastAsia" w:ascii="仿宋" w:hAnsi="仿宋" w:eastAsia="仿宋" w:cs="仿宋"/>
          <w:sz w:val="32"/>
          <w:szCs w:val="32"/>
          <w:lang w:eastAsia="zh-CN"/>
        </w:rPr>
        <w:t>”等内容</w:t>
      </w:r>
      <w:r>
        <w:rPr>
          <w:rFonts w:hint="eastAsia" w:ascii="仿宋" w:hAnsi="仿宋" w:eastAsia="仿宋" w:cs="仿宋"/>
          <w:color w:val="000000" w:themeColor="text1"/>
          <w:sz w:val="32"/>
          <w:szCs w:val="32"/>
          <w:lang w:val="en-US" w:eastAsia="zh-CN"/>
          <w14:textFill>
            <w14:solidFill>
              <w14:schemeClr w14:val="tx1"/>
            </w14:solidFill>
          </w14:textFill>
        </w:rPr>
        <w:t>。设定人员职业资格评分的，应当按执业范围分别对应岗位需求设定，除个别有特殊需求的岗位外，原则上不得设定2个及以上资格。设定人员职称评分的，应当按职称等级设定合理级差评分，不得设定2个及以上职称专业，且不得限定特定的职称专业名称；除技术复杂、功能要求特殊的大型项目外，不得设定正高级职称评分；职称证书应为人力资源社会保障行政主管部门认可的职称证书。评标办法中主观评分标准原则上按照“优”“良”“一般”和“差或无”分别赋分100%、80%—99%、60%—79%和0分。</w:t>
      </w:r>
    </w:p>
    <w:p w14:paraId="1557C8D6">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遏制恶意低价竞争和异常高价陪标行为，在勘察、设计和监理招标中，试行对低于最高投标限价一定比例（由招标人结合项目实际确定，原则上不高于80%）或通过初步评审的所有投标人投标报价算术平均值一定比例（由招标人结合项目实际确定，原则上不高于90％）的投标报价，以及除投标报价以外的其他部分评分项得分不足相应部分总分一定比例（由招标人结合项目实际确定，原则上在50%—70%幅度中选择）的投标报价，不纳入评标基准价计算的“有效投标报价”的投标报价评审方式。各市（州）住房城乡建设行政主管部门可结合市场实际探索多元化的评标基准价确定方式。</w:t>
      </w:r>
    </w:p>
    <w:p w14:paraId="6F20FE48">
      <w:pPr>
        <w:ind w:firstLine="640" w:firstLineChars="200"/>
        <w:outlineLvl w:val="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四、改进评标机制方法</w:t>
      </w:r>
    </w:p>
    <w:p w14:paraId="563A8628">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推进网络远程异地评标常态化运行，电子招标投标项目原则上应当优先使用，由网络远程异地评标调度管理系统调度安排，实现评标专家资源跨区域共享。逐步推行“暗标盲评”，通过对投标人信息进行隐藏，统一编制格式并随机编码，向评标委员会成员随机推送投标文件，实现对主观评审部分的盲评，配套推行工位式分散评标，避免评标委员会成员之间发表倾向性、误导性和暗示性言论干扰评标，切实解决评“人情标”和评分畸高、畸低现象。被认定为不符合暗标格式要求的，评标委员会应当在评标报告中载明具体原因，招标人应当在评标结果公示的“否决投标依据”或“备注”中予以公示。</w:t>
      </w:r>
    </w:p>
    <w:p w14:paraId="34C7F258">
      <w:pPr>
        <w:numPr>
          <w:ilvl w:val="0"/>
          <w:numId w:val="0"/>
        </w:numPr>
        <w:ind w:left="0" w:leftChars="0" w:firstLine="640" w:firstLineChars="200"/>
        <w:outlineLvl w:val="0"/>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五、切实加强行政监督</w:t>
      </w:r>
    </w:p>
    <w:p w14:paraId="3AB845B5">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房屋建筑和市政工程招标投标活动应当依法接受各级住房城乡建设行政主管部门的监督。根据</w:t>
      </w:r>
      <w:r>
        <w:rPr>
          <w:rFonts w:hint="eastAsia" w:ascii="仿宋" w:hAnsi="仿宋" w:eastAsia="仿宋"/>
          <w:sz w:val="32"/>
          <w:szCs w:val="32"/>
        </w:rPr>
        <w:t>《四川省国家投资工程建设项目招标投标条例》第三十五条</w:t>
      </w:r>
      <w:r>
        <w:rPr>
          <w:rFonts w:hint="eastAsia" w:ascii="仿宋" w:hAnsi="仿宋" w:eastAsia="仿宋"/>
          <w:sz w:val="32"/>
          <w:szCs w:val="32"/>
          <w:lang w:val="en-US" w:eastAsia="zh-CN"/>
        </w:rPr>
        <w:t>和省级有关部门实施招标投标活动行政监督的职责分工规定，</w:t>
      </w:r>
      <w:r>
        <w:rPr>
          <w:rFonts w:hint="eastAsia" w:ascii="仿宋" w:hAnsi="仿宋" w:eastAsia="仿宋" w:cs="仿宋"/>
          <w:color w:val="000000" w:themeColor="text1"/>
          <w:sz w:val="32"/>
          <w:szCs w:val="32"/>
          <w:lang w:val="en-US" w:eastAsia="zh-CN"/>
          <w14:textFill>
            <w14:solidFill>
              <w14:schemeClr w14:val="tx1"/>
            </w14:solidFill>
          </w14:textFill>
        </w:rPr>
        <w:t>住房城乡建设厅负责</w:t>
      </w:r>
      <w:r>
        <w:rPr>
          <w:rFonts w:hint="eastAsia" w:ascii="仿宋" w:hAnsi="仿宋" w:eastAsia="仿宋"/>
          <w:sz w:val="32"/>
          <w:szCs w:val="32"/>
        </w:rPr>
        <w:t>国</w:t>
      </w:r>
      <w:r>
        <w:rPr>
          <w:rFonts w:hint="eastAsia" w:ascii="仿宋" w:hAnsi="仿宋" w:eastAsia="仿宋"/>
          <w:sz w:val="32"/>
          <w:szCs w:val="32"/>
          <w:lang w:val="en-US" w:eastAsia="zh-CN"/>
        </w:rPr>
        <w:t>家</w:t>
      </w:r>
      <w:r>
        <w:rPr>
          <w:rFonts w:hint="eastAsia" w:ascii="仿宋" w:hAnsi="仿宋" w:eastAsia="仿宋"/>
          <w:sz w:val="32"/>
          <w:szCs w:val="32"/>
        </w:rPr>
        <w:t>有关部门审批（核准、备案，下同）</w:t>
      </w:r>
      <w:r>
        <w:rPr>
          <w:rFonts w:hint="eastAsia" w:ascii="仿宋" w:hAnsi="仿宋" w:eastAsia="仿宋"/>
          <w:sz w:val="32"/>
          <w:szCs w:val="32"/>
          <w:lang w:val="en-US" w:eastAsia="zh-CN"/>
        </w:rPr>
        <w:t>项目和</w:t>
      </w:r>
      <w:r>
        <w:rPr>
          <w:rFonts w:hint="eastAsia" w:ascii="仿宋" w:hAnsi="仿宋" w:eastAsia="仿宋"/>
          <w:sz w:val="32"/>
          <w:szCs w:val="32"/>
        </w:rPr>
        <w:t>省投资主管部门审批项目</w:t>
      </w:r>
      <w:r>
        <w:rPr>
          <w:rFonts w:hint="eastAsia" w:ascii="仿宋" w:hAnsi="仿宋" w:eastAsia="仿宋"/>
          <w:sz w:val="32"/>
          <w:szCs w:val="32"/>
          <w:lang w:val="en-US" w:eastAsia="zh-CN"/>
        </w:rPr>
        <w:t>的行政监督，结合工作需要适时下放监督职责给</w:t>
      </w:r>
      <w:r>
        <w:rPr>
          <w:rFonts w:hint="eastAsia" w:ascii="仿宋" w:hAnsi="仿宋" w:eastAsia="仿宋" w:cs="仿宋"/>
          <w:color w:val="000000" w:themeColor="text1"/>
          <w:sz w:val="32"/>
          <w:szCs w:val="32"/>
          <w:lang w:val="en-US" w:eastAsia="zh-CN"/>
          <w14:textFill>
            <w14:solidFill>
              <w14:schemeClr w14:val="tx1"/>
            </w14:solidFill>
          </w14:textFill>
        </w:rPr>
        <w:t>市（州）住房城乡建设行政主管部门；市（州）、县（市、区）住房城乡建设行政主管部门分别负责</w:t>
      </w:r>
      <w:r>
        <w:rPr>
          <w:rFonts w:hint="eastAsia" w:ascii="仿宋" w:hAnsi="仿宋" w:eastAsia="仿宋"/>
          <w:sz w:val="32"/>
          <w:szCs w:val="32"/>
        </w:rPr>
        <w:t>市（州）</w:t>
      </w:r>
      <w:r>
        <w:rPr>
          <w:rFonts w:hint="eastAsia" w:ascii="仿宋" w:hAnsi="仿宋" w:eastAsia="仿宋"/>
          <w:sz w:val="32"/>
          <w:szCs w:val="32"/>
          <w:lang w:eastAsia="zh-CN"/>
        </w:rPr>
        <w:t>、</w:t>
      </w:r>
      <w:r>
        <w:rPr>
          <w:rFonts w:hint="eastAsia" w:ascii="仿宋" w:hAnsi="仿宋" w:eastAsia="仿宋"/>
          <w:sz w:val="32"/>
          <w:szCs w:val="32"/>
        </w:rPr>
        <w:t>县（市、区）投资主管部门审批项目</w:t>
      </w:r>
      <w:r>
        <w:rPr>
          <w:rFonts w:hint="eastAsia" w:ascii="仿宋" w:hAnsi="仿宋" w:eastAsia="仿宋"/>
          <w:sz w:val="32"/>
          <w:szCs w:val="32"/>
          <w:lang w:val="en-US" w:eastAsia="zh-CN"/>
        </w:rPr>
        <w:t>的行政监督。对监管边界模糊、职责存在争议的事项，提请本级发展改革部门协调后报本级人民政府明确。</w:t>
      </w:r>
    </w:p>
    <w:p w14:paraId="368F9ED5">
      <w:pPr>
        <w:numPr>
          <w:ilvl w:val="0"/>
          <w:numId w:val="0"/>
        </w:numPr>
        <w:ind w:firstLine="640" w:firstLineChars="200"/>
        <w:rPr>
          <w:rFonts w:hint="eastAsia" w:ascii="Times New Roman" w:hAnsi="仿宋" w:eastAsia="仿宋" w:cs="Times New Roman"/>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依法必须进行招标的项目，招标人在发布招标公告时，</w:t>
      </w:r>
      <w:r>
        <w:rPr>
          <w:rFonts w:hint="default" w:ascii="Times New Roman" w:hAnsi="仿宋" w:eastAsia="仿宋" w:cs="Times New Roman"/>
          <w:sz w:val="32"/>
          <w:szCs w:val="32"/>
        </w:rPr>
        <w:t>应</w:t>
      </w:r>
      <w:r>
        <w:rPr>
          <w:rFonts w:hint="eastAsia" w:ascii="Times New Roman" w:hAnsi="仿宋" w:eastAsia="仿宋" w:cs="Times New Roman"/>
          <w:sz w:val="32"/>
          <w:szCs w:val="32"/>
          <w:lang w:val="en-US" w:eastAsia="zh-CN"/>
        </w:rPr>
        <w:t>当</w:t>
      </w:r>
      <w:r>
        <w:rPr>
          <w:rFonts w:hint="default" w:ascii="Times New Roman" w:hAnsi="仿宋" w:eastAsia="仿宋" w:cs="Times New Roman"/>
          <w:sz w:val="32"/>
          <w:szCs w:val="32"/>
        </w:rPr>
        <w:t>在电子招标投标系统中，按照项目的招标投标活动监督权限，选择相应</w:t>
      </w:r>
      <w:r>
        <w:rPr>
          <w:rFonts w:hint="eastAsia" w:ascii="Times New Roman" w:hAnsi="仿宋" w:eastAsia="仿宋" w:cs="Times New Roman"/>
          <w:sz w:val="32"/>
          <w:szCs w:val="32"/>
          <w:lang w:val="en-US" w:eastAsia="zh-CN"/>
        </w:rPr>
        <w:t>层级的</w:t>
      </w:r>
      <w:r>
        <w:rPr>
          <w:rFonts w:hint="default" w:ascii="Times New Roman" w:hAnsi="仿宋" w:eastAsia="仿宋" w:cs="Times New Roman"/>
          <w:sz w:val="32"/>
          <w:szCs w:val="32"/>
        </w:rPr>
        <w:t>住房城乡建设行政主管部门为</w:t>
      </w:r>
      <w:r>
        <w:rPr>
          <w:rFonts w:hint="default" w:ascii="Times New Roman" w:hAnsi="Times New Roman" w:eastAsia="仿宋" w:cs="Times New Roman"/>
          <w:sz w:val="32"/>
          <w:szCs w:val="32"/>
        </w:rPr>
        <w:t>“</w:t>
      </w:r>
      <w:r>
        <w:rPr>
          <w:rFonts w:hint="default" w:ascii="Times New Roman" w:hAnsi="仿宋" w:eastAsia="仿宋" w:cs="Times New Roman"/>
          <w:sz w:val="32"/>
          <w:szCs w:val="32"/>
        </w:rPr>
        <w:t>行政监督部门</w:t>
      </w:r>
      <w:r>
        <w:rPr>
          <w:rFonts w:hint="default" w:ascii="Times New Roman" w:hAnsi="Times New Roman" w:eastAsia="仿宋" w:cs="Times New Roman"/>
          <w:sz w:val="32"/>
          <w:szCs w:val="32"/>
        </w:rPr>
        <w:t>”</w:t>
      </w:r>
      <w:r>
        <w:rPr>
          <w:rFonts w:hint="default" w:ascii="Times New Roman" w:hAnsi="仿宋" w:eastAsia="仿宋" w:cs="Times New Roman"/>
          <w:sz w:val="32"/>
          <w:szCs w:val="32"/>
        </w:rPr>
        <w:t>（</w:t>
      </w:r>
      <w:r>
        <w:rPr>
          <w:rFonts w:hint="default" w:ascii="Times New Roman" w:hAnsi="Times New Roman" w:eastAsia="仿宋" w:cs="Times New Roman"/>
          <w:sz w:val="32"/>
          <w:szCs w:val="32"/>
        </w:rPr>
        <w:t>“</w:t>
      </w:r>
      <w:r>
        <w:rPr>
          <w:rFonts w:hint="default" w:ascii="Times New Roman" w:hAnsi="仿宋" w:eastAsia="仿宋" w:cs="Times New Roman"/>
          <w:sz w:val="32"/>
          <w:szCs w:val="32"/>
        </w:rPr>
        <w:t>行业主管部门</w:t>
      </w:r>
      <w:r>
        <w:rPr>
          <w:rFonts w:hint="default" w:ascii="Times New Roman" w:hAnsi="Times New Roman" w:eastAsia="仿宋" w:cs="Times New Roman"/>
          <w:sz w:val="32"/>
          <w:szCs w:val="32"/>
        </w:rPr>
        <w:t>”</w:t>
      </w:r>
      <w:r>
        <w:rPr>
          <w:rFonts w:hint="default" w:ascii="Times New Roman" w:hAnsi="仿宋" w:eastAsia="仿宋" w:cs="Times New Roman"/>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由系统将招标文件推送至行政主管部门（未采用电子招标投标的，应当在发出招标文件的同时线下报送），避免招标环节脱离行政监督。</w:t>
      </w:r>
      <w:r>
        <w:rPr>
          <w:rFonts w:hint="eastAsia" w:ascii="仿宋" w:hAnsi="仿宋" w:eastAsia="仿宋" w:cs="仿宋"/>
          <w:sz w:val="32"/>
          <w:szCs w:val="32"/>
        </w:rPr>
        <w:t>住房城乡建设行政主管部门应</w:t>
      </w:r>
      <w:r>
        <w:rPr>
          <w:rFonts w:hint="eastAsia" w:ascii="仿宋" w:hAnsi="仿宋" w:eastAsia="仿宋" w:cs="仿宋"/>
          <w:sz w:val="32"/>
          <w:szCs w:val="32"/>
          <w:lang w:val="en-US" w:eastAsia="zh-CN"/>
        </w:rPr>
        <w:t>当</w:t>
      </w:r>
      <w:r>
        <w:rPr>
          <w:rFonts w:hint="eastAsia" w:ascii="仿宋" w:hAnsi="仿宋" w:eastAsia="仿宋" w:cs="仿宋"/>
          <w:sz w:val="32"/>
          <w:szCs w:val="32"/>
        </w:rPr>
        <w:t>自招标文件发出后</w:t>
      </w:r>
      <w:r>
        <w:rPr>
          <w:rFonts w:hint="eastAsia" w:ascii="仿宋" w:hAnsi="仿宋" w:eastAsia="仿宋" w:cs="仿宋"/>
          <w:sz w:val="32"/>
          <w:szCs w:val="32"/>
          <w:lang w:val="en-US" w:eastAsia="zh-CN"/>
        </w:rPr>
        <w:t>5</w:t>
      </w:r>
      <w:r>
        <w:rPr>
          <w:rFonts w:hint="eastAsia" w:ascii="仿宋" w:hAnsi="仿宋" w:eastAsia="仿宋" w:cs="仿宋"/>
          <w:sz w:val="32"/>
          <w:szCs w:val="32"/>
        </w:rPr>
        <w:t>个工</w:t>
      </w:r>
      <w:r>
        <w:rPr>
          <w:rFonts w:hint="default" w:ascii="Times New Roman" w:hAnsi="仿宋" w:eastAsia="仿宋" w:cs="Times New Roman"/>
          <w:sz w:val="32"/>
          <w:szCs w:val="32"/>
        </w:rPr>
        <w:t>作日内，对招标文件进行监督检查。在监督检查中发现招标文件存在违法违规情形的，依法向招标人发出招标监督意见责令改正，对招标文件不科学合理，可能造成投标竞争不足的内容，可以向招标人提出监督建议</w:t>
      </w:r>
      <w:r>
        <w:rPr>
          <w:rFonts w:hint="eastAsia" w:ascii="Times New Roman" w:hAnsi="仿宋" w:eastAsia="仿宋" w:cs="Times New Roman"/>
          <w:sz w:val="32"/>
          <w:szCs w:val="32"/>
          <w:lang w:eastAsia="zh-CN"/>
        </w:rPr>
        <w:t>。</w:t>
      </w:r>
    </w:p>
    <w:p w14:paraId="572BA0F4">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rPr>
        <w:t>依法必须进行招标的项目，招标人</w:t>
      </w:r>
      <w:r>
        <w:rPr>
          <w:rFonts w:hint="eastAsia" w:ascii="仿宋" w:hAnsi="仿宋" w:eastAsia="仿宋"/>
          <w:sz w:val="32"/>
          <w:szCs w:val="32"/>
          <w:lang w:eastAsia="zh-CN"/>
        </w:rPr>
        <w:t>应</w:t>
      </w:r>
      <w:r>
        <w:rPr>
          <w:rFonts w:hint="eastAsia" w:ascii="仿宋" w:hAnsi="仿宋" w:eastAsia="仿宋"/>
          <w:sz w:val="32"/>
          <w:szCs w:val="32"/>
          <w:lang w:val="en-US" w:eastAsia="zh-CN"/>
        </w:rPr>
        <w:t>当</w:t>
      </w:r>
      <w:r>
        <w:rPr>
          <w:rFonts w:hint="eastAsia" w:ascii="仿宋" w:hAnsi="仿宋" w:eastAsia="仿宋"/>
          <w:sz w:val="32"/>
          <w:szCs w:val="32"/>
        </w:rPr>
        <w:t>自确定中标人之日起</w:t>
      </w:r>
      <w:r>
        <w:rPr>
          <w:rFonts w:hint="eastAsia" w:ascii="仿宋" w:hAnsi="仿宋" w:eastAsia="仿宋"/>
          <w:sz w:val="32"/>
          <w:szCs w:val="32"/>
          <w:lang w:val="en-US" w:eastAsia="zh-CN"/>
        </w:rPr>
        <w:t>15</w:t>
      </w:r>
      <w:r>
        <w:rPr>
          <w:rFonts w:hint="eastAsia" w:ascii="仿宋" w:hAnsi="仿宋" w:eastAsia="仿宋"/>
          <w:sz w:val="32"/>
          <w:szCs w:val="32"/>
        </w:rPr>
        <w:t>日内，向相应的住房城乡建设行政主管部门提交</w:t>
      </w:r>
      <w:r>
        <w:rPr>
          <w:rFonts w:hint="eastAsia" w:ascii="仿宋" w:hAnsi="仿宋" w:eastAsia="仿宋"/>
          <w:sz w:val="32"/>
          <w:szCs w:val="32"/>
          <w:lang w:val="en-US" w:eastAsia="zh-CN"/>
        </w:rPr>
        <w:t>招标投标情况书面报告</w:t>
      </w:r>
      <w:r>
        <w:rPr>
          <w:rFonts w:hint="eastAsia" w:ascii="仿宋" w:hAnsi="仿宋" w:eastAsia="仿宋"/>
          <w:sz w:val="32"/>
          <w:szCs w:val="32"/>
        </w:rPr>
        <w:t>（以下简称“书面报告”）。住房城乡建设行政主管部门应</w:t>
      </w:r>
      <w:r>
        <w:rPr>
          <w:rFonts w:hint="eastAsia" w:ascii="仿宋" w:hAnsi="仿宋" w:eastAsia="仿宋"/>
          <w:sz w:val="32"/>
          <w:szCs w:val="32"/>
          <w:lang w:val="en-US" w:eastAsia="zh-CN"/>
        </w:rPr>
        <w:t>当自收到书面报告后</w:t>
      </w:r>
      <w:r>
        <w:rPr>
          <w:rFonts w:hint="eastAsia" w:ascii="仿宋" w:hAnsi="仿宋" w:eastAsia="仿宋"/>
          <w:sz w:val="32"/>
          <w:szCs w:val="32"/>
        </w:rPr>
        <w:t>5日内（最后1日为节假日时顺延至</w:t>
      </w:r>
      <w:r>
        <w:rPr>
          <w:rFonts w:hint="eastAsia" w:ascii="仿宋" w:hAnsi="仿宋" w:eastAsia="仿宋"/>
          <w:sz w:val="32"/>
          <w:szCs w:val="32"/>
          <w:lang w:val="en-US" w:eastAsia="zh-CN"/>
        </w:rPr>
        <w:t>下一个</w:t>
      </w:r>
      <w:r>
        <w:rPr>
          <w:rFonts w:hint="eastAsia" w:ascii="仿宋" w:hAnsi="仿宋" w:eastAsia="仿宋"/>
          <w:sz w:val="32"/>
          <w:szCs w:val="32"/>
        </w:rPr>
        <w:t>工作日）进行</w:t>
      </w:r>
      <w:r>
        <w:rPr>
          <w:rFonts w:hint="eastAsia" w:ascii="仿宋" w:hAnsi="仿宋" w:eastAsia="仿宋"/>
          <w:sz w:val="32"/>
          <w:szCs w:val="32"/>
          <w:lang w:val="en-US" w:eastAsia="zh-CN"/>
        </w:rPr>
        <w:t>监督</w:t>
      </w:r>
      <w:r>
        <w:rPr>
          <w:rFonts w:hint="eastAsia" w:ascii="仿宋" w:hAnsi="仿宋" w:eastAsia="仿宋"/>
          <w:sz w:val="32"/>
          <w:szCs w:val="32"/>
        </w:rPr>
        <w:t>检查。书面报告内容不完备的</w:t>
      </w:r>
      <w:r>
        <w:rPr>
          <w:rFonts w:hint="eastAsia" w:ascii="仿宋" w:hAnsi="仿宋" w:eastAsia="仿宋"/>
          <w:sz w:val="32"/>
          <w:szCs w:val="32"/>
          <w:lang w:eastAsia="zh-CN"/>
        </w:rPr>
        <w:t>，</w:t>
      </w:r>
      <w:r>
        <w:rPr>
          <w:rFonts w:hint="eastAsia" w:ascii="仿宋" w:hAnsi="仿宋" w:eastAsia="仿宋"/>
          <w:sz w:val="32"/>
          <w:szCs w:val="32"/>
          <w:lang w:val="en-US" w:eastAsia="zh-CN"/>
        </w:rPr>
        <w:t>一次性告知</w:t>
      </w:r>
      <w:r>
        <w:rPr>
          <w:rFonts w:hint="eastAsia" w:ascii="仿宋" w:hAnsi="仿宋" w:eastAsia="仿宋"/>
          <w:sz w:val="32"/>
          <w:szCs w:val="32"/>
        </w:rPr>
        <w:t>补正相应材料后重新提交</w:t>
      </w:r>
      <w:r>
        <w:rPr>
          <w:rFonts w:hint="eastAsia" w:ascii="仿宋" w:hAnsi="仿宋" w:eastAsia="仿宋"/>
          <w:sz w:val="32"/>
          <w:szCs w:val="32"/>
          <w:lang w:eastAsia="zh-CN"/>
        </w:rPr>
        <w:t>；</w:t>
      </w:r>
      <w:r>
        <w:rPr>
          <w:rFonts w:hint="eastAsia" w:ascii="仿宋" w:hAnsi="仿宋" w:eastAsia="仿宋"/>
          <w:sz w:val="32"/>
          <w:szCs w:val="32"/>
        </w:rPr>
        <w:t>发现招标投标活动存在违法违规行为的，向招标人发出招标监督意见，招标人依法开展后续工作后重新提交</w:t>
      </w:r>
      <w:r>
        <w:rPr>
          <w:rFonts w:hint="eastAsia" w:ascii="仿宋" w:hAnsi="仿宋" w:eastAsia="仿宋"/>
          <w:sz w:val="32"/>
          <w:szCs w:val="32"/>
          <w:lang w:eastAsia="zh-CN"/>
        </w:rPr>
        <w:t>；</w:t>
      </w:r>
      <w:r>
        <w:rPr>
          <w:rFonts w:hint="eastAsia" w:ascii="仿宋" w:hAnsi="仿宋" w:eastAsia="仿宋"/>
          <w:sz w:val="32"/>
          <w:szCs w:val="32"/>
        </w:rPr>
        <w:t>书面报告内容完备，未发现招标投标活动存在违法违规行为的，向招标人</w:t>
      </w:r>
      <w:r>
        <w:rPr>
          <w:rFonts w:hint="eastAsia" w:ascii="仿宋" w:hAnsi="仿宋" w:eastAsia="仿宋"/>
          <w:sz w:val="32"/>
          <w:szCs w:val="32"/>
          <w:lang w:val="en-US" w:eastAsia="zh-CN"/>
        </w:rPr>
        <w:t>出具</w:t>
      </w:r>
      <w:r>
        <w:rPr>
          <w:rFonts w:hint="eastAsia" w:ascii="仿宋" w:hAnsi="仿宋" w:eastAsia="仿宋"/>
          <w:sz w:val="32"/>
          <w:szCs w:val="32"/>
        </w:rPr>
        <w:t>收讫回执</w:t>
      </w:r>
      <w:r>
        <w:rPr>
          <w:rFonts w:hint="eastAsia" w:ascii="仿宋" w:hAnsi="仿宋" w:eastAsia="仿宋"/>
          <w:sz w:val="32"/>
          <w:szCs w:val="32"/>
          <w:lang w:eastAsia="zh-CN"/>
        </w:rPr>
        <w:t>。</w:t>
      </w:r>
    </w:p>
    <w:p w14:paraId="7200693E">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住房城乡建设行政主管部门在</w:t>
      </w:r>
      <w:r>
        <w:rPr>
          <w:rFonts w:hint="eastAsia" w:ascii="仿宋" w:hAnsi="仿宋" w:eastAsia="仿宋"/>
          <w:sz w:val="32"/>
          <w:szCs w:val="32"/>
          <w:lang w:val="en-US" w:eastAsia="zh-CN"/>
        </w:rPr>
        <w:t>监督过程</w:t>
      </w:r>
      <w:r>
        <w:rPr>
          <w:rFonts w:hint="eastAsia" w:ascii="仿宋" w:hAnsi="仿宋" w:eastAsia="仿宋"/>
          <w:sz w:val="32"/>
          <w:szCs w:val="32"/>
        </w:rPr>
        <w:t>中，发现招标代理机构存在</w:t>
      </w:r>
      <w:r>
        <w:rPr>
          <w:rFonts w:hint="eastAsia" w:ascii="仿宋" w:hAnsi="仿宋" w:eastAsia="仿宋"/>
          <w:sz w:val="32"/>
          <w:szCs w:val="32"/>
          <w:lang w:val="en-US" w:eastAsia="zh-CN"/>
        </w:rPr>
        <w:t>负面</w:t>
      </w:r>
      <w:r>
        <w:rPr>
          <w:rFonts w:hint="eastAsia" w:ascii="仿宋" w:hAnsi="仿宋" w:eastAsia="仿宋"/>
          <w:sz w:val="32"/>
          <w:szCs w:val="32"/>
        </w:rPr>
        <w:t>行为的，应</w:t>
      </w:r>
      <w:r>
        <w:rPr>
          <w:rFonts w:hint="eastAsia" w:ascii="仿宋" w:hAnsi="仿宋" w:eastAsia="仿宋"/>
          <w:sz w:val="32"/>
          <w:szCs w:val="32"/>
          <w:lang w:val="en-US" w:eastAsia="zh-CN"/>
        </w:rPr>
        <w:t>当</w:t>
      </w:r>
      <w:r>
        <w:rPr>
          <w:rFonts w:hint="eastAsia" w:ascii="仿宋" w:hAnsi="仿宋" w:eastAsia="仿宋"/>
          <w:sz w:val="32"/>
          <w:szCs w:val="32"/>
        </w:rPr>
        <w:t>按照《四川省工程建设项目招标代理机构及项目负责人信用记录管理办法》作出</w:t>
      </w:r>
      <w:r>
        <w:rPr>
          <w:rFonts w:hint="eastAsia" w:ascii="仿宋" w:hAnsi="仿宋" w:eastAsia="仿宋"/>
          <w:sz w:val="32"/>
          <w:szCs w:val="32"/>
          <w:lang w:val="en-US" w:eastAsia="zh-CN"/>
        </w:rPr>
        <w:t>负面</w:t>
      </w:r>
      <w:r>
        <w:rPr>
          <w:rFonts w:hint="eastAsia" w:ascii="仿宋" w:hAnsi="仿宋" w:eastAsia="仿宋"/>
          <w:sz w:val="32"/>
          <w:szCs w:val="32"/>
        </w:rPr>
        <w:t>行为记录</w:t>
      </w:r>
      <w:r>
        <w:rPr>
          <w:rFonts w:hint="eastAsia" w:ascii="仿宋" w:hAnsi="仿宋" w:eastAsia="仿宋"/>
          <w:sz w:val="32"/>
          <w:szCs w:val="32"/>
          <w:lang w:eastAsia="zh-CN"/>
        </w:rPr>
        <w:t>。</w:t>
      </w:r>
      <w:r>
        <w:rPr>
          <w:rFonts w:hint="eastAsia" w:ascii="仿宋" w:hAnsi="仿宋" w:eastAsia="仿宋"/>
          <w:sz w:val="32"/>
          <w:szCs w:val="32"/>
          <w:lang w:val="en-US" w:eastAsia="zh-CN"/>
        </w:rPr>
        <w:t>招标投标活动主体的</w:t>
      </w:r>
      <w:r>
        <w:rPr>
          <w:rFonts w:hint="eastAsia" w:ascii="仿宋" w:hAnsi="仿宋" w:eastAsia="仿宋"/>
          <w:sz w:val="32"/>
          <w:szCs w:val="32"/>
        </w:rPr>
        <w:t>违法违规行为构成行政处罚情形的，应</w:t>
      </w:r>
      <w:r>
        <w:rPr>
          <w:rFonts w:hint="eastAsia" w:ascii="仿宋" w:hAnsi="仿宋" w:eastAsia="仿宋"/>
          <w:sz w:val="32"/>
          <w:szCs w:val="32"/>
          <w:lang w:val="en-US" w:eastAsia="zh-CN"/>
        </w:rPr>
        <w:t>当</w:t>
      </w:r>
      <w:r>
        <w:rPr>
          <w:rFonts w:hint="eastAsia" w:ascii="仿宋" w:hAnsi="仿宋" w:eastAsia="仿宋"/>
          <w:sz w:val="32"/>
          <w:szCs w:val="32"/>
        </w:rPr>
        <w:t>依法作出行政处罚或者移送有权作出行政处罚的有关行政主管部门。</w:t>
      </w:r>
    </w:p>
    <w:p w14:paraId="4918D61B">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各级</w:t>
      </w:r>
      <w:r>
        <w:rPr>
          <w:rFonts w:hint="eastAsia" w:ascii="仿宋" w:hAnsi="仿宋" w:eastAsia="仿宋"/>
          <w:sz w:val="32"/>
          <w:szCs w:val="32"/>
        </w:rPr>
        <w:t>住房城乡建设行政主管部门</w:t>
      </w:r>
      <w:r>
        <w:rPr>
          <w:rFonts w:hint="eastAsia" w:ascii="仿宋" w:hAnsi="仿宋" w:eastAsia="仿宋"/>
          <w:sz w:val="32"/>
          <w:szCs w:val="32"/>
          <w:lang w:val="en-US" w:eastAsia="zh-CN"/>
        </w:rPr>
        <w:t>应当建立监督工作台账，实现招标监督意见发出、反馈、改正等的闭环管理。鼓励各地通过上级督查、同级互查、专家评议、行业问卷等方式，每年至少开展一次监督成效评估，及时发现监督工作中存在的问题，促进监督工作规范化。</w:t>
      </w:r>
    </w:p>
    <w:p w14:paraId="611D6E03">
      <w:pPr>
        <w:numPr>
          <w:ilvl w:val="0"/>
          <w:numId w:val="0"/>
        </w:numPr>
        <w:ind w:left="0" w:leftChars="0"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六、推进实施标后监管</w:t>
      </w:r>
    </w:p>
    <w:p w14:paraId="5F67CC57">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开展招标投标与施工许可、质量安全、竣工验收等联动监管，实现招标投标市场与履约现场的“两场联动”，强化招标投标成果落实。</w:t>
      </w:r>
      <w:r>
        <w:rPr>
          <w:rFonts w:hint="default" w:ascii="仿宋" w:hAnsi="仿宋" w:eastAsia="仿宋"/>
          <w:sz w:val="32"/>
          <w:szCs w:val="32"/>
          <w:lang w:val="en-US" w:eastAsia="zh-CN"/>
        </w:rPr>
        <w:t>招标人和中标人</w:t>
      </w:r>
      <w:r>
        <w:rPr>
          <w:rFonts w:hint="eastAsia" w:ascii="仿宋" w:hAnsi="仿宋" w:eastAsia="仿宋"/>
          <w:sz w:val="32"/>
          <w:szCs w:val="32"/>
          <w:lang w:val="en-US" w:eastAsia="zh-CN"/>
        </w:rPr>
        <w:t>应当</w:t>
      </w:r>
      <w:r>
        <w:rPr>
          <w:rFonts w:hint="default" w:ascii="仿宋" w:hAnsi="仿宋" w:eastAsia="仿宋"/>
          <w:sz w:val="32"/>
          <w:szCs w:val="32"/>
          <w:lang w:val="en-US" w:eastAsia="zh-CN"/>
        </w:rPr>
        <w:t>按照招标文件和中标人的投标文件订立书面合同</w:t>
      </w:r>
      <w:r>
        <w:rPr>
          <w:rFonts w:hint="eastAsia" w:ascii="仿宋" w:hAnsi="仿宋" w:eastAsia="仿宋"/>
          <w:sz w:val="32"/>
          <w:szCs w:val="32"/>
          <w:lang w:val="en-US" w:eastAsia="zh-CN"/>
        </w:rPr>
        <w:t>，合同的标的、价款、质量、履行期限等主要条款应与招标文件和中标人的投标文件的内容一致，不得再行订立背离合同实质性内容的其他协议</w:t>
      </w:r>
      <w:r>
        <w:rPr>
          <w:rFonts w:hint="default" w:ascii="仿宋" w:hAnsi="仿宋" w:eastAsia="仿宋"/>
          <w:sz w:val="32"/>
          <w:szCs w:val="32"/>
          <w:lang w:val="en-US" w:eastAsia="zh-CN"/>
        </w:rPr>
        <w:t>。</w:t>
      </w:r>
      <w:r>
        <w:rPr>
          <w:rFonts w:hint="eastAsia" w:ascii="仿宋" w:hAnsi="仿宋" w:eastAsia="仿宋"/>
          <w:sz w:val="32"/>
          <w:szCs w:val="32"/>
          <w:lang w:val="en-US" w:eastAsia="zh-CN"/>
        </w:rPr>
        <w:t>合同订立前，中标人不得变更投标文件中的拟派项目主要管理人员，否则属于不按规定订立合同。合同履行期间，项目主要管理人员应保持相对稳定并按合同约定及相关规定到岗履职，因特殊情形需要变更的，应当与建设单位履行书面变更手续，且变更后人员的条件不得低于变更前资格、职称、业绩等条件。通过常态化监督和专项整治，严厉查处转包、违法分包等行为。</w:t>
      </w:r>
    </w:p>
    <w:p w14:paraId="630E8278">
      <w:pPr>
        <w:numPr>
          <w:ilvl w:val="0"/>
          <w:numId w:val="0"/>
        </w:numPr>
        <w:ind w:left="0" w:leftChars="0"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七、畅通异议投诉渠道</w:t>
      </w:r>
    </w:p>
    <w:p w14:paraId="2C779D83">
      <w:pPr>
        <w:ind w:firstLine="645"/>
        <w:rPr>
          <w:rFonts w:ascii="Times New Roman" w:hAnsi="Times New Roman" w:eastAsia="仿宋" w:cs="Times New Roman"/>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招标公告和评标结果公示中应当载明受理异议的联系人和联系方式以及招标投标行政监督部门。招标人应在法定时限内答复和处理异议，不得故意拖延、敷衍，无故回避实质性答复，或者在作出答复前继续进行招标投标活动。</w:t>
      </w:r>
      <w:r>
        <w:rPr>
          <w:rFonts w:hint="default" w:ascii="Times New Roman" w:hAnsi="仿宋" w:eastAsia="仿宋" w:cs="Times New Roman"/>
          <w:sz w:val="32"/>
          <w:szCs w:val="32"/>
        </w:rPr>
        <w:t>各级住房城乡建设行政主管部门</w:t>
      </w:r>
      <w:r>
        <w:rPr>
          <w:rFonts w:hint="eastAsia" w:ascii="Times New Roman" w:hAnsi="仿宋" w:eastAsia="仿宋" w:cs="Times New Roman"/>
          <w:sz w:val="32"/>
          <w:szCs w:val="32"/>
          <w:lang w:val="en-US" w:eastAsia="zh-CN"/>
        </w:rPr>
        <w:t>应当</w:t>
      </w:r>
      <w:r>
        <w:rPr>
          <w:rFonts w:hint="default" w:ascii="Times New Roman" w:hAnsi="仿宋" w:eastAsia="仿宋" w:cs="Times New Roman"/>
          <w:sz w:val="32"/>
          <w:szCs w:val="32"/>
        </w:rPr>
        <w:t>依法</w:t>
      </w:r>
      <w:r>
        <w:rPr>
          <w:rFonts w:hint="eastAsia" w:ascii="Times New Roman" w:hAnsi="仿宋" w:eastAsia="仿宋" w:cs="Times New Roman"/>
          <w:sz w:val="32"/>
          <w:szCs w:val="32"/>
          <w:lang w:val="en-US" w:eastAsia="zh-CN"/>
        </w:rPr>
        <w:t>受理</w:t>
      </w:r>
      <w:r>
        <w:rPr>
          <w:rFonts w:hint="default" w:ascii="Times New Roman" w:hAnsi="仿宋" w:eastAsia="仿宋" w:cs="Times New Roman"/>
          <w:sz w:val="32"/>
          <w:szCs w:val="32"/>
        </w:rPr>
        <w:t>处理投诉，</w:t>
      </w:r>
      <w:r>
        <w:rPr>
          <w:rFonts w:hint="eastAsia" w:ascii="Times New Roman" w:hAnsi="仿宋" w:eastAsia="仿宋" w:cs="Times New Roman"/>
          <w:sz w:val="32"/>
          <w:szCs w:val="32"/>
          <w:lang w:val="en-US" w:eastAsia="zh-CN"/>
        </w:rPr>
        <w:t>不属于本部门职责范围的，原则上要告知投诉人应当提交的部门；鼓励在将投诉处理结果反馈当事人的同时向社会公开，接受社会监督；建立</w:t>
      </w:r>
      <w:r>
        <w:rPr>
          <w:rFonts w:hint="eastAsia" w:ascii="Times New Roman" w:hAnsi="仿宋" w:eastAsia="仿宋" w:cs="Times New Roman"/>
          <w:sz w:val="32"/>
          <w:szCs w:val="32"/>
          <w:lang w:eastAsia="zh-CN"/>
        </w:rPr>
        <w:t>投诉举报案件</w:t>
      </w:r>
      <w:r>
        <w:rPr>
          <w:rFonts w:hint="eastAsia" w:ascii="Times New Roman" w:hAnsi="仿宋" w:eastAsia="仿宋" w:cs="Times New Roman"/>
          <w:sz w:val="32"/>
          <w:szCs w:val="32"/>
          <w:lang w:val="en-US" w:eastAsia="zh-CN"/>
        </w:rPr>
        <w:t>台账，开展</w:t>
      </w:r>
      <w:r>
        <w:rPr>
          <w:rFonts w:hint="eastAsia" w:ascii="Times New Roman" w:hAnsi="仿宋" w:eastAsia="仿宋" w:cs="Times New Roman"/>
          <w:sz w:val="32"/>
          <w:szCs w:val="32"/>
          <w:lang w:eastAsia="zh-CN"/>
        </w:rPr>
        <w:t>定期统计分析，</w:t>
      </w:r>
      <w:r>
        <w:rPr>
          <w:rFonts w:hint="eastAsia" w:ascii="Times New Roman" w:hAnsi="仿宋" w:eastAsia="仿宋" w:cs="Times New Roman"/>
          <w:sz w:val="32"/>
          <w:szCs w:val="32"/>
          <w:lang w:val="en-US" w:eastAsia="zh-CN"/>
        </w:rPr>
        <w:t>聚焦</w:t>
      </w:r>
      <w:r>
        <w:rPr>
          <w:rFonts w:hint="eastAsia" w:ascii="Times New Roman" w:hAnsi="仿宋" w:eastAsia="仿宋" w:cs="Times New Roman"/>
          <w:sz w:val="32"/>
          <w:szCs w:val="32"/>
          <w:lang w:eastAsia="zh-CN"/>
        </w:rPr>
        <w:t>突出问题，</w:t>
      </w:r>
      <w:r>
        <w:rPr>
          <w:rFonts w:hint="eastAsia" w:ascii="Times New Roman" w:hAnsi="仿宋" w:eastAsia="仿宋" w:cs="Times New Roman"/>
          <w:sz w:val="32"/>
          <w:szCs w:val="32"/>
          <w:lang w:val="en-US" w:eastAsia="zh-CN"/>
        </w:rPr>
        <w:t>纳入专项整治</w:t>
      </w:r>
      <w:r>
        <w:rPr>
          <w:rFonts w:hint="eastAsia" w:ascii="Times New Roman" w:hAnsi="仿宋" w:eastAsia="仿宋" w:cs="Times New Roman"/>
          <w:sz w:val="32"/>
          <w:szCs w:val="32"/>
          <w:lang w:eastAsia="zh-CN"/>
        </w:rPr>
        <w:t>。</w:t>
      </w:r>
      <w:r>
        <w:rPr>
          <w:rFonts w:hint="default" w:ascii="Times New Roman" w:hAnsi="仿宋" w:eastAsia="仿宋" w:cs="Times New Roman"/>
          <w:sz w:val="32"/>
          <w:szCs w:val="32"/>
        </w:rPr>
        <w:t>严格执行《四川省领导干部违规插手干预重大事项记录和报告办法（试行）》，</w:t>
      </w:r>
      <w:r>
        <w:rPr>
          <w:rFonts w:hint="eastAsia" w:ascii="Times New Roman" w:hAnsi="仿宋" w:eastAsia="仿宋" w:cs="Times New Roman"/>
          <w:sz w:val="32"/>
          <w:szCs w:val="32"/>
          <w:lang w:val="en-US" w:eastAsia="zh-CN"/>
        </w:rPr>
        <w:t>坚决</w:t>
      </w:r>
      <w:r>
        <w:rPr>
          <w:rFonts w:hint="default" w:ascii="Times New Roman" w:hAnsi="仿宋" w:eastAsia="仿宋" w:cs="Times New Roman"/>
          <w:sz w:val="32"/>
          <w:szCs w:val="32"/>
        </w:rPr>
        <w:t>抵制领导干部和其他国家机关工作人员违规插手</w:t>
      </w:r>
      <w:r>
        <w:rPr>
          <w:rFonts w:hint="eastAsia" w:ascii="Times New Roman" w:hAnsi="仿宋" w:eastAsia="仿宋" w:cs="Times New Roman"/>
          <w:sz w:val="32"/>
          <w:szCs w:val="32"/>
          <w:lang w:val="en-US" w:eastAsia="zh-CN"/>
        </w:rPr>
        <w:t>干预</w:t>
      </w:r>
      <w:r>
        <w:rPr>
          <w:rFonts w:hint="default" w:ascii="Times New Roman" w:hAnsi="仿宋" w:eastAsia="仿宋" w:cs="Times New Roman"/>
          <w:sz w:val="32"/>
          <w:szCs w:val="32"/>
        </w:rPr>
        <w:t>招</w:t>
      </w:r>
      <w:r>
        <w:rPr>
          <w:rFonts w:hint="eastAsia" w:ascii="Times New Roman" w:hAnsi="仿宋" w:eastAsia="仿宋" w:cs="Times New Roman"/>
          <w:sz w:val="32"/>
          <w:szCs w:val="32"/>
          <w:lang w:val="en-US" w:eastAsia="zh-CN"/>
        </w:rPr>
        <w:t>标</w:t>
      </w:r>
      <w:r>
        <w:rPr>
          <w:rFonts w:hint="default" w:ascii="Times New Roman" w:hAnsi="仿宋" w:eastAsia="仿宋" w:cs="Times New Roman"/>
          <w:sz w:val="32"/>
          <w:szCs w:val="32"/>
        </w:rPr>
        <w:t>投标行为。</w:t>
      </w:r>
    </w:p>
    <w:p w14:paraId="79A9AE63">
      <w:pPr>
        <w:ind w:firstLine="640" w:firstLineChars="200"/>
        <w:rPr>
          <w:rFonts w:hint="eastAsia" w:ascii="Times New Roman" w:hAnsi="仿宋" w:eastAsia="仿宋" w:cs="Times New Roman"/>
          <w:sz w:val="32"/>
          <w:szCs w:val="32"/>
          <w:lang w:val="en-US" w:eastAsia="zh-CN"/>
        </w:rPr>
      </w:pPr>
      <w:r>
        <w:rPr>
          <w:rFonts w:hint="default" w:ascii="Times New Roman" w:hAnsi="仿宋" w:eastAsia="仿宋" w:cs="Times New Roman"/>
          <w:sz w:val="32"/>
          <w:szCs w:val="32"/>
        </w:rPr>
        <w:t>本通知自</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6</w:t>
      </w:r>
      <w:r>
        <w:rPr>
          <w:rFonts w:hint="default" w:ascii="Times New Roman" w:hAnsi="仿宋" w:eastAsia="仿宋" w:cs="Times New Roman"/>
          <w:sz w:val="32"/>
          <w:szCs w:val="32"/>
        </w:rPr>
        <w:t>年</w:t>
      </w:r>
      <w:r>
        <w:rPr>
          <w:rFonts w:hint="default" w:ascii="Times New Roman" w:hAnsi="Times New Roman" w:eastAsia="仿宋" w:cs="Times New Roman"/>
          <w:sz w:val="32"/>
          <w:szCs w:val="32"/>
        </w:rPr>
        <w:t>1</w:t>
      </w:r>
      <w:r>
        <w:rPr>
          <w:rFonts w:hint="default" w:ascii="Times New Roman" w:hAnsi="仿宋" w:eastAsia="仿宋" w:cs="Times New Roman"/>
          <w:sz w:val="32"/>
          <w:szCs w:val="32"/>
        </w:rPr>
        <w:t>月</w:t>
      </w:r>
      <w:r>
        <w:rPr>
          <w:rFonts w:hint="default" w:ascii="Times New Roman" w:hAnsi="Times New Roman" w:eastAsia="仿宋" w:cs="Times New Roman"/>
          <w:sz w:val="32"/>
          <w:szCs w:val="32"/>
        </w:rPr>
        <w:t>1</w:t>
      </w:r>
      <w:r>
        <w:rPr>
          <w:rFonts w:hint="default" w:ascii="Times New Roman" w:hAnsi="仿宋" w:eastAsia="仿宋" w:cs="Times New Roman"/>
          <w:sz w:val="32"/>
          <w:szCs w:val="32"/>
        </w:rPr>
        <w:t>日起施行，有效期</w:t>
      </w:r>
      <w:r>
        <w:rPr>
          <w:rFonts w:hint="default" w:ascii="Times New Roman" w:hAnsi="Times New Roman" w:eastAsia="仿宋" w:cs="Times New Roman"/>
          <w:sz w:val="32"/>
          <w:szCs w:val="32"/>
        </w:rPr>
        <w:t>5</w:t>
      </w:r>
      <w:r>
        <w:rPr>
          <w:rFonts w:hint="default" w:ascii="Times New Roman" w:hAnsi="仿宋" w:eastAsia="仿宋" w:cs="Times New Roman"/>
          <w:sz w:val="32"/>
          <w:szCs w:val="32"/>
        </w:rPr>
        <w:t>年。</w:t>
      </w:r>
      <w:r>
        <w:rPr>
          <w:rFonts w:hint="eastAsia" w:ascii="Times New Roman" w:hAnsi="仿宋" w:eastAsia="仿宋" w:cs="Times New Roman"/>
          <w:sz w:val="32"/>
          <w:szCs w:val="32"/>
          <w:lang w:val="en-US" w:eastAsia="zh-CN"/>
        </w:rPr>
        <w:t>原《四川省住房和城乡建设厅关于办理房屋建筑和市政工程招标投标情况书面报告有关事项的通知》（川建行规〔2020〕6号）和《四川省住房和城乡建设厅关于加强房屋建筑和市政工程招标文件监督工作的通知》（川建行规〔2020〕10 号）同时废止。</w:t>
      </w:r>
    </w:p>
    <w:p w14:paraId="0AE3AC05">
      <w:pPr>
        <w:ind w:firstLine="640" w:firstLineChars="200"/>
        <w:rPr>
          <w:rFonts w:hint="eastAsia" w:ascii="Times New Roman" w:hAnsi="仿宋" w:eastAsia="仿宋" w:cs="Times New Roman"/>
          <w:sz w:val="32"/>
          <w:szCs w:val="32"/>
          <w:lang w:val="en-US" w:eastAsia="zh-CN"/>
        </w:rPr>
      </w:pPr>
    </w:p>
    <w:p w14:paraId="5285E4C8">
      <w:pPr>
        <w:ind w:firstLine="3840" w:firstLineChars="1200"/>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四川省住房和城乡建设厅</w:t>
      </w:r>
    </w:p>
    <w:p w14:paraId="2517278F">
      <w:pPr>
        <w:ind w:firstLine="4480" w:firstLineChars="1400"/>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2025年 月 日</w:t>
      </w:r>
    </w:p>
    <w:sectPr>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C9877D2-28C6-42E0-ACC6-F4E6CA9CDD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73B8198C-9EE6-473F-87C2-D8A9DB564772}"/>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33322"/>
    <w:rsid w:val="0050638A"/>
    <w:rsid w:val="005E0AA6"/>
    <w:rsid w:val="00695731"/>
    <w:rsid w:val="008D138C"/>
    <w:rsid w:val="00D64AE1"/>
    <w:rsid w:val="014C4DA3"/>
    <w:rsid w:val="01C725F7"/>
    <w:rsid w:val="01FB2325"/>
    <w:rsid w:val="02181129"/>
    <w:rsid w:val="02DE5ECF"/>
    <w:rsid w:val="030B1391"/>
    <w:rsid w:val="033B5B99"/>
    <w:rsid w:val="03503A2D"/>
    <w:rsid w:val="038E3917"/>
    <w:rsid w:val="046F69C4"/>
    <w:rsid w:val="05BC001D"/>
    <w:rsid w:val="05CA0405"/>
    <w:rsid w:val="05FF247C"/>
    <w:rsid w:val="063302DF"/>
    <w:rsid w:val="06A40BA5"/>
    <w:rsid w:val="07464894"/>
    <w:rsid w:val="075C1BBD"/>
    <w:rsid w:val="07E4032E"/>
    <w:rsid w:val="08504C31"/>
    <w:rsid w:val="08920C67"/>
    <w:rsid w:val="08D630A8"/>
    <w:rsid w:val="096864F2"/>
    <w:rsid w:val="0A195A3E"/>
    <w:rsid w:val="0A6278D8"/>
    <w:rsid w:val="0AA67D63"/>
    <w:rsid w:val="0AFC15E8"/>
    <w:rsid w:val="0B022976"/>
    <w:rsid w:val="0B09160F"/>
    <w:rsid w:val="0BA65A7A"/>
    <w:rsid w:val="0C8C2B8C"/>
    <w:rsid w:val="0CC71781"/>
    <w:rsid w:val="0D8B27AF"/>
    <w:rsid w:val="0DAB2E51"/>
    <w:rsid w:val="0E097B78"/>
    <w:rsid w:val="0E2F75DE"/>
    <w:rsid w:val="0E3270CE"/>
    <w:rsid w:val="0E924011"/>
    <w:rsid w:val="0EC326B6"/>
    <w:rsid w:val="0FEE5277"/>
    <w:rsid w:val="10087DC6"/>
    <w:rsid w:val="10330E41"/>
    <w:rsid w:val="10352EA6"/>
    <w:rsid w:val="10572E1C"/>
    <w:rsid w:val="112D6151"/>
    <w:rsid w:val="11C03EEA"/>
    <w:rsid w:val="11DB5638"/>
    <w:rsid w:val="11DE0A8A"/>
    <w:rsid w:val="1246139A"/>
    <w:rsid w:val="126D6927"/>
    <w:rsid w:val="1279351E"/>
    <w:rsid w:val="12D64E3F"/>
    <w:rsid w:val="12F25CF9"/>
    <w:rsid w:val="12F86B39"/>
    <w:rsid w:val="135B70C7"/>
    <w:rsid w:val="13675A6C"/>
    <w:rsid w:val="13C503AF"/>
    <w:rsid w:val="13D40F3A"/>
    <w:rsid w:val="13DF1AA7"/>
    <w:rsid w:val="141A488D"/>
    <w:rsid w:val="145519A6"/>
    <w:rsid w:val="14885C9A"/>
    <w:rsid w:val="149B5F6D"/>
    <w:rsid w:val="14CA54C6"/>
    <w:rsid w:val="14DB04C0"/>
    <w:rsid w:val="14DC1B42"/>
    <w:rsid w:val="14E92263"/>
    <w:rsid w:val="15631F1C"/>
    <w:rsid w:val="15B32AC1"/>
    <w:rsid w:val="161517B0"/>
    <w:rsid w:val="16654B58"/>
    <w:rsid w:val="16D763CF"/>
    <w:rsid w:val="17206B28"/>
    <w:rsid w:val="17342109"/>
    <w:rsid w:val="177469AA"/>
    <w:rsid w:val="17A202F8"/>
    <w:rsid w:val="17CE60BA"/>
    <w:rsid w:val="17DF2075"/>
    <w:rsid w:val="183B3024"/>
    <w:rsid w:val="18EC4A5F"/>
    <w:rsid w:val="18EF349B"/>
    <w:rsid w:val="18FF4051"/>
    <w:rsid w:val="190C5C28"/>
    <w:rsid w:val="19436634"/>
    <w:rsid w:val="19866520"/>
    <w:rsid w:val="199B6470"/>
    <w:rsid w:val="1A670100"/>
    <w:rsid w:val="1AB032C3"/>
    <w:rsid w:val="1AC11F06"/>
    <w:rsid w:val="1ACD0737"/>
    <w:rsid w:val="1AF600EB"/>
    <w:rsid w:val="1B174832"/>
    <w:rsid w:val="1B617245"/>
    <w:rsid w:val="1B6B1E72"/>
    <w:rsid w:val="1B8850C1"/>
    <w:rsid w:val="1B8D410D"/>
    <w:rsid w:val="1BC22D4C"/>
    <w:rsid w:val="1C2269D4"/>
    <w:rsid w:val="1C676ADD"/>
    <w:rsid w:val="1CA90845"/>
    <w:rsid w:val="1CFA07F5"/>
    <w:rsid w:val="1D233514"/>
    <w:rsid w:val="1DC615E1"/>
    <w:rsid w:val="1DFD1028"/>
    <w:rsid w:val="1EFA1543"/>
    <w:rsid w:val="1F1A7E37"/>
    <w:rsid w:val="1FCD30FB"/>
    <w:rsid w:val="200B7238"/>
    <w:rsid w:val="21823A71"/>
    <w:rsid w:val="21D20555"/>
    <w:rsid w:val="225D0766"/>
    <w:rsid w:val="226C12D2"/>
    <w:rsid w:val="228C4BA7"/>
    <w:rsid w:val="22AC349C"/>
    <w:rsid w:val="22B10AB2"/>
    <w:rsid w:val="233E10F9"/>
    <w:rsid w:val="23857FD5"/>
    <w:rsid w:val="23C07475"/>
    <w:rsid w:val="240864B0"/>
    <w:rsid w:val="24CC61B5"/>
    <w:rsid w:val="25387269"/>
    <w:rsid w:val="259721E1"/>
    <w:rsid w:val="259F1096"/>
    <w:rsid w:val="28167DD4"/>
    <w:rsid w:val="28180C8B"/>
    <w:rsid w:val="28610884"/>
    <w:rsid w:val="287E4F92"/>
    <w:rsid w:val="28C913F8"/>
    <w:rsid w:val="28E55011"/>
    <w:rsid w:val="2942661E"/>
    <w:rsid w:val="2996455E"/>
    <w:rsid w:val="29BD7494"/>
    <w:rsid w:val="29D37560"/>
    <w:rsid w:val="29E83ED6"/>
    <w:rsid w:val="2A88659C"/>
    <w:rsid w:val="2AEE7877"/>
    <w:rsid w:val="2B4D6E9E"/>
    <w:rsid w:val="2B9E76FA"/>
    <w:rsid w:val="2BE9306B"/>
    <w:rsid w:val="2BF0264B"/>
    <w:rsid w:val="2BFD0166"/>
    <w:rsid w:val="2C0A056D"/>
    <w:rsid w:val="2C420151"/>
    <w:rsid w:val="2C6E4DD4"/>
    <w:rsid w:val="2D236108"/>
    <w:rsid w:val="2D3E3F8F"/>
    <w:rsid w:val="2D482013"/>
    <w:rsid w:val="2ECC1FAE"/>
    <w:rsid w:val="2EE23DA1"/>
    <w:rsid w:val="2F05640D"/>
    <w:rsid w:val="2F487998"/>
    <w:rsid w:val="2F8B25BD"/>
    <w:rsid w:val="311F752F"/>
    <w:rsid w:val="312B5ED3"/>
    <w:rsid w:val="317320B1"/>
    <w:rsid w:val="319A0963"/>
    <w:rsid w:val="31C003CA"/>
    <w:rsid w:val="32851613"/>
    <w:rsid w:val="32963820"/>
    <w:rsid w:val="32A45F3D"/>
    <w:rsid w:val="32C73CD7"/>
    <w:rsid w:val="332D5F33"/>
    <w:rsid w:val="33445CED"/>
    <w:rsid w:val="33664FA1"/>
    <w:rsid w:val="33B57CD6"/>
    <w:rsid w:val="340547BA"/>
    <w:rsid w:val="344E5499"/>
    <w:rsid w:val="345E3ECA"/>
    <w:rsid w:val="34677222"/>
    <w:rsid w:val="350C1B78"/>
    <w:rsid w:val="351F5D4F"/>
    <w:rsid w:val="361138EA"/>
    <w:rsid w:val="36AD2EE7"/>
    <w:rsid w:val="36E34A46"/>
    <w:rsid w:val="370A472D"/>
    <w:rsid w:val="37163FFD"/>
    <w:rsid w:val="371E6DB9"/>
    <w:rsid w:val="37733DAF"/>
    <w:rsid w:val="378A6E4F"/>
    <w:rsid w:val="37B24C58"/>
    <w:rsid w:val="37E40B8A"/>
    <w:rsid w:val="37F4701F"/>
    <w:rsid w:val="38545D10"/>
    <w:rsid w:val="39D23390"/>
    <w:rsid w:val="3B200966"/>
    <w:rsid w:val="3BC1190E"/>
    <w:rsid w:val="3BCD1971"/>
    <w:rsid w:val="3BE70C49"/>
    <w:rsid w:val="3C095063"/>
    <w:rsid w:val="3C4B567C"/>
    <w:rsid w:val="3C6504EB"/>
    <w:rsid w:val="3C9E57AB"/>
    <w:rsid w:val="3CA52FDE"/>
    <w:rsid w:val="3CAA4150"/>
    <w:rsid w:val="3D333CA8"/>
    <w:rsid w:val="3D5E4F3B"/>
    <w:rsid w:val="3DD40A79"/>
    <w:rsid w:val="3E126451"/>
    <w:rsid w:val="3E2D7C66"/>
    <w:rsid w:val="3E3363C7"/>
    <w:rsid w:val="3EF142B8"/>
    <w:rsid w:val="3EFB0C93"/>
    <w:rsid w:val="3F9B5FD2"/>
    <w:rsid w:val="3FB928FC"/>
    <w:rsid w:val="3FFB7F1B"/>
    <w:rsid w:val="4024642F"/>
    <w:rsid w:val="40386F69"/>
    <w:rsid w:val="41087697"/>
    <w:rsid w:val="410D4CAE"/>
    <w:rsid w:val="41AC44C7"/>
    <w:rsid w:val="41E50A25"/>
    <w:rsid w:val="425B50A9"/>
    <w:rsid w:val="42E14644"/>
    <w:rsid w:val="430A1DED"/>
    <w:rsid w:val="43617533"/>
    <w:rsid w:val="436D6EB7"/>
    <w:rsid w:val="437E1E93"/>
    <w:rsid w:val="44727838"/>
    <w:rsid w:val="447B63D2"/>
    <w:rsid w:val="45205D4A"/>
    <w:rsid w:val="4529692B"/>
    <w:rsid w:val="45E0248E"/>
    <w:rsid w:val="45FB3C6E"/>
    <w:rsid w:val="469D6808"/>
    <w:rsid w:val="46B057A9"/>
    <w:rsid w:val="47215957"/>
    <w:rsid w:val="47356D0C"/>
    <w:rsid w:val="475573AE"/>
    <w:rsid w:val="48AD3F30"/>
    <w:rsid w:val="48DF6637"/>
    <w:rsid w:val="49C3578D"/>
    <w:rsid w:val="49D0319A"/>
    <w:rsid w:val="4A08695A"/>
    <w:rsid w:val="4A5E2C02"/>
    <w:rsid w:val="4A69736A"/>
    <w:rsid w:val="4AA07956"/>
    <w:rsid w:val="4AE90539"/>
    <w:rsid w:val="4AFF7D5D"/>
    <w:rsid w:val="4B4D32FF"/>
    <w:rsid w:val="4B895A98"/>
    <w:rsid w:val="4BDC1E4C"/>
    <w:rsid w:val="4BDC52F9"/>
    <w:rsid w:val="4BF4363A"/>
    <w:rsid w:val="4C3E48B5"/>
    <w:rsid w:val="4C4579F1"/>
    <w:rsid w:val="4D64034B"/>
    <w:rsid w:val="4DC85B01"/>
    <w:rsid w:val="4E402B66"/>
    <w:rsid w:val="4E6F6FA8"/>
    <w:rsid w:val="4E743637"/>
    <w:rsid w:val="4F5C097D"/>
    <w:rsid w:val="4FA709C3"/>
    <w:rsid w:val="4FE07F37"/>
    <w:rsid w:val="50406E4E"/>
    <w:rsid w:val="50416722"/>
    <w:rsid w:val="508F56DF"/>
    <w:rsid w:val="50C7131D"/>
    <w:rsid w:val="512C2F2E"/>
    <w:rsid w:val="513F16BC"/>
    <w:rsid w:val="516F72BF"/>
    <w:rsid w:val="519F1EDD"/>
    <w:rsid w:val="51AC406F"/>
    <w:rsid w:val="51C25640"/>
    <w:rsid w:val="51FA302C"/>
    <w:rsid w:val="5203139C"/>
    <w:rsid w:val="522144F9"/>
    <w:rsid w:val="52C13B4A"/>
    <w:rsid w:val="53B65679"/>
    <w:rsid w:val="53F1220D"/>
    <w:rsid w:val="542603B5"/>
    <w:rsid w:val="542C358A"/>
    <w:rsid w:val="545666FE"/>
    <w:rsid w:val="54611DC4"/>
    <w:rsid w:val="54C2712D"/>
    <w:rsid w:val="54F72D34"/>
    <w:rsid w:val="55171F21"/>
    <w:rsid w:val="55B41744"/>
    <w:rsid w:val="563A19A6"/>
    <w:rsid w:val="56535401"/>
    <w:rsid w:val="56A95021"/>
    <w:rsid w:val="56E147BB"/>
    <w:rsid w:val="573C7C43"/>
    <w:rsid w:val="573E1C0D"/>
    <w:rsid w:val="575C02E5"/>
    <w:rsid w:val="57884570"/>
    <w:rsid w:val="57996E43"/>
    <w:rsid w:val="58733322"/>
    <w:rsid w:val="5873617A"/>
    <w:rsid w:val="58737694"/>
    <w:rsid w:val="58D00F8B"/>
    <w:rsid w:val="58FB48D2"/>
    <w:rsid w:val="598B6C60"/>
    <w:rsid w:val="59AA4777"/>
    <w:rsid w:val="5A2730E9"/>
    <w:rsid w:val="5A47702B"/>
    <w:rsid w:val="5AF947C9"/>
    <w:rsid w:val="5B0E7B48"/>
    <w:rsid w:val="5B29483D"/>
    <w:rsid w:val="5C052CF9"/>
    <w:rsid w:val="5C125416"/>
    <w:rsid w:val="5CA644DC"/>
    <w:rsid w:val="5CD54DC2"/>
    <w:rsid w:val="5D1B2EEB"/>
    <w:rsid w:val="5D9205BD"/>
    <w:rsid w:val="5D9A3F78"/>
    <w:rsid w:val="5DB20C5F"/>
    <w:rsid w:val="5DD52EB1"/>
    <w:rsid w:val="5E0F1C0D"/>
    <w:rsid w:val="5E162F9C"/>
    <w:rsid w:val="5E2A6A47"/>
    <w:rsid w:val="5E373936"/>
    <w:rsid w:val="5E7F4FE5"/>
    <w:rsid w:val="5EC00C6B"/>
    <w:rsid w:val="5F3E6C4E"/>
    <w:rsid w:val="5FED2422"/>
    <w:rsid w:val="6031230F"/>
    <w:rsid w:val="6098413C"/>
    <w:rsid w:val="60B42F40"/>
    <w:rsid w:val="60BD2B31"/>
    <w:rsid w:val="60CE4002"/>
    <w:rsid w:val="619C7C5C"/>
    <w:rsid w:val="61AE5BE1"/>
    <w:rsid w:val="61E409E3"/>
    <w:rsid w:val="62196C33"/>
    <w:rsid w:val="63A12A8B"/>
    <w:rsid w:val="63B519FD"/>
    <w:rsid w:val="64812160"/>
    <w:rsid w:val="64AB2BA7"/>
    <w:rsid w:val="65EC6D09"/>
    <w:rsid w:val="663A5C95"/>
    <w:rsid w:val="667A42E4"/>
    <w:rsid w:val="66ED0F5A"/>
    <w:rsid w:val="675A15AA"/>
    <w:rsid w:val="6791606D"/>
    <w:rsid w:val="67A21D44"/>
    <w:rsid w:val="67AC4971"/>
    <w:rsid w:val="67D22629"/>
    <w:rsid w:val="684F2A73"/>
    <w:rsid w:val="68B64F8D"/>
    <w:rsid w:val="69584DB0"/>
    <w:rsid w:val="699102C2"/>
    <w:rsid w:val="69AF0748"/>
    <w:rsid w:val="6A9E67F3"/>
    <w:rsid w:val="6AA8759B"/>
    <w:rsid w:val="6AB25156"/>
    <w:rsid w:val="6AFA59F3"/>
    <w:rsid w:val="6B0845B4"/>
    <w:rsid w:val="6C0134DD"/>
    <w:rsid w:val="6C5E0930"/>
    <w:rsid w:val="6C72358B"/>
    <w:rsid w:val="6C7812C6"/>
    <w:rsid w:val="6CA61550"/>
    <w:rsid w:val="6D4B04CE"/>
    <w:rsid w:val="6D4E1EC1"/>
    <w:rsid w:val="6DFA3365"/>
    <w:rsid w:val="6E6F5C52"/>
    <w:rsid w:val="6EE72A80"/>
    <w:rsid w:val="6EF74724"/>
    <w:rsid w:val="6EFC7F8C"/>
    <w:rsid w:val="6F453E69"/>
    <w:rsid w:val="6F5F3E37"/>
    <w:rsid w:val="6F6F71CB"/>
    <w:rsid w:val="6FFE1AE2"/>
    <w:rsid w:val="70091E37"/>
    <w:rsid w:val="700C41FF"/>
    <w:rsid w:val="704F233D"/>
    <w:rsid w:val="707B3132"/>
    <w:rsid w:val="710475CC"/>
    <w:rsid w:val="71215326"/>
    <w:rsid w:val="713C41C0"/>
    <w:rsid w:val="71F3606C"/>
    <w:rsid w:val="71FC10CE"/>
    <w:rsid w:val="7258372B"/>
    <w:rsid w:val="725E0AE7"/>
    <w:rsid w:val="72B6363F"/>
    <w:rsid w:val="731955B0"/>
    <w:rsid w:val="73CB149B"/>
    <w:rsid w:val="742E519E"/>
    <w:rsid w:val="7452064E"/>
    <w:rsid w:val="749B3DA3"/>
    <w:rsid w:val="756750B0"/>
    <w:rsid w:val="75FC6AC3"/>
    <w:rsid w:val="767174B1"/>
    <w:rsid w:val="767731D9"/>
    <w:rsid w:val="77033F29"/>
    <w:rsid w:val="77E67A2B"/>
    <w:rsid w:val="780F5C58"/>
    <w:rsid w:val="78D12489"/>
    <w:rsid w:val="79366790"/>
    <w:rsid w:val="7B0632BF"/>
    <w:rsid w:val="7B315461"/>
    <w:rsid w:val="7B4A207F"/>
    <w:rsid w:val="7B86755B"/>
    <w:rsid w:val="7BCA2C9F"/>
    <w:rsid w:val="7C2B1EB0"/>
    <w:rsid w:val="7C336FB7"/>
    <w:rsid w:val="7C9E2D88"/>
    <w:rsid w:val="7CA26617"/>
    <w:rsid w:val="7CA83501"/>
    <w:rsid w:val="7D5B5D98"/>
    <w:rsid w:val="7D891584"/>
    <w:rsid w:val="7DD510B0"/>
    <w:rsid w:val="7EBA751C"/>
    <w:rsid w:val="7EBD51B5"/>
    <w:rsid w:val="7EFC2494"/>
    <w:rsid w:val="7F89586C"/>
    <w:rsid w:val="7F9C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4085</Words>
  <Characters>4125</Characters>
  <Lines>0</Lines>
  <Paragraphs>0</Paragraphs>
  <TotalTime>18</TotalTime>
  <ScaleCrop>false</ScaleCrop>
  <LinksUpToDate>false</LinksUpToDate>
  <CharactersWithSpaces>4128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2025-05-13T02:36:00Z</dcterms:created>
  <dc:creator>周星星同学</dc:creator>
  <cp:lastModifiedBy>⌒寻⌒</cp:lastModifiedBy>
  <dcterms:modified xsi:type="dcterms:W3CDTF">2025-09-05T08:25:26Z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1FA4E8ADD81441E6B72421F8F8115C90_13</vt:lpwstr>
  </property>
  <property fmtid="{D5CDD505-2E9C-101B-9397-08002B2CF9AE}" pid="4" name="KSOTemplateDocerSaveRecord">
    <vt:lpwstr>eyJoZGlkIjoiNWRiODU4NDQzNGM1ODY0NjE2OTI2MmIwYzljYjg1MTMiLCJ1c2VySWQiOiI3MDEyODE4ODQifQ==</vt:lpwstr>
  </property>
</Properties>
</file>